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DF30EB" w14:textId="77777777" w:rsidR="003D3859" w:rsidRDefault="006212DD">
      <w:pPr>
        <w:spacing w:line="360" w:lineRule="auto"/>
        <w:ind w:firstLine="0"/>
        <w:rPr>
          <w:sz w:val="24"/>
          <w:szCs w:val="24"/>
          <w:vertAlign w:val="superscript"/>
        </w:rPr>
      </w:pPr>
      <w:r>
        <w:rPr>
          <w:b/>
          <w:sz w:val="24"/>
          <w:szCs w:val="24"/>
        </w:rPr>
        <w:t>Rituais de Passagem e Resistência Cultural Guajajara</w:t>
      </w:r>
      <w:r>
        <w:rPr>
          <w:sz w:val="24"/>
          <w:szCs w:val="24"/>
        </w:rPr>
        <w:t>: vivências, identidade e educação na Aldeia Indígena Januária em Pindaré (MA)</w:t>
      </w:r>
    </w:p>
    <w:p w14:paraId="6D64821B" w14:textId="6FFB6526" w:rsidR="003D3859" w:rsidRDefault="002674C3" w:rsidP="0081266D">
      <w:pPr>
        <w:tabs>
          <w:tab w:val="left" w:pos="5685"/>
        </w:tabs>
        <w:spacing w:line="240" w:lineRule="auto"/>
        <w:ind w:firstLine="0"/>
        <w:jc w:val="right"/>
        <w:rPr>
          <w:b/>
          <w:sz w:val="24"/>
          <w:szCs w:val="24"/>
          <w:vertAlign w:val="superscript"/>
        </w:rPr>
      </w:pPr>
      <w:r>
        <w:rPr>
          <w:b/>
          <w:sz w:val="24"/>
          <w:szCs w:val="24"/>
          <w:vertAlign w:val="superscript"/>
        </w:rPr>
        <w:t>Jean Carlos Assunção Aranha¹</w:t>
      </w:r>
    </w:p>
    <w:p w14:paraId="52DA35E1" w14:textId="77777777" w:rsidR="00BF7E5D" w:rsidRDefault="002674C3" w:rsidP="0081266D">
      <w:pPr>
        <w:tabs>
          <w:tab w:val="left" w:pos="5685"/>
        </w:tabs>
        <w:spacing w:line="240" w:lineRule="auto"/>
        <w:ind w:firstLine="0"/>
        <w:contextualSpacing/>
        <w:jc w:val="right"/>
        <w:rPr>
          <w:b/>
          <w:sz w:val="24"/>
          <w:szCs w:val="24"/>
          <w:vertAlign w:val="superscript"/>
        </w:rPr>
      </w:pPr>
      <w:r>
        <w:rPr>
          <w:b/>
          <w:sz w:val="24"/>
          <w:szCs w:val="24"/>
          <w:vertAlign w:val="superscript"/>
        </w:rPr>
        <w:t>Alice Gonçalves Florencio²</w:t>
      </w:r>
    </w:p>
    <w:p w14:paraId="0DB9D51D" w14:textId="023C000A" w:rsidR="003D3859" w:rsidRDefault="006212DD" w:rsidP="0081266D">
      <w:pPr>
        <w:tabs>
          <w:tab w:val="left" w:pos="5685"/>
        </w:tabs>
        <w:spacing w:line="240" w:lineRule="auto"/>
        <w:ind w:firstLine="0"/>
        <w:contextualSpacing/>
        <w:jc w:val="right"/>
        <w:rPr>
          <w:b/>
          <w:sz w:val="24"/>
          <w:szCs w:val="24"/>
          <w:vertAlign w:val="subscript"/>
        </w:rPr>
      </w:pPr>
      <w:proofErr w:type="spellStart"/>
      <w:r>
        <w:rPr>
          <w:b/>
          <w:sz w:val="24"/>
          <w:szCs w:val="24"/>
          <w:vertAlign w:val="subscript"/>
        </w:rPr>
        <w:t>Kassimira</w:t>
      </w:r>
      <w:proofErr w:type="spellEnd"/>
      <w:r>
        <w:rPr>
          <w:b/>
          <w:sz w:val="24"/>
          <w:szCs w:val="24"/>
          <w:vertAlign w:val="subscript"/>
        </w:rPr>
        <w:t xml:space="preserve"> Santos da Silva³</w:t>
      </w:r>
    </w:p>
    <w:p w14:paraId="7EE8371B" w14:textId="77777777" w:rsidR="003D3859" w:rsidRDefault="006212DD" w:rsidP="0081266D">
      <w:pPr>
        <w:spacing w:line="240" w:lineRule="auto"/>
        <w:ind w:firstLine="0"/>
        <w:jc w:val="right"/>
        <w:rPr>
          <w:b/>
          <w:sz w:val="24"/>
          <w:szCs w:val="24"/>
          <w:vertAlign w:val="superscript"/>
        </w:rPr>
      </w:pPr>
      <w:proofErr w:type="spellStart"/>
      <w:r>
        <w:rPr>
          <w:b/>
          <w:sz w:val="24"/>
          <w:szCs w:val="24"/>
          <w:vertAlign w:val="superscript"/>
        </w:rPr>
        <w:t>Suela</w:t>
      </w:r>
      <w:proofErr w:type="spellEnd"/>
      <w:r>
        <w:rPr>
          <w:b/>
          <w:sz w:val="24"/>
          <w:szCs w:val="24"/>
          <w:vertAlign w:val="superscript"/>
        </w:rPr>
        <w:t xml:space="preserve"> Simone Correa Monteiro⁵</w:t>
      </w:r>
    </w:p>
    <w:p w14:paraId="2D9711BA" w14:textId="77777777" w:rsidR="003D3859" w:rsidRDefault="003D3859">
      <w:pPr>
        <w:ind w:left="2835" w:firstLine="0"/>
        <w:jc w:val="both"/>
        <w:rPr>
          <w:b/>
          <w:sz w:val="24"/>
          <w:szCs w:val="24"/>
        </w:rPr>
      </w:pPr>
    </w:p>
    <w:p w14:paraId="178FDD6C" w14:textId="77777777" w:rsidR="003D3859" w:rsidRDefault="006212DD">
      <w:pPr>
        <w:spacing w:line="240" w:lineRule="auto"/>
        <w:ind w:left="2835" w:firstLine="0"/>
        <w:jc w:val="both"/>
        <w:rPr>
          <w:sz w:val="20"/>
          <w:szCs w:val="20"/>
        </w:rPr>
      </w:pPr>
      <w:r>
        <w:rPr>
          <w:b/>
          <w:sz w:val="20"/>
          <w:szCs w:val="20"/>
        </w:rPr>
        <w:t>RESUMO</w:t>
      </w:r>
    </w:p>
    <w:p w14:paraId="052E2B57" w14:textId="77777777" w:rsidR="003D3859" w:rsidRDefault="006212DD">
      <w:pPr>
        <w:spacing w:line="240" w:lineRule="auto"/>
        <w:ind w:left="2835" w:firstLine="0"/>
        <w:jc w:val="both"/>
        <w:rPr>
          <w:sz w:val="20"/>
          <w:szCs w:val="20"/>
        </w:rPr>
      </w:pPr>
      <w:r>
        <w:rPr>
          <w:sz w:val="20"/>
          <w:szCs w:val="20"/>
        </w:rPr>
        <w:t>Este artigo analisa os rituais de passagem para a vida adulta entre o povo indígena Guajajara, com ênfase na Festa do Moqueado, observada durante trabalho de campo realizado na Aldeia Indígena Januária, localizada no município de Bom Jardim (MA). A partir da observação participante e da escuta de relatos, sobretudo de jovens e educadores(as) da comunidade discute-se como o ritual constitui um elemento central na construção da identidade cultural e da resistência indígena. São abordadas as dimensões simbólicas do rito, os processos de socialização tradicional e a relação com a educação escolar indígena. A pesquisa enfatiza a articulação entre tradição e modernização, evidenciando o papel dos saberes ancestrais como forma de enfrentamento ao apagamento cultural e à colonialidade do saber.</w:t>
      </w:r>
    </w:p>
    <w:p w14:paraId="5741576F" w14:textId="77777777" w:rsidR="003D3859" w:rsidRDefault="006212DD">
      <w:pPr>
        <w:spacing w:line="240" w:lineRule="auto"/>
        <w:ind w:left="2835" w:firstLine="0"/>
        <w:jc w:val="both"/>
        <w:rPr>
          <w:sz w:val="20"/>
          <w:szCs w:val="20"/>
        </w:rPr>
      </w:pPr>
      <w:r>
        <w:rPr>
          <w:b/>
          <w:sz w:val="20"/>
          <w:szCs w:val="20"/>
        </w:rPr>
        <w:t>Palavras-chave</w:t>
      </w:r>
      <w:r>
        <w:rPr>
          <w:sz w:val="20"/>
          <w:szCs w:val="20"/>
        </w:rPr>
        <w:t>: Guajajara; ritual de passagem; educação tradicional.</w:t>
      </w:r>
    </w:p>
    <w:p w14:paraId="00C42B53" w14:textId="77777777" w:rsidR="003D3859" w:rsidRDefault="003D3859">
      <w:pPr>
        <w:spacing w:line="240" w:lineRule="auto"/>
        <w:ind w:left="2835" w:firstLine="0"/>
        <w:jc w:val="both"/>
        <w:rPr>
          <w:sz w:val="20"/>
          <w:szCs w:val="20"/>
        </w:rPr>
      </w:pPr>
    </w:p>
    <w:p w14:paraId="00BEB525" w14:textId="77777777" w:rsidR="003D3859" w:rsidRDefault="006212DD">
      <w:pPr>
        <w:spacing w:line="240" w:lineRule="auto"/>
        <w:ind w:left="2835" w:firstLine="0"/>
        <w:jc w:val="both"/>
        <w:rPr>
          <w:b/>
          <w:sz w:val="20"/>
          <w:szCs w:val="20"/>
        </w:rPr>
      </w:pPr>
      <w:r>
        <w:rPr>
          <w:b/>
          <w:sz w:val="20"/>
          <w:szCs w:val="20"/>
        </w:rPr>
        <w:t>ABSTRACT</w:t>
      </w:r>
    </w:p>
    <w:p w14:paraId="2F380371" w14:textId="77777777" w:rsidR="003D3859" w:rsidRDefault="006212DD">
      <w:pPr>
        <w:spacing w:line="240" w:lineRule="auto"/>
        <w:ind w:left="2835" w:firstLine="0"/>
        <w:jc w:val="both"/>
        <w:rPr>
          <w:sz w:val="20"/>
          <w:szCs w:val="20"/>
        </w:rPr>
      </w:pPr>
      <w:proofErr w:type="spellStart"/>
      <w:r>
        <w:rPr>
          <w:sz w:val="20"/>
          <w:szCs w:val="20"/>
        </w:rPr>
        <w:t>This</w:t>
      </w:r>
      <w:proofErr w:type="spellEnd"/>
      <w:r>
        <w:rPr>
          <w:sz w:val="20"/>
          <w:szCs w:val="20"/>
        </w:rPr>
        <w:t xml:space="preserve"> </w:t>
      </w:r>
      <w:proofErr w:type="spellStart"/>
      <w:r>
        <w:rPr>
          <w:sz w:val="20"/>
          <w:szCs w:val="20"/>
        </w:rPr>
        <w:t>paper</w:t>
      </w:r>
      <w:proofErr w:type="spellEnd"/>
      <w:r>
        <w:rPr>
          <w:sz w:val="20"/>
          <w:szCs w:val="20"/>
        </w:rPr>
        <w:t xml:space="preserve"> </w:t>
      </w:r>
      <w:proofErr w:type="spellStart"/>
      <w:r>
        <w:rPr>
          <w:sz w:val="20"/>
          <w:szCs w:val="20"/>
        </w:rPr>
        <w:t>analyzes</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rites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passage</w:t>
      </w:r>
      <w:proofErr w:type="spellEnd"/>
      <w:r>
        <w:rPr>
          <w:sz w:val="20"/>
          <w:szCs w:val="20"/>
        </w:rPr>
        <w:t xml:space="preserve"> </w:t>
      </w:r>
      <w:proofErr w:type="spellStart"/>
      <w:r>
        <w:rPr>
          <w:sz w:val="20"/>
          <w:szCs w:val="20"/>
        </w:rPr>
        <w:t>into</w:t>
      </w:r>
      <w:proofErr w:type="spellEnd"/>
      <w:r>
        <w:rPr>
          <w:sz w:val="20"/>
          <w:szCs w:val="20"/>
        </w:rPr>
        <w:t xml:space="preserve"> </w:t>
      </w:r>
      <w:proofErr w:type="spellStart"/>
      <w:r>
        <w:rPr>
          <w:sz w:val="20"/>
          <w:szCs w:val="20"/>
        </w:rPr>
        <w:t>adulthood</w:t>
      </w:r>
      <w:proofErr w:type="spellEnd"/>
      <w:r>
        <w:rPr>
          <w:sz w:val="20"/>
          <w:szCs w:val="20"/>
        </w:rPr>
        <w:t xml:space="preserve"> </w:t>
      </w:r>
      <w:proofErr w:type="spellStart"/>
      <w:r>
        <w:rPr>
          <w:sz w:val="20"/>
          <w:szCs w:val="20"/>
        </w:rPr>
        <w:t>among</w:t>
      </w:r>
      <w:proofErr w:type="spellEnd"/>
      <w:r>
        <w:rPr>
          <w:sz w:val="20"/>
          <w:szCs w:val="20"/>
        </w:rPr>
        <w:t xml:space="preserve"> </w:t>
      </w:r>
      <w:proofErr w:type="spellStart"/>
      <w:r>
        <w:rPr>
          <w:sz w:val="20"/>
          <w:szCs w:val="20"/>
        </w:rPr>
        <w:t>the</w:t>
      </w:r>
      <w:proofErr w:type="spellEnd"/>
      <w:r>
        <w:rPr>
          <w:sz w:val="20"/>
          <w:szCs w:val="20"/>
        </w:rPr>
        <w:t xml:space="preserve"> Guajajara </w:t>
      </w:r>
      <w:proofErr w:type="spellStart"/>
      <w:r>
        <w:rPr>
          <w:sz w:val="20"/>
          <w:szCs w:val="20"/>
        </w:rPr>
        <w:t>Indigenous</w:t>
      </w:r>
      <w:proofErr w:type="spellEnd"/>
      <w:r>
        <w:rPr>
          <w:sz w:val="20"/>
          <w:szCs w:val="20"/>
        </w:rPr>
        <w:t xml:space="preserve"> </w:t>
      </w:r>
      <w:proofErr w:type="spellStart"/>
      <w:r>
        <w:rPr>
          <w:sz w:val="20"/>
          <w:szCs w:val="20"/>
        </w:rPr>
        <w:t>people</w:t>
      </w:r>
      <w:proofErr w:type="spellEnd"/>
      <w:r>
        <w:rPr>
          <w:sz w:val="20"/>
          <w:szCs w:val="20"/>
        </w:rPr>
        <w:t xml:space="preserve">, </w:t>
      </w:r>
      <w:proofErr w:type="spellStart"/>
      <w:r>
        <w:rPr>
          <w:sz w:val="20"/>
          <w:szCs w:val="20"/>
        </w:rPr>
        <w:t>with</w:t>
      </w:r>
      <w:proofErr w:type="spellEnd"/>
      <w:r>
        <w:rPr>
          <w:sz w:val="20"/>
          <w:szCs w:val="20"/>
        </w:rPr>
        <w:t xml:space="preserve"> a </w:t>
      </w:r>
      <w:proofErr w:type="spellStart"/>
      <w:r>
        <w:rPr>
          <w:sz w:val="20"/>
          <w:szCs w:val="20"/>
        </w:rPr>
        <w:t>focus</w:t>
      </w:r>
      <w:proofErr w:type="spellEnd"/>
      <w:r>
        <w:rPr>
          <w:sz w:val="20"/>
          <w:szCs w:val="20"/>
        </w:rPr>
        <w:t xml:space="preserve"> on </w:t>
      </w:r>
      <w:proofErr w:type="spellStart"/>
      <w:r>
        <w:rPr>
          <w:sz w:val="20"/>
          <w:szCs w:val="20"/>
        </w:rPr>
        <w:t>the</w:t>
      </w:r>
      <w:proofErr w:type="spellEnd"/>
      <w:r>
        <w:rPr>
          <w:sz w:val="20"/>
          <w:szCs w:val="20"/>
        </w:rPr>
        <w:t xml:space="preserve"> Moqueado Festival, </w:t>
      </w:r>
      <w:proofErr w:type="spellStart"/>
      <w:r>
        <w:rPr>
          <w:sz w:val="20"/>
          <w:szCs w:val="20"/>
        </w:rPr>
        <w:t>observed</w:t>
      </w:r>
      <w:proofErr w:type="spellEnd"/>
      <w:r>
        <w:rPr>
          <w:sz w:val="20"/>
          <w:szCs w:val="20"/>
        </w:rPr>
        <w:t xml:space="preserve"> </w:t>
      </w:r>
      <w:proofErr w:type="spellStart"/>
      <w:r>
        <w:rPr>
          <w:sz w:val="20"/>
          <w:szCs w:val="20"/>
        </w:rPr>
        <w:t>during</w:t>
      </w:r>
      <w:proofErr w:type="spellEnd"/>
      <w:r>
        <w:rPr>
          <w:sz w:val="20"/>
          <w:szCs w:val="20"/>
        </w:rPr>
        <w:t xml:space="preserve"> </w:t>
      </w:r>
      <w:proofErr w:type="spellStart"/>
      <w:r>
        <w:rPr>
          <w:sz w:val="20"/>
          <w:szCs w:val="20"/>
        </w:rPr>
        <w:t>fieldwork</w:t>
      </w:r>
      <w:proofErr w:type="spellEnd"/>
      <w:r>
        <w:rPr>
          <w:sz w:val="20"/>
          <w:szCs w:val="20"/>
        </w:rPr>
        <w:t xml:space="preserve"> </w:t>
      </w:r>
      <w:proofErr w:type="spellStart"/>
      <w:r>
        <w:rPr>
          <w:sz w:val="20"/>
          <w:szCs w:val="20"/>
        </w:rPr>
        <w:t>conducted</w:t>
      </w:r>
      <w:proofErr w:type="spellEnd"/>
      <w:r>
        <w:rPr>
          <w:sz w:val="20"/>
          <w:szCs w:val="20"/>
        </w:rPr>
        <w:t xml:space="preserve"> in </w:t>
      </w:r>
      <w:proofErr w:type="spellStart"/>
      <w:r>
        <w:rPr>
          <w:sz w:val="20"/>
          <w:szCs w:val="20"/>
        </w:rPr>
        <w:t>the</w:t>
      </w:r>
      <w:proofErr w:type="spellEnd"/>
      <w:r>
        <w:rPr>
          <w:sz w:val="20"/>
          <w:szCs w:val="20"/>
        </w:rPr>
        <w:t xml:space="preserve"> Januária </w:t>
      </w:r>
      <w:proofErr w:type="spellStart"/>
      <w:r>
        <w:rPr>
          <w:sz w:val="20"/>
          <w:szCs w:val="20"/>
        </w:rPr>
        <w:t>Indigenous</w:t>
      </w:r>
      <w:proofErr w:type="spellEnd"/>
      <w:r>
        <w:rPr>
          <w:sz w:val="20"/>
          <w:szCs w:val="20"/>
        </w:rPr>
        <w:t xml:space="preserve"> Village, </w:t>
      </w:r>
      <w:proofErr w:type="spellStart"/>
      <w:r>
        <w:rPr>
          <w:sz w:val="20"/>
          <w:szCs w:val="20"/>
        </w:rPr>
        <w:t>located</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municipality</w:t>
      </w:r>
      <w:proofErr w:type="spellEnd"/>
      <w:r>
        <w:rPr>
          <w:sz w:val="20"/>
          <w:szCs w:val="20"/>
        </w:rPr>
        <w:t xml:space="preserve"> </w:t>
      </w:r>
      <w:proofErr w:type="spellStart"/>
      <w:r>
        <w:rPr>
          <w:sz w:val="20"/>
          <w:szCs w:val="20"/>
        </w:rPr>
        <w:t>of</w:t>
      </w:r>
      <w:proofErr w:type="spellEnd"/>
      <w:r>
        <w:rPr>
          <w:sz w:val="20"/>
          <w:szCs w:val="20"/>
        </w:rPr>
        <w:t xml:space="preserve"> Bom Jardim, Maranhão (</w:t>
      </w:r>
      <w:proofErr w:type="spellStart"/>
      <w:r>
        <w:rPr>
          <w:sz w:val="20"/>
          <w:szCs w:val="20"/>
        </w:rPr>
        <w:t>Brazil</w:t>
      </w:r>
      <w:proofErr w:type="spellEnd"/>
      <w:r>
        <w:rPr>
          <w:sz w:val="20"/>
          <w:szCs w:val="20"/>
        </w:rPr>
        <w:t xml:space="preserve">). The </w:t>
      </w:r>
      <w:proofErr w:type="spellStart"/>
      <w:r>
        <w:rPr>
          <w:sz w:val="20"/>
          <w:szCs w:val="20"/>
        </w:rPr>
        <w:t>research</w:t>
      </w:r>
      <w:proofErr w:type="spellEnd"/>
      <w:r>
        <w:rPr>
          <w:sz w:val="20"/>
          <w:szCs w:val="20"/>
        </w:rPr>
        <w:t xml:space="preserve"> </w:t>
      </w:r>
      <w:proofErr w:type="spellStart"/>
      <w:r>
        <w:rPr>
          <w:sz w:val="20"/>
          <w:szCs w:val="20"/>
        </w:rPr>
        <w:t>is</w:t>
      </w:r>
      <w:proofErr w:type="spellEnd"/>
      <w:r>
        <w:rPr>
          <w:sz w:val="20"/>
          <w:szCs w:val="20"/>
        </w:rPr>
        <w:t xml:space="preserve"> </w:t>
      </w:r>
      <w:proofErr w:type="spellStart"/>
      <w:r>
        <w:rPr>
          <w:sz w:val="20"/>
          <w:szCs w:val="20"/>
        </w:rPr>
        <w:t>based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participant</w:t>
      </w:r>
      <w:proofErr w:type="spellEnd"/>
      <w:r>
        <w:rPr>
          <w:sz w:val="20"/>
          <w:szCs w:val="20"/>
        </w:rPr>
        <w:t xml:space="preserve"> </w:t>
      </w:r>
      <w:proofErr w:type="spellStart"/>
      <w:r>
        <w:rPr>
          <w:sz w:val="20"/>
          <w:szCs w:val="20"/>
        </w:rPr>
        <w:t>observation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on</w:t>
      </w:r>
      <w:proofErr w:type="spellEnd"/>
      <w:r>
        <w:rPr>
          <w:sz w:val="20"/>
          <w:szCs w:val="20"/>
        </w:rPr>
        <w:t xml:space="preserve"> </w:t>
      </w:r>
      <w:proofErr w:type="spellStart"/>
      <w:r>
        <w:rPr>
          <w:sz w:val="20"/>
          <w:szCs w:val="20"/>
        </w:rPr>
        <w:t>listening</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narratives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community</w:t>
      </w:r>
      <w:proofErr w:type="spellEnd"/>
      <w:r>
        <w:rPr>
          <w:sz w:val="20"/>
          <w:szCs w:val="20"/>
        </w:rPr>
        <w:t xml:space="preserve"> </w:t>
      </w:r>
      <w:proofErr w:type="spellStart"/>
      <w:r>
        <w:rPr>
          <w:sz w:val="20"/>
          <w:szCs w:val="20"/>
        </w:rPr>
        <w:t>members</w:t>
      </w:r>
      <w:proofErr w:type="spellEnd"/>
      <w:r>
        <w:rPr>
          <w:sz w:val="20"/>
          <w:szCs w:val="20"/>
        </w:rPr>
        <w:t xml:space="preserve">, </w:t>
      </w:r>
      <w:proofErr w:type="spellStart"/>
      <w:r>
        <w:rPr>
          <w:sz w:val="20"/>
          <w:szCs w:val="20"/>
        </w:rPr>
        <w:t>particularly</w:t>
      </w:r>
      <w:proofErr w:type="spellEnd"/>
      <w:r>
        <w:rPr>
          <w:sz w:val="20"/>
          <w:szCs w:val="20"/>
        </w:rPr>
        <w:t xml:space="preserve"> </w:t>
      </w:r>
      <w:proofErr w:type="spellStart"/>
      <w:r>
        <w:rPr>
          <w:sz w:val="20"/>
          <w:szCs w:val="20"/>
        </w:rPr>
        <w:t>youth</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educators</w:t>
      </w:r>
      <w:proofErr w:type="spellEnd"/>
      <w:r>
        <w:rPr>
          <w:sz w:val="20"/>
          <w:szCs w:val="20"/>
        </w:rPr>
        <w:t xml:space="preserve">. The </w:t>
      </w:r>
      <w:proofErr w:type="spellStart"/>
      <w:r>
        <w:rPr>
          <w:sz w:val="20"/>
          <w:szCs w:val="20"/>
        </w:rPr>
        <w:t>study</w:t>
      </w:r>
      <w:proofErr w:type="spellEnd"/>
      <w:r>
        <w:rPr>
          <w:sz w:val="20"/>
          <w:szCs w:val="20"/>
        </w:rPr>
        <w:t xml:space="preserve"> </w:t>
      </w:r>
      <w:proofErr w:type="spellStart"/>
      <w:r>
        <w:rPr>
          <w:sz w:val="20"/>
          <w:szCs w:val="20"/>
        </w:rPr>
        <w:t>seeks</w:t>
      </w:r>
      <w:proofErr w:type="spellEnd"/>
      <w:r>
        <w:rPr>
          <w:sz w:val="20"/>
          <w:szCs w:val="20"/>
        </w:rPr>
        <w:t xml:space="preserve"> </w:t>
      </w:r>
      <w:proofErr w:type="spellStart"/>
      <w:r>
        <w:rPr>
          <w:sz w:val="20"/>
          <w:szCs w:val="20"/>
        </w:rPr>
        <w:t>to</w:t>
      </w:r>
      <w:proofErr w:type="spellEnd"/>
      <w:r>
        <w:rPr>
          <w:sz w:val="20"/>
          <w:szCs w:val="20"/>
        </w:rPr>
        <w:t xml:space="preserve"> </w:t>
      </w:r>
      <w:proofErr w:type="spellStart"/>
      <w:r>
        <w:rPr>
          <w:sz w:val="20"/>
          <w:szCs w:val="20"/>
        </w:rPr>
        <w:t>understand</w:t>
      </w:r>
      <w:proofErr w:type="spellEnd"/>
      <w:r>
        <w:rPr>
          <w:sz w:val="20"/>
          <w:szCs w:val="20"/>
        </w:rPr>
        <w:t xml:space="preserve"> </w:t>
      </w:r>
      <w:proofErr w:type="spellStart"/>
      <w:r>
        <w:rPr>
          <w:sz w:val="20"/>
          <w:szCs w:val="20"/>
        </w:rPr>
        <w:t>how</w:t>
      </w:r>
      <w:proofErr w:type="spellEnd"/>
      <w:r>
        <w:rPr>
          <w:sz w:val="20"/>
          <w:szCs w:val="20"/>
        </w:rPr>
        <w:t xml:space="preserve"> </w:t>
      </w:r>
      <w:proofErr w:type="spellStart"/>
      <w:r>
        <w:rPr>
          <w:sz w:val="20"/>
          <w:szCs w:val="20"/>
        </w:rPr>
        <w:t>the</w:t>
      </w:r>
      <w:proofErr w:type="spellEnd"/>
      <w:r>
        <w:rPr>
          <w:sz w:val="20"/>
          <w:szCs w:val="20"/>
        </w:rPr>
        <w:t xml:space="preserve"> ritual </w:t>
      </w:r>
      <w:proofErr w:type="spellStart"/>
      <w:r>
        <w:rPr>
          <w:sz w:val="20"/>
          <w:szCs w:val="20"/>
        </w:rPr>
        <w:t>functions</w:t>
      </w:r>
      <w:proofErr w:type="spellEnd"/>
      <w:r>
        <w:rPr>
          <w:sz w:val="20"/>
          <w:szCs w:val="20"/>
        </w:rPr>
        <w:t xml:space="preserve"> as a central </w:t>
      </w:r>
      <w:proofErr w:type="spellStart"/>
      <w:r>
        <w:rPr>
          <w:sz w:val="20"/>
          <w:szCs w:val="20"/>
        </w:rPr>
        <w:t>element</w:t>
      </w:r>
      <w:proofErr w:type="spellEnd"/>
      <w:r>
        <w:rPr>
          <w:sz w:val="20"/>
          <w:szCs w:val="20"/>
        </w:rPr>
        <w:t xml:space="preserve"> in </w:t>
      </w:r>
      <w:proofErr w:type="spellStart"/>
      <w:r>
        <w:rPr>
          <w:sz w:val="20"/>
          <w:szCs w:val="20"/>
        </w:rPr>
        <w:t>the</w:t>
      </w:r>
      <w:proofErr w:type="spellEnd"/>
      <w:r>
        <w:rPr>
          <w:sz w:val="20"/>
          <w:szCs w:val="20"/>
        </w:rPr>
        <w:t xml:space="preserve"> </w:t>
      </w:r>
      <w:proofErr w:type="spellStart"/>
      <w:r>
        <w:rPr>
          <w:sz w:val="20"/>
          <w:szCs w:val="20"/>
        </w:rPr>
        <w:t>construction</w:t>
      </w:r>
      <w:proofErr w:type="spellEnd"/>
      <w:r>
        <w:rPr>
          <w:sz w:val="20"/>
          <w:szCs w:val="20"/>
        </w:rPr>
        <w:t xml:space="preserve"> </w:t>
      </w:r>
      <w:proofErr w:type="spellStart"/>
      <w:r>
        <w:rPr>
          <w:sz w:val="20"/>
          <w:szCs w:val="20"/>
        </w:rPr>
        <w:t>of</w:t>
      </w:r>
      <w:proofErr w:type="spellEnd"/>
      <w:r>
        <w:rPr>
          <w:sz w:val="20"/>
          <w:szCs w:val="20"/>
        </w:rPr>
        <w:t xml:space="preserve"> cultural </w:t>
      </w:r>
      <w:proofErr w:type="spellStart"/>
      <w:r>
        <w:rPr>
          <w:sz w:val="20"/>
          <w:szCs w:val="20"/>
        </w:rPr>
        <w:t>identity</w:t>
      </w:r>
      <w:proofErr w:type="spellEnd"/>
      <w:r>
        <w:rPr>
          <w:sz w:val="20"/>
          <w:szCs w:val="20"/>
        </w:rPr>
        <w:t xml:space="preserve"> </w:t>
      </w:r>
      <w:proofErr w:type="spellStart"/>
      <w:r>
        <w:rPr>
          <w:sz w:val="20"/>
          <w:szCs w:val="20"/>
        </w:rPr>
        <w:t>and</w:t>
      </w:r>
      <w:proofErr w:type="spellEnd"/>
      <w:r>
        <w:rPr>
          <w:sz w:val="20"/>
          <w:szCs w:val="20"/>
        </w:rPr>
        <w:t xml:space="preserve"> as a </w:t>
      </w:r>
      <w:proofErr w:type="spellStart"/>
      <w:r>
        <w:rPr>
          <w:sz w:val="20"/>
          <w:szCs w:val="20"/>
        </w:rPr>
        <w:t>form</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resistance</w:t>
      </w:r>
      <w:proofErr w:type="spellEnd"/>
      <w:r>
        <w:rPr>
          <w:sz w:val="20"/>
          <w:szCs w:val="20"/>
        </w:rPr>
        <w:t xml:space="preserve"> </w:t>
      </w:r>
      <w:proofErr w:type="spellStart"/>
      <w:r>
        <w:rPr>
          <w:sz w:val="20"/>
          <w:szCs w:val="20"/>
        </w:rPr>
        <w:t>against</w:t>
      </w:r>
      <w:proofErr w:type="spellEnd"/>
      <w:r>
        <w:rPr>
          <w:sz w:val="20"/>
          <w:szCs w:val="20"/>
        </w:rPr>
        <w:t xml:space="preserve"> cultural </w:t>
      </w:r>
      <w:proofErr w:type="spellStart"/>
      <w:r>
        <w:rPr>
          <w:sz w:val="20"/>
          <w:szCs w:val="20"/>
        </w:rPr>
        <w:t>erasure</w:t>
      </w:r>
      <w:proofErr w:type="spellEnd"/>
      <w:r>
        <w:rPr>
          <w:sz w:val="20"/>
          <w:szCs w:val="20"/>
        </w:rPr>
        <w:t xml:space="preserve">. The </w:t>
      </w:r>
      <w:proofErr w:type="spellStart"/>
      <w:r>
        <w:rPr>
          <w:sz w:val="20"/>
          <w:szCs w:val="20"/>
        </w:rPr>
        <w:t>symbolic</w:t>
      </w:r>
      <w:proofErr w:type="spellEnd"/>
      <w:r>
        <w:rPr>
          <w:sz w:val="20"/>
          <w:szCs w:val="20"/>
        </w:rPr>
        <w:t xml:space="preserve"> </w:t>
      </w:r>
      <w:proofErr w:type="spellStart"/>
      <w:r>
        <w:rPr>
          <w:sz w:val="20"/>
          <w:szCs w:val="20"/>
        </w:rPr>
        <w:t>dimensions</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rite</w:t>
      </w:r>
      <w:proofErr w:type="spellEnd"/>
      <w:r>
        <w:rPr>
          <w:sz w:val="20"/>
          <w:szCs w:val="20"/>
        </w:rPr>
        <w:t xml:space="preserve">, </w:t>
      </w:r>
      <w:proofErr w:type="spellStart"/>
      <w:r>
        <w:rPr>
          <w:sz w:val="20"/>
          <w:szCs w:val="20"/>
        </w:rPr>
        <w:t>traditional</w:t>
      </w:r>
      <w:proofErr w:type="spellEnd"/>
      <w:r>
        <w:rPr>
          <w:sz w:val="20"/>
          <w:szCs w:val="20"/>
        </w:rPr>
        <w:t xml:space="preserve"> processes </w:t>
      </w:r>
      <w:proofErr w:type="spellStart"/>
      <w:r>
        <w:rPr>
          <w:sz w:val="20"/>
          <w:szCs w:val="20"/>
        </w:rPr>
        <w:t>of</w:t>
      </w:r>
      <w:proofErr w:type="spellEnd"/>
      <w:r>
        <w:rPr>
          <w:sz w:val="20"/>
          <w:szCs w:val="20"/>
        </w:rPr>
        <w:t xml:space="preserve"> </w:t>
      </w:r>
      <w:proofErr w:type="spellStart"/>
      <w:r>
        <w:rPr>
          <w:sz w:val="20"/>
          <w:szCs w:val="20"/>
        </w:rPr>
        <w:t>socialization</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their</w:t>
      </w:r>
      <w:proofErr w:type="spellEnd"/>
      <w:r>
        <w:rPr>
          <w:sz w:val="20"/>
          <w:szCs w:val="20"/>
        </w:rPr>
        <w:t xml:space="preserve"> connection </w:t>
      </w:r>
      <w:proofErr w:type="spellStart"/>
      <w:r>
        <w:rPr>
          <w:sz w:val="20"/>
          <w:szCs w:val="20"/>
        </w:rPr>
        <w:t>with</w:t>
      </w:r>
      <w:proofErr w:type="spellEnd"/>
      <w:r>
        <w:rPr>
          <w:sz w:val="20"/>
          <w:szCs w:val="20"/>
        </w:rPr>
        <w:t xml:space="preserve"> </w:t>
      </w:r>
      <w:proofErr w:type="spellStart"/>
      <w:r>
        <w:rPr>
          <w:sz w:val="20"/>
          <w:szCs w:val="20"/>
        </w:rPr>
        <w:t>Indigenous</w:t>
      </w:r>
      <w:proofErr w:type="spellEnd"/>
      <w:r>
        <w:rPr>
          <w:sz w:val="20"/>
          <w:szCs w:val="20"/>
        </w:rPr>
        <w:t xml:space="preserve"> </w:t>
      </w:r>
      <w:proofErr w:type="spellStart"/>
      <w:r>
        <w:rPr>
          <w:sz w:val="20"/>
          <w:szCs w:val="20"/>
        </w:rPr>
        <w:t>school</w:t>
      </w:r>
      <w:proofErr w:type="spellEnd"/>
      <w:r>
        <w:rPr>
          <w:sz w:val="20"/>
          <w:szCs w:val="20"/>
        </w:rPr>
        <w:t xml:space="preserve"> </w:t>
      </w:r>
      <w:proofErr w:type="spellStart"/>
      <w:r>
        <w:rPr>
          <w:sz w:val="20"/>
          <w:szCs w:val="20"/>
        </w:rPr>
        <w:t>education</w:t>
      </w:r>
      <w:proofErr w:type="spellEnd"/>
      <w:r>
        <w:rPr>
          <w:sz w:val="20"/>
          <w:szCs w:val="20"/>
        </w:rPr>
        <w:t xml:space="preserve"> are </w:t>
      </w:r>
      <w:proofErr w:type="spellStart"/>
      <w:r>
        <w:rPr>
          <w:sz w:val="20"/>
          <w:szCs w:val="20"/>
        </w:rPr>
        <w:t>discussed</w:t>
      </w:r>
      <w:proofErr w:type="spellEnd"/>
      <w:r>
        <w:rPr>
          <w:sz w:val="20"/>
          <w:szCs w:val="20"/>
        </w:rPr>
        <w:t xml:space="preserve">. The </w:t>
      </w:r>
      <w:proofErr w:type="spellStart"/>
      <w:r>
        <w:rPr>
          <w:sz w:val="20"/>
          <w:szCs w:val="20"/>
        </w:rPr>
        <w:t>findings</w:t>
      </w:r>
      <w:proofErr w:type="spellEnd"/>
      <w:r>
        <w:rPr>
          <w:sz w:val="20"/>
          <w:szCs w:val="20"/>
        </w:rPr>
        <w:t xml:space="preserve"> </w:t>
      </w:r>
      <w:proofErr w:type="spellStart"/>
      <w:r>
        <w:rPr>
          <w:sz w:val="20"/>
          <w:szCs w:val="20"/>
        </w:rPr>
        <w:t>highlight</w:t>
      </w:r>
      <w:proofErr w:type="spellEnd"/>
      <w:r>
        <w:rPr>
          <w:sz w:val="20"/>
          <w:szCs w:val="20"/>
        </w:rPr>
        <w:t xml:space="preserve"> </w:t>
      </w:r>
      <w:proofErr w:type="spellStart"/>
      <w:r>
        <w:rPr>
          <w:sz w:val="20"/>
          <w:szCs w:val="20"/>
        </w:rPr>
        <w:t>the</w:t>
      </w:r>
      <w:proofErr w:type="spellEnd"/>
      <w:r>
        <w:rPr>
          <w:sz w:val="20"/>
          <w:szCs w:val="20"/>
        </w:rPr>
        <w:t xml:space="preserve"> role </w:t>
      </w:r>
      <w:proofErr w:type="spellStart"/>
      <w:r>
        <w:rPr>
          <w:sz w:val="20"/>
          <w:szCs w:val="20"/>
        </w:rPr>
        <w:t>of</w:t>
      </w:r>
      <w:proofErr w:type="spellEnd"/>
      <w:r>
        <w:rPr>
          <w:sz w:val="20"/>
          <w:szCs w:val="20"/>
        </w:rPr>
        <w:t xml:space="preserve"> ancestral </w:t>
      </w:r>
      <w:proofErr w:type="spellStart"/>
      <w:r>
        <w:rPr>
          <w:sz w:val="20"/>
          <w:szCs w:val="20"/>
        </w:rPr>
        <w:t>knowledge</w:t>
      </w:r>
      <w:proofErr w:type="spellEnd"/>
      <w:r>
        <w:rPr>
          <w:sz w:val="20"/>
          <w:szCs w:val="20"/>
        </w:rPr>
        <w:t xml:space="preserve"> as a tool for </w:t>
      </w:r>
      <w:proofErr w:type="spellStart"/>
      <w:r>
        <w:rPr>
          <w:sz w:val="20"/>
          <w:szCs w:val="20"/>
        </w:rPr>
        <w:t>confronting</w:t>
      </w:r>
      <w:proofErr w:type="spellEnd"/>
      <w:r>
        <w:rPr>
          <w:sz w:val="20"/>
          <w:szCs w:val="20"/>
        </w:rPr>
        <w:t xml:space="preserve"> </w:t>
      </w:r>
      <w:proofErr w:type="spellStart"/>
      <w:r>
        <w:rPr>
          <w:sz w:val="20"/>
          <w:szCs w:val="20"/>
        </w:rPr>
        <w:t>the</w:t>
      </w:r>
      <w:proofErr w:type="spellEnd"/>
      <w:r>
        <w:rPr>
          <w:sz w:val="20"/>
          <w:szCs w:val="20"/>
        </w:rPr>
        <w:t xml:space="preserve"> </w:t>
      </w:r>
      <w:proofErr w:type="spellStart"/>
      <w:r>
        <w:rPr>
          <w:sz w:val="20"/>
          <w:szCs w:val="20"/>
        </w:rPr>
        <w:t>coloniality</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knowledge</w:t>
      </w:r>
      <w:proofErr w:type="spellEnd"/>
      <w:r>
        <w:rPr>
          <w:sz w:val="20"/>
          <w:szCs w:val="20"/>
        </w:rPr>
        <w:t xml:space="preserve"> </w:t>
      </w:r>
      <w:proofErr w:type="spellStart"/>
      <w:r>
        <w:rPr>
          <w:sz w:val="20"/>
          <w:szCs w:val="20"/>
        </w:rPr>
        <w:t>and</w:t>
      </w:r>
      <w:proofErr w:type="spellEnd"/>
      <w:r>
        <w:rPr>
          <w:sz w:val="20"/>
          <w:szCs w:val="20"/>
        </w:rPr>
        <w:t xml:space="preserve"> </w:t>
      </w:r>
      <w:proofErr w:type="spellStart"/>
      <w:r>
        <w:rPr>
          <w:sz w:val="20"/>
          <w:szCs w:val="20"/>
        </w:rPr>
        <w:t>preserving</w:t>
      </w:r>
      <w:proofErr w:type="spellEnd"/>
      <w:r>
        <w:rPr>
          <w:sz w:val="20"/>
          <w:szCs w:val="20"/>
        </w:rPr>
        <w:t xml:space="preserve"> cultural </w:t>
      </w:r>
      <w:proofErr w:type="spellStart"/>
      <w:r>
        <w:rPr>
          <w:sz w:val="20"/>
          <w:szCs w:val="20"/>
        </w:rPr>
        <w:t>references</w:t>
      </w:r>
      <w:proofErr w:type="spellEnd"/>
      <w:r>
        <w:rPr>
          <w:sz w:val="20"/>
          <w:szCs w:val="20"/>
        </w:rPr>
        <w:t xml:space="preserve">, </w:t>
      </w:r>
      <w:proofErr w:type="spellStart"/>
      <w:r>
        <w:rPr>
          <w:sz w:val="20"/>
          <w:szCs w:val="20"/>
        </w:rPr>
        <w:t>emphasizing</w:t>
      </w:r>
      <w:proofErr w:type="spellEnd"/>
      <w:r>
        <w:rPr>
          <w:sz w:val="20"/>
          <w:szCs w:val="20"/>
        </w:rPr>
        <w:t xml:space="preserve"> </w:t>
      </w:r>
      <w:proofErr w:type="spellStart"/>
      <w:r>
        <w:rPr>
          <w:sz w:val="20"/>
          <w:szCs w:val="20"/>
        </w:rPr>
        <w:t>the</w:t>
      </w:r>
      <w:proofErr w:type="spellEnd"/>
      <w:r>
        <w:rPr>
          <w:sz w:val="20"/>
          <w:szCs w:val="20"/>
        </w:rPr>
        <w:t xml:space="preserve"> ritual as a </w:t>
      </w:r>
      <w:proofErr w:type="spellStart"/>
      <w:r>
        <w:rPr>
          <w:sz w:val="20"/>
          <w:szCs w:val="20"/>
        </w:rPr>
        <w:t>space</w:t>
      </w:r>
      <w:proofErr w:type="spellEnd"/>
      <w:r>
        <w:rPr>
          <w:sz w:val="20"/>
          <w:szCs w:val="20"/>
        </w:rPr>
        <w:t xml:space="preserve"> for learning </w:t>
      </w:r>
      <w:proofErr w:type="spellStart"/>
      <w:r>
        <w:rPr>
          <w:sz w:val="20"/>
          <w:szCs w:val="20"/>
        </w:rPr>
        <w:t>and</w:t>
      </w:r>
      <w:proofErr w:type="spellEnd"/>
      <w:r>
        <w:rPr>
          <w:sz w:val="20"/>
          <w:szCs w:val="20"/>
        </w:rPr>
        <w:t xml:space="preserve"> </w:t>
      </w:r>
      <w:proofErr w:type="spellStart"/>
      <w:r>
        <w:rPr>
          <w:sz w:val="20"/>
          <w:szCs w:val="20"/>
        </w:rPr>
        <w:t>identity</w:t>
      </w:r>
      <w:proofErr w:type="spellEnd"/>
      <w:r>
        <w:rPr>
          <w:sz w:val="20"/>
          <w:szCs w:val="20"/>
        </w:rPr>
        <w:t xml:space="preserve"> </w:t>
      </w:r>
      <w:proofErr w:type="spellStart"/>
      <w:r>
        <w:rPr>
          <w:sz w:val="20"/>
          <w:szCs w:val="20"/>
        </w:rPr>
        <w:t>affirmation</w:t>
      </w:r>
      <w:proofErr w:type="spellEnd"/>
      <w:r>
        <w:rPr>
          <w:sz w:val="20"/>
          <w:szCs w:val="20"/>
        </w:rPr>
        <w:t>.</w:t>
      </w:r>
    </w:p>
    <w:p w14:paraId="12E8D178" w14:textId="77777777" w:rsidR="003D3859" w:rsidRDefault="003D3859">
      <w:pPr>
        <w:spacing w:line="240" w:lineRule="auto"/>
        <w:ind w:left="2835" w:firstLine="0"/>
        <w:jc w:val="both"/>
        <w:rPr>
          <w:sz w:val="20"/>
          <w:szCs w:val="20"/>
        </w:rPr>
      </w:pPr>
    </w:p>
    <w:p w14:paraId="08B89165" w14:textId="77777777" w:rsidR="003D3859" w:rsidRDefault="006212DD">
      <w:pPr>
        <w:spacing w:line="240" w:lineRule="auto"/>
        <w:ind w:left="2835" w:firstLine="0"/>
        <w:jc w:val="both"/>
        <w:rPr>
          <w:sz w:val="20"/>
          <w:szCs w:val="20"/>
        </w:rPr>
      </w:pPr>
      <w:r>
        <w:rPr>
          <w:b/>
          <w:sz w:val="20"/>
          <w:szCs w:val="20"/>
        </w:rPr>
        <w:t>Keywords</w:t>
      </w:r>
      <w:r>
        <w:rPr>
          <w:sz w:val="20"/>
          <w:szCs w:val="20"/>
        </w:rPr>
        <w:t xml:space="preserve">: Guajajara; </w:t>
      </w:r>
      <w:proofErr w:type="spellStart"/>
      <w:r>
        <w:rPr>
          <w:sz w:val="20"/>
          <w:szCs w:val="20"/>
        </w:rPr>
        <w:t>rite</w:t>
      </w:r>
      <w:proofErr w:type="spellEnd"/>
      <w:r>
        <w:rPr>
          <w:sz w:val="20"/>
          <w:szCs w:val="20"/>
        </w:rPr>
        <w:t xml:space="preserve"> </w:t>
      </w:r>
      <w:proofErr w:type="spellStart"/>
      <w:r>
        <w:rPr>
          <w:sz w:val="20"/>
          <w:szCs w:val="20"/>
        </w:rPr>
        <w:t>of</w:t>
      </w:r>
      <w:proofErr w:type="spellEnd"/>
      <w:r>
        <w:rPr>
          <w:sz w:val="20"/>
          <w:szCs w:val="20"/>
        </w:rPr>
        <w:t xml:space="preserve"> </w:t>
      </w:r>
      <w:proofErr w:type="spellStart"/>
      <w:r>
        <w:rPr>
          <w:sz w:val="20"/>
          <w:szCs w:val="20"/>
        </w:rPr>
        <w:t>passage</w:t>
      </w:r>
      <w:proofErr w:type="spellEnd"/>
      <w:r>
        <w:rPr>
          <w:sz w:val="20"/>
          <w:szCs w:val="20"/>
        </w:rPr>
        <w:t xml:space="preserve">; </w:t>
      </w:r>
      <w:proofErr w:type="spellStart"/>
      <w:r>
        <w:rPr>
          <w:sz w:val="20"/>
          <w:szCs w:val="20"/>
        </w:rPr>
        <w:t>indigenous</w:t>
      </w:r>
      <w:proofErr w:type="spellEnd"/>
      <w:r>
        <w:rPr>
          <w:sz w:val="20"/>
          <w:szCs w:val="20"/>
        </w:rPr>
        <w:t xml:space="preserve"> </w:t>
      </w:r>
      <w:proofErr w:type="spellStart"/>
      <w:r>
        <w:rPr>
          <w:sz w:val="20"/>
          <w:szCs w:val="20"/>
        </w:rPr>
        <w:t>identity</w:t>
      </w:r>
      <w:proofErr w:type="spellEnd"/>
      <w:r>
        <w:rPr>
          <w:sz w:val="20"/>
          <w:szCs w:val="20"/>
        </w:rPr>
        <w:t xml:space="preserve">; </w:t>
      </w:r>
      <w:proofErr w:type="spellStart"/>
      <w:r>
        <w:rPr>
          <w:sz w:val="20"/>
          <w:szCs w:val="20"/>
        </w:rPr>
        <w:t>traditional</w:t>
      </w:r>
      <w:proofErr w:type="spellEnd"/>
      <w:r>
        <w:rPr>
          <w:sz w:val="20"/>
          <w:szCs w:val="20"/>
        </w:rPr>
        <w:t xml:space="preserve"> </w:t>
      </w:r>
      <w:proofErr w:type="spellStart"/>
      <w:r>
        <w:rPr>
          <w:sz w:val="20"/>
          <w:szCs w:val="20"/>
        </w:rPr>
        <w:t>education</w:t>
      </w:r>
      <w:proofErr w:type="spellEnd"/>
      <w:r>
        <w:rPr>
          <w:sz w:val="20"/>
          <w:szCs w:val="20"/>
        </w:rPr>
        <w:t>.</w:t>
      </w:r>
    </w:p>
    <w:p w14:paraId="2BAE92A4" w14:textId="77777777" w:rsidR="003D3859" w:rsidRDefault="006212DD">
      <w:pPr>
        <w:spacing w:line="360" w:lineRule="auto"/>
        <w:ind w:hanging="2"/>
        <w:jc w:val="both"/>
        <w:rPr>
          <w:sz w:val="24"/>
          <w:szCs w:val="24"/>
        </w:rPr>
      </w:pPr>
      <w:r>
        <w:rPr>
          <w:sz w:val="24"/>
          <w:szCs w:val="24"/>
        </w:rPr>
        <w:t>_____________________</w:t>
      </w:r>
    </w:p>
    <w:p w14:paraId="633C6F96" w14:textId="48F6794B" w:rsidR="003D3859" w:rsidRDefault="006212DD">
      <w:pPr>
        <w:spacing w:line="360" w:lineRule="auto"/>
        <w:ind w:hanging="2"/>
        <w:jc w:val="both"/>
        <w:rPr>
          <w:sz w:val="18"/>
          <w:szCs w:val="18"/>
        </w:rPr>
      </w:pPr>
      <w:proofErr w:type="gramStart"/>
      <w:r>
        <w:rPr>
          <w:sz w:val="18"/>
          <w:szCs w:val="18"/>
        </w:rPr>
        <w:t>¹Graduand</w:t>
      </w:r>
      <w:r w:rsidR="002674C3">
        <w:rPr>
          <w:sz w:val="18"/>
          <w:szCs w:val="18"/>
        </w:rPr>
        <w:t>o</w:t>
      </w:r>
      <w:proofErr w:type="gramEnd"/>
      <w:r>
        <w:rPr>
          <w:sz w:val="18"/>
          <w:szCs w:val="18"/>
        </w:rPr>
        <w:t xml:space="preserve"> em geografia pela Universidade Federal do Maranhão. E-mail:</w:t>
      </w:r>
      <w:r w:rsidR="002674C3" w:rsidRPr="002674C3">
        <w:t xml:space="preserve"> </w:t>
      </w:r>
      <w:r w:rsidR="002674C3" w:rsidRPr="002674C3">
        <w:rPr>
          <w:sz w:val="18"/>
          <w:szCs w:val="18"/>
        </w:rPr>
        <w:t xml:space="preserve">jean.assuncao@discente.ufma.br </w:t>
      </w:r>
    </w:p>
    <w:p w14:paraId="2091B30F" w14:textId="0FACA74E" w:rsidR="003D3859" w:rsidRDefault="006212DD">
      <w:pPr>
        <w:spacing w:line="360" w:lineRule="auto"/>
        <w:ind w:hanging="2"/>
        <w:jc w:val="both"/>
        <w:rPr>
          <w:sz w:val="18"/>
          <w:szCs w:val="18"/>
        </w:rPr>
      </w:pPr>
      <w:r>
        <w:rPr>
          <w:sz w:val="18"/>
          <w:szCs w:val="18"/>
        </w:rPr>
        <w:t>²Graduand</w:t>
      </w:r>
      <w:r w:rsidR="002674C3">
        <w:rPr>
          <w:sz w:val="18"/>
          <w:szCs w:val="18"/>
        </w:rPr>
        <w:t>a</w:t>
      </w:r>
      <w:r>
        <w:rPr>
          <w:sz w:val="18"/>
          <w:szCs w:val="18"/>
        </w:rPr>
        <w:t xml:space="preserve"> em geografia pela Universidade Federal do Maranhão. Email:</w:t>
      </w:r>
      <w:r w:rsidR="002674C3" w:rsidRPr="002674C3">
        <w:t xml:space="preserve"> </w:t>
      </w:r>
      <w:r w:rsidR="002674C3" w:rsidRPr="002674C3">
        <w:rPr>
          <w:sz w:val="18"/>
          <w:szCs w:val="18"/>
        </w:rPr>
        <w:t>alice.goncalves@discente.ufma.br</w:t>
      </w:r>
      <w:r>
        <w:rPr>
          <w:sz w:val="18"/>
          <w:szCs w:val="18"/>
        </w:rPr>
        <w:t xml:space="preserve"> </w:t>
      </w:r>
    </w:p>
    <w:p w14:paraId="108F1547" w14:textId="77777777" w:rsidR="003D3859" w:rsidRDefault="006212DD">
      <w:pPr>
        <w:spacing w:line="360" w:lineRule="auto"/>
        <w:ind w:hanging="2"/>
        <w:jc w:val="both"/>
        <w:rPr>
          <w:sz w:val="18"/>
          <w:szCs w:val="18"/>
        </w:rPr>
      </w:pPr>
      <w:r>
        <w:rPr>
          <w:sz w:val="18"/>
          <w:szCs w:val="18"/>
        </w:rPr>
        <w:t xml:space="preserve">³Graduanda em geografia pela Universidade Federal do Maranhão. E-mail: </w:t>
      </w:r>
      <w:hyperlink r:id="rId6">
        <w:r w:rsidRPr="002674C3">
          <w:rPr>
            <w:sz w:val="18"/>
            <w:szCs w:val="18"/>
          </w:rPr>
          <w:t>kassimira.santos@discente.ufma.br</w:t>
        </w:r>
      </w:hyperlink>
    </w:p>
    <w:p w14:paraId="6F0D24D2" w14:textId="77777777" w:rsidR="002674C3" w:rsidRDefault="006212DD">
      <w:pPr>
        <w:spacing w:line="360" w:lineRule="auto"/>
        <w:ind w:hanging="2"/>
        <w:jc w:val="both"/>
        <w:rPr>
          <w:sz w:val="18"/>
          <w:szCs w:val="18"/>
        </w:rPr>
      </w:pPr>
      <w:r>
        <w:rPr>
          <w:sz w:val="18"/>
          <w:szCs w:val="18"/>
        </w:rPr>
        <w:t xml:space="preserve">⁴Doutor em geografia pela Universidade Federal do Ceará; Professor da Universidade Federal do Maranhão. </w:t>
      </w:r>
    </w:p>
    <w:p w14:paraId="5C2FFB90" w14:textId="6D9B049E" w:rsidR="003D3859" w:rsidRDefault="006212DD">
      <w:pPr>
        <w:spacing w:line="360" w:lineRule="auto"/>
        <w:ind w:hanging="2"/>
        <w:jc w:val="both"/>
        <w:rPr>
          <w:sz w:val="18"/>
          <w:szCs w:val="18"/>
        </w:rPr>
      </w:pPr>
      <w:r>
        <w:rPr>
          <w:sz w:val="18"/>
          <w:szCs w:val="18"/>
        </w:rPr>
        <w:t xml:space="preserve">E-mail: savio.jose@ufma.br </w:t>
      </w:r>
    </w:p>
    <w:p w14:paraId="37D2BB0C" w14:textId="77777777" w:rsidR="003D3859" w:rsidRDefault="006212DD">
      <w:pPr>
        <w:spacing w:line="360" w:lineRule="auto"/>
        <w:ind w:hanging="2"/>
        <w:jc w:val="both"/>
        <w:rPr>
          <w:sz w:val="18"/>
          <w:szCs w:val="18"/>
        </w:rPr>
      </w:pPr>
      <w:r>
        <w:rPr>
          <w:sz w:val="18"/>
          <w:szCs w:val="18"/>
        </w:rPr>
        <w:lastRenderedPageBreak/>
        <w:t>⁵Graduanda em geografia pela Universidade Federal do Maranhão. E-mail:suela.simone@discente.ufma.br</w:t>
      </w:r>
    </w:p>
    <w:p w14:paraId="2A5E9F3E" w14:textId="77777777" w:rsidR="003D3859" w:rsidRDefault="003D3859">
      <w:pPr>
        <w:spacing w:line="360" w:lineRule="auto"/>
        <w:ind w:hanging="2"/>
        <w:jc w:val="both"/>
        <w:rPr>
          <w:sz w:val="18"/>
          <w:szCs w:val="18"/>
        </w:rPr>
      </w:pPr>
    </w:p>
    <w:p w14:paraId="0B0FC5E0" w14:textId="77777777" w:rsidR="003D3859" w:rsidRDefault="003D3859">
      <w:pPr>
        <w:spacing w:line="360" w:lineRule="auto"/>
        <w:ind w:hanging="2"/>
        <w:jc w:val="both"/>
        <w:rPr>
          <w:sz w:val="18"/>
          <w:szCs w:val="18"/>
        </w:rPr>
      </w:pPr>
    </w:p>
    <w:p w14:paraId="7726C643" w14:textId="77777777" w:rsidR="003D3859" w:rsidRDefault="003D3859">
      <w:pPr>
        <w:spacing w:line="360" w:lineRule="auto"/>
        <w:ind w:hanging="2"/>
        <w:jc w:val="both"/>
        <w:rPr>
          <w:b/>
          <w:sz w:val="18"/>
          <w:szCs w:val="18"/>
        </w:rPr>
      </w:pPr>
    </w:p>
    <w:p w14:paraId="2590F8C5" w14:textId="77777777" w:rsidR="003D3859" w:rsidRDefault="006212DD">
      <w:pPr>
        <w:spacing w:line="360" w:lineRule="auto"/>
        <w:ind w:firstLine="0"/>
        <w:jc w:val="both"/>
        <w:rPr>
          <w:b/>
          <w:sz w:val="24"/>
          <w:szCs w:val="24"/>
        </w:rPr>
      </w:pPr>
      <w:r>
        <w:rPr>
          <w:b/>
          <w:sz w:val="24"/>
          <w:szCs w:val="24"/>
        </w:rPr>
        <w:t>1 INTRODUÇÃO</w:t>
      </w:r>
    </w:p>
    <w:p w14:paraId="45A45DEE" w14:textId="77777777" w:rsidR="003D3859" w:rsidRDefault="006212DD">
      <w:pPr>
        <w:spacing w:line="360" w:lineRule="auto"/>
        <w:ind w:hanging="2"/>
        <w:jc w:val="both"/>
        <w:rPr>
          <w:sz w:val="24"/>
          <w:szCs w:val="24"/>
        </w:rPr>
      </w:pPr>
      <w:r>
        <w:rPr>
          <w:sz w:val="24"/>
          <w:szCs w:val="24"/>
        </w:rPr>
        <w:t xml:space="preserve">O presente artigo tem como objetivo discutir os sentidos e significados dos rituais de passagem para a vida adulta entre o povo Guajajara, com ênfase na Festa do Moqueado na Aldeia Indígena Januária, situada no município de Bom Jardim (MA). A pesquisa insere-se no campo dos estudos </w:t>
      </w:r>
      <w:proofErr w:type="spellStart"/>
      <w:r>
        <w:rPr>
          <w:sz w:val="24"/>
          <w:szCs w:val="24"/>
        </w:rPr>
        <w:t>etnogeográficos</w:t>
      </w:r>
      <w:proofErr w:type="spellEnd"/>
      <w:r>
        <w:rPr>
          <w:sz w:val="24"/>
          <w:szCs w:val="24"/>
        </w:rPr>
        <w:t xml:space="preserve"> e busca refletir sobre como tais práticas tradicionais contribuem para a preservação da identidade cultural, ao mesmo tempo em que dialogam com os desafios contemporâneos enfrentados pelos povos indígenas.</w:t>
      </w:r>
    </w:p>
    <w:p w14:paraId="4DB44E6C" w14:textId="77777777" w:rsidR="003D3859" w:rsidRDefault="006212DD">
      <w:pPr>
        <w:spacing w:line="360" w:lineRule="auto"/>
        <w:ind w:hanging="2"/>
        <w:jc w:val="both"/>
        <w:rPr>
          <w:sz w:val="24"/>
          <w:szCs w:val="24"/>
        </w:rPr>
      </w:pPr>
      <w:r>
        <w:rPr>
          <w:sz w:val="24"/>
          <w:szCs w:val="24"/>
        </w:rPr>
        <w:t xml:space="preserve">A abordagem metodológica adotada foi qualitativa, com base na observação participante realizada durante quatro dias de trabalho de campo (15 a 18 de </w:t>
      </w:r>
      <w:proofErr w:type="gramStart"/>
      <w:r>
        <w:rPr>
          <w:sz w:val="24"/>
          <w:szCs w:val="24"/>
        </w:rPr>
        <w:t>Maio</w:t>
      </w:r>
      <w:proofErr w:type="gramEnd"/>
      <w:r>
        <w:rPr>
          <w:sz w:val="24"/>
          <w:szCs w:val="24"/>
        </w:rPr>
        <w:t xml:space="preserve"> de 2025), com apoio na escuta de relatos de moradores(as) da aldeia, especialmente jovens que vivenciaram os rituais e educadores(as) da aldeia. Essa vivência permitiu compreender os aspectos simbólicos e pedagógicos do rito, assim como as estratégias de resistência cultural mobilizadas pelo povo Guajajara no enfrentamento das imposições históricas do colonialismo e da modernidade ocidental</w:t>
      </w:r>
    </w:p>
    <w:p w14:paraId="193172B5" w14:textId="77777777" w:rsidR="003D3859" w:rsidRDefault="003D3859">
      <w:pPr>
        <w:spacing w:line="360" w:lineRule="auto"/>
        <w:ind w:hanging="2"/>
        <w:jc w:val="both"/>
        <w:rPr>
          <w:sz w:val="24"/>
          <w:szCs w:val="24"/>
        </w:rPr>
      </w:pPr>
    </w:p>
    <w:p w14:paraId="190A4BB2" w14:textId="77777777" w:rsidR="003D3859" w:rsidRDefault="006212DD">
      <w:pPr>
        <w:spacing w:line="360" w:lineRule="auto"/>
        <w:ind w:left="-2" w:firstLine="0"/>
        <w:jc w:val="both"/>
        <w:rPr>
          <w:b/>
          <w:sz w:val="24"/>
          <w:szCs w:val="24"/>
        </w:rPr>
      </w:pPr>
      <w:r>
        <w:rPr>
          <w:b/>
          <w:sz w:val="24"/>
          <w:szCs w:val="24"/>
        </w:rPr>
        <w:t>1.1 Contexto histórico e cultural do povo Guajajara-Tenetehara</w:t>
      </w:r>
      <w:r>
        <w:rPr>
          <w:b/>
          <w:sz w:val="24"/>
          <w:szCs w:val="24"/>
        </w:rPr>
        <w:br/>
      </w:r>
      <w:r>
        <w:rPr>
          <w:sz w:val="24"/>
          <w:szCs w:val="24"/>
        </w:rPr>
        <w:t xml:space="preserve">O povo Guajajara, também chamado de Tenetehara, constitui um dos povos indígenas mais numerosos do Brasil, com uma população estimada em mais de 27.000 pessoas, distribuídas principalmente no estado do Maranhão. O termo "Tenetehara" significa "gente verdadeira" ou "ser íntegro" na língua Tenetehara, pertencente ao tronco linguístico Tupi-Guarani (Zannoni, 1999). Historicamente, os primeiros contatos com não-indígenas datam do século XVII, quando missionários jesuítas estabeleceram aldeamentos na região. </w:t>
      </w:r>
    </w:p>
    <w:p w14:paraId="3B069925" w14:textId="77777777" w:rsidR="003D3859" w:rsidRDefault="006212DD">
      <w:pPr>
        <w:spacing w:line="360" w:lineRule="auto"/>
        <w:ind w:hanging="2"/>
        <w:jc w:val="both"/>
        <w:rPr>
          <w:sz w:val="24"/>
          <w:szCs w:val="24"/>
        </w:rPr>
      </w:pPr>
      <w:r>
        <w:rPr>
          <w:sz w:val="24"/>
          <w:szCs w:val="24"/>
        </w:rPr>
        <w:t xml:space="preserve">Os Guajajaras desenvolveram estratégias de resistência e adaptação que permitiram a manutenção de aspectos fundamentais de sua cultura, mesmo diante de intensos </w:t>
      </w:r>
      <w:r>
        <w:rPr>
          <w:sz w:val="24"/>
          <w:szCs w:val="24"/>
        </w:rPr>
        <w:lastRenderedPageBreak/>
        <w:t>processos de colonização, disputas territoriais e tentativas de assimilação cultural. A preservação da língua, dos rituais tradicionais e das práticas de subsistência tradicionais evidenciam a resiliência destes povos frente às pressões externas (Gomes, 2018). A Terra Indígena (T.I.) Rio Pindaré, faz parte do mosaico Gurupi, que ainda têm as terras indígenas: Araribóia, Caru, Alto Turiaçu, Awá e alto Guamá, além da reserva Biológica do Gurupi. A T.I. em questão conta com diversas Aldeias, entre elas a Januária e se situa entre os municípios de Bom Jardim, Monção, Santa Inês, Tufilândia e Pindaré-Mirim. Neste território, os rituais tradicionais desempenham um papel fundamental na afirmação identitária e na transmissão de conhecimentos ancestrais às novas gerações.</w:t>
      </w:r>
    </w:p>
    <w:p w14:paraId="072E041A" w14:textId="77777777" w:rsidR="003D3859" w:rsidRDefault="003D3859">
      <w:pPr>
        <w:spacing w:line="360" w:lineRule="auto"/>
        <w:ind w:hanging="2"/>
        <w:jc w:val="both"/>
        <w:rPr>
          <w:sz w:val="24"/>
          <w:szCs w:val="24"/>
        </w:rPr>
      </w:pPr>
    </w:p>
    <w:p w14:paraId="0B5FFCE4" w14:textId="77777777" w:rsidR="003D3859" w:rsidRDefault="006212DD">
      <w:pPr>
        <w:spacing w:line="360" w:lineRule="auto"/>
        <w:ind w:hanging="2"/>
        <w:jc w:val="both"/>
        <w:rPr>
          <w:b/>
          <w:sz w:val="24"/>
          <w:szCs w:val="24"/>
        </w:rPr>
      </w:pPr>
      <w:r>
        <w:rPr>
          <w:b/>
          <w:sz w:val="24"/>
          <w:szCs w:val="24"/>
        </w:rPr>
        <w:t xml:space="preserve">2. A FESTA DO MOQUEADO: RITUAL DE PASSAGEM PARA A VIDA ADULTA ENTRE OS GUAJAJARA </w:t>
      </w:r>
    </w:p>
    <w:p w14:paraId="7C756714" w14:textId="77777777" w:rsidR="003D3859" w:rsidRDefault="006212DD">
      <w:pPr>
        <w:spacing w:line="360" w:lineRule="auto"/>
        <w:ind w:hanging="2"/>
        <w:jc w:val="both"/>
        <w:rPr>
          <w:sz w:val="24"/>
          <w:szCs w:val="24"/>
        </w:rPr>
      </w:pPr>
      <w:r>
        <w:rPr>
          <w:sz w:val="24"/>
          <w:szCs w:val="24"/>
        </w:rPr>
        <w:t>A Festa do Moqueado constitui um dos ritos mais significativos no ciclo de vida do povo Guajajara. Trata-se de uma prática coletiva e ancestral que marca a transição da infância para a vida adulta, por meio de processos simbólicos que envolvem reclusão, preparação espiritual, ornamentação corporal, danças e ensinamentos tradicionais.</w:t>
      </w:r>
    </w:p>
    <w:p w14:paraId="3F006992" w14:textId="77777777" w:rsidR="003D3859" w:rsidRDefault="003D3859">
      <w:pPr>
        <w:spacing w:line="360" w:lineRule="auto"/>
        <w:ind w:firstLine="0"/>
        <w:jc w:val="both"/>
        <w:rPr>
          <w:sz w:val="24"/>
          <w:szCs w:val="24"/>
        </w:rPr>
      </w:pPr>
      <w:bookmarkStart w:id="0" w:name="_w9kai7mpv747" w:colFirst="0" w:colLast="0"/>
      <w:bookmarkEnd w:id="0"/>
    </w:p>
    <w:p w14:paraId="0DDED0E5" w14:textId="77777777" w:rsidR="003D3859" w:rsidRDefault="006212DD">
      <w:pPr>
        <w:spacing w:line="360" w:lineRule="auto"/>
        <w:ind w:hanging="2"/>
        <w:jc w:val="both"/>
        <w:rPr>
          <w:b/>
          <w:sz w:val="24"/>
          <w:szCs w:val="24"/>
        </w:rPr>
      </w:pPr>
      <w:r>
        <w:rPr>
          <w:b/>
          <w:sz w:val="24"/>
          <w:szCs w:val="24"/>
        </w:rPr>
        <w:t>2.1 Transição feminina: o rito da menina-moça</w:t>
      </w:r>
    </w:p>
    <w:p w14:paraId="3800A647" w14:textId="77777777" w:rsidR="003D3859" w:rsidRDefault="006212DD">
      <w:pPr>
        <w:ind w:hanging="2"/>
        <w:rPr>
          <w:sz w:val="24"/>
          <w:szCs w:val="24"/>
        </w:rPr>
      </w:pPr>
      <w:r>
        <w:rPr>
          <w:sz w:val="24"/>
          <w:szCs w:val="24"/>
        </w:rPr>
        <w:t>Entre as meninas, o início do ciclo menstrual é o marco para a realização do rito. A reclusão, momento em que a jovem é retirada da convivência comunitária por um período, possibilita o aprendizado com as mulheres mais velhas, que transmitem ensinamentos sobre o corpo, o comportamento e a cultura do povo. Durante essa etapa, a jovem é pintada com jenipapo, recebe colares feitos com dentes e ossos e é instruída a observar certas regras de conduta. A cerimônia final, realizada com danças em círculo, representou a sua reintegração simbólica à comunidade, agora como mulher reconhecida pelo coletivo e pelos ancestrais.</w:t>
      </w:r>
    </w:p>
    <w:p w14:paraId="0BF7B768" w14:textId="77777777" w:rsidR="003D3859" w:rsidRDefault="003D3859">
      <w:pPr>
        <w:spacing w:line="360" w:lineRule="auto"/>
        <w:ind w:hanging="2"/>
        <w:jc w:val="both"/>
        <w:rPr>
          <w:sz w:val="24"/>
          <w:szCs w:val="24"/>
        </w:rPr>
      </w:pPr>
    </w:p>
    <w:p w14:paraId="3943BA71" w14:textId="77777777" w:rsidR="003D3859" w:rsidRDefault="003D3859">
      <w:pPr>
        <w:spacing w:line="360" w:lineRule="auto"/>
        <w:ind w:hanging="2"/>
        <w:jc w:val="both"/>
        <w:rPr>
          <w:sz w:val="24"/>
          <w:szCs w:val="24"/>
        </w:rPr>
      </w:pPr>
    </w:p>
    <w:p w14:paraId="76545A96" w14:textId="77777777" w:rsidR="003D3859" w:rsidRDefault="003D3859">
      <w:pPr>
        <w:spacing w:line="360" w:lineRule="auto"/>
        <w:ind w:hanging="2"/>
        <w:jc w:val="both"/>
        <w:rPr>
          <w:sz w:val="24"/>
          <w:szCs w:val="24"/>
        </w:rPr>
      </w:pPr>
    </w:p>
    <w:p w14:paraId="1D242F05" w14:textId="77777777" w:rsidR="003D3859" w:rsidRDefault="006212DD">
      <w:pPr>
        <w:spacing w:line="360" w:lineRule="auto"/>
        <w:ind w:hanging="2"/>
        <w:jc w:val="both"/>
        <w:rPr>
          <w:b/>
          <w:sz w:val="24"/>
          <w:szCs w:val="24"/>
        </w:rPr>
      </w:pPr>
      <w:r>
        <w:rPr>
          <w:b/>
          <w:sz w:val="24"/>
          <w:szCs w:val="24"/>
        </w:rPr>
        <w:lastRenderedPageBreak/>
        <w:t xml:space="preserve">2.1.1 Etapas do ritual feminino: </w:t>
      </w:r>
      <w:proofErr w:type="spellStart"/>
      <w:r>
        <w:rPr>
          <w:b/>
          <w:sz w:val="24"/>
          <w:szCs w:val="24"/>
        </w:rPr>
        <w:t>Wyrau'haw</w:t>
      </w:r>
      <w:proofErr w:type="spellEnd"/>
    </w:p>
    <w:p w14:paraId="102C967B" w14:textId="77777777" w:rsidR="003D3859" w:rsidRDefault="006212DD">
      <w:pPr>
        <w:spacing w:line="360" w:lineRule="auto"/>
        <w:ind w:hanging="2"/>
        <w:jc w:val="both"/>
        <w:rPr>
          <w:sz w:val="24"/>
          <w:szCs w:val="24"/>
        </w:rPr>
      </w:pPr>
      <w:r>
        <w:rPr>
          <w:sz w:val="24"/>
          <w:szCs w:val="24"/>
        </w:rPr>
        <w:t xml:space="preserve">O ritual feminino, conhecido na língua </w:t>
      </w:r>
      <w:proofErr w:type="spellStart"/>
      <w:r>
        <w:rPr>
          <w:sz w:val="24"/>
          <w:szCs w:val="24"/>
        </w:rPr>
        <w:t>Tenetehara</w:t>
      </w:r>
      <w:proofErr w:type="spellEnd"/>
      <w:r>
        <w:rPr>
          <w:sz w:val="24"/>
          <w:szCs w:val="24"/>
        </w:rPr>
        <w:t xml:space="preserve"> como </w:t>
      </w:r>
      <w:proofErr w:type="spellStart"/>
      <w:r>
        <w:rPr>
          <w:sz w:val="24"/>
          <w:szCs w:val="24"/>
        </w:rPr>
        <w:t>Wyrau'haw</w:t>
      </w:r>
      <w:proofErr w:type="spellEnd"/>
      <w:r>
        <w:rPr>
          <w:sz w:val="24"/>
          <w:szCs w:val="24"/>
        </w:rPr>
        <w:t>, é composto por três momentos distintos e complementares, conforme documentado por Amorim Oliveira (2019): “</w:t>
      </w:r>
      <w:proofErr w:type="spellStart"/>
      <w:r>
        <w:rPr>
          <w:sz w:val="24"/>
          <w:szCs w:val="24"/>
        </w:rPr>
        <w:t>Mandiocaba</w:t>
      </w:r>
      <w:proofErr w:type="spellEnd"/>
      <w:r>
        <w:rPr>
          <w:sz w:val="24"/>
          <w:szCs w:val="24"/>
        </w:rPr>
        <w:t xml:space="preserve"> ou Festa da </w:t>
      </w:r>
      <w:proofErr w:type="spellStart"/>
      <w:r>
        <w:rPr>
          <w:sz w:val="24"/>
          <w:szCs w:val="24"/>
        </w:rPr>
        <w:t>Mandiocaba</w:t>
      </w:r>
      <w:proofErr w:type="spellEnd"/>
      <w:r>
        <w:rPr>
          <w:sz w:val="24"/>
          <w:szCs w:val="24"/>
        </w:rPr>
        <w:t>”: marca o início do ritual, quando a comunidade é informada sobre a primeira menstruação da jovem. Nesta fase, são realizados os preparativos iniciais e a jovem começa seu período de reclusão, que pode durar até oito dias.  “Caçada”: período em que os homens da aldeia, principalmente os parentes da menina, saem para caçar os animais que serão preparados para o moqueado. Esta etapa simboliza a abundância e a capacidade de prover alimentos, valores fundamentais na cultura Guajajara. “Festa do Moqueado”: momento culminante do ritual, quando a jovem é apresentada à comunidade após o período de reclusão. O moqueado, alimento preparado com a carne da caça cozida lentamente, é servido aos participantes como símbolo de partilha e fartura. Durante o período de reclusão, a jovem recebe ensinamentos específicos sobre seu papel como mulher na comunidade. As mulheres mais velhas transmitem conhecimentos sobre plantas medicinais, técnicas de artesanato, cuidados com o corpo e responsabilidades familiares. Este processo educativo informal constitui um importante mecanismo de transmissão de saberes tradicionais que não são contemplados pela educação escolar formal. Segundo relatos coletados na Aldeia Januária, a reclusão também tem um caráter espiritual, pois acredita-se que neste período a jovem está mais vulnerável à influência de entidades sobrenaturais. Por isso, são realizados rituais de proteção e purificação, com uso de ervas específicas e cantos tradicionais</w:t>
      </w:r>
    </w:p>
    <w:p w14:paraId="1995A0FC" w14:textId="77777777" w:rsidR="003D3859" w:rsidRDefault="003D3859">
      <w:pPr>
        <w:spacing w:line="360" w:lineRule="auto"/>
        <w:ind w:hanging="2"/>
        <w:jc w:val="both"/>
        <w:rPr>
          <w:sz w:val="24"/>
          <w:szCs w:val="24"/>
        </w:rPr>
      </w:pPr>
    </w:p>
    <w:p w14:paraId="1C4DB525" w14:textId="77777777" w:rsidR="003D3859" w:rsidRDefault="006212DD">
      <w:pPr>
        <w:spacing w:line="360" w:lineRule="auto"/>
        <w:ind w:hanging="2"/>
        <w:jc w:val="both"/>
        <w:rPr>
          <w:b/>
          <w:sz w:val="24"/>
          <w:szCs w:val="24"/>
        </w:rPr>
      </w:pPr>
      <w:r>
        <w:rPr>
          <w:b/>
          <w:sz w:val="24"/>
          <w:szCs w:val="24"/>
        </w:rPr>
        <w:t>2.1.2 Transição masculina: sinais de amadurecimento</w:t>
      </w:r>
    </w:p>
    <w:p w14:paraId="6C2B1EDC" w14:textId="77777777" w:rsidR="003D3859" w:rsidRDefault="006212DD">
      <w:pPr>
        <w:spacing w:line="360" w:lineRule="auto"/>
        <w:ind w:hanging="2"/>
        <w:jc w:val="both"/>
        <w:rPr>
          <w:sz w:val="24"/>
          <w:szCs w:val="24"/>
        </w:rPr>
      </w:pPr>
      <w:r>
        <w:rPr>
          <w:sz w:val="24"/>
          <w:szCs w:val="24"/>
        </w:rPr>
        <w:t xml:space="preserve">No caso dos meninos, “o ritual é realizado quando ocorre a mudança de voz” indicativo biológico de maturação. Tal como nas meninas, os jovens são submetidos a uma reclusão simbólica e recebem ensinamentos dos homens mais velhos sobre responsabilidade, força, proteção e pertencimento. O processo inclui pinturas corporais, uso de adornos e participação em ritos coletivos. A masculinidade, nesse </w:t>
      </w:r>
      <w:r>
        <w:rPr>
          <w:sz w:val="24"/>
          <w:szCs w:val="24"/>
        </w:rPr>
        <w:lastRenderedPageBreak/>
        <w:t>contexto, é construída a partir de parâmetros culturais próprios, que se distanciam das imposições exógenas.</w:t>
      </w:r>
    </w:p>
    <w:p w14:paraId="4D4BD6A2" w14:textId="77777777" w:rsidR="003D3859" w:rsidRDefault="003D3859">
      <w:pPr>
        <w:spacing w:line="360" w:lineRule="auto"/>
        <w:ind w:hanging="2"/>
        <w:jc w:val="both"/>
        <w:rPr>
          <w:sz w:val="24"/>
          <w:szCs w:val="24"/>
        </w:rPr>
      </w:pPr>
    </w:p>
    <w:p w14:paraId="7175D04D" w14:textId="77777777" w:rsidR="003D3859" w:rsidRDefault="006212DD">
      <w:pPr>
        <w:spacing w:line="360" w:lineRule="auto"/>
        <w:ind w:hanging="2"/>
        <w:jc w:val="both"/>
        <w:rPr>
          <w:b/>
          <w:sz w:val="24"/>
          <w:szCs w:val="24"/>
        </w:rPr>
      </w:pPr>
      <w:r>
        <w:rPr>
          <w:b/>
          <w:sz w:val="24"/>
          <w:szCs w:val="24"/>
        </w:rPr>
        <w:t>2.1.3 Especificidades do ritual masculino</w:t>
      </w:r>
    </w:p>
    <w:p w14:paraId="4FC516CD" w14:textId="77777777" w:rsidR="003D3859" w:rsidRDefault="006212DD">
      <w:pPr>
        <w:spacing w:line="360" w:lineRule="auto"/>
        <w:ind w:hanging="2"/>
        <w:jc w:val="both"/>
        <w:rPr>
          <w:sz w:val="24"/>
          <w:szCs w:val="24"/>
        </w:rPr>
      </w:pPr>
      <w:r>
        <w:rPr>
          <w:sz w:val="24"/>
          <w:szCs w:val="24"/>
        </w:rPr>
        <w:t xml:space="preserve">Embora menos documentado na literatura etnográfica, o ritual de passagem masculino entre os Guajajaras apresenta características próprias que merecem destaque. Conforme observado durante o trabalho de campo na Aldeia Januária, os jovens do sexo masculino passam por provas de resistência física e aprendizagem de técnicas de caça, pesca e construção, elementos fundamentais para sua formação enquanto membros ativos da comunidade. O antropólogo Arnold van </w:t>
      </w:r>
      <w:proofErr w:type="spellStart"/>
      <w:r>
        <w:rPr>
          <w:sz w:val="24"/>
          <w:szCs w:val="24"/>
        </w:rPr>
        <w:t>Gennep</w:t>
      </w:r>
      <w:proofErr w:type="spellEnd"/>
      <w:r>
        <w:rPr>
          <w:sz w:val="24"/>
          <w:szCs w:val="24"/>
        </w:rPr>
        <w:t xml:space="preserve"> (2011) classifica os ritos de passagem em três fases principais: separação, margem (ou liminaridade) e agregação. No caso dos jovens Guajajaras, a fase de separação é marcada pelo afastamento temporário das atividades cotidianas; a liminaridade corresponde ao período de aprendizagem com os mais velhos; e a agregação ocorre quando o jovem é reintegrado à comunidade com seu novo status social, reconhecido como alguém apto a desempenhar responsabilidades adultas. Durante o período liminar, os jovens aprendem técnicas de sobrevivência na floresta, conhecimentos sobre o território tradicional e histórias dos ancestrais. Também são transmitidos valores éticos e comportamentais considerados essenciais para a formação do sujeito Guajajara, como a coragem, a honestidade e o respeito aos mais velhos e à natureza. Esses ensinamentos reforçam o pertencimento coletivo e a continuidade cultural do povo Guajajara. Um aspecto importante do ritual masculino é a preparação para o papel de protetor da comunidade. Em um contexto de constantes ameaças territoriais, os jovens são instruídos sobre a importância da vigilância e da defesa do território tradicional. Esse preparo incorpora elementos contemporâneos às práticas ancestrais, atualizando os saberes indígenas frente às novas formas de agressão e reafirmando o compromisso dos jovens com a preservação de sua identidade e de seu espaço de vida.</w:t>
      </w:r>
    </w:p>
    <w:p w14:paraId="5708A7FD" w14:textId="77777777" w:rsidR="003D3859" w:rsidRDefault="003D3859">
      <w:pPr>
        <w:spacing w:line="360" w:lineRule="auto"/>
        <w:ind w:hanging="2"/>
        <w:jc w:val="both"/>
        <w:rPr>
          <w:sz w:val="24"/>
          <w:szCs w:val="24"/>
        </w:rPr>
      </w:pPr>
    </w:p>
    <w:p w14:paraId="022175DF" w14:textId="77777777" w:rsidR="003D3859" w:rsidRDefault="006212DD">
      <w:pPr>
        <w:pBdr>
          <w:top w:val="nil"/>
          <w:left w:val="nil"/>
          <w:bottom w:val="nil"/>
          <w:right w:val="nil"/>
          <w:between w:val="nil"/>
        </w:pBdr>
        <w:spacing w:line="360" w:lineRule="auto"/>
        <w:ind w:left="405" w:firstLine="0"/>
        <w:jc w:val="both"/>
        <w:rPr>
          <w:b/>
          <w:color w:val="000000"/>
          <w:sz w:val="24"/>
          <w:szCs w:val="24"/>
        </w:rPr>
      </w:pPr>
      <w:r>
        <w:rPr>
          <w:b/>
          <w:color w:val="000000"/>
          <w:sz w:val="24"/>
          <w:szCs w:val="24"/>
        </w:rPr>
        <w:lastRenderedPageBreak/>
        <w:t>3 EDUCAÇÃO ESCOLAR E SABERES TRADICIONAIS</w:t>
      </w:r>
    </w:p>
    <w:p w14:paraId="58B3A122" w14:textId="77777777" w:rsidR="003D3859" w:rsidRDefault="006212DD">
      <w:pPr>
        <w:spacing w:line="360" w:lineRule="auto"/>
        <w:ind w:hanging="2"/>
        <w:jc w:val="both"/>
        <w:rPr>
          <w:sz w:val="24"/>
          <w:szCs w:val="24"/>
        </w:rPr>
      </w:pPr>
      <w:r>
        <w:rPr>
          <w:sz w:val="24"/>
          <w:szCs w:val="24"/>
        </w:rPr>
        <w:t>A educação escolar na aldeia articula-se com os saberes locais. O surgimento de uma disciplina voltada aos direitos indígenas no ensino médio demonstra essa tentativa de valorização do conhecimento tradicional. Como afirma Freire, "ensinar exige respeito aos saberes dos educandos" (Freire, 1996, p. 23). Na Aldeia Januária, o retorno de jovens formados para atuar como professores contribui para a continuidade das práticas culturais no espaço escolar.</w:t>
      </w:r>
    </w:p>
    <w:p w14:paraId="7E398D3C" w14:textId="77777777" w:rsidR="003D3859" w:rsidRDefault="003D3859">
      <w:pPr>
        <w:spacing w:line="360" w:lineRule="auto"/>
        <w:ind w:hanging="2"/>
        <w:jc w:val="both"/>
        <w:rPr>
          <w:sz w:val="24"/>
          <w:szCs w:val="24"/>
        </w:rPr>
      </w:pPr>
    </w:p>
    <w:p w14:paraId="00EC3F9F" w14:textId="77777777" w:rsidR="003D3859" w:rsidRDefault="006212DD">
      <w:pPr>
        <w:spacing w:line="360" w:lineRule="auto"/>
        <w:ind w:hanging="2"/>
        <w:jc w:val="both"/>
        <w:rPr>
          <w:b/>
          <w:sz w:val="24"/>
          <w:szCs w:val="24"/>
        </w:rPr>
      </w:pPr>
      <w:r>
        <w:rPr>
          <w:b/>
          <w:sz w:val="24"/>
          <w:szCs w:val="24"/>
        </w:rPr>
        <w:t>3.1 O papel dos anciãos como educadores tradicionais</w:t>
      </w:r>
    </w:p>
    <w:p w14:paraId="02515DF4" w14:textId="77777777" w:rsidR="003D3859" w:rsidRDefault="006212DD">
      <w:pPr>
        <w:spacing w:line="360" w:lineRule="auto"/>
        <w:ind w:hanging="2"/>
        <w:jc w:val="both"/>
        <w:rPr>
          <w:sz w:val="24"/>
          <w:szCs w:val="24"/>
        </w:rPr>
      </w:pPr>
      <w:r>
        <w:rPr>
          <w:sz w:val="24"/>
          <w:szCs w:val="24"/>
        </w:rPr>
        <w:t xml:space="preserve">Um aspecto fundamental da educação tradicional Guajajara é o papel desempenhado pelos anciãos como guardiões e transmissores do conhecimento ancestral. Durante a pesquisa de campo, foi possível observar o profundo respeito com que os mais velhos são tratados na comunidade e a importância atribuída às suas palavras e ensinamentos. Os anciãos são convidados regularmente a participar das atividades escolares, compartilhando histórias, mitos, cantos e conhecimentos práticos com as novas gerações. Esta prática não apenas valoriza o conhecimento tradicional, mas também fortalece os laços intergeracionais e o sentimento de pertencimento comunitário. Como explica </w:t>
      </w:r>
      <w:proofErr w:type="spellStart"/>
      <w:r>
        <w:rPr>
          <w:sz w:val="24"/>
          <w:szCs w:val="24"/>
        </w:rPr>
        <w:t>Laraia</w:t>
      </w:r>
      <w:proofErr w:type="spellEnd"/>
      <w:r>
        <w:rPr>
          <w:sz w:val="24"/>
          <w:szCs w:val="24"/>
        </w:rPr>
        <w:t xml:space="preserve"> (2020), a cultura é um processo dinâmico e cumulativo, resultante da experiência histórica das gerações anteriores. Ao incorporar os anciãos ao processo educativo formal, a escola indígena reconhece a importância deste acúmulo de saberes e experiências para a formação integral dos estudantes.</w:t>
      </w:r>
    </w:p>
    <w:p w14:paraId="068E0D0C" w14:textId="77777777" w:rsidR="003D3859" w:rsidRDefault="003D3859">
      <w:pPr>
        <w:spacing w:line="360" w:lineRule="auto"/>
        <w:ind w:hanging="2"/>
        <w:jc w:val="both"/>
        <w:rPr>
          <w:sz w:val="24"/>
          <w:szCs w:val="24"/>
        </w:rPr>
      </w:pPr>
    </w:p>
    <w:p w14:paraId="12973534" w14:textId="77777777" w:rsidR="003D3859" w:rsidRDefault="006212DD">
      <w:pPr>
        <w:spacing w:line="360" w:lineRule="auto"/>
        <w:ind w:hanging="2"/>
        <w:jc w:val="both"/>
        <w:rPr>
          <w:b/>
          <w:sz w:val="24"/>
          <w:szCs w:val="24"/>
        </w:rPr>
      </w:pPr>
      <w:r>
        <w:rPr>
          <w:b/>
          <w:sz w:val="24"/>
          <w:szCs w:val="24"/>
        </w:rPr>
        <w:t>4 DEPOIMENTOS, EXPERIÊNCIAS E SUBJETIVIDADES JUVENIS</w:t>
      </w:r>
    </w:p>
    <w:p w14:paraId="4DE0BAB1" w14:textId="77777777" w:rsidR="003D3859" w:rsidRDefault="006212DD">
      <w:pPr>
        <w:spacing w:line="360" w:lineRule="auto"/>
        <w:ind w:hanging="2"/>
        <w:jc w:val="both"/>
        <w:rPr>
          <w:sz w:val="24"/>
          <w:szCs w:val="24"/>
        </w:rPr>
      </w:pPr>
      <w:r>
        <w:rPr>
          <w:sz w:val="24"/>
          <w:szCs w:val="24"/>
        </w:rPr>
        <w:t xml:space="preserve">Os relatos das meninas Guajajara revelam emoções intensas vividas durante o ritual, que vão do medo à realização. Esses testemunhos demonstram o papel do rito como ferramenta de formação subjetiva. Para Hall (2006), a identidade cultural é sempre construída nas relações entre representação, linguagem e poder, e nunca é fixa ou </w:t>
      </w:r>
      <w:proofErr w:type="spellStart"/>
      <w:r>
        <w:rPr>
          <w:sz w:val="24"/>
          <w:szCs w:val="24"/>
        </w:rPr>
        <w:t>essencializada</w:t>
      </w:r>
      <w:proofErr w:type="spellEnd"/>
      <w:r>
        <w:rPr>
          <w:sz w:val="24"/>
          <w:szCs w:val="24"/>
        </w:rPr>
        <w:t>. O ritual, portanto, é um espaço onde as jovens negociam sua posição dentro da comunidade, reafirmando laços de pertencimento e ancestralidade.</w:t>
      </w:r>
    </w:p>
    <w:p w14:paraId="4166FEE1" w14:textId="77777777" w:rsidR="003D3859" w:rsidRDefault="006212DD">
      <w:pPr>
        <w:spacing w:line="360" w:lineRule="auto"/>
        <w:ind w:hanging="2"/>
        <w:jc w:val="both"/>
        <w:rPr>
          <w:sz w:val="24"/>
          <w:szCs w:val="24"/>
        </w:rPr>
      </w:pPr>
      <w:r>
        <w:rPr>
          <w:sz w:val="24"/>
          <w:szCs w:val="24"/>
        </w:rPr>
        <w:lastRenderedPageBreak/>
        <w:t>"Foi muito bom porque foi uma experiência que eu nunca tinha vivido. [...] Eu fiquei com medo dos relatos que eu já tinha ouvido." As narrativas coletadas durante a pesquisa de campo revelam a complexidade emocional e psicológica vivenciada pelos jovens durante os rituais de passagem. Para além do medo inicial, muitos relatos expressam sentimentos de orgulho, pertencimento e responsabilidade após a conclusão do ritual. Uma jovem de 16 anos, que passou pelo ritual dois anos antes, compartilhou: "Depois da festa, eu me senti diferente, mais respeitada na aldeia. As pessoas começaram a me tratar como adulta e eu também comecei a me ver assim. Entendi melhor a importância de ser Guajajara e de manter nossas tradições vivas." Estas narrativas evidenciam o que Turner (1974) denomina como "</w:t>
      </w:r>
      <w:proofErr w:type="spellStart"/>
      <w:r>
        <w:rPr>
          <w:sz w:val="24"/>
          <w:szCs w:val="24"/>
        </w:rPr>
        <w:t>communitas</w:t>
      </w:r>
      <w:proofErr w:type="spellEnd"/>
      <w:r>
        <w:rPr>
          <w:sz w:val="24"/>
          <w:szCs w:val="24"/>
        </w:rPr>
        <w:t>", um sentimento intenso de coesão social e igualdade que emerge durante os momentos liminares dos rituais. A experiência compartilhada do ritual cria laços profundos entre os participantes e reforça o sentido de identidade coletiva. Outro aspecto relevante observado nos depoimentos é a ressignificação do ritual pelas novas gerações. Embora mantenham respeito pela tradição, os jovens Guajajaras também incorporam elementos contemporâneos à sua compreensão e vivência do ritual. Esta dinâmica demonstra a vitalidade da cultura indígena e sua capacidade de adaptação sem perda de essência.</w:t>
      </w:r>
    </w:p>
    <w:p w14:paraId="274CCAC4" w14:textId="77777777" w:rsidR="003D3859" w:rsidRDefault="006212DD">
      <w:pPr>
        <w:spacing w:line="360" w:lineRule="auto"/>
        <w:ind w:hanging="2"/>
        <w:jc w:val="both"/>
        <w:rPr>
          <w:sz w:val="24"/>
          <w:szCs w:val="24"/>
        </w:rPr>
      </w:pPr>
      <w:r>
        <w:rPr>
          <w:sz w:val="24"/>
          <w:szCs w:val="24"/>
        </w:rPr>
        <w:t xml:space="preserve">A pesquisa também buscou compreender as diferentes perspectivas geracionais sobre os rituais de passagem. Enquanto os anciãos enfatizam a importância da preservação dos elementos tradicionais do ritual em sua forma "pura", os adultos de meia-idade frequentemente destacam seu valor como instrumento de resistência cultural, e os jovens tendem a ressaltar sua relevância para a construção da identidade individual e coletiva no mundo contemporâneo. Estas diferentes perspectivas, longe de representarem um conflito, demonstram a capacidade do ritual de acomodar múltiplos significados e funções sociais. Como observa </w:t>
      </w:r>
      <w:proofErr w:type="spellStart"/>
      <w:r>
        <w:rPr>
          <w:sz w:val="24"/>
          <w:szCs w:val="24"/>
        </w:rPr>
        <w:t>Sahlins</w:t>
      </w:r>
      <w:proofErr w:type="spellEnd"/>
      <w:r>
        <w:rPr>
          <w:sz w:val="24"/>
          <w:szCs w:val="24"/>
        </w:rPr>
        <w:t xml:space="preserve"> (1997), as culturas indígenas não são estáticas, mas se transformam continuamente em resposta às mudanças históricas, incorporando elementos externos sem necessariamente perder sua coerência interna. Um ancião da aldeia, ao ser questionado sobre as mudanças </w:t>
      </w:r>
      <w:r>
        <w:rPr>
          <w:sz w:val="24"/>
          <w:szCs w:val="24"/>
        </w:rPr>
        <w:lastRenderedPageBreak/>
        <w:t>no ritual ao longo do tempo, comentou: "Algumas coisas mudaram, sim. Antigamente, a reclusão era mais longa e as regras mais rígidas. Mas o importante é que continuamos fazendo a festa, cantando nossos cantos e ensinando nossos jovens. Enquanto fizermos isso, continuaremos sendo Guajajara."</w:t>
      </w:r>
    </w:p>
    <w:p w14:paraId="480B908D" w14:textId="77777777" w:rsidR="003D3859" w:rsidRDefault="003D3859">
      <w:pPr>
        <w:spacing w:line="360" w:lineRule="auto"/>
        <w:ind w:hanging="2"/>
        <w:jc w:val="both"/>
        <w:rPr>
          <w:sz w:val="24"/>
          <w:szCs w:val="24"/>
        </w:rPr>
      </w:pPr>
    </w:p>
    <w:p w14:paraId="7EB558C5" w14:textId="77777777" w:rsidR="003D3859" w:rsidRDefault="006212DD">
      <w:pPr>
        <w:spacing w:line="360" w:lineRule="auto"/>
        <w:ind w:hanging="2"/>
        <w:jc w:val="both"/>
        <w:rPr>
          <w:b/>
          <w:sz w:val="24"/>
          <w:szCs w:val="24"/>
        </w:rPr>
      </w:pPr>
      <w:r>
        <w:rPr>
          <w:b/>
          <w:sz w:val="24"/>
          <w:szCs w:val="24"/>
        </w:rPr>
        <w:t>5 RITUAL, TERRITÓRIO E RESISTÊNCIA</w:t>
      </w:r>
    </w:p>
    <w:p w14:paraId="0E1B7ED2" w14:textId="77777777" w:rsidR="003D3859" w:rsidRDefault="006212DD">
      <w:pPr>
        <w:ind w:hanging="2"/>
        <w:rPr>
          <w:sz w:val="24"/>
          <w:szCs w:val="24"/>
        </w:rPr>
      </w:pPr>
      <w:r>
        <w:rPr>
          <w:sz w:val="24"/>
          <w:szCs w:val="24"/>
        </w:rPr>
        <w:t xml:space="preserve">A permanência dos rituais entre os Guajajara, apesar das pressões históricas e contemporâneas, demonstra a força da cultura como forma de resistência à colonialidade. Como explica </w:t>
      </w:r>
      <w:proofErr w:type="spellStart"/>
      <w:r>
        <w:rPr>
          <w:sz w:val="24"/>
          <w:szCs w:val="24"/>
        </w:rPr>
        <w:t>Quijano</w:t>
      </w:r>
      <w:proofErr w:type="spellEnd"/>
      <w:r>
        <w:rPr>
          <w:sz w:val="24"/>
          <w:szCs w:val="24"/>
        </w:rPr>
        <w:t>:</w:t>
      </w:r>
    </w:p>
    <w:p w14:paraId="4FDCFE81" w14:textId="77777777" w:rsidR="003D3859" w:rsidRDefault="003D3859">
      <w:pPr>
        <w:ind w:hanging="2"/>
        <w:rPr>
          <w:sz w:val="24"/>
          <w:szCs w:val="24"/>
        </w:rPr>
      </w:pPr>
    </w:p>
    <w:p w14:paraId="6C1C67E3" w14:textId="77777777" w:rsidR="003D3859" w:rsidRDefault="006212DD">
      <w:pPr>
        <w:spacing w:line="240" w:lineRule="auto"/>
        <w:ind w:left="2268" w:firstLine="0"/>
        <w:jc w:val="both"/>
        <w:rPr>
          <w:sz w:val="20"/>
          <w:szCs w:val="20"/>
        </w:rPr>
      </w:pPr>
      <w:r>
        <w:rPr>
          <w:sz w:val="20"/>
          <w:szCs w:val="20"/>
        </w:rPr>
        <w:t>A colonialidade do poder não terminou com a independência política das colônias. Ao contrário, persistiu e continua a organizar a produção do saber, das subjetividades e da cultura. Nesse contexto, os povos indígenas mantêm vivas suas práticas como forma de resistência, reafirmação e continuidade histórica. (</w:t>
      </w:r>
      <w:proofErr w:type="spellStart"/>
      <w:r>
        <w:rPr>
          <w:sz w:val="20"/>
          <w:szCs w:val="20"/>
        </w:rPr>
        <w:t>Quijano</w:t>
      </w:r>
      <w:proofErr w:type="spellEnd"/>
      <w:r>
        <w:rPr>
          <w:sz w:val="20"/>
          <w:szCs w:val="20"/>
        </w:rPr>
        <w:t>, 2005, p. 123)</w:t>
      </w:r>
    </w:p>
    <w:p w14:paraId="18CA652E" w14:textId="77777777" w:rsidR="003D3859" w:rsidRDefault="003D3859">
      <w:pPr>
        <w:pBdr>
          <w:top w:val="nil"/>
          <w:left w:val="nil"/>
          <w:bottom w:val="nil"/>
          <w:right w:val="nil"/>
          <w:between w:val="nil"/>
        </w:pBdr>
        <w:spacing w:line="360" w:lineRule="auto"/>
        <w:ind w:hanging="2"/>
        <w:jc w:val="both"/>
        <w:rPr>
          <w:sz w:val="24"/>
          <w:szCs w:val="24"/>
        </w:rPr>
      </w:pPr>
    </w:p>
    <w:p w14:paraId="279856FA" w14:textId="77777777" w:rsidR="003D3859" w:rsidRDefault="006212DD">
      <w:pPr>
        <w:pBdr>
          <w:top w:val="nil"/>
          <w:left w:val="nil"/>
          <w:bottom w:val="nil"/>
          <w:right w:val="nil"/>
          <w:between w:val="nil"/>
        </w:pBdr>
        <w:spacing w:line="360" w:lineRule="auto"/>
        <w:ind w:hanging="2"/>
        <w:jc w:val="both"/>
        <w:rPr>
          <w:b/>
          <w:color w:val="000000"/>
          <w:sz w:val="24"/>
          <w:szCs w:val="24"/>
        </w:rPr>
      </w:pPr>
      <w:r>
        <w:rPr>
          <w:b/>
          <w:color w:val="000000"/>
          <w:sz w:val="24"/>
          <w:szCs w:val="24"/>
        </w:rPr>
        <w:t>5.1 Dimensão política dos rituais tradicionais</w:t>
      </w:r>
    </w:p>
    <w:p w14:paraId="1A4D7051" w14:textId="77777777" w:rsidR="003D3859" w:rsidRDefault="006212DD">
      <w:pPr>
        <w:ind w:hanging="2"/>
        <w:rPr>
          <w:color w:val="000000"/>
          <w:sz w:val="24"/>
          <w:szCs w:val="24"/>
        </w:rPr>
      </w:pPr>
      <w:r>
        <w:rPr>
          <w:color w:val="000000"/>
          <w:sz w:val="24"/>
          <w:szCs w:val="24"/>
        </w:rPr>
        <w:t xml:space="preserve">Os rituais de passagem Guajajara transcendem sua função social imediata de marcar a transição para a vida adulta, assumindo também uma dimensão política significativa no contexto atual. A realização pública da Festa do Moqueado, com a presença de convidados não indígenas, incluindo pesquisadores(as), representantes de órgãos governamentais e apoiadores (as) da causa indígena, constitui uma estratégia consciente de visibilização e afirmação cultural. Conforme observado por Freitas (2023), a Festa do Moqueado nas aldeias Guajajara-Tenetehara colabora para a educação indígena como reafirmação cultural deste povo, funcionando como um espaço de resistência e continuidade histórica. Ao manter vivas suas tradições, os Guajajara não apenas preservam sua identidade cultural, mas também afirmam seu direito à diferença e à autodeterminação. Durante o trabalho de campo na Aldeia </w:t>
      </w:r>
    </w:p>
    <w:p w14:paraId="27DA8F72" w14:textId="77777777" w:rsidR="003D3859" w:rsidRDefault="006212DD">
      <w:pPr>
        <w:ind w:hanging="2"/>
        <w:rPr>
          <w:color w:val="000000"/>
          <w:sz w:val="24"/>
          <w:szCs w:val="24"/>
        </w:rPr>
      </w:pPr>
      <w:r>
        <w:rPr>
          <w:color w:val="000000"/>
          <w:sz w:val="24"/>
          <w:szCs w:val="24"/>
        </w:rPr>
        <w:t xml:space="preserve">Januária, foi possível observar como o ritual mobiliza toda a comunidade e fortalece os laços de solidariedade interna. A preparação coletiva, que envolve desde a construção dos barracões pelos homens até a confecção dos adornos e o preparo dos alimentos pelas mulheres, reafirma os papéis sociais tradicionais e a interdependência entre os membros da comunidade. </w:t>
      </w:r>
    </w:p>
    <w:p w14:paraId="06BDCEDA" w14:textId="77777777" w:rsidR="003D3859" w:rsidRDefault="003D3859">
      <w:pPr>
        <w:ind w:hanging="2"/>
        <w:rPr>
          <w:color w:val="000000"/>
          <w:sz w:val="24"/>
          <w:szCs w:val="24"/>
        </w:rPr>
      </w:pPr>
    </w:p>
    <w:p w14:paraId="3AB52AC8" w14:textId="77777777" w:rsidR="003D3859" w:rsidRDefault="003D3859">
      <w:pPr>
        <w:spacing w:line="360" w:lineRule="auto"/>
        <w:ind w:firstLine="0"/>
        <w:jc w:val="both"/>
        <w:rPr>
          <w:sz w:val="20"/>
          <w:szCs w:val="20"/>
        </w:rPr>
      </w:pPr>
    </w:p>
    <w:p w14:paraId="53370D3A" w14:textId="77777777" w:rsidR="003D3859" w:rsidRDefault="006212DD">
      <w:pPr>
        <w:spacing w:line="360" w:lineRule="auto"/>
        <w:ind w:hanging="2"/>
        <w:jc w:val="both"/>
        <w:rPr>
          <w:b/>
          <w:sz w:val="24"/>
          <w:szCs w:val="24"/>
        </w:rPr>
      </w:pPr>
      <w:r>
        <w:rPr>
          <w:b/>
          <w:sz w:val="24"/>
          <w:szCs w:val="24"/>
        </w:rPr>
        <w:t>6 CONCLUSÃO</w:t>
      </w:r>
    </w:p>
    <w:p w14:paraId="02034A5B" w14:textId="77777777" w:rsidR="003D3859" w:rsidRDefault="006212DD">
      <w:pPr>
        <w:spacing w:line="360" w:lineRule="auto"/>
        <w:ind w:firstLine="0"/>
        <w:jc w:val="both"/>
        <w:rPr>
          <w:sz w:val="24"/>
          <w:szCs w:val="24"/>
        </w:rPr>
      </w:pPr>
      <w:r>
        <w:rPr>
          <w:sz w:val="24"/>
          <w:szCs w:val="24"/>
        </w:rPr>
        <w:lastRenderedPageBreak/>
        <w:t>A observação dos rituais na Aldeia Januária revelou que a Festa do Moqueado é uma prática central para a vida Guajajara, funcionando não só como tradição, mas também como expressão de resistência cultural. Sua conexão com a educação escolar indígena é fundamental para preservar os saberes diante das ameaças externas. A cultura emerge, assim, como um espaço de disputa, reconstrução e resistência, alimentada pelos conhecimentos ancestrais e pela participação ativa da juventude indígena. Apesar das transformações, os rituais continuam exercendo funções sociais, educativas e políticas, demonstrando uma capacidade de adaptação que mantém a essência cultural intacta. Os depoimentos coletados ressaltam a importância desses rituais na formação de identidades firmemente enraizadas e conscientes, apontando para uma dimensão subjetiva que merece atenção em futuras pesquisas sobre a resistência indígena. Por fim, é imprescindível implementar políticas públicas que protejam não apenas os territórios, mas também a riqueza cultural que deles emerge.</w:t>
      </w:r>
    </w:p>
    <w:p w14:paraId="53484832" w14:textId="77777777" w:rsidR="003D3859" w:rsidRDefault="006212DD">
      <w:pPr>
        <w:spacing w:line="360" w:lineRule="auto"/>
        <w:ind w:firstLine="0"/>
        <w:jc w:val="both"/>
        <w:rPr>
          <w:sz w:val="24"/>
          <w:szCs w:val="24"/>
        </w:rPr>
      </w:pPr>
      <w:r>
        <w:rPr>
          <w:sz w:val="24"/>
          <w:szCs w:val="24"/>
        </w:rPr>
        <w:t xml:space="preserve">Nesse contexto, é fundamental reconhecer que os rituais de passagem não operam de forma isolada, mas integram um conjunto amplo de práticas socioculturais que sustentam a continuidade histórica do povo Guajajara. A valorização dessas práticas no espaço escolar e nas políticas indigenistas precisa ser acompanhada de uma escuta qualificada e de uma atuação intersetorial que respeite os tempos, os modos de vida e as cosmovisões indígenas. A Festa do Moqueado, mais do que um evento cerimonial, constitui uma pedagogia ancestral, onde o corpo, o território e a memória </w:t>
      </w:r>
    </w:p>
    <w:p w14:paraId="1706766B" w14:textId="77777777" w:rsidR="003D3859" w:rsidRDefault="006212DD">
      <w:pPr>
        <w:spacing w:line="360" w:lineRule="auto"/>
        <w:ind w:firstLine="0"/>
        <w:jc w:val="both"/>
        <w:rPr>
          <w:sz w:val="24"/>
          <w:szCs w:val="24"/>
        </w:rPr>
      </w:pPr>
      <w:r>
        <w:rPr>
          <w:sz w:val="24"/>
          <w:szCs w:val="24"/>
        </w:rPr>
        <w:t>coletiva se articulam como instrumentos de ensino e afirmação étnica. Preservá-la é, portanto, uma forma de garantir o direito à diferença e à autodeterminação dos povos originários em um país historicamente marcado por processos de silenciamento e apagamento cultural.</w:t>
      </w:r>
    </w:p>
    <w:p w14:paraId="6DF99F97" w14:textId="77777777" w:rsidR="003D3859" w:rsidRDefault="003D3859">
      <w:pPr>
        <w:spacing w:line="360" w:lineRule="auto"/>
        <w:ind w:firstLine="0"/>
        <w:jc w:val="both"/>
        <w:rPr>
          <w:sz w:val="24"/>
          <w:szCs w:val="24"/>
        </w:rPr>
      </w:pPr>
    </w:p>
    <w:p w14:paraId="1C6C50F4" w14:textId="77777777" w:rsidR="003D3859" w:rsidRDefault="003D3859">
      <w:pPr>
        <w:spacing w:line="360" w:lineRule="auto"/>
        <w:ind w:firstLine="0"/>
        <w:jc w:val="both"/>
        <w:rPr>
          <w:sz w:val="24"/>
          <w:szCs w:val="24"/>
        </w:rPr>
      </w:pPr>
    </w:p>
    <w:p w14:paraId="026A661A" w14:textId="77777777" w:rsidR="003D3859" w:rsidRDefault="006212DD">
      <w:pPr>
        <w:spacing w:line="360" w:lineRule="auto"/>
        <w:ind w:hanging="2"/>
        <w:rPr>
          <w:b/>
          <w:sz w:val="24"/>
          <w:szCs w:val="24"/>
        </w:rPr>
      </w:pPr>
      <w:r>
        <w:rPr>
          <w:b/>
          <w:sz w:val="24"/>
          <w:szCs w:val="24"/>
        </w:rPr>
        <w:t>7 REFERÊNCIAS</w:t>
      </w:r>
    </w:p>
    <w:p w14:paraId="46DBB588" w14:textId="77777777" w:rsidR="003D3859" w:rsidRDefault="006212DD">
      <w:pPr>
        <w:spacing w:after="200" w:line="360" w:lineRule="auto"/>
        <w:ind w:hanging="2"/>
        <w:jc w:val="both"/>
        <w:rPr>
          <w:sz w:val="24"/>
          <w:szCs w:val="24"/>
        </w:rPr>
      </w:pPr>
      <w:r>
        <w:rPr>
          <w:sz w:val="24"/>
          <w:szCs w:val="24"/>
        </w:rPr>
        <w:t xml:space="preserve">ALBUQUERQUE, Francisco </w:t>
      </w:r>
      <w:proofErr w:type="spellStart"/>
      <w:r>
        <w:rPr>
          <w:sz w:val="24"/>
          <w:szCs w:val="24"/>
        </w:rPr>
        <w:t>Edviges</w:t>
      </w:r>
      <w:proofErr w:type="spellEnd"/>
      <w:r>
        <w:rPr>
          <w:sz w:val="24"/>
          <w:szCs w:val="24"/>
        </w:rPr>
        <w:t xml:space="preserve">; ALMEIDA, Severina Alves de (org.). </w:t>
      </w:r>
      <w:r>
        <w:rPr>
          <w:b/>
          <w:sz w:val="24"/>
          <w:szCs w:val="24"/>
        </w:rPr>
        <w:t>Educação escolar indígena e diversidade cultural</w:t>
      </w:r>
      <w:r>
        <w:rPr>
          <w:sz w:val="24"/>
          <w:szCs w:val="24"/>
        </w:rPr>
        <w:t>. Goiânia: Editora da PUC Goiás, 2012.</w:t>
      </w:r>
    </w:p>
    <w:p w14:paraId="75D00430" w14:textId="77777777" w:rsidR="003D3859" w:rsidRDefault="006212DD">
      <w:pPr>
        <w:spacing w:after="200" w:line="360" w:lineRule="auto"/>
        <w:ind w:hanging="2"/>
        <w:jc w:val="both"/>
        <w:rPr>
          <w:sz w:val="24"/>
          <w:szCs w:val="24"/>
        </w:rPr>
      </w:pPr>
      <w:r>
        <w:rPr>
          <w:sz w:val="24"/>
          <w:szCs w:val="24"/>
        </w:rPr>
        <w:lastRenderedPageBreak/>
        <w:t>AMORIM OLIVEIRA, Ana Caroline</w:t>
      </w:r>
      <w:r>
        <w:t xml:space="preserve"> </w:t>
      </w:r>
      <w:proofErr w:type="spellStart"/>
      <w:r>
        <w:rPr>
          <w:sz w:val="24"/>
          <w:szCs w:val="24"/>
        </w:rPr>
        <w:t>Wyrau'haw</w:t>
      </w:r>
      <w:proofErr w:type="spellEnd"/>
      <w:r>
        <w:rPr>
          <w:sz w:val="24"/>
          <w:szCs w:val="24"/>
        </w:rPr>
        <w:t xml:space="preserve">: </w:t>
      </w:r>
      <w:r>
        <w:rPr>
          <w:b/>
          <w:sz w:val="24"/>
          <w:szCs w:val="24"/>
        </w:rPr>
        <w:t>a Festa da Menina-Moça do povo indígena Tenetehara/Guajajara. Amazônica</w:t>
      </w:r>
      <w:r>
        <w:rPr>
          <w:sz w:val="24"/>
          <w:szCs w:val="24"/>
        </w:rPr>
        <w:t xml:space="preserve"> – Revista de Antropologia, Belém, v. 11, n. 2, 2019.</w:t>
      </w:r>
    </w:p>
    <w:p w14:paraId="483D97DA" w14:textId="77777777" w:rsidR="003D3859" w:rsidRDefault="006212DD">
      <w:pPr>
        <w:spacing w:after="200" w:line="360" w:lineRule="auto"/>
        <w:ind w:hanging="2"/>
        <w:jc w:val="both"/>
        <w:rPr>
          <w:sz w:val="24"/>
          <w:szCs w:val="24"/>
        </w:rPr>
      </w:pPr>
      <w:r>
        <w:rPr>
          <w:sz w:val="24"/>
          <w:szCs w:val="24"/>
        </w:rPr>
        <w:t xml:space="preserve">CUNHA, Manuela Carneiro da. </w:t>
      </w:r>
      <w:r>
        <w:rPr>
          <w:b/>
          <w:sz w:val="24"/>
          <w:szCs w:val="24"/>
        </w:rPr>
        <w:t>Cultura com aspas e outros ensaios</w:t>
      </w:r>
      <w:r>
        <w:rPr>
          <w:sz w:val="24"/>
          <w:szCs w:val="24"/>
        </w:rPr>
        <w:t>. São Paulo: Cosac Naify, 2009.</w:t>
      </w:r>
    </w:p>
    <w:p w14:paraId="7DF76E1E" w14:textId="77777777" w:rsidR="003D3859" w:rsidRDefault="006212DD">
      <w:pPr>
        <w:spacing w:after="200" w:line="360" w:lineRule="auto"/>
        <w:ind w:hanging="2"/>
        <w:jc w:val="both"/>
        <w:rPr>
          <w:sz w:val="24"/>
          <w:szCs w:val="24"/>
        </w:rPr>
      </w:pPr>
      <w:r>
        <w:rPr>
          <w:sz w:val="24"/>
          <w:szCs w:val="24"/>
        </w:rPr>
        <w:t xml:space="preserve">FREIRE, Paulo. Pedagogia da autonomia: </w:t>
      </w:r>
      <w:r>
        <w:rPr>
          <w:b/>
          <w:sz w:val="24"/>
          <w:szCs w:val="24"/>
        </w:rPr>
        <w:t>saberes necessários</w:t>
      </w:r>
      <w:r>
        <w:rPr>
          <w:sz w:val="24"/>
          <w:szCs w:val="24"/>
        </w:rPr>
        <w:t xml:space="preserve"> </w:t>
      </w:r>
      <w:r>
        <w:rPr>
          <w:b/>
          <w:sz w:val="24"/>
          <w:szCs w:val="24"/>
        </w:rPr>
        <w:t>à prática educativa</w:t>
      </w:r>
      <w:r>
        <w:rPr>
          <w:sz w:val="24"/>
          <w:szCs w:val="24"/>
        </w:rPr>
        <w:t>. São Paulo: Paz e Terra, 1996.</w:t>
      </w:r>
    </w:p>
    <w:p w14:paraId="184872A2" w14:textId="77777777" w:rsidR="003D3859" w:rsidRDefault="006212DD">
      <w:pPr>
        <w:spacing w:after="200" w:line="360" w:lineRule="auto"/>
        <w:ind w:hanging="2"/>
        <w:jc w:val="both"/>
        <w:rPr>
          <w:sz w:val="24"/>
          <w:szCs w:val="24"/>
        </w:rPr>
      </w:pPr>
      <w:r>
        <w:rPr>
          <w:sz w:val="24"/>
          <w:szCs w:val="24"/>
        </w:rPr>
        <w:t xml:space="preserve">FREITAS, Rita de Cássia Nogueira de. </w:t>
      </w:r>
      <w:r>
        <w:rPr>
          <w:b/>
          <w:sz w:val="24"/>
          <w:szCs w:val="24"/>
        </w:rPr>
        <w:t>A festa do moqueado: um rito de passagem e de reafirmação cultural do povo Guajajara-Tenetehara</w:t>
      </w:r>
      <w:r>
        <w:rPr>
          <w:sz w:val="24"/>
          <w:szCs w:val="24"/>
        </w:rPr>
        <w:t>. 2023. Trabalho de Conclusão de Curso (Graduação em Letras) – Universidade Federal do Norte do Tocantins, Araguaína, 2023.</w:t>
      </w:r>
    </w:p>
    <w:p w14:paraId="2E625C89" w14:textId="77777777" w:rsidR="003D3859" w:rsidRDefault="006212DD">
      <w:pPr>
        <w:spacing w:after="200" w:line="360" w:lineRule="auto"/>
        <w:ind w:hanging="2"/>
        <w:jc w:val="both"/>
        <w:rPr>
          <w:sz w:val="24"/>
          <w:szCs w:val="24"/>
        </w:rPr>
      </w:pPr>
      <w:r>
        <w:rPr>
          <w:sz w:val="24"/>
          <w:szCs w:val="24"/>
        </w:rPr>
        <w:t xml:space="preserve">GALLOIS, Dominique </w:t>
      </w:r>
      <w:proofErr w:type="spellStart"/>
      <w:r>
        <w:rPr>
          <w:sz w:val="24"/>
          <w:szCs w:val="24"/>
        </w:rPr>
        <w:t>Tilkin</w:t>
      </w:r>
      <w:proofErr w:type="spellEnd"/>
      <w:r>
        <w:rPr>
          <w:sz w:val="24"/>
          <w:szCs w:val="24"/>
        </w:rPr>
        <w:t xml:space="preserve">. </w:t>
      </w:r>
      <w:r>
        <w:rPr>
          <w:b/>
          <w:sz w:val="24"/>
          <w:szCs w:val="24"/>
        </w:rPr>
        <w:t>Redes de relações nas Guianas</w:t>
      </w:r>
      <w:r>
        <w:rPr>
          <w:sz w:val="24"/>
          <w:szCs w:val="24"/>
        </w:rPr>
        <w:t>. São Paulo: Humanitas, 2016.</w:t>
      </w:r>
    </w:p>
    <w:p w14:paraId="0E84C9A4" w14:textId="77777777" w:rsidR="003D3859" w:rsidRDefault="006212DD">
      <w:pPr>
        <w:spacing w:after="200" w:line="360" w:lineRule="auto"/>
        <w:ind w:hanging="2"/>
        <w:jc w:val="both"/>
        <w:rPr>
          <w:sz w:val="24"/>
          <w:szCs w:val="24"/>
        </w:rPr>
      </w:pPr>
      <w:r>
        <w:rPr>
          <w:sz w:val="24"/>
          <w:szCs w:val="24"/>
        </w:rPr>
        <w:t>GEERTZ, Clifford</w:t>
      </w:r>
      <w:r>
        <w:rPr>
          <w:b/>
          <w:sz w:val="24"/>
          <w:szCs w:val="24"/>
        </w:rPr>
        <w:t>. A interpretação das culturas</w:t>
      </w:r>
      <w:r>
        <w:rPr>
          <w:sz w:val="24"/>
          <w:szCs w:val="24"/>
        </w:rPr>
        <w:t>. Rio de Janeiro: LTC, 1989.</w:t>
      </w:r>
    </w:p>
    <w:p w14:paraId="17385233" w14:textId="77777777" w:rsidR="003D3859" w:rsidRDefault="006212DD">
      <w:pPr>
        <w:spacing w:after="200" w:line="360" w:lineRule="auto"/>
        <w:ind w:hanging="2"/>
        <w:jc w:val="both"/>
        <w:rPr>
          <w:sz w:val="24"/>
          <w:szCs w:val="24"/>
        </w:rPr>
      </w:pPr>
      <w:r>
        <w:rPr>
          <w:sz w:val="24"/>
          <w:szCs w:val="24"/>
        </w:rPr>
        <w:t xml:space="preserve">GENNEP, Arnold van. </w:t>
      </w:r>
      <w:r>
        <w:rPr>
          <w:b/>
          <w:sz w:val="24"/>
          <w:szCs w:val="24"/>
        </w:rPr>
        <w:t>Os ritos de passagem</w:t>
      </w:r>
      <w:r>
        <w:rPr>
          <w:sz w:val="24"/>
          <w:szCs w:val="24"/>
        </w:rPr>
        <w:t>. 2. ed. Petrópolis: Vozes, 2011.</w:t>
      </w:r>
    </w:p>
    <w:p w14:paraId="66B63C27" w14:textId="77777777" w:rsidR="003D3859" w:rsidRDefault="006212DD">
      <w:pPr>
        <w:spacing w:after="200" w:line="360" w:lineRule="auto"/>
        <w:ind w:hanging="2"/>
        <w:jc w:val="both"/>
        <w:rPr>
          <w:sz w:val="24"/>
          <w:szCs w:val="24"/>
        </w:rPr>
      </w:pPr>
      <w:r>
        <w:rPr>
          <w:sz w:val="24"/>
          <w:szCs w:val="24"/>
        </w:rPr>
        <w:t xml:space="preserve">GOMES, Mércio Pereira. </w:t>
      </w:r>
      <w:r>
        <w:rPr>
          <w:b/>
          <w:sz w:val="24"/>
          <w:szCs w:val="24"/>
        </w:rPr>
        <w:t>O índio na história: o povo Tenetehara em busca da liberdade</w:t>
      </w:r>
      <w:r>
        <w:rPr>
          <w:sz w:val="24"/>
          <w:szCs w:val="24"/>
        </w:rPr>
        <w:t>. 2. ed. São Paulo: Contexto, 2018.</w:t>
      </w:r>
    </w:p>
    <w:p w14:paraId="782E84E6" w14:textId="77777777" w:rsidR="003D3859" w:rsidRDefault="006212DD">
      <w:pPr>
        <w:spacing w:after="200" w:line="360" w:lineRule="auto"/>
        <w:ind w:hanging="2"/>
        <w:jc w:val="both"/>
        <w:rPr>
          <w:sz w:val="24"/>
          <w:szCs w:val="24"/>
        </w:rPr>
      </w:pPr>
      <w:r>
        <w:rPr>
          <w:sz w:val="24"/>
          <w:szCs w:val="24"/>
        </w:rPr>
        <w:t xml:space="preserve">HALL, Stuart. </w:t>
      </w:r>
      <w:r>
        <w:rPr>
          <w:b/>
          <w:sz w:val="24"/>
          <w:szCs w:val="24"/>
        </w:rPr>
        <w:t>A identidade cultural na pós-modernidade</w:t>
      </w:r>
      <w:r>
        <w:rPr>
          <w:sz w:val="24"/>
          <w:szCs w:val="24"/>
        </w:rPr>
        <w:t>. Rio de Janeiro: DP&amp;A, 2006.</w:t>
      </w:r>
    </w:p>
    <w:p w14:paraId="2BAD5881" w14:textId="77777777" w:rsidR="003D3859" w:rsidRDefault="006212DD">
      <w:pPr>
        <w:spacing w:after="200" w:line="360" w:lineRule="auto"/>
        <w:ind w:hanging="2"/>
        <w:jc w:val="both"/>
        <w:rPr>
          <w:sz w:val="24"/>
          <w:szCs w:val="24"/>
        </w:rPr>
      </w:pPr>
      <w:r>
        <w:rPr>
          <w:sz w:val="24"/>
          <w:szCs w:val="24"/>
        </w:rPr>
        <w:t xml:space="preserve">LARAIA, Roque de Barros. </w:t>
      </w:r>
      <w:r>
        <w:rPr>
          <w:b/>
          <w:sz w:val="24"/>
          <w:szCs w:val="24"/>
        </w:rPr>
        <w:t>Cultura: um conceito antropológico</w:t>
      </w:r>
      <w:r>
        <w:rPr>
          <w:sz w:val="24"/>
          <w:szCs w:val="24"/>
        </w:rPr>
        <w:t>. 28. ed. Rio de Janeiro: Zahar, 2020.</w:t>
      </w:r>
    </w:p>
    <w:p w14:paraId="34290489" w14:textId="77777777" w:rsidR="003D3859" w:rsidRDefault="006212DD">
      <w:pPr>
        <w:spacing w:after="200" w:line="360" w:lineRule="auto"/>
        <w:ind w:hanging="2"/>
        <w:jc w:val="both"/>
        <w:rPr>
          <w:sz w:val="24"/>
          <w:szCs w:val="24"/>
        </w:rPr>
      </w:pPr>
      <w:r>
        <w:rPr>
          <w:sz w:val="24"/>
          <w:szCs w:val="24"/>
        </w:rPr>
        <w:t xml:space="preserve">QUIJANO, Aníbal. </w:t>
      </w:r>
      <w:r>
        <w:rPr>
          <w:b/>
          <w:sz w:val="24"/>
          <w:szCs w:val="24"/>
        </w:rPr>
        <w:t>Colonialidade do poder, eurocentrismo e América Latina</w:t>
      </w:r>
      <w:r>
        <w:rPr>
          <w:sz w:val="24"/>
          <w:szCs w:val="24"/>
        </w:rPr>
        <w:t>. In: LANDER, Edgardo (org.). A colonialidade do saber: eurocentrismo e ciências sociais. Perspectivas latino-americanas. Buenos Aires: CLACSO, 2005. p. 107-130.</w:t>
      </w:r>
    </w:p>
    <w:sectPr w:rsidR="003D3859">
      <w:headerReference w:type="even" r:id="rId7"/>
      <w:headerReference w:type="default" r:id="rId8"/>
      <w:footerReference w:type="even" r:id="rId9"/>
      <w:footerReference w:type="default" r:id="rId10"/>
      <w:headerReference w:type="first" r:id="rId11"/>
      <w:footerReference w:type="first" r:id="rId12"/>
      <w:pgSz w:w="11909" w:h="16834"/>
      <w:pgMar w:top="1701" w:right="1134" w:bottom="1134" w:left="1701" w:header="3402"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6D3567" w14:textId="77777777" w:rsidR="0062503F" w:rsidRDefault="0062503F">
      <w:pPr>
        <w:spacing w:line="240" w:lineRule="auto"/>
      </w:pPr>
      <w:r>
        <w:separator/>
      </w:r>
    </w:p>
  </w:endnote>
  <w:endnote w:type="continuationSeparator" w:id="0">
    <w:p w14:paraId="0A34FF15" w14:textId="77777777" w:rsidR="0062503F" w:rsidRDefault="006250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D7114" w14:textId="77777777" w:rsidR="003D3859" w:rsidRDefault="003D3859">
    <w:pPr>
      <w:pBdr>
        <w:top w:val="nil"/>
        <w:left w:val="nil"/>
        <w:bottom w:val="nil"/>
        <w:right w:val="nil"/>
        <w:between w:val="nil"/>
      </w:pBdr>
      <w:tabs>
        <w:tab w:val="center" w:pos="4252"/>
        <w:tab w:val="right" w:pos="8504"/>
      </w:tabs>
      <w:spacing w:line="240" w:lineRule="auto"/>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1C56BA" w14:textId="77777777" w:rsidR="003D3859" w:rsidRDefault="003D3859">
    <w:pPr>
      <w:pBdr>
        <w:top w:val="nil"/>
        <w:left w:val="nil"/>
        <w:bottom w:val="nil"/>
        <w:right w:val="nil"/>
        <w:between w:val="nil"/>
      </w:pBdr>
      <w:tabs>
        <w:tab w:val="center" w:pos="4252"/>
        <w:tab w:val="right" w:pos="8504"/>
      </w:tabs>
      <w:spacing w:line="240" w:lineRule="auto"/>
      <w:ind w:hanging="2"/>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5EE66" w14:textId="77777777" w:rsidR="003D3859" w:rsidRDefault="003D3859">
    <w:pPr>
      <w:pBdr>
        <w:top w:val="nil"/>
        <w:left w:val="nil"/>
        <w:bottom w:val="nil"/>
        <w:right w:val="nil"/>
        <w:between w:val="nil"/>
      </w:pBdr>
      <w:tabs>
        <w:tab w:val="center" w:pos="4252"/>
        <w:tab w:val="right" w:pos="8504"/>
      </w:tabs>
      <w:spacing w:line="240" w:lineRule="auto"/>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55EF7F" w14:textId="77777777" w:rsidR="0062503F" w:rsidRDefault="0062503F">
      <w:pPr>
        <w:spacing w:line="240" w:lineRule="auto"/>
      </w:pPr>
      <w:r>
        <w:separator/>
      </w:r>
    </w:p>
  </w:footnote>
  <w:footnote w:type="continuationSeparator" w:id="0">
    <w:p w14:paraId="2A63C027" w14:textId="77777777" w:rsidR="0062503F" w:rsidRDefault="006250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1BD778" w14:textId="77777777" w:rsidR="003D3859" w:rsidRDefault="003D3859">
    <w:pPr>
      <w:pBdr>
        <w:top w:val="nil"/>
        <w:left w:val="nil"/>
        <w:bottom w:val="nil"/>
        <w:right w:val="nil"/>
        <w:between w:val="nil"/>
      </w:pBdr>
      <w:tabs>
        <w:tab w:val="center" w:pos="4252"/>
        <w:tab w:val="right" w:pos="8504"/>
      </w:tabs>
      <w:spacing w:line="240" w:lineRule="auto"/>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C0FC60" w14:textId="77777777" w:rsidR="003D3859" w:rsidRDefault="006212DD">
    <w:pPr>
      <w:ind w:hanging="2"/>
    </w:pPr>
    <w:r>
      <w:rPr>
        <w:noProof/>
      </w:rPr>
      <w:drawing>
        <wp:anchor distT="0" distB="0" distL="0" distR="0" simplePos="0" relativeHeight="251658240" behindDoc="1" locked="0" layoutInCell="1" hidden="0" allowOverlap="1" wp14:anchorId="27D5A8DD" wp14:editId="4ABBE8BF">
          <wp:simplePos x="0" y="0"/>
          <wp:positionH relativeFrom="page">
            <wp:posOffset>0</wp:posOffset>
          </wp:positionH>
          <wp:positionV relativeFrom="page">
            <wp:posOffset>6985</wp:posOffset>
          </wp:positionV>
          <wp:extent cx="7563485" cy="1072769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63485" cy="1072769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390C96" w14:textId="77777777" w:rsidR="003D3859" w:rsidRDefault="003D3859">
    <w:pPr>
      <w:pBdr>
        <w:top w:val="nil"/>
        <w:left w:val="nil"/>
        <w:bottom w:val="nil"/>
        <w:right w:val="nil"/>
        <w:between w:val="nil"/>
      </w:pBdr>
      <w:tabs>
        <w:tab w:val="center" w:pos="4252"/>
        <w:tab w:val="right" w:pos="8504"/>
      </w:tabs>
      <w:spacing w:line="240" w:lineRule="auto"/>
      <w:ind w:hanging="2"/>
      <w:rPr>
        <w:color w:val="00000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D3859"/>
    <w:rsid w:val="002052A9"/>
    <w:rsid w:val="002674C3"/>
    <w:rsid w:val="00392716"/>
    <w:rsid w:val="003D3859"/>
    <w:rsid w:val="00420BED"/>
    <w:rsid w:val="006212DD"/>
    <w:rsid w:val="0062503F"/>
    <w:rsid w:val="0081266D"/>
    <w:rsid w:val="00862872"/>
    <w:rsid w:val="00972053"/>
    <w:rsid w:val="00BF7E5D"/>
    <w:rsid w:val="00F31C3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97381D"/>
  <w15:docId w15:val="{6824ECA4-A18F-4E06-AC81-D3C735E20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pt-BR" w:eastAsia="pt-BR" w:bidi="ar-SA"/>
      </w:rPr>
    </w:rPrDefault>
    <w:pPrDefault>
      <w:pPr>
        <w:spacing w:line="276" w:lineRule="auto"/>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kassimira.santos@discente.ufma.br" TargetMode="External"/><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3217</Words>
  <Characters>17372</Characters>
  <Application>Microsoft Office Word</Application>
  <DocSecurity>0</DocSecurity>
  <Lines>144</Lines>
  <Paragraphs>41</Paragraphs>
  <ScaleCrop>false</ScaleCrop>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Carlos</dc:creator>
  <cp:lastModifiedBy>Zaira Sabry</cp:lastModifiedBy>
  <cp:revision>5</cp:revision>
  <dcterms:created xsi:type="dcterms:W3CDTF">2025-09-04T15:10:00Z</dcterms:created>
  <dcterms:modified xsi:type="dcterms:W3CDTF">2025-09-04T15:13:00Z</dcterms:modified>
</cp:coreProperties>
</file>