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b w:val="0"/>
          <w:sz w:val="24"/>
          <w:szCs w:val="24"/>
          <w:vertAlign w:val="baseline"/>
        </w:rPr>
      </w:pPr>
      <w:r w:rsidDel="00000000" w:rsidR="00000000" w:rsidRPr="00000000">
        <w:rPr>
          <w:b w:val="1"/>
          <w:sz w:val="24"/>
          <w:szCs w:val="24"/>
          <w:rtl w:val="0"/>
        </w:rPr>
        <w:t xml:space="preserve">O CORPO COMO CAMPO DE BATALHA: </w:t>
      </w:r>
      <w:r w:rsidDel="00000000" w:rsidR="00000000" w:rsidRPr="00000000">
        <w:rPr>
          <w:sz w:val="24"/>
          <w:szCs w:val="24"/>
          <w:rtl w:val="0"/>
        </w:rPr>
        <w:t xml:space="preserve">disputas entre o feminismo e o fundamentalismo religioso nas políticas de gênero durante o Governo Bolsonaro</w:t>
      </w:r>
      <w:r w:rsidDel="00000000" w:rsidR="00000000" w:rsidRPr="00000000">
        <w:rPr>
          <w:rtl w:val="0"/>
        </w:rPr>
      </w:r>
    </w:p>
    <w:p w:rsidR="00000000" w:rsidDel="00000000" w:rsidP="00000000" w:rsidRDefault="00000000" w:rsidRPr="00000000" w14:paraId="00000002">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3">
      <w:pPr>
        <w:spacing w:line="240" w:lineRule="auto"/>
        <w:ind w:left="5244.094488188976" w:firstLine="0"/>
        <w:jc w:val="both"/>
        <w:rPr>
          <w:b w:val="1"/>
          <w:sz w:val="20"/>
          <w:szCs w:val="20"/>
        </w:rPr>
      </w:pPr>
      <w:r w:rsidDel="00000000" w:rsidR="00000000" w:rsidRPr="00000000">
        <w:rPr>
          <w:sz w:val="24"/>
          <w:szCs w:val="24"/>
          <w:rtl w:val="0"/>
        </w:rPr>
        <w:t xml:space="preserve">Eulália Vitória Dantas de Souza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after="240" w:before="240" w:line="240" w:lineRule="auto"/>
        <w:ind w:left="2834.645669291339" w:firstLine="0"/>
        <w:jc w:val="both"/>
        <w:rPr>
          <w:sz w:val="20"/>
          <w:szCs w:val="20"/>
        </w:rPr>
      </w:pPr>
      <w:r w:rsidDel="00000000" w:rsidR="00000000" w:rsidRPr="00000000">
        <w:rPr>
          <w:sz w:val="20"/>
          <w:szCs w:val="20"/>
          <w:rtl w:val="0"/>
        </w:rPr>
        <w:t xml:space="preserve">O artigo analisa, à luz do materialismo histórico-dialético e da teoria feminista, as disputas em torno do corpo e das políticas de gênero no governo Bolsonaro. O objetivo é compreender como a ofensiva antigênero, enraizada no fundamentalismo religioso e articulada por atores da extrema direita, se institucionalizou como projeto político de erosão democrática. A pesquisa parte da genealogia do discurso antigênero até sua tradução em políticas públicas, como censura curricular, militarização educacional e ataques a programas de saúde sexual e reprodutiva. Ao mesmo tempo, investiga as formas de resistência feminista — institucionais, territoriais, epistêmicas e digitais — e critica a fragmentação do campo progressista, que frequentemente trata gênero como pauta identitária. </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F</w:t>
      </w:r>
      <w:r w:rsidDel="00000000" w:rsidR="00000000" w:rsidRPr="00000000">
        <w:rPr>
          <w:sz w:val="20"/>
          <w:szCs w:val="20"/>
          <w:rtl w:val="0"/>
        </w:rPr>
        <w:t xml:space="preserve">eminismo; Políticas antigênero; Fundamentalismo religioso.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after="240" w:before="240" w:line="240" w:lineRule="auto"/>
        <w:ind w:left="2834.645669291339" w:firstLine="0"/>
        <w:jc w:val="both"/>
        <w:rPr>
          <w:sz w:val="20"/>
          <w:szCs w:val="20"/>
        </w:rPr>
      </w:pPr>
      <w:r w:rsidDel="00000000" w:rsidR="00000000" w:rsidRPr="00000000">
        <w:rPr>
          <w:sz w:val="20"/>
          <w:szCs w:val="20"/>
          <w:rtl w:val="0"/>
        </w:rPr>
        <w:t xml:space="preserve">This article analyzes, based on historical-dialectical materialism and feminist theory (Butler, Biroli, hooks, Carneiro), the disputes over the body and gender policies during the Bolsonaro government. The objective is to understand how the anti-gender agenda, rooted in religious fundamentalism and driven by far-right actors, became institutionalized as a political project of democratic erosion. The research outlines the genealogy of anti-gender discourse and its implementation in public policies, such as curriculum censorship, educational militarization, and attacks on sexual and reproductive health programs. Simultaneously, it explores feminist resistance strategies — institutional, territorial, epistemic, and digital — and critiques the fragmentation within progressive sectors, which often treat gender as a mere identity issue.</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Feminism; Anti-gender policies; Religious fundamentalism.</w:t>
      </w:r>
      <w:r w:rsidDel="00000000" w:rsidR="00000000" w:rsidRPr="00000000">
        <w:rPr>
          <w:rtl w:val="0"/>
        </w:rPr>
      </w:r>
    </w:p>
    <w:p w:rsidR="00000000" w:rsidDel="00000000" w:rsidP="00000000" w:rsidRDefault="00000000" w:rsidRPr="00000000" w14:paraId="0000000D">
      <w:pPr>
        <w:spacing w:line="360" w:lineRule="auto"/>
        <w:rPr>
          <w:b w:val="1"/>
          <w:sz w:val="24"/>
          <w:szCs w:val="24"/>
        </w:rPr>
      </w:pPr>
      <w:r w:rsidDel="00000000" w:rsidR="00000000" w:rsidRPr="00000000">
        <w:rPr>
          <w:rtl w:val="0"/>
        </w:rPr>
      </w:r>
    </w:p>
    <w:p w:rsidR="00000000" w:rsidDel="00000000" w:rsidP="00000000" w:rsidRDefault="00000000" w:rsidRPr="00000000" w14:paraId="0000000E">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0F">
      <w:pPr>
        <w:spacing w:line="360" w:lineRule="auto"/>
        <w:rPr>
          <w:b w:val="1"/>
          <w:sz w:val="24"/>
          <w:szCs w:val="24"/>
        </w:rPr>
      </w:pPr>
      <w:r w:rsidDel="00000000" w:rsidR="00000000" w:rsidRPr="00000000">
        <w:rPr>
          <w:rtl w:val="0"/>
        </w:rPr>
      </w:r>
    </w:p>
    <w:p w:rsidR="00000000" w:rsidDel="00000000" w:rsidP="00000000" w:rsidRDefault="00000000" w:rsidRPr="00000000" w14:paraId="00000010">
      <w:pPr>
        <w:spacing w:after="0" w:before="0" w:line="360" w:lineRule="auto"/>
        <w:ind w:firstLine="708.6614173228347"/>
        <w:jc w:val="both"/>
        <w:rPr>
          <w:sz w:val="24"/>
          <w:szCs w:val="24"/>
        </w:rPr>
      </w:pPr>
      <w:r w:rsidDel="00000000" w:rsidR="00000000" w:rsidRPr="00000000">
        <w:rPr>
          <w:sz w:val="24"/>
          <w:szCs w:val="24"/>
          <w:rtl w:val="0"/>
        </w:rPr>
        <w:t xml:space="preserve">A expressão "corpo como campo de batalha" sintetiza, de forma contundente, a disputa simbólica e material que marca o cenário contemporâneo das políticas de gênero no Brasil. Durante o (des) governo de Jair Bolsonaro (2019–2022), assistimos a uma ofensiva sistemática contra os direitos sexuais e reprodutivos, alimentada por alianças entre setores do fundamentalismo religioso e o aparato estatal. Essa conjuntura foi marcada pela proliferação de discursos antigênero, pelo desmonte institucional de políticas públicas voltadas para mulheres e populações LGBTQIAPN+, e pela ascensão de uma moralidade cristã conservadora como referência normativa para o Estado.</w:t>
      </w:r>
    </w:p>
    <w:p w:rsidR="00000000" w:rsidDel="00000000" w:rsidP="00000000" w:rsidRDefault="00000000" w:rsidRPr="00000000" w14:paraId="00000011">
      <w:pPr>
        <w:spacing w:after="0" w:before="0" w:line="360" w:lineRule="auto"/>
        <w:ind w:firstLine="708.6614173228347"/>
        <w:jc w:val="both"/>
        <w:rPr>
          <w:sz w:val="24"/>
          <w:szCs w:val="24"/>
        </w:rPr>
      </w:pPr>
      <w:r w:rsidDel="00000000" w:rsidR="00000000" w:rsidRPr="00000000">
        <w:rPr>
          <w:sz w:val="24"/>
          <w:szCs w:val="24"/>
          <w:rtl w:val="0"/>
        </w:rPr>
        <w:t xml:space="preserve">Este artigo tem como objetivo analisar, à luz da teoria feminista e do materialismo histórico-dialético, as principais medidas e discursos antigênero implementados durante o governo Bolsonaro, bem como os embates travados pelo campo feminista nesse período. O estudo baseia-se em revisão bibliográfica e documental, com destaque para os estudos de Corrêa (2021), Biroli (2020, 2023), Lacerda (2018, 2019), Teixeira (2018), Butler (2019, 2020), além de relatórios e estudos recentes de entidades como a Fundação Heinrich Böll (2023).</w:t>
      </w:r>
    </w:p>
    <w:p w:rsidR="00000000" w:rsidDel="00000000" w:rsidP="00000000" w:rsidRDefault="00000000" w:rsidRPr="00000000" w14:paraId="00000012">
      <w:pPr>
        <w:spacing w:after="0" w:before="0" w:line="360" w:lineRule="auto"/>
        <w:ind w:firstLine="708.6614173228347"/>
        <w:jc w:val="both"/>
        <w:rPr>
          <w:sz w:val="24"/>
          <w:szCs w:val="24"/>
        </w:rPr>
      </w:pPr>
      <w:r w:rsidDel="00000000" w:rsidR="00000000" w:rsidRPr="00000000">
        <w:rPr>
          <w:sz w:val="24"/>
          <w:szCs w:val="24"/>
          <w:rtl w:val="0"/>
        </w:rPr>
        <w:t xml:space="preserve">Adota-se, como perspectiva teórico-metodológica, o materialismo histórico-dialético, que permite compreender as políticas antigênero como expressão concreta de contradições estruturais do capitalismo em sua fase neoliberal, articuladas a um projeto de poder que mobiliza o patriarcado e o racismo como tecnologias de dominação e exclusão. A teoria feminista oferece ferramentas analíticas para interpretar o entrelaçamento entre gênero, religião, sexualidade e Estado, a partir da noção de que o corpo feminino e dissidente é o locus central das disputas de poder.</w:t>
      </w:r>
    </w:p>
    <w:p w:rsidR="00000000" w:rsidDel="00000000" w:rsidP="00000000" w:rsidRDefault="00000000" w:rsidRPr="00000000" w14:paraId="00000013">
      <w:pPr>
        <w:spacing w:after="240" w:before="240" w:line="360" w:lineRule="auto"/>
        <w:jc w:val="both"/>
        <w:rPr>
          <w:sz w:val="24"/>
          <w:szCs w:val="24"/>
        </w:rPr>
      </w:pPr>
      <w:r w:rsidDel="00000000" w:rsidR="00000000" w:rsidRPr="00000000">
        <w:rPr>
          <w:rtl w:val="0"/>
        </w:rPr>
      </w:r>
    </w:p>
    <w:p w:rsidR="00000000" w:rsidDel="00000000" w:rsidP="00000000" w:rsidRDefault="00000000" w:rsidRPr="00000000" w14:paraId="00000014">
      <w:pPr>
        <w:spacing w:after="240" w:before="240" w:line="360" w:lineRule="auto"/>
        <w:ind w:firstLine="708.6614173228347"/>
        <w:jc w:val="both"/>
        <w:rPr>
          <w:sz w:val="24"/>
          <w:szCs w:val="24"/>
        </w:rPr>
      </w:pPr>
      <w:r w:rsidDel="00000000" w:rsidR="00000000" w:rsidRPr="00000000">
        <w:rPr>
          <w:sz w:val="24"/>
          <w:szCs w:val="24"/>
          <w:rtl w:val="0"/>
        </w:rPr>
        <w:t xml:space="preserve">Ao tratar da ofensiva antigênero como parte de um projeto neoconservador e autoritário de desdemocratização, este trabalho visa contribuir para a compreensão crítica das disputas contemporâneas em torno da produção das normas de gênero, da liberdade sexual e dos direitos humanos, destacando o papel do feminismo enquanto força contra-hegemônica e emancipatória. As próximas seções abordarão a genealogia da política antigênero, sua expressão durante o bolsonarismo e as formas de resistência feminista nesse período histórico, com atenção especial à articulação entre instituições religiosas, Estado e mídia.</w:t>
      </w: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 GENEALOGIA DA POLÍTICA ANTIGÊNERO</w:t>
      </w:r>
    </w:p>
    <w:p w:rsidR="00000000" w:rsidDel="00000000" w:rsidP="00000000" w:rsidRDefault="00000000" w:rsidRPr="00000000" w14:paraId="00000016">
      <w:pPr>
        <w:spacing w:after="0" w:before="240" w:line="360" w:lineRule="auto"/>
        <w:ind w:firstLine="708.6614173228347"/>
        <w:jc w:val="both"/>
        <w:rPr>
          <w:sz w:val="24"/>
          <w:szCs w:val="24"/>
        </w:rPr>
      </w:pPr>
      <w:r w:rsidDel="00000000" w:rsidR="00000000" w:rsidRPr="00000000">
        <w:rPr>
          <w:sz w:val="24"/>
          <w:szCs w:val="24"/>
          <w:rtl w:val="0"/>
        </w:rPr>
        <w:t xml:space="preserve">A emergência do discurso antigênero não é um fenômeno recente, nem circunscrito ao contexto brasileiro. Trata-se de uma construção discursiva transnacional com raízes profundas em setores conservadores ligados à Igreja Católica e, posteriormente, às igrejas evangélicas, sobretudo pentecostais e neopentecostais. Como aponta Corrêa (2021), a formulação e disseminação da chamada “ideologia de gênero” ocorreu a partir das conferências da ONU sobre direitos das mulheres nos anos 1990, especialmente a Conferência do Cairo (1994) e a de Pequim (1995). Grupos católicos conservadores, liderados pelo Vaticano, passaram a articular uma reação global à ascensão das pautas feministas e LGBTQIAPN+ nesses fóruns internacionais.</w:t>
      </w:r>
    </w:p>
    <w:p w:rsidR="00000000" w:rsidDel="00000000" w:rsidP="00000000" w:rsidRDefault="00000000" w:rsidRPr="00000000" w14:paraId="00000017">
      <w:pPr>
        <w:spacing w:after="0" w:before="0" w:line="360" w:lineRule="auto"/>
        <w:ind w:firstLine="708.6614173228347"/>
        <w:jc w:val="both"/>
        <w:rPr>
          <w:sz w:val="24"/>
          <w:szCs w:val="24"/>
        </w:rPr>
      </w:pPr>
      <w:r w:rsidDel="00000000" w:rsidR="00000000" w:rsidRPr="00000000">
        <w:rPr>
          <w:sz w:val="24"/>
          <w:szCs w:val="24"/>
          <w:rtl w:val="0"/>
        </w:rPr>
        <w:t xml:space="preserve">A retórica da “ideologia de gênero” apresenta o gênero como uma construção ameaçadora à ordem natural e divina, uma invenção das elites progressistas ocidentais para destruir a família e a moral cristã. Butler (2019) interpreta esse discurso como uma resposta à expansão dos movimentos sociais que desafiaram a autoridade da religião sobre o domínio privado da família. Ao invés de ser um retorno ao pré-moderno, como comumente sugerido, trata-se de uma contraofensiva moderna que procura reconstituir o lugar da religião como fonte legítima de ordenamento moral no espaço público.</w:t>
      </w:r>
    </w:p>
    <w:p w:rsidR="00000000" w:rsidDel="00000000" w:rsidP="00000000" w:rsidRDefault="00000000" w:rsidRPr="00000000" w14:paraId="00000018">
      <w:pPr>
        <w:spacing w:after="0" w:before="0" w:line="360" w:lineRule="auto"/>
        <w:ind w:firstLine="708.6614173228347"/>
        <w:jc w:val="both"/>
        <w:rPr>
          <w:sz w:val="24"/>
          <w:szCs w:val="24"/>
        </w:rPr>
      </w:pPr>
      <w:r w:rsidDel="00000000" w:rsidR="00000000" w:rsidRPr="00000000">
        <w:rPr>
          <w:sz w:val="24"/>
          <w:szCs w:val="24"/>
          <w:rtl w:val="0"/>
        </w:rPr>
        <w:t xml:space="preserve">Segundo Lacerda (2018), a estratégia de difusão do termo ideologia de gênero se consolidou no Brasil por meio da atuação de atores religiosos organizados, com forte apoio midiático e articulação institucional. Já na década de 2010, essa retórica passa a ser mobilizada politicamente, em especial por figuras públicas como o deputado federal Pastor Marco Feliciano, que em 2013 assume a presidência da Comissão de Direitos Humanos e Minorias da Câmara dos Deputados. Esse movimento marcou a entrada definitiva do discurso antigênero na política institucional brasileira.</w:t>
      </w:r>
    </w:p>
    <w:p w:rsidR="00000000" w:rsidDel="00000000" w:rsidP="00000000" w:rsidRDefault="00000000" w:rsidRPr="00000000" w14:paraId="00000019">
      <w:pPr>
        <w:spacing w:after="0" w:before="0" w:line="360" w:lineRule="auto"/>
        <w:ind w:firstLine="708.6614173228347"/>
        <w:jc w:val="both"/>
        <w:rPr>
          <w:sz w:val="24"/>
          <w:szCs w:val="24"/>
        </w:rPr>
      </w:pPr>
      <w:r w:rsidDel="00000000" w:rsidR="00000000" w:rsidRPr="00000000">
        <w:rPr>
          <w:sz w:val="24"/>
          <w:szCs w:val="24"/>
          <w:rtl w:val="0"/>
        </w:rPr>
        <w:t xml:space="preserve">O relatório “Religião, democracia e a extrema direita” (VITAL; PAULA, 2023) destaca que, já antes do governo Bolsonaro, grupos evangélicos vinham organizando agendas políticas articuladas em torno da saúde, da educação, da sexualidade, da infância e da família. O que se observa é a consolidação de um projeto político que instrumentaliza a religião para limitar direitos e controlar corpos — especialmente os corpos femininos, negros e LGBTQIAPN+.</w:t>
      </w:r>
    </w:p>
    <w:p w:rsidR="00000000" w:rsidDel="00000000" w:rsidP="00000000" w:rsidRDefault="00000000" w:rsidRPr="00000000" w14:paraId="0000001A">
      <w:pPr>
        <w:spacing w:after="0" w:before="0" w:line="360" w:lineRule="auto"/>
        <w:ind w:firstLine="708.6614173228347"/>
        <w:jc w:val="both"/>
        <w:rPr>
          <w:sz w:val="24"/>
          <w:szCs w:val="24"/>
        </w:rPr>
      </w:pPr>
      <w:r w:rsidDel="00000000" w:rsidR="00000000" w:rsidRPr="00000000">
        <w:rPr>
          <w:sz w:val="24"/>
          <w:szCs w:val="24"/>
          <w:rtl w:val="0"/>
        </w:rPr>
        <w:t xml:space="preserve">Com efeito, o conceito de ideologia de gênero passa a operar como uma metonímia do mal: tudo aquilo que destoa do padrão heteronormativo e patriarcal é enquadrado como parte de uma conspiração anticristã. Como argumenta Butler (2019) a ideia de gênero como construção social desencadeou a crença de que indivíduos podiam escolher seu próprio gênero, ou viver sem os constrangimentos do casamento e da heterossexualidade. Essa percepção alimenta teorias conspiratórias que colocam o feminismo e os estudos de gênero como alvos centrais de ataques.</w:t>
      </w:r>
    </w:p>
    <w:p w:rsidR="00000000" w:rsidDel="00000000" w:rsidP="00000000" w:rsidRDefault="00000000" w:rsidRPr="00000000" w14:paraId="0000001B">
      <w:pPr>
        <w:spacing w:after="0" w:before="0" w:line="360" w:lineRule="auto"/>
        <w:ind w:firstLine="708.6614173228347"/>
        <w:jc w:val="both"/>
        <w:rPr>
          <w:sz w:val="24"/>
          <w:szCs w:val="24"/>
        </w:rPr>
      </w:pPr>
      <w:r w:rsidDel="00000000" w:rsidR="00000000" w:rsidRPr="00000000">
        <w:rPr>
          <w:sz w:val="24"/>
          <w:szCs w:val="24"/>
          <w:rtl w:val="0"/>
        </w:rPr>
        <w:t xml:space="preserve">A Igreja Universal do Reino de Deus (IURD) desempenha um papel fundamental nesse processo. Como evidencia Teixeira (2018), projetos como o </w:t>
      </w:r>
      <w:r w:rsidDel="00000000" w:rsidR="00000000" w:rsidRPr="00000000">
        <w:rPr>
          <w:i w:val="1"/>
          <w:sz w:val="24"/>
          <w:szCs w:val="24"/>
          <w:rtl w:val="0"/>
        </w:rPr>
        <w:t xml:space="preserve">Godllywood </w:t>
      </w:r>
      <w:r w:rsidDel="00000000" w:rsidR="00000000" w:rsidRPr="00000000">
        <w:rPr>
          <w:sz w:val="24"/>
          <w:szCs w:val="24"/>
          <w:rtl w:val="0"/>
        </w:rPr>
        <w:t xml:space="preserve">e o Projeto Raabe promovem uma pedagogia de gênero voltada para a submissão, a heterossexualidade compulsória e o papel da mulher como cuidadora e esposa fiel. A doutrina da prosperidade se articula com uma política moral que impõe padrões comportamentais, ao mesmo tempo em que fortalece redes de poder político e econômico.</w:t>
      </w:r>
    </w:p>
    <w:p w:rsidR="00000000" w:rsidDel="00000000" w:rsidP="00000000" w:rsidRDefault="00000000" w:rsidRPr="00000000" w14:paraId="0000001C">
      <w:pPr>
        <w:spacing w:after="0" w:before="0" w:line="360" w:lineRule="auto"/>
        <w:ind w:firstLine="708.6614173228347"/>
        <w:jc w:val="both"/>
        <w:rPr>
          <w:sz w:val="24"/>
          <w:szCs w:val="24"/>
        </w:rPr>
      </w:pPr>
      <w:r w:rsidDel="00000000" w:rsidR="00000000" w:rsidRPr="00000000">
        <w:rPr>
          <w:sz w:val="24"/>
          <w:szCs w:val="24"/>
          <w:rtl w:val="0"/>
        </w:rPr>
        <w:t xml:space="preserve">Essa genealogia da política antigênero revela uma confluência entre moral religiosa, lógica neoliberal e autoritarismo estatal. É nesse ponto que se deve compreender a transição da cruzada moral para a formulação de políticas públicas inspiradas nesse ideário. O que era retórica pastoral se torna pauta legislativa; o que era moral religiosa se converte em programa de governo.</w:t>
      </w:r>
    </w:p>
    <w:p w:rsidR="00000000" w:rsidDel="00000000" w:rsidP="00000000" w:rsidRDefault="00000000" w:rsidRPr="00000000" w14:paraId="0000001D">
      <w:pPr>
        <w:spacing w:after="0" w:before="0" w:line="360" w:lineRule="auto"/>
        <w:ind w:firstLine="708.6614173228347"/>
        <w:jc w:val="both"/>
        <w:rPr>
          <w:sz w:val="24"/>
          <w:szCs w:val="24"/>
        </w:rPr>
      </w:pPr>
      <w:r w:rsidDel="00000000" w:rsidR="00000000" w:rsidRPr="00000000">
        <w:rPr>
          <w:sz w:val="24"/>
          <w:szCs w:val="24"/>
          <w:rtl w:val="0"/>
        </w:rPr>
        <w:t xml:space="preserve">Como aponta Biroli (2020), as campanhas antigênero se configuram como projetos de poder, que tentam reestabelecer hierarquias e conter a ampliação da cidadania. Assim, a ofensiva antigênero é mais do que uma reação conservadora: ela é parte de um projeto articulado de desdemocratização que mobiliza o medo, o ressentimento e a fé como tecnologias de dominação política e simbólica.</w:t>
      </w:r>
    </w:p>
    <w:p w:rsidR="00000000" w:rsidDel="00000000" w:rsidP="00000000" w:rsidRDefault="00000000" w:rsidRPr="00000000" w14:paraId="0000001E">
      <w:pPr>
        <w:spacing w:line="360" w:lineRule="auto"/>
        <w:jc w:val="both"/>
        <w:rPr>
          <w:sz w:val="24"/>
          <w:szCs w:val="24"/>
        </w:rPr>
      </w:pPr>
      <w:r w:rsidDel="00000000" w:rsidR="00000000" w:rsidRPr="00000000">
        <w:rPr>
          <w:rtl w:val="0"/>
        </w:rPr>
      </w:r>
    </w:p>
    <w:p w:rsidR="00000000" w:rsidDel="00000000" w:rsidP="00000000" w:rsidRDefault="00000000" w:rsidRPr="00000000" w14:paraId="0000001F">
      <w:pPr>
        <w:spacing w:line="360" w:lineRule="auto"/>
        <w:jc w:val="both"/>
        <w:rPr>
          <w:b w:val="1"/>
          <w:sz w:val="24"/>
          <w:szCs w:val="24"/>
        </w:rPr>
      </w:pPr>
      <w:r w:rsidDel="00000000" w:rsidR="00000000" w:rsidRPr="00000000">
        <w:rPr>
          <w:b w:val="1"/>
          <w:sz w:val="24"/>
          <w:szCs w:val="24"/>
          <w:rtl w:val="0"/>
        </w:rPr>
        <w:t xml:space="preserve">3.  O BOLSONARISMO, FUNDAMENTALISMO RELIGIOSO E A INSTITUCIONALIZAÇÃO DO DISCURSO ANTIGÊNERO </w:t>
      </w:r>
    </w:p>
    <w:p w:rsidR="00000000" w:rsidDel="00000000" w:rsidP="00000000" w:rsidRDefault="00000000" w:rsidRPr="00000000" w14:paraId="00000020">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1">
      <w:pPr>
        <w:spacing w:after="0" w:before="0" w:line="360" w:lineRule="auto"/>
        <w:ind w:firstLine="708.6614173228347"/>
        <w:jc w:val="both"/>
        <w:rPr>
          <w:sz w:val="24"/>
          <w:szCs w:val="24"/>
        </w:rPr>
      </w:pPr>
      <w:r w:rsidDel="00000000" w:rsidR="00000000" w:rsidRPr="00000000">
        <w:rPr>
          <w:sz w:val="24"/>
          <w:szCs w:val="24"/>
          <w:rtl w:val="0"/>
        </w:rPr>
        <w:t xml:space="preserve">Durante o (des)governo Bolsonaro, a ofensiva antigênero assumiu uma nova dimensão: deixou de ser apenas uma retórica religiosa e passou a operar como política de Estado. A nomeação de Damares Alves para o Ministério da Mulher, da Família e dos Direitos Humanos simbolizou essa transição. Sua atuação foi marcada por uma moralidade cristã conservadora que orientou políticas de controle sobre os corpos de mulheres, crianças e pessoas LGBTQIAPN+, revelando a consolidação de um projeto autoritário sustentado por valores religiosos e punitivismo institucionalizado.</w:t>
      </w:r>
    </w:p>
    <w:p w:rsidR="00000000" w:rsidDel="00000000" w:rsidP="00000000" w:rsidRDefault="00000000" w:rsidRPr="00000000" w14:paraId="00000022">
      <w:pPr>
        <w:spacing w:after="0" w:before="0" w:line="360" w:lineRule="auto"/>
        <w:ind w:firstLine="708.6614173228347"/>
        <w:jc w:val="both"/>
        <w:rPr>
          <w:sz w:val="24"/>
          <w:szCs w:val="24"/>
        </w:rPr>
      </w:pPr>
      <w:r w:rsidDel="00000000" w:rsidR="00000000" w:rsidRPr="00000000">
        <w:rPr>
          <w:sz w:val="24"/>
          <w:szCs w:val="24"/>
          <w:rtl w:val="0"/>
        </w:rPr>
        <w:t xml:space="preserve">Como aponta Lacerda (2019), esse modelo de governança se sustenta na convergência entre moral cristã, lógica neoliberal e repressão, redefinindo o papel do Estado e das políticas sociais. Essa conformação não ocorreu de forma isolada, mas foi favorecida pela inserção crescente do fundamentalismo religioso na esfera pública. Segundo Souza (2024), igrejas neopentecostais ampliaram sua influência política e social por meio da propagação de discursos antigênero, assumindo o papel de formuladoras de uma agenda que busca disciplinar corpos e subjetividades a partir de valores patriarcais. Teixeira (2018) chama a atenção para a pedagogia de gênero imposta tanto nas igrejas quanto nas instituições públicas, fragilizando a laicidade do Estado.</w:t>
      </w:r>
    </w:p>
    <w:p w:rsidR="00000000" w:rsidDel="00000000" w:rsidP="00000000" w:rsidRDefault="00000000" w:rsidRPr="00000000" w14:paraId="00000023">
      <w:pPr>
        <w:spacing w:after="0" w:before="0" w:line="360" w:lineRule="auto"/>
        <w:ind w:firstLine="708.6614173228347"/>
        <w:jc w:val="both"/>
        <w:rPr>
          <w:sz w:val="24"/>
          <w:szCs w:val="24"/>
        </w:rPr>
      </w:pPr>
      <w:r w:rsidDel="00000000" w:rsidR="00000000" w:rsidRPr="00000000">
        <w:rPr>
          <w:sz w:val="24"/>
          <w:szCs w:val="24"/>
          <w:rtl w:val="0"/>
        </w:rPr>
        <w:t xml:space="preserve">Esse processo encontrou no bolsonarismo terreno fértil para transformar o discurso religioso em norma estatal. De acordo com Souza (2024), algumas das principais medidas que expressam essa institucionalização incluem:</w:t>
      </w:r>
    </w:p>
    <w:p w:rsidR="00000000" w:rsidDel="00000000" w:rsidP="00000000" w:rsidRDefault="00000000" w:rsidRPr="00000000" w14:paraId="00000024">
      <w:pPr>
        <w:numPr>
          <w:ilvl w:val="0"/>
          <w:numId w:val="1"/>
        </w:numPr>
        <w:spacing w:after="0" w:afterAutospacing="0" w:before="240" w:line="360" w:lineRule="auto"/>
        <w:ind w:left="720" w:hanging="360"/>
        <w:jc w:val="both"/>
        <w:rPr>
          <w:sz w:val="24"/>
          <w:szCs w:val="24"/>
        </w:rPr>
      </w:pPr>
      <w:r w:rsidDel="00000000" w:rsidR="00000000" w:rsidRPr="00000000">
        <w:rPr>
          <w:sz w:val="24"/>
          <w:szCs w:val="24"/>
          <w:rtl w:val="0"/>
        </w:rPr>
        <w:t xml:space="preserve">A extinção e substituição de estruturas como a Secretaria de Políticas para as Mulheres por secretarias com foco em “valores familiares”;</w:t>
      </w:r>
    </w:p>
    <w:p w:rsidR="00000000" w:rsidDel="00000000" w:rsidP="00000000" w:rsidRDefault="00000000" w:rsidRPr="00000000" w14:paraId="00000025">
      <w:pPr>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A paralisação da Política Nacional de Enfrentamento à Violência contra a Mulher;</w:t>
      </w:r>
    </w:p>
    <w:p w:rsidR="00000000" w:rsidDel="00000000" w:rsidP="00000000" w:rsidRDefault="00000000" w:rsidRPr="00000000" w14:paraId="00000026">
      <w:pPr>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A supressão da palavra “gênero” em documentos oficiais, como o Plano Nacional de Educação;</w:t>
      </w:r>
    </w:p>
    <w:p w:rsidR="00000000" w:rsidDel="00000000" w:rsidP="00000000" w:rsidRDefault="00000000" w:rsidRPr="00000000" w14:paraId="00000027">
      <w:pPr>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A suspensão de editais de livros didáticos que tratavam da diversidade sexual e de gênero;</w:t>
      </w:r>
    </w:p>
    <w:p w:rsidR="00000000" w:rsidDel="00000000" w:rsidP="00000000" w:rsidRDefault="00000000" w:rsidRPr="00000000" w14:paraId="00000028">
      <w:pPr>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A adoção de programas baseados em abstinência sexual como política oficial de prevenção da gravidez precoce, com forte apelo religioso;</w:t>
      </w:r>
    </w:p>
    <w:p w:rsidR="00000000" w:rsidDel="00000000" w:rsidP="00000000" w:rsidRDefault="00000000" w:rsidRPr="00000000" w14:paraId="00000029">
      <w:pPr>
        <w:numPr>
          <w:ilvl w:val="0"/>
          <w:numId w:val="1"/>
        </w:numPr>
        <w:spacing w:after="0" w:afterAutospacing="0" w:before="0" w:beforeAutospacing="0" w:line="360" w:lineRule="auto"/>
        <w:ind w:left="720" w:hanging="360"/>
        <w:jc w:val="both"/>
        <w:rPr>
          <w:sz w:val="24"/>
          <w:szCs w:val="24"/>
        </w:rPr>
      </w:pPr>
      <w:r w:rsidDel="00000000" w:rsidR="00000000" w:rsidRPr="00000000">
        <w:rPr>
          <w:sz w:val="24"/>
          <w:szCs w:val="24"/>
          <w:rtl w:val="0"/>
        </w:rPr>
        <w:t xml:space="preserve">A censura de conteúdos escolares relacionados à sexualidade e aos direitos reprodutivos, promovida pelo programa “Escola sem Partido”;</w:t>
      </w:r>
    </w:p>
    <w:p w:rsidR="00000000" w:rsidDel="00000000" w:rsidP="00000000" w:rsidRDefault="00000000" w:rsidRPr="00000000" w14:paraId="0000002A">
      <w:pPr>
        <w:numPr>
          <w:ilvl w:val="0"/>
          <w:numId w:val="1"/>
        </w:numPr>
        <w:spacing w:after="240" w:before="0" w:beforeAutospacing="0" w:line="360" w:lineRule="auto"/>
        <w:ind w:left="720" w:hanging="360"/>
        <w:jc w:val="both"/>
        <w:rPr>
          <w:sz w:val="24"/>
          <w:szCs w:val="24"/>
        </w:rPr>
      </w:pPr>
      <w:r w:rsidDel="00000000" w:rsidR="00000000" w:rsidRPr="00000000">
        <w:rPr>
          <w:sz w:val="24"/>
          <w:szCs w:val="24"/>
          <w:rtl w:val="0"/>
        </w:rPr>
        <w:t xml:space="preserve">A nomeação de agentes religiosos em cargos estratégicos de conselhos e secretarias.</w:t>
      </w:r>
    </w:p>
    <w:p w:rsidR="00000000" w:rsidDel="00000000" w:rsidP="00000000" w:rsidRDefault="00000000" w:rsidRPr="00000000" w14:paraId="0000002B">
      <w:pPr>
        <w:spacing w:after="0" w:before="0" w:line="360" w:lineRule="auto"/>
        <w:ind w:left="0" w:firstLine="708.6614173228347"/>
        <w:jc w:val="both"/>
        <w:rPr>
          <w:sz w:val="24"/>
          <w:szCs w:val="24"/>
        </w:rPr>
      </w:pPr>
      <w:r w:rsidDel="00000000" w:rsidR="00000000" w:rsidRPr="00000000">
        <w:rPr>
          <w:sz w:val="24"/>
          <w:szCs w:val="24"/>
          <w:rtl w:val="0"/>
        </w:rPr>
        <w:t xml:space="preserve">Essas ações reconfiguraram profundamente os marcos das políticas públicas, instaurando uma pedagogia autoritária no trato com os direitos humanos e com a cidadania. Como analisa Butler (2019), a ideologia antigênero promove a recusa das formas plurais de vida, reduzindo o campo democrático ao dogma moral. Nesse cenário, a atuação de igrejas como a IURD foi estratégica, tanto no Legislativo quanto na formulação de políticas, por meio de programas como o Projeto Raabe e o </w:t>
      </w:r>
      <w:r w:rsidDel="00000000" w:rsidR="00000000" w:rsidRPr="00000000">
        <w:rPr>
          <w:i w:val="1"/>
          <w:sz w:val="24"/>
          <w:szCs w:val="24"/>
          <w:rtl w:val="0"/>
        </w:rPr>
        <w:t xml:space="preserve">Godllywood</w:t>
      </w:r>
      <w:r w:rsidDel="00000000" w:rsidR="00000000" w:rsidRPr="00000000">
        <w:rPr>
          <w:i w:val="1"/>
          <w:sz w:val="24"/>
          <w:szCs w:val="24"/>
          <w:vertAlign w:val="superscript"/>
        </w:rPr>
        <w:footnoteReference w:customMarkFollows="0" w:id="1"/>
      </w:r>
      <w:r w:rsidDel="00000000" w:rsidR="00000000" w:rsidRPr="00000000">
        <w:rPr>
          <w:sz w:val="24"/>
          <w:szCs w:val="24"/>
          <w:rtl w:val="0"/>
        </w:rPr>
        <w:t xml:space="preserve">, que impuseram padrões de conduta baseados na submissão feminina e no recato.</w:t>
      </w:r>
    </w:p>
    <w:p w:rsidR="00000000" w:rsidDel="00000000" w:rsidP="00000000" w:rsidRDefault="00000000" w:rsidRPr="00000000" w14:paraId="0000002C">
      <w:pPr>
        <w:spacing w:after="0" w:before="0" w:line="360" w:lineRule="auto"/>
        <w:ind w:firstLine="708.6614173228347"/>
        <w:jc w:val="both"/>
        <w:rPr>
          <w:sz w:val="24"/>
          <w:szCs w:val="24"/>
        </w:rPr>
      </w:pPr>
      <w:r w:rsidDel="00000000" w:rsidR="00000000" w:rsidRPr="00000000">
        <w:rPr>
          <w:sz w:val="24"/>
          <w:szCs w:val="24"/>
          <w:rtl w:val="0"/>
        </w:rPr>
        <w:t xml:space="preserve">O relatório da Fundação Heinrich Böll (2023) demonstra como a capilaridade desses discursos nas mídias, periferias e instituições converteu o “gênero” em inimigo simbólico, consolidando uma gramática política da extrema direita. A articulação entre igreja, Estado e mídia funcionou como engrenagem do bolsonarismo para deslegitimar o feminismo e os movimentos sociais. Como observa Biroli (2020), não se trata apenas de silenciar uma agenda, mas de deslocar os próprios sentidos da política, transformando o corpo em território de disputa — entre controle e resistência, dogma e emancipação.</w:t>
      </w:r>
    </w:p>
    <w:p w:rsidR="00000000" w:rsidDel="00000000" w:rsidP="00000000" w:rsidRDefault="00000000" w:rsidRPr="00000000" w14:paraId="0000002D">
      <w:pPr>
        <w:spacing w:after="0" w:before="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E">
      <w:pPr>
        <w:spacing w:line="360" w:lineRule="auto"/>
        <w:jc w:val="both"/>
        <w:rPr>
          <w:b w:val="1"/>
          <w:sz w:val="24"/>
          <w:szCs w:val="24"/>
        </w:rPr>
      </w:pPr>
      <w:r w:rsidDel="00000000" w:rsidR="00000000" w:rsidRPr="00000000">
        <w:rPr>
          <w:b w:val="1"/>
          <w:sz w:val="24"/>
          <w:szCs w:val="24"/>
          <w:rtl w:val="0"/>
        </w:rPr>
        <w:t xml:space="preserve">4</w:t>
      </w:r>
      <w:r w:rsidDel="00000000" w:rsidR="00000000" w:rsidRPr="00000000">
        <w:rPr>
          <w:b w:val="1"/>
          <w:sz w:val="24"/>
          <w:szCs w:val="24"/>
          <w:vertAlign w:val="baseline"/>
          <w:rtl w:val="0"/>
        </w:rPr>
        <w:tab/>
      </w:r>
      <w:r w:rsidDel="00000000" w:rsidR="00000000" w:rsidRPr="00000000">
        <w:rPr>
          <w:b w:val="1"/>
          <w:sz w:val="24"/>
          <w:szCs w:val="24"/>
          <w:rtl w:val="0"/>
        </w:rPr>
        <w:t xml:space="preserve">RESISTÊNCIA FEMINISTA E INSURGÊNCIA DOS CORPOS</w:t>
      </w:r>
    </w:p>
    <w:p w:rsidR="00000000" w:rsidDel="00000000" w:rsidP="00000000" w:rsidRDefault="00000000" w:rsidRPr="00000000" w14:paraId="0000002F">
      <w:pPr>
        <w:spacing w:after="0" w:before="240" w:line="360" w:lineRule="auto"/>
        <w:ind w:firstLine="708.6614173228347"/>
        <w:jc w:val="both"/>
        <w:rPr>
          <w:sz w:val="24"/>
          <w:szCs w:val="24"/>
        </w:rPr>
      </w:pPr>
      <w:r w:rsidDel="00000000" w:rsidR="00000000" w:rsidRPr="00000000">
        <w:rPr>
          <w:sz w:val="24"/>
          <w:szCs w:val="24"/>
          <w:rtl w:val="0"/>
        </w:rPr>
        <w:t xml:space="preserve">A resistência feminista ao projeto antigênero do governo Bolsonaro revelou-se multifacetada, criativa e profundamente enraizada nos territórios populares, nas universidades, nas instituições e nos espaços religiosos. Diante da ofensiva moralista e autoritária, movimentos feministas e LGBTQIAPN+ não apenas denunciaram os retrocessos, mas também construíram alternativas discursivas, políticas e pedagógicas. A defesa dos corpos como sujeitos políticos passou a ser eixo estratégico das lutas por direitos.</w:t>
      </w:r>
    </w:p>
    <w:p w:rsidR="00000000" w:rsidDel="00000000" w:rsidP="00000000" w:rsidRDefault="00000000" w:rsidRPr="00000000" w14:paraId="00000030">
      <w:pPr>
        <w:spacing w:after="0" w:before="0" w:line="360" w:lineRule="auto"/>
        <w:ind w:firstLine="708.6614173228347"/>
        <w:jc w:val="both"/>
        <w:rPr>
          <w:sz w:val="24"/>
          <w:szCs w:val="24"/>
        </w:rPr>
      </w:pPr>
      <w:r w:rsidDel="00000000" w:rsidR="00000000" w:rsidRPr="00000000">
        <w:rPr>
          <w:sz w:val="24"/>
          <w:szCs w:val="24"/>
          <w:rtl w:val="0"/>
        </w:rPr>
        <w:t xml:space="preserve">No plano institucional, coletivos como a Marcha Mundial das Mulheres, a Articulação de Mulheres Brasileiras (AMB), a ANTRA (Associação Nacional de Travestis e Transexuais) e a Rede Feminista de Juristas (DeFEMde) articularam ações de enfrentamento jurídico e </w:t>
      </w:r>
      <w:r w:rsidDel="00000000" w:rsidR="00000000" w:rsidRPr="00000000">
        <w:rPr>
          <w:i w:val="1"/>
          <w:sz w:val="24"/>
          <w:szCs w:val="24"/>
          <w:rtl w:val="0"/>
        </w:rPr>
        <w:t xml:space="preserve">advocacy </w:t>
      </w:r>
      <w:r w:rsidDel="00000000" w:rsidR="00000000" w:rsidRPr="00000000">
        <w:rPr>
          <w:sz w:val="24"/>
          <w:szCs w:val="24"/>
          <w:rtl w:val="0"/>
        </w:rPr>
        <w:t xml:space="preserve">internacional</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A atuação de parlamentares feministas no Congresso e em assembleias legislativas foi fundamental para conter retrocessos e construir agendas alternativas. O feminismo se apresenta como uma força de resistência não apenas às desigualdades de gênero, mas à erosão democrática em curso.</w:t>
      </w:r>
    </w:p>
    <w:p w:rsidR="00000000" w:rsidDel="00000000" w:rsidP="00000000" w:rsidRDefault="00000000" w:rsidRPr="00000000" w14:paraId="00000031">
      <w:pPr>
        <w:spacing w:after="0" w:before="0" w:line="360" w:lineRule="auto"/>
        <w:ind w:firstLine="708.6614173228347"/>
        <w:jc w:val="both"/>
        <w:rPr>
          <w:sz w:val="24"/>
          <w:szCs w:val="24"/>
        </w:rPr>
      </w:pPr>
      <w:r w:rsidDel="00000000" w:rsidR="00000000" w:rsidRPr="00000000">
        <w:rPr>
          <w:sz w:val="24"/>
          <w:szCs w:val="24"/>
          <w:rtl w:val="0"/>
        </w:rPr>
        <w:t xml:space="preserve">Entretanto, é preciso reconhecer que, mesmo diante de uma conjuntura de resistência, o campo progressista brasileiro — incluindo partidos de esquerda e setores aliados — frequentemente reduziu os debates de gênero ao campo das chamadas “pautas identitárias”. Tal enquadramento, como alertam Corrêa (2021) e Lacerda (2018), fragmenta as lutas políticas, desconsidera as dimensões estruturais da dominação patriarcal e racial e enfraquece a inserção das políticas de gênero como eixo transversal das políticas públicas. Ao invés de reconhecer a centralidade do corpo e das relações de gênero na produção das desigualdades sociais, muitos setores progressistas relegaram esses debates a uma posição secundária ou setorial.</w:t>
      </w:r>
    </w:p>
    <w:p w:rsidR="00000000" w:rsidDel="00000000" w:rsidP="00000000" w:rsidRDefault="00000000" w:rsidRPr="00000000" w14:paraId="00000032">
      <w:pPr>
        <w:spacing w:after="0" w:before="0" w:line="360" w:lineRule="auto"/>
        <w:ind w:firstLine="708.6614173228347"/>
        <w:jc w:val="both"/>
        <w:rPr>
          <w:sz w:val="24"/>
          <w:szCs w:val="24"/>
        </w:rPr>
      </w:pPr>
      <w:r w:rsidDel="00000000" w:rsidR="00000000" w:rsidRPr="00000000">
        <w:rPr>
          <w:sz w:val="24"/>
          <w:szCs w:val="24"/>
          <w:rtl w:val="0"/>
        </w:rPr>
        <w:t xml:space="preserve">Essa fragmentação tem consequências concretas no desenho, execução e continuidade de políticas públicas. Ao contrário dos setores religiosos e da extrema direita, cuja atuação em torno do discurso antigênero é altamente articulada, disciplinada e estrategicamente capilarizada nas instituições e nos territórios, os setores progressistas têm demonstrado fragilidades organizacionais, baixa institucionalização e limitada capacidade de mobilização popular contínua. Como ressalta o relatório da Fundação Heinrich Böll (2023), a extrema direita conseguiu transformar o gênero em um inimigo público unificador, enquanto a esquerda teve dificuldades de articular uma resposta política robusta e abrangente.</w:t>
      </w:r>
    </w:p>
    <w:p w:rsidR="00000000" w:rsidDel="00000000" w:rsidP="00000000" w:rsidRDefault="00000000" w:rsidRPr="00000000" w14:paraId="00000033">
      <w:pPr>
        <w:spacing w:after="0" w:before="0" w:line="360" w:lineRule="auto"/>
        <w:ind w:firstLine="708.6614173228347"/>
        <w:jc w:val="both"/>
        <w:rPr>
          <w:sz w:val="24"/>
          <w:szCs w:val="24"/>
        </w:rPr>
      </w:pPr>
      <w:r w:rsidDel="00000000" w:rsidR="00000000" w:rsidRPr="00000000">
        <w:rPr>
          <w:sz w:val="24"/>
          <w:szCs w:val="24"/>
          <w:rtl w:val="0"/>
        </w:rPr>
        <w:t xml:space="preserve">Na esfera epistêmica, a teoria feminista produziu análises críticas sobre os impactos da política antigênero e propôs conceitos e categorias que permitiram compreender os dispositivos de poder em ação. A cruzada antigênero visa destruir o campo da crítica, convertendo o gênero em inimigo simbólico da nação. A resistência, portanto, passa também pela reafirmação do pensamento como forma de luta — mas esta reafirmação exige mais do que crítica: exige também articulação estratégica.</w:t>
      </w:r>
    </w:p>
    <w:p w:rsidR="00000000" w:rsidDel="00000000" w:rsidP="00000000" w:rsidRDefault="00000000" w:rsidRPr="00000000" w14:paraId="00000034">
      <w:pPr>
        <w:spacing w:after="0" w:before="0" w:line="360" w:lineRule="auto"/>
        <w:ind w:firstLine="708.6614173228347"/>
        <w:jc w:val="both"/>
        <w:rPr>
          <w:sz w:val="24"/>
          <w:szCs w:val="24"/>
        </w:rPr>
      </w:pPr>
      <w:r w:rsidDel="00000000" w:rsidR="00000000" w:rsidRPr="00000000">
        <w:rPr>
          <w:sz w:val="24"/>
          <w:szCs w:val="24"/>
          <w:rtl w:val="0"/>
        </w:rPr>
        <w:t xml:space="preserve">Nas periferias e nos territórios tradicionais, a resistência assumiu formas próprias. Mulheres indígenas, quilombolas, camponesas e periféricas organizaram redes de solidariedade, autocuidado, produção cultural e economia solidária que reforçaram a centralidade do corpo como lugar de saber e agência. No interior das igrejas, especialmente entre mulheres neopentecostais, emergiram formas ambíguas e criativas de resistência. </w:t>
      </w:r>
    </w:p>
    <w:p w:rsidR="00000000" w:rsidDel="00000000" w:rsidP="00000000" w:rsidRDefault="00000000" w:rsidRPr="00000000" w14:paraId="00000035">
      <w:pPr>
        <w:spacing w:after="0" w:before="0" w:line="360" w:lineRule="auto"/>
        <w:ind w:firstLine="708.6614173228347"/>
        <w:jc w:val="both"/>
        <w:rPr>
          <w:sz w:val="24"/>
          <w:szCs w:val="24"/>
        </w:rPr>
      </w:pPr>
      <w:r w:rsidDel="00000000" w:rsidR="00000000" w:rsidRPr="00000000">
        <w:rPr>
          <w:sz w:val="24"/>
          <w:szCs w:val="24"/>
          <w:rtl w:val="0"/>
        </w:rPr>
        <w:t xml:space="preserve">Como analisa Teixeira (2018), mesmo em contextos de discurso conservador, mulheres elaboram táticas subjetivas para redefinir papéis e questionar silenciosamente o patriarcado. Gabatz (2016) mostra que, em muitas denominações, mulheres disputam espaços de liderança, organizam atividades sociais e propõem novas práticas de cuidado coletivo. Essas resistências internas, embora muitas vezes invisibilizadas, rompem com a lógica do controle total e criam brechas para outras formas de viver a fé e o gênero.</w:t>
      </w:r>
    </w:p>
    <w:p w:rsidR="00000000" w:rsidDel="00000000" w:rsidP="00000000" w:rsidRDefault="00000000" w:rsidRPr="00000000" w14:paraId="00000036">
      <w:pPr>
        <w:spacing w:after="0" w:before="0" w:line="360" w:lineRule="auto"/>
        <w:ind w:firstLine="708.6614173228347"/>
        <w:jc w:val="both"/>
        <w:rPr>
          <w:sz w:val="24"/>
          <w:szCs w:val="24"/>
        </w:rPr>
      </w:pPr>
      <w:r w:rsidDel="00000000" w:rsidR="00000000" w:rsidRPr="00000000">
        <w:rPr>
          <w:sz w:val="24"/>
          <w:szCs w:val="24"/>
          <w:rtl w:val="0"/>
        </w:rPr>
        <w:t xml:space="preserve">A insurgência também se deu na esfera digital. </w:t>
      </w:r>
      <w:r w:rsidDel="00000000" w:rsidR="00000000" w:rsidRPr="00000000">
        <w:rPr>
          <w:i w:val="1"/>
          <w:sz w:val="24"/>
          <w:szCs w:val="24"/>
          <w:rtl w:val="0"/>
        </w:rPr>
        <w:t xml:space="preserve">Hashtags </w:t>
      </w:r>
      <w:r w:rsidDel="00000000" w:rsidR="00000000" w:rsidRPr="00000000">
        <w:rPr>
          <w:sz w:val="24"/>
          <w:szCs w:val="24"/>
          <w:rtl w:val="0"/>
        </w:rPr>
        <w:t xml:space="preserve">como #EleNão, #MeuCorpoMinhasRegras, #NemUmaMenos e #FeminismoÉJustiça conectaram ativistas de diferentes contextos e produziram narrativas contra-hegemônicas que disputaram os sentidos do corpo, da sexualidade e da cidadania. A comunicação digital feminista não apenas enfrentou a desinformação, mas também criou espaços de acolhimento, formação e denúncia.</w:t>
      </w:r>
    </w:p>
    <w:p w:rsidR="00000000" w:rsidDel="00000000" w:rsidP="00000000" w:rsidRDefault="00000000" w:rsidRPr="00000000" w14:paraId="00000037">
      <w:pPr>
        <w:spacing w:after="0" w:before="0" w:line="360" w:lineRule="auto"/>
        <w:ind w:firstLine="708.6614173228347"/>
        <w:jc w:val="both"/>
        <w:rPr>
          <w:sz w:val="24"/>
          <w:szCs w:val="24"/>
        </w:rPr>
      </w:pPr>
      <w:r w:rsidDel="00000000" w:rsidR="00000000" w:rsidRPr="00000000">
        <w:rPr>
          <w:sz w:val="24"/>
          <w:szCs w:val="24"/>
          <w:rtl w:val="0"/>
        </w:rPr>
        <w:t xml:space="preserve">Assim, o campo da resistência não foi homogêneo, mas profundamente atravessado por desigualdades e potências. A radicalidade do feminismo contemporâneo está, justamente, em sua capacidade de articular teoria e prática, subjetividade e estrutura, afeto e razão. Como afirma Carneiro, “é preciso disputar os significados da humanidade a partir dos corpos historicamente desumanizados” (CARNEIRO apud ROSAS, 2020, p. 5). Os corpos femininos e dissidentes, marcados pela dor da exclusão, tornam-se também territórios de invenção e dignidade — desde que haja também compromisso político e estrutura coletiva para sustentá-los.</w:t>
      </w:r>
      <w:r w:rsidDel="00000000" w:rsidR="00000000" w:rsidRPr="00000000">
        <w:rPr>
          <w:rtl w:val="0"/>
        </w:rPr>
      </w:r>
    </w:p>
    <w:p w:rsidR="00000000" w:rsidDel="00000000" w:rsidP="00000000" w:rsidRDefault="00000000" w:rsidRPr="00000000" w14:paraId="0000003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9">
      <w:pPr>
        <w:spacing w:line="360" w:lineRule="auto"/>
        <w:jc w:val="both"/>
        <w:rPr>
          <w:b w:val="1"/>
          <w:sz w:val="24"/>
          <w:szCs w:val="24"/>
        </w:rPr>
      </w:pPr>
      <w:r w:rsidDel="00000000" w:rsidR="00000000" w:rsidRPr="00000000">
        <w:rPr>
          <w:b w:val="1"/>
          <w:sz w:val="24"/>
          <w:szCs w:val="24"/>
          <w:rtl w:val="0"/>
        </w:rPr>
        <w:t xml:space="preserve">5</w:t>
        <w:tab/>
        <w:t xml:space="preserve">CONCLUSÃO</w:t>
      </w:r>
    </w:p>
    <w:p w:rsidR="00000000" w:rsidDel="00000000" w:rsidP="00000000" w:rsidRDefault="00000000" w:rsidRPr="00000000" w14:paraId="0000003A">
      <w:pPr>
        <w:spacing w:after="0" w:before="0" w:line="360" w:lineRule="auto"/>
        <w:ind w:firstLine="708.6614173228347"/>
        <w:jc w:val="both"/>
        <w:rPr>
          <w:sz w:val="24"/>
          <w:szCs w:val="24"/>
        </w:rPr>
      </w:pPr>
      <w:r w:rsidDel="00000000" w:rsidR="00000000" w:rsidRPr="00000000">
        <w:rPr>
          <w:sz w:val="24"/>
          <w:szCs w:val="24"/>
          <w:rtl w:val="0"/>
        </w:rPr>
        <w:t xml:space="preserve">A análise das disputas entre o feminismo e o fundamentalismo religioso nas políticas de gênero durante o governo Bolsonaro revela a profundidade e a complexidade de um projeto político que mobilizou a moral religiosa como instrumento de governo. A ofensiva antigênero foi estruturada não apenas como reação simbólica, mas como estratégia de reconfiguração institucional, promovendo o esvaziamento de políticas públicas, a censura pedagógica e a perseguição a sujeitos políticos historicamente marginalizados.</w:t>
      </w:r>
    </w:p>
    <w:p w:rsidR="00000000" w:rsidDel="00000000" w:rsidP="00000000" w:rsidRDefault="00000000" w:rsidRPr="00000000" w14:paraId="0000003B">
      <w:pPr>
        <w:spacing w:after="0" w:before="0" w:line="360" w:lineRule="auto"/>
        <w:ind w:firstLine="708.6614173228347"/>
        <w:jc w:val="both"/>
        <w:rPr>
          <w:sz w:val="24"/>
          <w:szCs w:val="24"/>
        </w:rPr>
      </w:pPr>
      <w:r w:rsidDel="00000000" w:rsidR="00000000" w:rsidRPr="00000000">
        <w:rPr>
          <w:sz w:val="24"/>
          <w:szCs w:val="24"/>
          <w:rtl w:val="0"/>
        </w:rPr>
        <w:t xml:space="preserve">Como demonstrado, a genealogia desse movimento remonta às alianças entre o catolicismo e setores evangélicos no cenário internacional, e encontra na IURD, nas bancadas fundamentalistas religiosas e em figuras como Damares Alves os agentes catalisadores de sua institucionalização no Brasil. Essa cruzada se enraíza na lógica de um Estado que abandona a laicidade para promover uma moral teocrática disfarçada de política pública, transformando o corpo em campo de vigilância, punição e controle.</w:t>
      </w:r>
    </w:p>
    <w:p w:rsidR="00000000" w:rsidDel="00000000" w:rsidP="00000000" w:rsidRDefault="00000000" w:rsidRPr="00000000" w14:paraId="0000003C">
      <w:pPr>
        <w:spacing w:after="0" w:before="0" w:line="360" w:lineRule="auto"/>
        <w:ind w:firstLine="708.6614173228347"/>
        <w:jc w:val="both"/>
        <w:rPr>
          <w:sz w:val="24"/>
          <w:szCs w:val="24"/>
        </w:rPr>
      </w:pPr>
      <w:r w:rsidDel="00000000" w:rsidR="00000000" w:rsidRPr="00000000">
        <w:rPr>
          <w:sz w:val="24"/>
          <w:szCs w:val="24"/>
          <w:rtl w:val="0"/>
        </w:rPr>
        <w:t xml:space="preserve">Não obstante, o corpo, longe de ser apenas território de opressão, revelou-se também espaço de insurgência e potência. As formas de resistência feminista que emergiram — nos parlamentos, nas ruas, nas igrejas, nos territórios e nas redes — afirmam o corpo como sujeito político, como epistemologia encarnada e como horizonte de justiça.</w:t>
      </w:r>
    </w:p>
    <w:p w:rsidR="00000000" w:rsidDel="00000000" w:rsidP="00000000" w:rsidRDefault="00000000" w:rsidRPr="00000000" w14:paraId="0000003D">
      <w:pPr>
        <w:spacing w:after="0" w:before="0" w:line="360" w:lineRule="auto"/>
        <w:ind w:firstLine="708.6614173228347"/>
        <w:jc w:val="both"/>
        <w:rPr>
          <w:sz w:val="24"/>
          <w:szCs w:val="24"/>
        </w:rPr>
      </w:pPr>
      <w:r w:rsidDel="00000000" w:rsidR="00000000" w:rsidRPr="00000000">
        <w:rPr>
          <w:sz w:val="24"/>
          <w:szCs w:val="24"/>
          <w:rtl w:val="0"/>
        </w:rPr>
        <w:t xml:space="preserve">Ao afirmar o corpo como campo de batalha, este artigo também o reconhece como trincheira e como projeto. A luta feminista no Brasil, em meio ao bolsonarismo, demonstrou que não há democracia sem corporeidade, sem pluralidade de existências e sem a desnaturalização das hierarquias de gênero e sexualidade. O feminismo, nesse sentido, não é apenas resistência — é proposição de outro mundo possível.</w:t>
      </w:r>
    </w:p>
    <w:p w:rsidR="00000000" w:rsidDel="00000000" w:rsidP="00000000" w:rsidRDefault="00000000" w:rsidRPr="00000000" w14:paraId="0000003E">
      <w:pPr>
        <w:spacing w:after="0" w:before="0" w:line="360" w:lineRule="auto"/>
        <w:ind w:firstLine="708.6614173228347"/>
        <w:jc w:val="both"/>
        <w:rPr>
          <w:sz w:val="24"/>
          <w:szCs w:val="24"/>
        </w:rPr>
      </w:pPr>
      <w:r w:rsidDel="00000000" w:rsidR="00000000" w:rsidRPr="00000000">
        <w:rPr>
          <w:sz w:val="24"/>
          <w:szCs w:val="24"/>
          <w:rtl w:val="0"/>
        </w:rPr>
        <w:t xml:space="preserve">Dessa forma, é preciso reafirmar a urgência de políticas públicas que respeitem a diversidade, a autonomia e os direitos fundamentais. É exigir um Estado laico, comprometido com a justiça social, e atento às desigualdades estruturais que atravessam os corpos e as vidas. E é, sobretudo, reconhecer o feminismo como força política imprescindível à reconstrução democrática e à reinvenção do comum.</w:t>
      </w:r>
    </w:p>
    <w:p w:rsidR="00000000" w:rsidDel="00000000" w:rsidP="00000000" w:rsidRDefault="00000000" w:rsidRPr="00000000" w14:paraId="0000003F">
      <w:pPr>
        <w:spacing w:after="240" w:before="0" w:line="360" w:lineRule="auto"/>
        <w:ind w:firstLine="708.6614173228347"/>
        <w:jc w:val="both"/>
        <w:rPr>
          <w:sz w:val="24"/>
          <w:szCs w:val="24"/>
        </w:rPr>
      </w:pPr>
      <w:r w:rsidDel="00000000" w:rsidR="00000000" w:rsidRPr="00000000">
        <w:rPr>
          <w:sz w:val="24"/>
          <w:szCs w:val="24"/>
          <w:rtl w:val="0"/>
        </w:rPr>
        <w:t xml:space="preserve">Além disso, é fundamental que o campo progressista supere a tendência de tratar as políticas de gênero como simples expressões de identitarismo. Essa redução enfraquece a potência transformadora da luta feminista, obscurece sua centralidade na crítica estrutural ao capitalismo, ao racismo e ao patriarcado, e compromete a inserção transversal das questões de gênero nas agendas públicas. Como apontam Corrêa (2021) e Lacerda (2018), reconhecer o gênero como dimensão constitutiva das relações de poder é condição indispensável para a formulação de um projeto democrático verdadeiramente inclusivo e emancipador.</w:t>
      </w:r>
    </w:p>
    <w:p w:rsidR="00000000" w:rsidDel="00000000" w:rsidP="00000000" w:rsidRDefault="00000000" w:rsidRPr="00000000" w14:paraId="00000040">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41">
      <w:pPr>
        <w:spacing w:line="360" w:lineRule="auto"/>
        <w:jc w:val="left"/>
        <w:rPr>
          <w:b w:val="1"/>
          <w:sz w:val="24"/>
          <w:szCs w:val="24"/>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2">
      <w:pPr>
        <w:spacing w:after="240" w:before="240" w:lineRule="auto"/>
        <w:jc w:val="both"/>
        <w:rPr>
          <w:sz w:val="24"/>
          <w:szCs w:val="24"/>
        </w:rPr>
      </w:pPr>
      <w:r w:rsidDel="00000000" w:rsidR="00000000" w:rsidRPr="00000000">
        <w:rPr>
          <w:sz w:val="24"/>
          <w:szCs w:val="24"/>
          <w:rtl w:val="0"/>
        </w:rPr>
        <w:t xml:space="preserve">BIROLI, Flávia. Conflitos em torno do gênero. Brasília: IPEA, 2020.</w:t>
      </w:r>
    </w:p>
    <w:p w:rsidR="00000000" w:rsidDel="00000000" w:rsidP="00000000" w:rsidRDefault="00000000" w:rsidRPr="00000000" w14:paraId="00000043">
      <w:pPr>
        <w:spacing w:after="240" w:before="240" w:lineRule="auto"/>
        <w:jc w:val="both"/>
        <w:rPr>
          <w:sz w:val="24"/>
          <w:szCs w:val="24"/>
        </w:rPr>
      </w:pPr>
      <w:r w:rsidDel="00000000" w:rsidR="00000000" w:rsidRPr="00000000">
        <w:rPr>
          <w:sz w:val="24"/>
          <w:szCs w:val="24"/>
          <w:rtl w:val="0"/>
        </w:rPr>
        <w:t xml:space="preserve">BUTLER, Judith. Ideologia antigênero e a crítica da era secular. In: CORRÊA, Sonia et al. (Orgs.). Políticas antigênero na América Latina: estudos de caso em perspectiva comparada. Rio de Janeiro: ABIA, 2019. p. 217-228.</w:t>
      </w:r>
    </w:p>
    <w:p w:rsidR="00000000" w:rsidDel="00000000" w:rsidP="00000000" w:rsidRDefault="00000000" w:rsidRPr="00000000" w14:paraId="00000044">
      <w:pPr>
        <w:spacing w:after="240" w:before="240" w:lineRule="auto"/>
        <w:jc w:val="both"/>
        <w:rPr>
          <w:sz w:val="24"/>
          <w:szCs w:val="24"/>
        </w:rPr>
      </w:pPr>
      <w:r w:rsidDel="00000000" w:rsidR="00000000" w:rsidRPr="00000000">
        <w:rPr>
          <w:sz w:val="24"/>
          <w:szCs w:val="24"/>
          <w:rtl w:val="0"/>
        </w:rPr>
        <w:t xml:space="preserve">CARNEIRO, Suely. Apud ROSAS, Nina. Religião e política: uma análise da atuação da Frente Parlamentar Evangélica na Câmara dos Deputados (2007-2018). Brasília: CEPI, 2020.</w:t>
      </w:r>
    </w:p>
    <w:p w:rsidR="00000000" w:rsidDel="00000000" w:rsidP="00000000" w:rsidRDefault="00000000" w:rsidRPr="00000000" w14:paraId="00000045">
      <w:pPr>
        <w:spacing w:after="240" w:before="240" w:lineRule="auto"/>
        <w:jc w:val="both"/>
        <w:rPr>
          <w:sz w:val="24"/>
          <w:szCs w:val="24"/>
        </w:rPr>
      </w:pPr>
      <w:r w:rsidDel="00000000" w:rsidR="00000000" w:rsidRPr="00000000">
        <w:rPr>
          <w:sz w:val="24"/>
          <w:szCs w:val="24"/>
          <w:rtl w:val="0"/>
        </w:rPr>
        <w:t xml:space="preserve">GABATZ, Celso. Deus acima de todos? Religião, política e gênero no Brasil contemporâneo. Revista Brasileira de Ciência Política, n. 21, p. 125-152, 2016.</w:t>
      </w:r>
    </w:p>
    <w:p w:rsidR="00000000" w:rsidDel="00000000" w:rsidP="00000000" w:rsidRDefault="00000000" w:rsidRPr="00000000" w14:paraId="00000046">
      <w:pPr>
        <w:spacing w:after="240" w:before="240" w:lineRule="auto"/>
        <w:jc w:val="both"/>
        <w:rPr>
          <w:sz w:val="24"/>
          <w:szCs w:val="24"/>
        </w:rPr>
      </w:pPr>
      <w:r w:rsidDel="00000000" w:rsidR="00000000" w:rsidRPr="00000000">
        <w:rPr>
          <w:sz w:val="24"/>
          <w:szCs w:val="24"/>
          <w:rtl w:val="0"/>
        </w:rPr>
        <w:t xml:space="preserve">HOOKS, bell. Apud SILVA, Jamena. As mulheres na IURD: protagonismo em meio a tradições hegemônicas. In: ______. As mulheres nas igrejas neopentecostais: a busca pelo protagonismo em meio a tradições hegemônicas. [S.l.: s.n.], 2020.</w:t>
      </w:r>
    </w:p>
    <w:p w:rsidR="00000000" w:rsidDel="00000000" w:rsidP="00000000" w:rsidRDefault="00000000" w:rsidRPr="00000000" w14:paraId="00000047">
      <w:pPr>
        <w:spacing w:after="240" w:before="240" w:lineRule="auto"/>
        <w:jc w:val="both"/>
        <w:rPr>
          <w:sz w:val="24"/>
          <w:szCs w:val="24"/>
        </w:rPr>
      </w:pPr>
      <w:r w:rsidDel="00000000" w:rsidR="00000000" w:rsidRPr="00000000">
        <w:rPr>
          <w:sz w:val="24"/>
          <w:szCs w:val="24"/>
          <w:rtl w:val="0"/>
        </w:rPr>
        <w:t xml:space="preserve">LACERDA, Marina Basso. Teoria de gênero e políticas públicas: apontamentos a partir da conjuntura brasileira. In: CORRÊA, Sonia et al. (Orgs.). Políticas antigênero na América Latina: estudos de caso em perspectiva comparada. Rio de Janeiro: ABIA, 2018.</w:t>
      </w:r>
    </w:p>
    <w:p w:rsidR="00000000" w:rsidDel="00000000" w:rsidP="00000000" w:rsidRDefault="00000000" w:rsidRPr="00000000" w14:paraId="00000048">
      <w:pPr>
        <w:widowControl w:val="0"/>
        <w:spacing w:before="281" w:line="229" w:lineRule="auto"/>
        <w:ind w:left="18" w:right="328" w:firstLine="1.9999999999999996"/>
        <w:rPr>
          <w:sz w:val="24"/>
          <w:szCs w:val="24"/>
        </w:rPr>
      </w:pPr>
      <w:r w:rsidDel="00000000" w:rsidR="00000000" w:rsidRPr="00000000">
        <w:rPr>
          <w:sz w:val="24"/>
          <w:szCs w:val="24"/>
          <w:rtl w:val="0"/>
        </w:rPr>
        <w:t xml:space="preserve">SOUZA, Eulália Vitória Dantas de. </w:t>
      </w:r>
      <w:r w:rsidDel="00000000" w:rsidR="00000000" w:rsidRPr="00000000">
        <w:rPr>
          <w:i w:val="1"/>
          <w:sz w:val="24"/>
          <w:szCs w:val="24"/>
          <w:rtl w:val="0"/>
        </w:rPr>
        <w:t xml:space="preserve">É o momento de a Igreja governar: A influência neopentecostal nas políticas antigênero no Brasil sob o governo Bolsonaro</w:t>
      </w:r>
      <w:r w:rsidDel="00000000" w:rsidR="00000000" w:rsidRPr="00000000">
        <w:rPr>
          <w:sz w:val="24"/>
          <w:szCs w:val="24"/>
          <w:rtl w:val="0"/>
        </w:rPr>
        <w:t xml:space="preserve">. Monografia (Graduação em Serviço Social) – Universidade do Estado do Rio Grande do Norte, 2024. </w:t>
      </w:r>
    </w:p>
    <w:p w:rsidR="00000000" w:rsidDel="00000000" w:rsidP="00000000" w:rsidRDefault="00000000" w:rsidRPr="00000000" w14:paraId="00000049">
      <w:pPr>
        <w:spacing w:after="240" w:before="240" w:lineRule="auto"/>
        <w:jc w:val="both"/>
        <w:rPr>
          <w:sz w:val="24"/>
          <w:szCs w:val="24"/>
        </w:rPr>
      </w:pPr>
      <w:r w:rsidDel="00000000" w:rsidR="00000000" w:rsidRPr="00000000">
        <w:rPr>
          <w:sz w:val="24"/>
          <w:szCs w:val="24"/>
          <w:rtl w:val="0"/>
        </w:rPr>
        <w:t xml:space="preserve">TEIXEIRA, Jacqueline Moraes. Mulheres evangélicas: práticas religiosas e políticas públicas no Brasil. São Paulo: USP, 2018. Tese (Doutorado em Antropologia Social) – Universidade de São Paulo.</w:t>
      </w:r>
    </w:p>
    <w:p w:rsidR="00000000" w:rsidDel="00000000" w:rsidP="00000000" w:rsidRDefault="00000000" w:rsidRPr="00000000" w14:paraId="0000004A">
      <w:pPr>
        <w:spacing w:after="240" w:before="240" w:lineRule="auto"/>
        <w:jc w:val="both"/>
        <w:rPr>
          <w:sz w:val="24"/>
          <w:szCs w:val="24"/>
        </w:rPr>
      </w:pPr>
      <w:r w:rsidDel="00000000" w:rsidR="00000000" w:rsidRPr="00000000">
        <w:rPr>
          <w:sz w:val="24"/>
          <w:szCs w:val="24"/>
          <w:rtl w:val="0"/>
        </w:rPr>
        <w:t xml:space="preserve">VITAL, Christina; PAULA, Renata. Religião, democracia e a extrema direita: Brasil 2018-2022. Fundação Heinrich Böll, 2023.</w:t>
      </w:r>
    </w:p>
    <w:p w:rsidR="00000000" w:rsidDel="00000000" w:rsidP="00000000" w:rsidRDefault="00000000" w:rsidRPr="00000000" w14:paraId="0000004B">
      <w:pPr>
        <w:spacing w:after="240" w:before="240" w:lineRule="auto"/>
        <w:jc w:val="both"/>
        <w:rPr>
          <w:sz w:val="24"/>
          <w:szCs w:val="24"/>
        </w:rPr>
      </w:pPr>
      <w:r w:rsidDel="00000000" w:rsidR="00000000" w:rsidRPr="00000000">
        <w:rPr>
          <w:sz w:val="24"/>
          <w:szCs w:val="24"/>
          <w:rtl w:val="0"/>
        </w:rPr>
        <w:t xml:space="preserve">CORRÊA, Sonia. Políticas antigênero na América Latina: estudos de caso em perspectiva comparada. Rio de Janeiro: ABIA, 2021.</w:t>
      </w:r>
    </w:p>
    <w:p w:rsidR="00000000" w:rsidDel="00000000" w:rsidP="00000000" w:rsidRDefault="00000000" w:rsidRPr="00000000" w14:paraId="0000004C">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4D">
      <w:pPr>
        <w:spacing w:after="240" w:before="240" w:lineRule="auto"/>
        <w:jc w:val="both"/>
        <w:rPr>
          <w:sz w:val="24"/>
          <w:szCs w:val="24"/>
        </w:rPr>
      </w:pPr>
      <w:r w:rsidDel="00000000" w:rsidR="00000000" w:rsidRPr="00000000">
        <w:rPr>
          <w:rtl w:val="0"/>
        </w:rPr>
      </w:r>
    </w:p>
    <w:sectPr>
      <w:headerReference r:id="rId7" w:type="default"/>
      <w:pgSz w:h="16834" w:w="11909" w:orient="portrait"/>
      <w:pgMar w:bottom="1133.8582677165355" w:top="1700.7874015748032" w:left="1700.7874015748032" w:right="1133.8582677165355" w:header="340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04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Refere-se à atuação estratégica de organizações, coletivos ou movimentos sociais em instâncias internacionais — como a ONU, a OEA ou cortes internacionais — com o objetivo de pressionar por mudanças políticas, denunciar violações de direitos humanos e influenciar </w:t>
      </w:r>
      <w:r w:rsidDel="00000000" w:rsidR="00000000" w:rsidRPr="00000000">
        <w:rPr>
          <w:sz w:val="20"/>
          <w:szCs w:val="20"/>
          <w:rtl w:val="0"/>
        </w:rPr>
        <w:t xml:space="preserve">a formulação</w:t>
      </w:r>
      <w:r w:rsidDel="00000000" w:rsidR="00000000" w:rsidRPr="00000000">
        <w:rPr>
          <w:sz w:val="20"/>
          <w:szCs w:val="20"/>
          <w:rtl w:val="0"/>
        </w:rPr>
        <w:t xml:space="preserve"> de normas, tratados e resoluções. Essa prática é especialmente relevante quando os canais institucionais nacionais estão fragilizados ou hostis às demandas dos grupos sociais minoritários.</w:t>
      </w:r>
    </w:p>
  </w:footnote>
  <w:footnote w:id="1">
    <w:p w:rsidR="00000000" w:rsidDel="00000000" w:rsidP="00000000" w:rsidRDefault="00000000" w:rsidRPr="00000000" w14:paraId="0000005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São programas da Igreja Universal do Reino de Deus voltados à formação de mulheres segundo valores cristãos conservadores. O primeiro atua com vítimas de violência, enfatizando superação pela fé; o segundo promove comportamentos baseados em submissão, recato e disciplina feminina. Ambos funcionam como mecanismos de controle moral e reforço de papéis tradicionais de gênero.</w:t>
      </w:r>
    </w:p>
  </w:footnote>
  <w:footnote w:id="0">
    <w:p w:rsidR="00000000" w:rsidDel="00000000" w:rsidP="00000000" w:rsidRDefault="00000000" w:rsidRPr="00000000" w14:paraId="0000005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Pesquisadora, Feminista e Mestranda do Programa de Pós-Graduação em Serviço Social e Direitos Sociais da Universidade do Estado do Rio Grande do Norte (Uern). E-mail de contato: eulaliavitoria@alu.uern.br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