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footnotes.xml" ContentType="application/vnd.openxmlformats-officedocument.wordprocessingml.footnotes+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jc w:val="center"/>
        <w:rPr/>
      </w:pPr>
      <w:r>
        <w:rPr>
          <w:b/>
          <w:sz w:val="24"/>
          <w:szCs w:val="24"/>
        </w:rPr>
        <w:t xml:space="preserve">SERVIÇO SOCIAL BRASILEIRO E MARX: </w:t>
      </w:r>
      <w:r>
        <w:rPr>
          <w:b w:val="false"/>
          <w:bCs w:val="false"/>
          <w:sz w:val="24"/>
          <w:szCs w:val="24"/>
        </w:rPr>
        <w:t>a</w:t>
      </w:r>
      <w:r>
        <w:rPr>
          <w:sz w:val="24"/>
          <w:szCs w:val="24"/>
        </w:rPr>
        <w:t>nálise da produção teórica de assistentes sociais brasileiros</w:t>
      </w:r>
    </w:p>
    <w:p>
      <w:pPr>
        <w:pStyle w:val="Normal"/>
        <w:spacing w:lineRule="auto" w:line="360"/>
        <w:jc w:val="end"/>
        <w:rPr/>
      </w:pPr>
      <w:r>
        <w:rPr>
          <w:sz w:val="24"/>
          <w:szCs w:val="24"/>
        </w:rPr>
        <w:t>Ednéia Alves de Oliveira</w:t>
      </w:r>
      <w:r>
        <w:rPr>
          <w:rStyle w:val="FootnoteReference"/>
          <w:sz w:val="24"/>
          <w:szCs w:val="24"/>
        </w:rPr>
        <w:footnoteReference w:id="2"/>
      </w:r>
    </w:p>
    <w:p>
      <w:pPr>
        <w:pStyle w:val="Normal"/>
        <w:spacing w:lineRule="auto" w:line="360"/>
        <w:jc w:val="end"/>
        <w:rPr/>
      </w:pPr>
      <w:r>
        <w:rPr>
          <w:sz w:val="24"/>
          <w:szCs w:val="24"/>
        </w:rPr>
        <w:t>Maria Eduarda Pessanha Barbosa</w:t>
      </w:r>
      <w:r>
        <w:rPr>
          <w:rStyle w:val="FootnoteReference"/>
          <w:sz w:val="24"/>
          <w:szCs w:val="24"/>
        </w:rPr>
        <w:footnoteReference w:id="3"/>
      </w:r>
    </w:p>
    <w:p>
      <w:pPr>
        <w:pStyle w:val="Normal"/>
        <w:spacing w:lineRule="auto" w:line="240"/>
        <w:ind w:start="2835" w:end="0"/>
        <w:jc w:val="both"/>
        <w:rPr>
          <w:b/>
          <w:sz w:val="20"/>
          <w:szCs w:val="20"/>
        </w:rPr>
      </w:pPr>
      <w:r>
        <w:rPr>
          <w:b/>
          <w:sz w:val="20"/>
          <w:szCs w:val="20"/>
        </w:rPr>
      </w:r>
    </w:p>
    <w:p>
      <w:pPr>
        <w:pStyle w:val="Normal"/>
        <w:spacing w:lineRule="auto" w:line="240"/>
        <w:ind w:start="2835" w:end="0"/>
        <w:jc w:val="both"/>
        <w:rPr>
          <w:b/>
          <w:sz w:val="20"/>
          <w:szCs w:val="20"/>
        </w:rPr>
      </w:pPr>
      <w:r>
        <w:rPr>
          <w:b/>
          <w:sz w:val="20"/>
          <w:szCs w:val="20"/>
        </w:rPr>
        <w:t>Resumo</w:t>
      </w:r>
    </w:p>
    <w:p>
      <w:pPr>
        <w:pStyle w:val="Normal"/>
        <w:spacing w:lineRule="auto" w:line="240"/>
        <w:ind w:start="2835" w:end="0"/>
        <w:jc w:val="both"/>
        <w:rPr>
          <w:b w:val="false"/>
          <w:bCs w:val="false"/>
          <w:sz w:val="20"/>
          <w:szCs w:val="20"/>
        </w:rPr>
      </w:pPr>
      <w:r>
        <w:rPr>
          <w:b w:val="false"/>
          <w:bCs w:val="false"/>
          <w:sz w:val="20"/>
          <w:szCs w:val="20"/>
        </w:rPr>
        <w:t>Apresentamos, neste artigo, os resultados de uma pesquisa de iniciação científica, ainda em andamento, que objetiva analisar a apropriação do marxismo pelo Serviço Social brasileiro a partir das revistas da categoria. Discute-se, principalmente,  em que medida os textos propriamente marxianos foram apropriados pelo Serviço Social. Para isso, apresentamos os dados advindos da análise da presença ou não de referências bibliográficas de Marx nos artigos da Revista Libertas cujos autores são assistentes sociais. Como resultado, constatou-se que a utilização de textos originais do autor configura minoria na produção acadêmica da categoria, permanecendo o contato por fontes secundárias e comentadores marxistas próximos ao Serviço Social.</w:t>
      </w:r>
    </w:p>
    <w:p>
      <w:pPr>
        <w:pStyle w:val="Normal"/>
        <w:spacing w:lineRule="auto" w:line="240"/>
        <w:ind w:start="2835" w:end="0"/>
        <w:jc w:val="both"/>
        <w:rPr/>
      </w:pPr>
      <w:r>
        <w:rPr>
          <w:b/>
          <w:sz w:val="20"/>
          <w:szCs w:val="20"/>
        </w:rPr>
        <w:t>Palavras-chave</w:t>
      </w:r>
      <w:r>
        <w:rPr>
          <w:sz w:val="20"/>
          <w:szCs w:val="20"/>
        </w:rPr>
        <w:t>:</w:t>
      </w:r>
      <w:r>
        <w:rPr>
          <w:sz w:val="20"/>
          <w:szCs w:val="20"/>
          <w:lang w:val="en-US"/>
        </w:rPr>
        <w:t xml:space="preserve"> Serviço Social, produção  de conhecimento, teoria social marxiana.</w:t>
      </w:r>
    </w:p>
    <w:p>
      <w:pPr>
        <w:pStyle w:val="Normal"/>
        <w:spacing w:lineRule="auto" w:line="240"/>
        <w:ind w:start="2835" w:end="0"/>
        <w:jc w:val="both"/>
        <w:rPr>
          <w:sz w:val="20"/>
          <w:szCs w:val="20"/>
          <w:lang w:val="en-US"/>
        </w:rPr>
      </w:pPr>
      <w:r>
        <w:rPr>
          <w:sz w:val="20"/>
          <w:szCs w:val="20"/>
          <w:lang w:val="en-US"/>
        </w:rPr>
      </w:r>
    </w:p>
    <w:p>
      <w:pPr>
        <w:pStyle w:val="Normal"/>
        <w:spacing w:lineRule="auto" w:line="240"/>
        <w:ind w:start="2835" w:end="0"/>
        <w:jc w:val="both"/>
        <w:rPr>
          <w:b/>
          <w:sz w:val="20"/>
          <w:szCs w:val="20"/>
          <w:lang w:val="en-US"/>
        </w:rPr>
      </w:pPr>
      <w:r>
        <w:rPr>
          <w:b/>
          <w:sz w:val="20"/>
          <w:szCs w:val="20"/>
          <w:lang w:val="en-US"/>
        </w:rPr>
        <w:t>Abstract</w:t>
      </w:r>
    </w:p>
    <w:p>
      <w:pPr>
        <w:pStyle w:val="Normal"/>
        <w:spacing w:lineRule="auto" w:line="240"/>
        <w:ind w:start="2835" w:end="0"/>
        <w:jc w:val="both"/>
        <w:rPr/>
      </w:pPr>
      <w:r>
        <w:rPr>
          <w:sz w:val="20"/>
          <w:szCs w:val="20"/>
          <w:lang w:val="en-US"/>
        </w:rPr>
        <w:t xml:space="preserve">In this article, we present the results of an ongoing undergraduate research project that aims to analyze the appropriation of Marxism by Brazilian Social Work through the profession's academic journals. The study primarily discusses the extent to which Marx's original texts have been incorporated into Social Work. To this end, we present data from the analysis of the presence or absence of bibliographic references to Marx in articles published in </w:t>
      </w:r>
      <w:r>
        <w:rPr>
          <w:rStyle w:val="Emphasis"/>
          <w:sz w:val="20"/>
          <w:szCs w:val="20"/>
          <w:lang w:val="en-US"/>
        </w:rPr>
        <w:t>Revista Libertas</w:t>
      </w:r>
      <w:r>
        <w:rPr>
          <w:sz w:val="20"/>
          <w:szCs w:val="20"/>
          <w:lang w:val="en-US"/>
        </w:rPr>
        <w:t xml:space="preserve">, authored by social workers. The findings reveal that the use of Marx’s original works remains a minority in the academic production of the field, with secondary sources and Marxist commentators closer to Social Work continuing to predominate. </w:t>
      </w:r>
    </w:p>
    <w:p>
      <w:pPr>
        <w:pStyle w:val="Normal"/>
        <w:spacing w:lineRule="auto" w:line="240"/>
        <w:ind w:start="2835" w:end="0"/>
        <w:jc w:val="both"/>
        <w:rPr/>
      </w:pPr>
      <w:r>
        <w:rPr>
          <w:b/>
          <w:sz w:val="20"/>
          <w:szCs w:val="20"/>
          <w:lang w:val="en-US"/>
        </w:rPr>
        <w:t>Keywords</w:t>
      </w:r>
      <w:r>
        <w:rPr>
          <w:sz w:val="20"/>
          <w:szCs w:val="20"/>
          <w:lang w:val="en-US"/>
        </w:rPr>
        <w:t>: Social Work, knowledge production, Marxian social theory.</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r>
      <w:r>
        <w:br w:type="page"/>
      </w:r>
    </w:p>
    <w:p>
      <w:pPr>
        <w:pStyle w:val="Normal"/>
        <w:spacing w:lineRule="auto" w:line="360" w:before="0" w:after="0"/>
        <w:rPr>
          <w:b/>
          <w:sz w:val="24"/>
          <w:szCs w:val="24"/>
        </w:rPr>
      </w:pPr>
      <w:r>
        <w:rPr>
          <w:b/>
          <w:sz w:val="24"/>
          <w:szCs w:val="24"/>
        </w:rPr>
        <w:t>1</w:t>
        <w:tab/>
        <w:t>INTRODUÇÃO</w:t>
      </w:r>
    </w:p>
    <w:p>
      <w:pPr>
        <w:pStyle w:val="Normal"/>
        <w:spacing w:lineRule="auto" w:line="360"/>
        <w:jc w:val="both"/>
        <w:rPr>
          <w:b/>
          <w:sz w:val="24"/>
          <w:szCs w:val="24"/>
        </w:rPr>
      </w:pPr>
      <w:r>
        <w:rPr>
          <w:b/>
          <w:sz w:val="24"/>
          <w:szCs w:val="24"/>
        </w:rPr>
      </w:r>
    </w:p>
    <w:p>
      <w:pPr>
        <w:pStyle w:val="Normal"/>
        <w:spacing w:lineRule="auto" w:line="360"/>
        <w:ind w:firstLine="709" w:end="0"/>
        <w:jc w:val="both"/>
        <w:rPr/>
      </w:pPr>
      <w:r>
        <w:rPr>
          <w:sz w:val="24"/>
          <w:szCs w:val="24"/>
        </w:rPr>
        <w:t xml:space="preserve">O Serviço Social brasileiro é referência internacional em razão de seu processo de ruptura histórica com as bases conservadoras que fundam a profissão no modo de produção capitalista. As vertentes responsáveis por essa virada partiram da apropriação do marxismo para entender o Serviço Social como uma profissão marcada por “uma clara subordinação do exercício técnico-profissional às suas consequências políticas” (Iamamoto, Carvalho, 2005, p. 95), o que abarca o entendimento de seu papel na reprodução das relações sociais capitalistas, mas também o reconhecimento da possibilidade de participar, “ao lado de outras instituições sociais, das respostas às necessidades legítimas de sobrevivência da classe trabalhadora” (Ibid.). </w:t>
      </w:r>
    </w:p>
    <w:p>
      <w:pPr>
        <w:pStyle w:val="Normal"/>
        <w:spacing w:lineRule="auto" w:line="360"/>
        <w:ind w:firstLine="709" w:end="0"/>
        <w:jc w:val="both"/>
        <w:rPr>
          <w:sz w:val="24"/>
          <w:szCs w:val="24"/>
        </w:rPr>
      </w:pPr>
      <w:r>
        <w:rPr>
          <w:sz w:val="24"/>
          <w:szCs w:val="24"/>
        </w:rPr>
        <w:t xml:space="preserve">Essa aproximação com a teoria social de Marx, a partir dos anos 1960, aconteceu principalmente por meio de leituras secundárias, devido às dificuldades de acesso às obras originais naquela época. Somente mais tarde esses textos passaram a ser considerados de forma mais direta nas análises sobre a profissão e sua inserção na sociedade. Hoje, há no Serviço Social a compreensão de que essa fase inicial, marcada pelo predomínio das interpretações intermediárias, já foi superada. </w:t>
      </w:r>
    </w:p>
    <w:p>
      <w:pPr>
        <w:pStyle w:val="Normal"/>
        <w:spacing w:lineRule="auto" w:line="360"/>
        <w:ind w:firstLine="709" w:end="0"/>
        <w:jc w:val="both"/>
        <w:rPr/>
      </w:pPr>
      <w:r>
        <w:rPr>
          <w:sz w:val="24"/>
          <w:szCs w:val="24"/>
        </w:rPr>
        <w:t>Os dados apresentados nessa pesquisa, que se propôs a analisar os artigos escritos por assistentes sociais brasileiros em revistas da área, apontam que a herança dessa aproximação a partir de comentadores permanece presente e as bases propriamente marxianas mostram-se minoria. Assim, as revistas focalizadas neste artigo são a Revista Libertas, pertencente à Faculdade de Serviço Social e ao Programa de Pós Graduação em Serviço Social da Universidade Federal de Juiz de Fora (UFJF); e a Revista SER Social, publicada pela Pós-Graduação em Política Social do Departamento de Serviço Social do Instituto de Ciências Humanas da UnB</w:t>
      </w:r>
      <w:r>
        <w:rPr>
          <w:sz w:val="24"/>
          <w:szCs w:val="24"/>
          <w:shd w:fill="auto" w:val="clear"/>
        </w:rPr>
        <w:t xml:space="preserve"> (Universidade de Brasília). </w:t>
      </w:r>
      <w:r>
        <w:rPr>
          <w:sz w:val="24"/>
          <w:szCs w:val="24"/>
        </w:rPr>
        <w:t>Para isso, foram selecionados todos os artigos de autoria de assistentes sociais do Brasil presentes no acervo online do site da revista, com publicações de 2001 a 2024; nestes, analisou-se se havia referências bibliográficas de textos de Marx. A partir disso, propomos uma discussão, no dois primeiros tópicos, sobre quais são os fundamentos essenciais da teoria marxiana, sua relevância na atualidade e os desafios do Serviço Social em sua trajetória de aproximação com a vertente. Apresentamos, no terceiro tópico, os resultados da compilação de dados, juntando-os com os dados coletados nos anos anteriores da pesquisa, referentes as publicações das revistas: Serviço Social e Sociedade, Temporalis e Argumentum.</w:t>
      </w:r>
    </w:p>
    <w:p>
      <w:pPr>
        <w:pStyle w:val="Normal"/>
        <w:spacing w:lineRule="auto" w:line="360"/>
        <w:ind w:firstLine="709" w:end="0"/>
        <w:jc w:val="both"/>
        <w:rPr/>
      </w:pPr>
      <w:r>
        <w:rPr>
          <w:sz w:val="24"/>
          <w:szCs w:val="24"/>
        </w:rPr>
        <w:t xml:space="preserve">Reconhece-se que uma apropriação sólida de Marx — especialmente dos fundamentos ontológicos de suas categorias e de seu método — é fundamental para uma profissão que tem o marxismo como eixo central de sua formação, conforme indicam documentos como as Diretrizes Curriculares da ABEPSS de 1996. Tal apropriação é indispensável tanto para o fortalecimento teórico e prático do Projeto ético-político do Serviço Social quanto para uma compreensão adequada da contribuição marxiana na crítica e transformação da sociedade capitalista. Diante disso, considera-se importante entender a influência do marxismo no Serviço Social contemporâneo, investigando se essa influência se dá por meio de intérpretes ou das fontes clássicas, de forma explícita ou apenas como um recurso analítico pontual, e se ocorre de maneira coerente e contínua ou em diálogo com outras vertentes teóricas. </w:t>
      </w:r>
    </w:p>
    <w:p>
      <w:pPr>
        <w:pStyle w:val="Normal"/>
        <w:spacing w:lineRule="auto" w:line="360"/>
        <w:jc w:val="both"/>
        <w:rPr>
          <w:sz w:val="24"/>
          <w:szCs w:val="24"/>
        </w:rPr>
      </w:pPr>
      <w:r>
        <w:rPr>
          <w:sz w:val="24"/>
          <w:szCs w:val="24"/>
        </w:rPr>
      </w:r>
    </w:p>
    <w:p>
      <w:pPr>
        <w:pStyle w:val="Normal"/>
        <w:spacing w:lineRule="auto" w:line="360"/>
        <w:jc w:val="both"/>
        <w:rPr>
          <w:b/>
          <w:sz w:val="24"/>
          <w:szCs w:val="24"/>
        </w:rPr>
      </w:pPr>
      <w:r>
        <w:rPr>
          <w:b/>
          <w:sz w:val="24"/>
          <w:szCs w:val="24"/>
        </w:rPr>
        <w:t>2</w:t>
        <w:tab/>
        <w:t>SERVIÇO SOCIAL, MARXISMO E PRODUÇÃO DE CONHECIMENTO</w:t>
      </w:r>
    </w:p>
    <w:p>
      <w:pPr>
        <w:pStyle w:val="Normal"/>
        <w:spacing w:lineRule="auto" w:line="360"/>
        <w:jc w:val="both"/>
        <w:rPr>
          <w:b/>
          <w:sz w:val="24"/>
          <w:szCs w:val="24"/>
        </w:rPr>
      </w:pPr>
      <w:r>
        <w:rPr>
          <w:b/>
          <w:sz w:val="24"/>
          <w:szCs w:val="24"/>
        </w:rPr>
      </w:r>
    </w:p>
    <w:p>
      <w:pPr>
        <w:pStyle w:val="Normal"/>
        <w:spacing w:lineRule="auto" w:line="360"/>
        <w:jc w:val="both"/>
        <w:rPr>
          <w:b/>
          <w:sz w:val="24"/>
          <w:szCs w:val="24"/>
        </w:rPr>
      </w:pPr>
      <w:r>
        <w:rPr>
          <w:b/>
          <w:sz w:val="24"/>
          <w:szCs w:val="24"/>
        </w:rPr>
        <w:t xml:space="preserve">2.1 </w:t>
        <w:tab/>
        <w:t>Fundamentos do marxismo</w:t>
      </w:r>
    </w:p>
    <w:p>
      <w:pPr>
        <w:pStyle w:val="Normal"/>
        <w:spacing w:lineRule="auto" w:line="360"/>
        <w:jc w:val="both"/>
        <w:rPr>
          <w:b/>
          <w:sz w:val="24"/>
          <w:szCs w:val="24"/>
        </w:rPr>
      </w:pPr>
      <w:r>
        <w:rPr>
          <w:b/>
          <w:sz w:val="24"/>
          <w:szCs w:val="24"/>
        </w:rPr>
      </w:r>
    </w:p>
    <w:p>
      <w:pPr>
        <w:pStyle w:val="Normal"/>
        <w:spacing w:lineRule="auto" w:line="360"/>
        <w:jc w:val="both"/>
        <w:rPr/>
      </w:pPr>
      <w:r>
        <w:rPr>
          <w:b/>
          <w:sz w:val="24"/>
          <w:szCs w:val="24"/>
        </w:rPr>
        <w:tab/>
      </w:r>
      <w:r>
        <w:rPr>
          <w:sz w:val="24"/>
          <w:szCs w:val="24"/>
        </w:rPr>
        <w:t xml:space="preserve">Considera-se fundamental realizar a distinção entre o método marxiano, a teoria marxiana e as elaborações metodológicas e teóricas desenvolvidas após Marx e que se identificam com o marxismo (Tonet, 2021). Essa diferenciação é essencial para aprofundar a compreensão sobre o desenvolvimento de um marxismo no Brasil e, em particular, no Serviço Social brasileiro. </w:t>
      </w:r>
    </w:p>
    <w:p>
      <w:pPr>
        <w:pStyle w:val="Normal"/>
        <w:spacing w:lineRule="auto" w:line="360"/>
        <w:jc w:val="both"/>
        <w:rPr>
          <w:sz w:val="24"/>
          <w:szCs w:val="24"/>
          <w:shd w:fill="auto" w:val="clear"/>
        </w:rPr>
      </w:pPr>
      <w:r>
        <w:rPr>
          <w:sz w:val="24"/>
          <w:szCs w:val="24"/>
        </w:rPr>
        <w:tab/>
        <w:t xml:space="preserve">Em primeiro lugar, entendemos - não sendo um consenso dentro da tradição teórica - que o método marxiano e suas as bases estão intrinsecamente conectadas com sua teoria social e suas categorias principais (totalidade, contradição e mediação). Afirma-se como marxismo, desse modo, não apenas uma crítica à sociabilidade burguesa fundida à transformação social, mas a escolha metodológica pela ontologia materialista como método que melhor fornece condições para o conhecimento do objeto. </w:t>
      </w:r>
    </w:p>
    <w:p>
      <w:pPr>
        <w:pStyle w:val="Normal"/>
        <w:spacing w:lineRule="auto" w:line="360"/>
        <w:jc w:val="both"/>
        <w:rPr/>
      </w:pPr>
      <w:r>
        <w:rPr>
          <w:sz w:val="24"/>
          <w:szCs w:val="24"/>
          <w:shd w:fill="auto" w:val="clear"/>
        </w:rPr>
        <w:tab/>
        <w:t>As produções marxianas, então, não podem ser misturadas a outras concepções epistemológicas e métodos científicos, exatamente porque não partem de axiomas ou constructos. Como afirmado por Marx (2011, p. 176): “meu método analítico, que não parte do homem, senão de um período social concreto, não tem a menor relação com aquele método de entrelaçamento de conceitos que gostam de empregar os professores alemães”, partindo de uma ontologia materialista que considera a realidade social enquanto critério último do ser ou do não-ser social de um fenômeno, não atribuindo à lógica o papel de condução filosófica, mas ao próprio objeto a ser estudado. Ou seja, o ponto de partida de sua ontologia do ser social é a teleologia no processo de trabalho (a forma do pôr teleológico enquanto transformação material da realidade material), não por escolha do autor, mas por sua prioridade ontológica - “é preciso distinguir claramente o princípio da prioridade ontológica dos juízos de valor gnosiológicos, morais etc. inerentes a toda hierarquia sistemática idealista ou materialista vulgar” (Lukács, 2012, p. 213). Ao desvelar a gênese do valor, então, Marx “revela a história de toda a realidade econômica num resumo generalíssimo, em abstrato” e “ilumina plenamente o que de mais importante existe na estrutura do ser social, ou seja, o caráter social da produção” (Lukács, 2012, p. 217).</w:t>
      </w:r>
    </w:p>
    <w:p>
      <w:pPr>
        <w:pStyle w:val="BodyText"/>
        <w:rPr/>
      </w:pPr>
      <w:r>
        <w:rPr/>
      </w:r>
    </w:p>
    <w:p>
      <w:pPr>
        <w:pStyle w:val="Normal"/>
        <w:spacing w:lineRule="auto" w:line="360"/>
        <w:jc w:val="both"/>
        <w:rPr>
          <w:b/>
          <w:sz w:val="24"/>
          <w:szCs w:val="24"/>
        </w:rPr>
      </w:pPr>
      <w:r>
        <w:rPr>
          <w:b/>
          <w:sz w:val="24"/>
          <w:szCs w:val="24"/>
        </w:rPr>
        <w:t>2.2</w:t>
        <w:tab/>
        <w:t>O Serviço Social marxista na história</w:t>
      </w:r>
    </w:p>
    <w:p>
      <w:pPr>
        <w:pStyle w:val="Normal"/>
        <w:spacing w:lineRule="auto" w:line="360"/>
        <w:jc w:val="both"/>
        <w:rPr>
          <w:b/>
          <w:sz w:val="24"/>
          <w:szCs w:val="24"/>
        </w:rPr>
      </w:pPr>
      <w:r>
        <w:rPr>
          <w:b/>
          <w:sz w:val="24"/>
          <w:szCs w:val="24"/>
        </w:rPr>
      </w:r>
    </w:p>
    <w:p>
      <w:pPr>
        <w:pStyle w:val="Normal"/>
        <w:spacing w:lineRule="auto" w:line="360"/>
        <w:ind w:firstLine="709" w:end="0"/>
        <w:jc w:val="both"/>
        <w:rPr/>
      </w:pPr>
      <w:r>
        <w:rPr>
          <w:sz w:val="24"/>
          <w:szCs w:val="24"/>
        </w:rPr>
        <w:t xml:space="preserve">Parte dos esforços da vertente “intenção de ruptura” (que será abordada adiante), no contexto do processo de Renovação do Serviço Social brasileiro, voltou-se para a compreensão da profissão em sua historicidade. Ou seja, buscou entender como as condições históricas, sociais, políticas e econômicas moldam diretamente as demandas, os posicionamentos e as transformações no interior da categoria profissional — influenciando, por consequência, sua produção de conhecimento. </w:t>
      </w:r>
    </w:p>
    <w:p>
      <w:pPr>
        <w:pStyle w:val="Normal"/>
        <w:spacing w:lineRule="auto" w:line="360"/>
        <w:ind w:firstLine="709" w:end="0"/>
        <w:jc w:val="both"/>
        <w:rPr/>
      </w:pPr>
      <w:r>
        <w:rPr>
          <w:sz w:val="24"/>
          <w:szCs w:val="24"/>
        </w:rPr>
        <w:t>Nesse sentido, a aproximação histórica entre o marxismo e o Serviço Social brasileiro enfrentou desafios que contemplam tarefas atuais do projeto ético político da profissão. Ela se deu principalmente a partir da década de 1960, quando o  Serviço Social brasileiro passou a enfrentar novas determinações impostas pelo contexto nacional, marcadas pela consolidação do capitalismo monopolista sob a ditadura - expansão do mercado de trabalho da profissão, refuncionalização diante de um novo padrão de exigências e demandas, tanto técnicas quanto teóricas (Netto, 2015, p. 123). A laicização da profissão e sua inserção no meio acadêmico antecederam a chamada Renovação, que promoveu uma aproximação mais intensa com as ciências sociais e com os métodos de pesquisa e produção de conhecimento da universidade. Esse processo impulsionou a construção de novas direções e vanguardas profissionais, que passaram a disputar a hegemonia dentro do próprio processo profissional, as quais Netto (2005) denominou de perspectiva modernizadora, reatualização do conservadorismo e intenção de ruptura - para detalhes das determinações dessas três vertentes, de suas bases teóricas e fases na Renovação, ver Netto (2005) p. 154-161.</w:t>
      </w:r>
    </w:p>
    <w:p>
      <w:pPr>
        <w:pStyle w:val="Normal"/>
        <w:spacing w:lineRule="auto" w:line="360"/>
        <w:ind w:firstLine="709" w:end="0"/>
        <w:jc w:val="both"/>
        <w:rPr/>
      </w:pPr>
      <w:r>
        <w:rPr>
          <w:sz w:val="24"/>
          <w:szCs w:val="24"/>
        </w:rPr>
        <w:t xml:space="preserve">Ressalta-se que o processo de renovação foi essencial para a construção do Serviço Social como uma área do conhecimento, que produz pesquisas relevantes no cenário nacional. Apesar de destacarmos, nas próximas páginas, os desafios da vertente que se tornou hegemônica, é importante entender que as três foram perpassadas por produções teóricas com características ecléticas e com um sincretismo metodológico, “dada a natureza histórica do lastro tradicional da elaboração teórica dos assistentes sociais e a igualmente histórica carência de tradição intelectual no âmbito do Serviço Social no Brasil” (Netto, 2005, p. 162). </w:t>
      </w:r>
    </w:p>
    <w:p>
      <w:pPr>
        <w:pStyle w:val="Normal"/>
        <w:spacing w:lineRule="auto" w:line="360"/>
        <w:ind w:firstLine="709" w:end="0"/>
        <w:jc w:val="both"/>
        <w:rPr/>
      </w:pPr>
      <w:r>
        <w:rPr>
          <w:sz w:val="24"/>
          <w:szCs w:val="24"/>
        </w:rPr>
        <w:t xml:space="preserve">Inicialmente, é importante destacar a influência, na vertente de intenção de ruptura, dos referenciais teóricos adotados pelo movimento de reconceituação latino-americano. A incorporação do marxismo, em um primeiro momento, ocorreu por meio de fontes secundárias, que frequentemente transmitiam uma visão vulgarizada e mecanicista. Isso se deveu tanto a limitações históricas de acesso direto aos textos originais quanto a restrições teóricas e metodológicas no campo da pesquisa. Ainda assim, o caminho realizado por essa vertente foi essencial para o acúmulo que permitiu a formação profissional se tornar o que é hoje, partindo da “ênfase na análise histórico-crítica da evolução do Serviço Social no Brasil” e possibilitando “a ampliação do universo temático do debate profissional” (Netto, 1991, p. 90). </w:t>
      </w:r>
    </w:p>
    <w:p>
      <w:pPr>
        <w:pStyle w:val="Normal"/>
        <w:spacing w:lineRule="auto" w:line="360"/>
        <w:ind w:firstLine="709" w:end="0"/>
        <w:jc w:val="both"/>
        <w:rPr>
          <w:sz w:val="24"/>
          <w:szCs w:val="24"/>
        </w:rPr>
      </w:pPr>
      <w:r>
        <w:rPr>
          <w:sz w:val="24"/>
          <w:szCs w:val="24"/>
        </w:rPr>
        <w:t>Entretanto, ao analisar a produção de conhecimento atual dos assistentes sociais brasileiros e o espaço das tendências conservadoras que permanecem disputando o projeto profissional, é possível reconhecer que permanece, guardando as diferenças históricas, um “descompasso entre o universo simbólico a que a produção teórico-metodológica e profissional das vanguardas remete e aquele que parece pertinente à massa da categoria” (Netto, 2005, p. 254) como outra dificuldade, apresentando certa distância entre a perspectiva teórica em construção e os indicativos prático-profissionais para a consolidação da ruptura proposta.</w:t>
      </w:r>
    </w:p>
    <w:p>
      <w:pPr>
        <w:pStyle w:val="Normal"/>
        <w:spacing w:lineRule="auto" w:line="360"/>
        <w:ind w:firstLine="709" w:end="0"/>
        <w:jc w:val="both"/>
        <w:rPr/>
      </w:pPr>
      <w:r>
        <w:rPr>
          <w:sz w:val="24"/>
          <w:szCs w:val="24"/>
        </w:rPr>
        <w:t xml:space="preserve">Articula-se a isso a predominância do pluralismo metodológico nas ciências humanas atuais, ressaltando aspectos como o subjetivismo do pesquisador, diante de uma suposta impossibilidade de compreender o mundo como uma totalidade — objetivamente fragmentada —, o processo de pesquisa passa a se centrar no sujeito, que reconhece a relatividade dos métodos e propõe a articulação entre diferentes paradigmas (Tonet, 2021, p. 3). De acordo com o exposto sobre os fundamentos ontológicos marxianos, entendemos que um sincretismo de metodologias científicas empobrece a análise da realidade. A questão metodológica, embora essencial, é pouco abordada na formação profissional. Mesmo com o Código de Ética fundamentado na ontologia materialista para tratar da ética, sua especificidade nem sempre é respeitada, sendo frequentemente combinada com autores que não partem de bases ontológicas, mas abordam as categorias em níveis meramente gnosiológicos. </w:t>
      </w:r>
    </w:p>
    <w:p>
      <w:pPr>
        <w:pStyle w:val="Normal"/>
        <w:spacing w:lineRule="auto" w:line="360"/>
        <w:ind w:firstLine="709" w:end="0"/>
        <w:jc w:val="both"/>
        <w:rPr>
          <w:sz w:val="24"/>
          <w:szCs w:val="24"/>
        </w:rPr>
      </w:pPr>
      <w:r>
        <w:rPr>
          <w:sz w:val="24"/>
          <w:szCs w:val="24"/>
        </w:rPr>
      </w:r>
    </w:p>
    <w:p>
      <w:pPr>
        <w:pStyle w:val="Normal"/>
        <w:spacing w:lineRule="auto" w:line="360"/>
        <w:ind w:hanging="0" w:end="0"/>
        <w:jc w:val="both"/>
        <w:rPr>
          <w:b/>
          <w:bCs/>
          <w:sz w:val="24"/>
          <w:szCs w:val="24"/>
        </w:rPr>
      </w:pPr>
      <w:r>
        <w:rPr>
          <w:b/>
          <w:bCs/>
          <w:sz w:val="24"/>
          <w:szCs w:val="24"/>
        </w:rPr>
        <w:t>3</w:t>
        <w:tab/>
        <w:t>METODOLOGIA E RESULTADOS OBTIDOS</w:t>
      </w:r>
    </w:p>
    <w:p>
      <w:pPr>
        <w:pStyle w:val="Normal"/>
        <w:spacing w:lineRule="auto" w:line="360"/>
        <w:ind w:hanging="0" w:end="0"/>
        <w:jc w:val="both"/>
        <w:rPr>
          <w:b/>
          <w:bCs/>
          <w:sz w:val="24"/>
          <w:szCs w:val="24"/>
        </w:rPr>
      </w:pPr>
      <w:r>
        <w:rPr>
          <w:b/>
          <w:bCs/>
          <w:sz w:val="24"/>
          <w:szCs w:val="24"/>
        </w:rPr>
      </w:r>
    </w:p>
    <w:p>
      <w:pPr>
        <w:pStyle w:val="Normal"/>
        <w:spacing w:lineRule="auto" w:line="360"/>
        <w:ind w:hanging="0" w:end="0"/>
        <w:jc w:val="both"/>
        <w:rPr>
          <w:b/>
          <w:bCs/>
          <w:sz w:val="24"/>
          <w:szCs w:val="24"/>
        </w:rPr>
      </w:pPr>
      <w:r>
        <w:rPr>
          <w:b/>
          <w:bCs/>
          <w:sz w:val="24"/>
          <w:szCs w:val="24"/>
        </w:rPr>
        <w:tab/>
      </w:r>
      <w:r>
        <w:rPr>
          <w:b w:val="false"/>
          <w:bCs w:val="false"/>
          <w:sz w:val="24"/>
          <w:szCs w:val="24"/>
        </w:rPr>
        <w:t xml:space="preserve">A pesquisa cujos resultados serão apresentados partiu da análise de revistas da categoria profissional, iniciada em 2020. Atualmente, os resultados agregam a análise de quatro revistas: Serviço Social e Sociedade, Temporalis, Argumentum, Libertas e SER Social. Esse artigo discorre sobre o processo de análise desta última. </w:t>
      </w:r>
      <w:r>
        <w:rPr>
          <w:b w:val="false"/>
          <w:bCs w:val="false"/>
          <w:sz w:val="24"/>
          <w:szCs w:val="24"/>
          <w:shd w:fill="auto" w:val="clear"/>
        </w:rPr>
        <w:t>Para conferir mais detalhadamente a investigação acerca das demais revistas, checar Brandão</w:t>
      </w:r>
      <w:r>
        <w:rPr>
          <w:b w:val="false"/>
          <w:bCs w:val="false"/>
          <w:i/>
          <w:iCs/>
          <w:sz w:val="24"/>
          <w:szCs w:val="24"/>
          <w:shd w:fill="auto" w:val="clear"/>
        </w:rPr>
        <w:t xml:space="preserve"> et al. </w:t>
      </w:r>
      <w:r>
        <w:rPr>
          <w:b w:val="false"/>
          <w:bCs w:val="false"/>
          <w:sz w:val="24"/>
          <w:szCs w:val="24"/>
          <w:shd w:fill="auto" w:val="clear"/>
        </w:rPr>
        <w:t>(2023) e Oliveira, Barbosa (2024).</w:t>
      </w:r>
    </w:p>
    <w:p>
      <w:pPr>
        <w:pStyle w:val="Normal"/>
        <w:spacing w:lineRule="auto" w:line="360"/>
        <w:ind w:hanging="0" w:end="0"/>
        <w:jc w:val="both"/>
        <w:rPr>
          <w:b/>
          <w:bCs/>
          <w:sz w:val="24"/>
          <w:szCs w:val="24"/>
        </w:rPr>
      </w:pPr>
      <w:r>
        <w:rPr>
          <w:b w:val="false"/>
          <w:bCs w:val="false"/>
          <w:sz w:val="24"/>
          <w:szCs w:val="24"/>
        </w:rPr>
        <w:tab/>
        <w:t>A metodologia consistiu em acessar o acervo das revistas e, em cada edição disponível online, selecionar os artigos (excluindo portanto entrevistas, apresentações, transcrições de palestras, etc.) cujos autores são assistentes sociais. Para identificação dos autores, utilizou-se a assinatura destes na publicação e, quando esta não po</w:t>
      </w:r>
      <w:r>
        <w:rPr>
          <w:b w:val="false"/>
          <w:bCs w:val="false"/>
          <w:sz w:val="24"/>
          <w:szCs w:val="24"/>
          <w:shd w:fill="auto" w:val="clear"/>
        </w:rPr>
        <w:t>ssui a denominação de</w:t>
      </w:r>
      <w:r>
        <w:rPr>
          <w:b w:val="false"/>
          <w:bCs w:val="false"/>
          <w:sz w:val="24"/>
          <w:szCs w:val="24"/>
        </w:rPr>
        <w:t xml:space="preserve"> “assistente social”, foi checado o currículo Lattes de cada autor para inclusão na pesquisa. Nos artigos de assistentes sociais, as referências bibliográficas foram analisadas a partir da presença ou não de textos originais de Marx. Ressaltamos que apenas a citação de textos marxianos não representa a apropriação ou não das fontes originais do autor; entretanto, admite-se que em uma contagem geral, essa presença pode indicar alguns caminhos das revistas científicas da categoria, quando considerados os temas de publicação, quais aspectos da questão social são predominantemente abordados, quais autores não marxistas aparecem no referencial, entre outros. </w:t>
      </w:r>
    </w:p>
    <w:p>
      <w:pPr>
        <w:pStyle w:val="Normal"/>
        <w:spacing w:lineRule="auto" w:line="360"/>
        <w:ind w:hanging="0" w:end="0"/>
        <w:jc w:val="both"/>
        <w:rPr>
          <w:b/>
          <w:bCs/>
          <w:sz w:val="24"/>
          <w:szCs w:val="24"/>
        </w:rPr>
      </w:pPr>
      <w:r>
        <w:rPr>
          <w:b w:val="false"/>
          <w:bCs w:val="false"/>
          <w:sz w:val="24"/>
          <w:szCs w:val="24"/>
        </w:rPr>
        <w:tab/>
        <w:t xml:space="preserve">A Revista Libertas, como já descrito na introdução, é publicada pela Faculdade de Serviço Social da UFJF. Sua primeira edição disponível online data de 2001 e a última de 2024, totalizando 44 volumes, dois volumes por ano. Um dos volumes (v. 7 n. 1 e 2, 2007), apesar de possuir 13 artigos no total, apenas 11 foram contabilizados para a produção dos dados, uma vez que 1 dos artigos, no documento disponibilizado online, teve sua primeira página (na qual constava título e identificação dos autores) cortada; e outro artigo já havia sido publicado em uma edição anterior da mesma revista, não sendo contabilizado de forma repetida. Ademais, vale destacar que em alguns volumes, publicações de “relatos de experiência”, apesar de categorizados fora dos artigos pela edição da revista, foram considerados e analisados. No volume 20, número 2 (2020), dois artigos não estão disponíveis online e, portanto, de 18 artigos, apenas 16 foram considerados na contagem, uma vez que não foi possível analisar as referências destes dois. </w:t>
      </w:r>
    </w:p>
    <w:p>
      <w:pPr>
        <w:pStyle w:val="Normal"/>
        <w:spacing w:lineRule="auto" w:line="360"/>
        <w:ind w:hanging="0" w:end="0"/>
        <w:jc w:val="both"/>
        <w:rPr>
          <w:b/>
          <w:bCs/>
          <w:sz w:val="24"/>
          <w:szCs w:val="24"/>
        </w:rPr>
      </w:pPr>
      <w:r>
        <w:rPr>
          <w:b w:val="false"/>
          <w:bCs w:val="false"/>
          <w:sz w:val="24"/>
          <w:szCs w:val="24"/>
        </w:rPr>
        <w:tab/>
        <w:t xml:space="preserve">A Revista SER Social, publicada pela Pós-Graduação em Política Social da Universidade de Brasília, possui avaliação Qualis A2 na área de Serviço Social. Suas publicações em formato online começam no ano de 2009, somando 55 revistas analisadas até a primeira edição de 2025. Também nesta revista, três artigos não possuíam o anexo correto no site e não foram incluídos na contagem. </w:t>
      </w:r>
    </w:p>
    <w:p>
      <w:pPr>
        <w:pStyle w:val="Normal"/>
        <w:spacing w:lineRule="auto" w:line="360"/>
        <w:ind w:hanging="0" w:end="0"/>
        <w:jc w:val="both"/>
        <w:rPr>
          <w:b/>
          <w:bCs/>
          <w:sz w:val="24"/>
          <w:szCs w:val="24"/>
        </w:rPr>
      </w:pPr>
      <w:r>
        <w:rPr>
          <w:b w:val="false"/>
          <w:bCs w:val="false"/>
          <w:sz w:val="24"/>
          <w:szCs w:val="24"/>
        </w:rPr>
        <w:tab/>
        <w:t xml:space="preserve">Explicado o caminho para os resultados obtidos, a Revista Libertas possibilitou a análise de 471 artigos no total, dos quais 328 (69,63%) escritos por assistentes sociais. Destes, 114 (34,75%) possuíam alguma referência a um texto de Marx. Nota-se, então, que apesar de as publicações de assistentes sociais serem significativas na revista, os que possuem citações de Marx são minoria, prevalecendo autores comentadores comumente utilizados na formação em Serviço Social: José Paulo Netto, Marilda Iamamoto, Ricardo Antunes, Carlos Nelson Coutinho, como principais. Nota-se o mesmo cenário na SER Social: os resultados apontam que de 404 artigos, 259 (64,10%) são escritos por assistentes sociais, dos quais apenas 78 (30,11%) possuíam referências bibliográficos marxianos. Nesta, além dos clássicos comentadores supracitados, destacam-se a frequência de referências a Vicente de Paula Faleiros e Potyara Amazoneida Pereira Pereira. </w:t>
      </w:r>
    </w:p>
    <w:p>
      <w:pPr>
        <w:pStyle w:val="Normal"/>
        <w:spacing w:lineRule="auto" w:line="360"/>
        <w:ind w:hanging="0" w:end="0"/>
        <w:jc w:val="both"/>
        <w:rPr>
          <w:b/>
          <w:bCs/>
          <w:sz w:val="24"/>
          <w:szCs w:val="24"/>
        </w:rPr>
      </w:pPr>
      <w:r>
        <w:rPr>
          <w:b w:val="false"/>
          <w:bCs w:val="false"/>
          <w:sz w:val="24"/>
          <w:szCs w:val="24"/>
        </w:rPr>
        <w:tab/>
        <w:t xml:space="preserve">Portanto, há uma tradição marxista viva no Serviço Social, fato importante quando considerado o contexto de crise dos paradigmas nas ciências humanas e de questionamento da validade do marxismo para a compreensão da realidade contemporânea do capitalismo. No entanto, essa tradição permanece baseada em fontes secundárias, sem trabalhar que existem inúmeras vertentes marxistas ou quais vertentes esses comentadores se baseiam, elemento essencial para entender que a utilização da tradição marxista não deve ser mecânica, dogmática e/ou ignorar as especificidades dos diferentes marxismos. Destaca-se também a presença de outros autores, nas duas revistas, como Michel Foucault, Zygmunt Bauman, Jürgen Habermas, bell hooks e Hannah Arendt, que indicam uma possível leitura marxista que se afasta da ortodoxia. </w:t>
      </w:r>
    </w:p>
    <w:p>
      <w:pPr>
        <w:pStyle w:val="Normal"/>
        <w:spacing w:lineRule="auto" w:line="360"/>
        <w:ind w:hanging="0" w:end="0"/>
        <w:jc w:val="both"/>
        <w:rPr>
          <w:b w:val="false"/>
          <w:bCs w:val="false"/>
          <w:sz w:val="24"/>
          <w:szCs w:val="24"/>
        </w:rPr>
      </w:pPr>
      <w:r>
        <w:rPr>
          <w:b w:val="false"/>
          <w:bCs w:val="false"/>
          <w:sz w:val="24"/>
          <w:szCs w:val="24"/>
        </w:rPr>
        <w:tab/>
        <w:t>Estes dados foram agregados à análise anterior das demais revistas, cujo resultado é explicitado na Tabela 1. Nota-se que apenas 30,73% da bibliografia analisada possuía o autor fundador da tradição teórica hegemônica no Serviço Social.</w:t>
      </w:r>
    </w:p>
    <w:p>
      <w:pPr>
        <w:pStyle w:val="Normal"/>
        <w:spacing w:lineRule="auto" w:line="360"/>
        <w:ind w:hanging="0" w:end="0"/>
        <w:jc w:val="center"/>
        <w:rPr>
          <w:b/>
          <w:bCs/>
          <w:sz w:val="24"/>
          <w:szCs w:val="24"/>
        </w:rPr>
      </w:pPr>
      <w:r>
        <w:rPr>
          <w:b/>
          <w:bCs/>
          <w:sz w:val="24"/>
          <w:szCs w:val="24"/>
        </w:rPr>
        <w:t>Tabela 1</w:t>
      </w:r>
      <w:r>
        <w:rPr>
          <w:b w:val="false"/>
          <w:bCs w:val="false"/>
          <w:sz w:val="24"/>
          <w:szCs w:val="24"/>
        </w:rPr>
        <w:t xml:space="preserve"> – Relação das revistas analisadas</w:t>
      </w:r>
    </w:p>
    <w:tbl>
      <w:tblPr>
        <w:tblW w:w="9071" w:type="dxa"/>
        <w:jc w:val="start"/>
        <w:tblInd w:w="0" w:type="dxa"/>
        <w:tblLayout w:type="fixed"/>
        <w:tblCellMar>
          <w:top w:w="30" w:type="dxa"/>
          <w:start w:w="45" w:type="dxa"/>
          <w:bottom w:w="30" w:type="dxa"/>
          <w:end w:w="45" w:type="dxa"/>
        </w:tblCellMar>
      </w:tblPr>
      <w:tblGrid>
        <w:gridCol w:w="2864"/>
        <w:gridCol w:w="1297"/>
        <w:gridCol w:w="1921"/>
        <w:gridCol w:w="2988"/>
      </w:tblGrid>
      <w:tr>
        <w:trPr/>
        <w:tc>
          <w:tcPr>
            <w:tcW w:w="2864" w:type="dxa"/>
            <w:tcBorders>
              <w:top w:val="single" w:sz="2" w:space="0" w:color="000000"/>
              <w:start w:val="single" w:sz="2" w:space="0" w:color="000000"/>
              <w:bottom w:val="single" w:sz="2" w:space="0" w:color="000000"/>
              <w:end w:val="single" w:sz="2" w:space="0" w:color="000000"/>
            </w:tcBorders>
            <w:vAlign w:val="center"/>
          </w:tcPr>
          <w:p>
            <w:pPr>
              <w:pStyle w:val="Contedodatabela"/>
              <w:ind w:hanging="0" w:start="0" w:end="0"/>
              <w:rPr/>
            </w:pPr>
            <w:r>
              <w:rPr/>
              <w:t>REVISTA</w:t>
            </w:r>
          </w:p>
        </w:tc>
        <w:tc>
          <w:tcPr>
            <w:tcW w:w="1297" w:type="dxa"/>
            <w:tcBorders>
              <w:top w:val="single" w:sz="2" w:space="0" w:color="000000"/>
              <w:bottom w:val="single" w:sz="2" w:space="0" w:color="000000"/>
              <w:end w:val="single" w:sz="2" w:space="0" w:color="000000"/>
            </w:tcBorders>
            <w:tcMar>
              <w:start w:w="0" w:type="dxa"/>
            </w:tcMar>
            <w:vAlign w:val="center"/>
          </w:tcPr>
          <w:p>
            <w:pPr>
              <w:pStyle w:val="Contedodatabela"/>
              <w:ind w:hanging="0" w:start="0" w:end="0"/>
              <w:rPr/>
            </w:pPr>
            <w:r>
              <w:rPr/>
              <w:t>ARTIGOS</w:t>
            </w:r>
          </w:p>
        </w:tc>
        <w:tc>
          <w:tcPr>
            <w:tcW w:w="1921" w:type="dxa"/>
            <w:tcBorders>
              <w:top w:val="single" w:sz="2" w:space="0" w:color="000000"/>
              <w:bottom w:val="single" w:sz="2" w:space="0" w:color="000000"/>
              <w:end w:val="single" w:sz="2" w:space="0" w:color="000000"/>
            </w:tcBorders>
            <w:tcMar>
              <w:start w:w="0" w:type="dxa"/>
            </w:tcMar>
            <w:vAlign w:val="center"/>
          </w:tcPr>
          <w:p>
            <w:pPr>
              <w:pStyle w:val="Contedodatabela"/>
              <w:ind w:hanging="0" w:start="0" w:end="0"/>
              <w:rPr/>
            </w:pPr>
            <w:r>
              <w:rPr/>
              <w:t xml:space="preserve">ARTIGOS DE A.S </w:t>
            </w:r>
          </w:p>
        </w:tc>
        <w:tc>
          <w:tcPr>
            <w:tcW w:w="2988" w:type="dxa"/>
            <w:tcBorders>
              <w:top w:val="single" w:sz="2" w:space="0" w:color="000000"/>
              <w:bottom w:val="single" w:sz="2" w:space="0" w:color="000000"/>
              <w:end w:val="single" w:sz="2" w:space="0" w:color="000000"/>
            </w:tcBorders>
            <w:tcMar>
              <w:start w:w="0" w:type="dxa"/>
            </w:tcMar>
            <w:vAlign w:val="center"/>
          </w:tcPr>
          <w:p>
            <w:pPr>
              <w:pStyle w:val="Contedodatabela"/>
              <w:ind w:hanging="0" w:start="0" w:end="0"/>
              <w:rPr/>
            </w:pPr>
            <w:r>
              <w:rPr/>
              <w:t>ARTIGOS DE A.S QUE CITAM MARX</w:t>
            </w:r>
          </w:p>
        </w:tc>
      </w:tr>
      <w:tr>
        <w:trPr/>
        <w:tc>
          <w:tcPr>
            <w:tcW w:w="2864" w:type="dxa"/>
            <w:tcBorders>
              <w:start w:val="single" w:sz="2" w:space="0" w:color="000000"/>
              <w:bottom w:val="single" w:sz="2" w:space="0" w:color="000000"/>
              <w:end w:val="single" w:sz="2" w:space="0" w:color="000000"/>
            </w:tcBorders>
            <w:tcMar>
              <w:top w:w="0" w:type="dxa"/>
            </w:tcMar>
            <w:vAlign w:val="center"/>
          </w:tcPr>
          <w:p>
            <w:pPr>
              <w:pStyle w:val="Contedodatabela"/>
              <w:ind w:hanging="0" w:start="0" w:end="0"/>
              <w:rPr/>
            </w:pPr>
            <w:r>
              <w:rPr/>
              <w:t xml:space="preserve">Serviço Social e Sociedade </w:t>
            </w:r>
          </w:p>
        </w:tc>
        <w:tc>
          <w:tcPr>
            <w:tcW w:w="1297"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329</w:t>
            </w:r>
          </w:p>
        </w:tc>
        <w:tc>
          <w:tcPr>
            <w:tcW w:w="1921"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220</w:t>
            </w:r>
          </w:p>
        </w:tc>
        <w:tc>
          <w:tcPr>
            <w:tcW w:w="2988"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37</w:t>
            </w:r>
          </w:p>
        </w:tc>
      </w:tr>
      <w:tr>
        <w:trPr/>
        <w:tc>
          <w:tcPr>
            <w:tcW w:w="2864" w:type="dxa"/>
            <w:tcBorders>
              <w:start w:val="single" w:sz="2" w:space="0" w:color="000000"/>
              <w:bottom w:val="single" w:sz="2" w:space="0" w:color="000000"/>
              <w:end w:val="single" w:sz="2" w:space="0" w:color="000000"/>
            </w:tcBorders>
            <w:tcMar>
              <w:top w:w="0" w:type="dxa"/>
            </w:tcMar>
            <w:vAlign w:val="center"/>
          </w:tcPr>
          <w:p>
            <w:pPr>
              <w:pStyle w:val="Contedodatabela"/>
              <w:ind w:hanging="0" w:start="0" w:end="0"/>
              <w:rPr/>
            </w:pPr>
            <w:r>
              <w:rPr/>
              <w:t>Temporalis</w:t>
            </w:r>
          </w:p>
        </w:tc>
        <w:tc>
          <w:tcPr>
            <w:tcW w:w="1297"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420</w:t>
            </w:r>
          </w:p>
        </w:tc>
        <w:tc>
          <w:tcPr>
            <w:tcW w:w="1921"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362</w:t>
            </w:r>
          </w:p>
        </w:tc>
        <w:tc>
          <w:tcPr>
            <w:tcW w:w="2988"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138</w:t>
            </w:r>
          </w:p>
        </w:tc>
      </w:tr>
      <w:tr>
        <w:trPr/>
        <w:tc>
          <w:tcPr>
            <w:tcW w:w="2864" w:type="dxa"/>
            <w:tcBorders>
              <w:start w:val="single" w:sz="2" w:space="0" w:color="000000"/>
              <w:bottom w:val="single" w:sz="2" w:space="0" w:color="000000"/>
              <w:end w:val="single" w:sz="2" w:space="0" w:color="000000"/>
            </w:tcBorders>
            <w:tcMar>
              <w:top w:w="0" w:type="dxa"/>
            </w:tcMar>
            <w:vAlign w:val="center"/>
          </w:tcPr>
          <w:p>
            <w:pPr>
              <w:pStyle w:val="Contedodatabela"/>
              <w:ind w:hanging="0" w:start="0" w:end="0"/>
              <w:rPr/>
            </w:pPr>
            <w:r>
              <w:rPr/>
              <w:t xml:space="preserve">Argumentum </w:t>
            </w:r>
          </w:p>
        </w:tc>
        <w:tc>
          <w:tcPr>
            <w:tcW w:w="1297"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439</w:t>
            </w:r>
          </w:p>
        </w:tc>
        <w:tc>
          <w:tcPr>
            <w:tcW w:w="1921"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269</w:t>
            </w:r>
          </w:p>
        </w:tc>
        <w:tc>
          <w:tcPr>
            <w:tcW w:w="2988"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75</w:t>
            </w:r>
          </w:p>
        </w:tc>
      </w:tr>
      <w:tr>
        <w:trPr/>
        <w:tc>
          <w:tcPr>
            <w:tcW w:w="2864" w:type="dxa"/>
            <w:tcBorders>
              <w:start w:val="single" w:sz="2" w:space="0" w:color="000000"/>
              <w:bottom w:val="single" w:sz="2" w:space="0" w:color="000000"/>
              <w:end w:val="single" w:sz="2" w:space="0" w:color="000000"/>
            </w:tcBorders>
            <w:tcMar>
              <w:top w:w="0" w:type="dxa"/>
            </w:tcMar>
            <w:vAlign w:val="center"/>
          </w:tcPr>
          <w:p>
            <w:pPr>
              <w:pStyle w:val="Contedodatabela"/>
              <w:ind w:hanging="0" w:start="0" w:end="0"/>
              <w:rPr/>
            </w:pPr>
            <w:r>
              <w:rPr/>
              <w:t>Libertas</w:t>
            </w:r>
          </w:p>
        </w:tc>
        <w:tc>
          <w:tcPr>
            <w:tcW w:w="1297"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471</w:t>
            </w:r>
          </w:p>
        </w:tc>
        <w:tc>
          <w:tcPr>
            <w:tcW w:w="1921"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328</w:t>
            </w:r>
          </w:p>
        </w:tc>
        <w:tc>
          <w:tcPr>
            <w:tcW w:w="2988"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114</w:t>
            </w:r>
          </w:p>
        </w:tc>
      </w:tr>
      <w:tr>
        <w:trPr/>
        <w:tc>
          <w:tcPr>
            <w:tcW w:w="2864" w:type="dxa"/>
            <w:tcBorders>
              <w:start w:val="single" w:sz="2" w:space="0" w:color="000000"/>
              <w:bottom w:val="single" w:sz="2" w:space="0" w:color="000000"/>
              <w:end w:val="single" w:sz="2" w:space="0" w:color="000000"/>
            </w:tcBorders>
            <w:tcMar>
              <w:top w:w="0" w:type="dxa"/>
            </w:tcMar>
            <w:vAlign w:val="center"/>
          </w:tcPr>
          <w:p>
            <w:pPr>
              <w:pStyle w:val="Contedodatabela"/>
              <w:ind w:hanging="0" w:start="0" w:end="0"/>
              <w:rPr/>
            </w:pPr>
            <w:r>
              <w:rPr/>
              <w:t>SER Social</w:t>
            </w:r>
          </w:p>
        </w:tc>
        <w:tc>
          <w:tcPr>
            <w:tcW w:w="1297"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404</w:t>
            </w:r>
          </w:p>
        </w:tc>
        <w:tc>
          <w:tcPr>
            <w:tcW w:w="1921"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259</w:t>
            </w:r>
          </w:p>
        </w:tc>
        <w:tc>
          <w:tcPr>
            <w:tcW w:w="2988"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78</w:t>
            </w:r>
          </w:p>
        </w:tc>
      </w:tr>
      <w:tr>
        <w:trPr/>
        <w:tc>
          <w:tcPr>
            <w:tcW w:w="2864" w:type="dxa"/>
            <w:tcBorders>
              <w:start w:val="single" w:sz="2" w:space="0" w:color="000000"/>
              <w:bottom w:val="single" w:sz="2" w:space="0" w:color="000000"/>
              <w:end w:val="single" w:sz="2" w:space="0" w:color="000000"/>
            </w:tcBorders>
            <w:tcMar>
              <w:top w:w="0" w:type="dxa"/>
            </w:tcMar>
            <w:vAlign w:val="center"/>
          </w:tcPr>
          <w:p>
            <w:pPr>
              <w:pStyle w:val="Contedodatabela"/>
              <w:ind w:hanging="0" w:start="0" w:end="0"/>
              <w:rPr/>
            </w:pPr>
            <w:r>
              <w:rPr/>
              <w:t>TOTAL</w:t>
            </w:r>
          </w:p>
        </w:tc>
        <w:tc>
          <w:tcPr>
            <w:tcW w:w="1297"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2063</w:t>
            </w:r>
          </w:p>
        </w:tc>
        <w:tc>
          <w:tcPr>
            <w:tcW w:w="1921"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1438</w:t>
            </w:r>
          </w:p>
        </w:tc>
        <w:tc>
          <w:tcPr>
            <w:tcW w:w="2988"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442</w:t>
            </w:r>
          </w:p>
        </w:tc>
      </w:tr>
      <w:tr>
        <w:trPr/>
        <w:tc>
          <w:tcPr>
            <w:tcW w:w="2864" w:type="dxa"/>
            <w:tcBorders>
              <w:start w:val="single" w:sz="2" w:space="0" w:color="000000"/>
              <w:bottom w:val="single" w:sz="2" w:space="0" w:color="000000"/>
              <w:end w:val="single" w:sz="2" w:space="0" w:color="000000"/>
            </w:tcBorders>
            <w:tcMar>
              <w:top w:w="0" w:type="dxa"/>
            </w:tcMar>
            <w:vAlign w:val="center"/>
          </w:tcPr>
          <w:p>
            <w:pPr>
              <w:pStyle w:val="Contedodatabela"/>
              <w:ind w:hanging="0" w:start="0" w:end="0"/>
              <w:rPr/>
            </w:pPr>
            <w:r>
              <w:rPr/>
              <w:t xml:space="preserve">TOTAL EM % </w:t>
            </w:r>
          </w:p>
        </w:tc>
        <w:tc>
          <w:tcPr>
            <w:tcW w:w="1297" w:type="dxa"/>
            <w:tcBorders>
              <w:bottom w:val="single" w:sz="2" w:space="0" w:color="000000"/>
              <w:end w:val="single" w:sz="2" w:space="0" w:color="000000"/>
            </w:tcBorders>
            <w:tcMar>
              <w:top w:w="0" w:type="dxa"/>
              <w:start w:w="0" w:type="dxa"/>
            </w:tcMar>
            <w:vAlign w:val="center"/>
          </w:tcPr>
          <w:p>
            <w:pPr>
              <w:pStyle w:val="Contedodatabela"/>
              <w:ind w:hanging="0" w:start="0" w:end="0"/>
              <w:rPr>
                <w:sz w:val="4"/>
                <w:szCs w:val="4"/>
              </w:rPr>
            </w:pPr>
            <w:r>
              <w:rPr>
                <w:sz w:val="4"/>
                <w:szCs w:val="4"/>
              </w:rPr>
            </w:r>
          </w:p>
        </w:tc>
        <w:tc>
          <w:tcPr>
            <w:tcW w:w="1921" w:type="dxa"/>
            <w:tcBorders>
              <w:bottom w:val="single" w:sz="2" w:space="0" w:color="000000"/>
              <w:end w:val="single" w:sz="2" w:space="0" w:color="000000"/>
            </w:tcBorders>
            <w:tcMar>
              <w:top w:w="0" w:type="dxa"/>
              <w:start w:w="0" w:type="dxa"/>
            </w:tcMar>
            <w:vAlign w:val="center"/>
          </w:tcPr>
          <w:p>
            <w:pPr>
              <w:pStyle w:val="Contedodatabela"/>
              <w:ind w:hanging="0" w:start="0" w:end="0"/>
              <w:jc w:val="end"/>
              <w:rPr/>
            </w:pPr>
            <w:r>
              <w:rPr/>
              <w:t>69,70%*</w:t>
            </w:r>
          </w:p>
        </w:tc>
        <w:tc>
          <w:tcPr>
            <w:tcW w:w="2988" w:type="dxa"/>
            <w:tcBorders>
              <w:bottom w:val="single" w:sz="2" w:space="0" w:color="000000"/>
              <w:end w:val="single" w:sz="2" w:space="0" w:color="000000"/>
            </w:tcBorders>
            <w:tcMar>
              <w:top w:w="0" w:type="dxa"/>
              <w:start w:w="0" w:type="dxa"/>
            </w:tcMar>
            <w:vAlign w:val="center"/>
          </w:tcPr>
          <w:p>
            <w:pPr>
              <w:pStyle w:val="Contedodatabela"/>
              <w:jc w:val="end"/>
              <w:rPr/>
            </w:pPr>
            <w:r>
              <w:rPr/>
              <w:t>30,73%**</w:t>
            </w:r>
          </w:p>
        </w:tc>
      </w:tr>
    </w:tbl>
    <w:p>
      <w:pPr>
        <w:pStyle w:val="Normal"/>
        <w:spacing w:lineRule="auto" w:line="240"/>
        <w:ind w:hanging="0" w:end="0"/>
        <w:jc w:val="start"/>
        <w:rPr>
          <w:b/>
          <w:bCs/>
          <w:sz w:val="20"/>
          <w:szCs w:val="20"/>
        </w:rPr>
      </w:pPr>
      <w:r>
        <w:rPr>
          <w:b w:val="false"/>
          <w:bCs w:val="false"/>
          <w:sz w:val="20"/>
          <w:szCs w:val="20"/>
        </w:rPr>
        <w:t>Fonte: elaboração própria</w:t>
      </w:r>
    </w:p>
    <w:p>
      <w:pPr>
        <w:pStyle w:val="Normal"/>
        <w:spacing w:lineRule="auto" w:line="240"/>
        <w:ind w:hanging="0" w:end="0"/>
        <w:jc w:val="start"/>
        <w:rPr>
          <w:b/>
          <w:bCs/>
          <w:sz w:val="20"/>
          <w:szCs w:val="20"/>
        </w:rPr>
      </w:pPr>
      <w:r>
        <w:rPr>
          <w:b w:val="false"/>
          <w:bCs w:val="false"/>
          <w:sz w:val="20"/>
          <w:szCs w:val="20"/>
        </w:rPr>
        <w:t>*Valor referente ao número total de artigos (2063).</w:t>
      </w:r>
    </w:p>
    <w:p>
      <w:pPr>
        <w:pStyle w:val="Normal"/>
        <w:spacing w:lineRule="auto" w:line="240"/>
        <w:ind w:hanging="0" w:end="0"/>
        <w:jc w:val="start"/>
        <w:rPr>
          <w:b/>
          <w:bCs/>
          <w:sz w:val="20"/>
          <w:szCs w:val="20"/>
        </w:rPr>
      </w:pPr>
      <w:r>
        <w:rPr>
          <w:b w:val="false"/>
          <w:bCs w:val="false"/>
          <w:sz w:val="20"/>
          <w:szCs w:val="20"/>
        </w:rPr>
        <w:t>**Valor referente ao número de artigos de assistentes sociais (1438).</w:t>
      </w:r>
    </w:p>
    <w:p>
      <w:pPr>
        <w:pStyle w:val="Normal"/>
        <w:spacing w:lineRule="auto" w:line="240"/>
        <w:ind w:hanging="0" w:end="0"/>
        <w:jc w:val="start"/>
        <w:rPr>
          <w:b w:val="false"/>
          <w:bCs w:val="false"/>
        </w:rPr>
      </w:pPr>
      <w:r>
        <w:rPr>
          <w:b w:val="false"/>
          <w:bCs w:val="false"/>
        </w:rPr>
      </w:r>
    </w:p>
    <w:p>
      <w:pPr>
        <w:pStyle w:val="Normal"/>
        <w:spacing w:lineRule="auto" w:line="360"/>
        <w:ind w:hanging="0" w:end="0"/>
        <w:jc w:val="both"/>
        <w:rPr>
          <w:b w:val="false"/>
          <w:bCs w:val="false"/>
          <w:sz w:val="24"/>
          <w:szCs w:val="24"/>
        </w:rPr>
      </w:pPr>
      <w:r>
        <w:rPr>
          <w:b w:val="false"/>
          <w:bCs w:val="false"/>
          <w:sz w:val="24"/>
          <w:szCs w:val="24"/>
        </w:rPr>
        <w:tab/>
        <w:t xml:space="preserve">Compreende-se, por fim, que os compromissos assumidos pelo Serviço Social brasileiro estão diretamente ligados aos desafios históricos de uma produção de conhecimento que, na atualidade, deve estar comprometida com a análise da sociabilidade capitalista. Essa análise precisa ir além da complexidade aparente e fragmentada dessa realidade, buscando apreender suas conexões e contradições fundamentais na produção e reprodução social, com o objetivo de realizar uma crítica radical. Outro destaque durante o desenvolvimento da pesquis diz respeito à metodologia de alguns artigos, os quais, mesmo não possuindo referência direta à Marx, afirmavam o “materialismo histórico dialético” como abordagem central – lembramos do debate abordado anteriormente acerca do método marxiano, extremamente específico e complexo. </w:t>
      </w:r>
    </w:p>
    <w:p>
      <w:pPr>
        <w:pStyle w:val="Normal"/>
        <w:widowControl/>
        <w:bidi w:val="0"/>
        <w:spacing w:lineRule="auto" w:line="360"/>
        <w:ind w:hanging="0" w:start="0" w:end="0"/>
        <w:jc w:val="both"/>
        <w:rPr>
          <w:sz w:val="24"/>
          <w:szCs w:val="24"/>
        </w:rPr>
      </w:pPr>
      <w:r>
        <w:rPr>
          <w:sz w:val="24"/>
          <w:szCs w:val="24"/>
        </w:rPr>
        <w:tab/>
        <w:t>A universidade cumpre seu papel na reprodução ideológica e cultural, inclusive em meio à crise do capitalismo, expressa na “crescente mercantilização e privatização da educação superior, cursos na modalidade à distância, disciplinas que reproduzem diálogo dos novos paradigmas” (Oliveira, Coutinho, 2023, p. 27). No interior da profissão, persiste o desafio de “aproximar” teoria e prática — em parte, pela distância existente entre as vanguardas teóricas e suas discussões e a maioria dos assistentes sociais que atuam fora do ambiente universitário. Esse debate ocorre em um contexto de profundas transformações enfrentadas pela categoria desde 1993, marcado pela “perda de capacidade crítica em face do neoliberalismo e da sua crescente integração do Estado” (Lessa, 2020, p. 216), além das tendências conservadoras que ainda disputam espaço na prática profissional. Todos esses elementos impõem obstáculos à consolidação da dimensão investigativa da profissão — e, em particular, à produção de conhecimento que aqui se analisa — com base em fundamentos marxistas, radicais e ontológicos:</w:t>
      </w:r>
    </w:p>
    <w:p>
      <w:pPr>
        <w:pStyle w:val="Normal"/>
        <w:widowControl/>
        <w:bidi w:val="0"/>
        <w:spacing w:lineRule="auto" w:line="240"/>
        <w:ind w:hanging="0" w:start="2268" w:end="0"/>
        <w:jc w:val="both"/>
        <w:rPr>
          <w:sz w:val="20"/>
          <w:szCs w:val="20"/>
        </w:rPr>
      </w:pPr>
      <w:r>
        <w:rPr>
          <w:sz w:val="20"/>
          <w:szCs w:val="20"/>
        </w:rPr>
        <w:t>O resultado na base da profissão, é que o assistente social não é</w:t>
        <w:br/>
        <w:t>capaz, no seu espaço profissional, de ir além do pobre papel de</w:t>
        <w:br/>
        <w:t>executor, de mero aplicador das políticas públicas definidas pelo</w:t>
        <w:br/>
        <w:t>Estado. A perspectiva de utilizar a inserção profissional como</w:t>
        <w:br/>
        <w:t>momento da luta de classes - o que era consensual no Congresso da</w:t>
        <w:br/>
        <w:t>Virada - só vai além disso: um discurso residual. Abre-se, por isso,</w:t>
        <w:br/>
        <w:t>uma distância cada vez maior entre a ‘teoria’ e a ‘prática’ profissional,</w:t>
        <w:br/>
        <w:t>ainda que a teoria faça um enorme esforço para se aproximar da</w:t>
        <w:br/>
        <w:t>prática, abastardado-se ao horizonte da emancipação política, da luta por reformas ‘por meio do Estado’ (Lessa, 2020, p. 212).</w:t>
      </w:r>
    </w:p>
    <w:p>
      <w:pPr>
        <w:pStyle w:val="Normal"/>
        <w:spacing w:lineRule="auto" w:line="360"/>
        <w:ind w:hanging="0" w:end="0"/>
        <w:jc w:val="both"/>
        <w:rPr>
          <w:b w:val="false"/>
          <w:bCs w:val="false"/>
          <w:sz w:val="24"/>
          <w:szCs w:val="24"/>
        </w:rPr>
      </w:pPr>
      <w:r>
        <w:rPr>
          <w:b w:val="false"/>
          <w:bCs w:val="false"/>
          <w:sz w:val="24"/>
          <w:szCs w:val="24"/>
        </w:rPr>
        <w:tab/>
      </w:r>
    </w:p>
    <w:p>
      <w:pPr>
        <w:pStyle w:val="Normal"/>
        <w:spacing w:lineRule="auto" w:line="360"/>
        <w:jc w:val="both"/>
        <w:rPr>
          <w:b/>
          <w:sz w:val="24"/>
          <w:szCs w:val="24"/>
        </w:rPr>
      </w:pPr>
      <w:r>
        <w:rPr>
          <w:b/>
          <w:sz w:val="24"/>
          <w:szCs w:val="24"/>
        </w:rPr>
        <w:t>4</w:t>
        <w:tab/>
        <w:t>CONCLUSÃO</w:t>
      </w:r>
    </w:p>
    <w:p>
      <w:pPr>
        <w:pStyle w:val="Normal"/>
        <w:spacing w:lineRule="auto" w:line="360"/>
        <w:jc w:val="both"/>
        <w:rPr>
          <w:b/>
          <w:sz w:val="24"/>
          <w:szCs w:val="24"/>
        </w:rPr>
      </w:pPr>
      <w:r>
        <w:rPr>
          <w:b/>
          <w:sz w:val="24"/>
          <w:szCs w:val="24"/>
        </w:rPr>
      </w:r>
    </w:p>
    <w:p>
      <w:pPr>
        <w:pStyle w:val="Normal"/>
        <w:spacing w:lineRule="auto" w:line="360"/>
        <w:jc w:val="both"/>
        <w:rPr>
          <w:b/>
          <w:sz w:val="24"/>
          <w:szCs w:val="24"/>
        </w:rPr>
      </w:pPr>
      <w:r>
        <w:rPr>
          <w:b/>
          <w:sz w:val="24"/>
          <w:szCs w:val="24"/>
        </w:rPr>
        <w:tab/>
      </w:r>
      <w:r>
        <w:rPr>
          <w:b w:val="false"/>
          <w:bCs w:val="false"/>
          <w:sz w:val="24"/>
          <w:szCs w:val="24"/>
        </w:rPr>
        <w:t>Essa pesquisa faz parte do esforço de pautar e encarar os desafios contemporâneos da formação de assistentes sociais no Brasil, a partir da problematização da apropriação marxiana, tão cara ao Projeto ético-político hegemônico. Para isso, discute-se o papel central do contato com as leituras marxistas no desenvolvimento da perspectiva crítica mencionada.</w:t>
      </w:r>
    </w:p>
    <w:p>
      <w:pPr>
        <w:pStyle w:val="Normal"/>
        <w:spacing w:lineRule="auto" w:line="360"/>
        <w:jc w:val="both"/>
        <w:rPr>
          <w:b/>
          <w:sz w:val="24"/>
          <w:szCs w:val="24"/>
        </w:rPr>
      </w:pPr>
      <w:r>
        <w:rPr>
          <w:b w:val="false"/>
          <w:bCs w:val="false"/>
          <w:sz w:val="24"/>
          <w:szCs w:val="24"/>
        </w:rPr>
        <w:tab/>
        <w:t>Embora o Projeto ético-político, estabelecido em 1993, “represente o que de mais avançado a Virada de 1979 conseguiu produzir na esteira do movimento de reconceituação com a intenção de ruptura” (Lessa, 2020, p. 211), o que se observa atualmente é a fragilidade desse avanço — fundamentado no marxismo — entre a maioria dos profissionais. A simples adoção mecânica de autores marxistas secundários vinculados à profissão não representa a superação do estágio inicial da Intenção de Ruptura e, com base nos dados apresentados, constata-se que a hegemonia dessa perspectiva ainda não está consolidada.</w:t>
      </w:r>
    </w:p>
    <w:p>
      <w:pPr>
        <w:pStyle w:val="Normal"/>
        <w:spacing w:lineRule="auto" w:line="360"/>
        <w:jc w:val="both"/>
        <w:rPr>
          <w:sz w:val="24"/>
          <w:szCs w:val="24"/>
        </w:rPr>
      </w:pPr>
      <w:r>
        <w:rPr>
          <w:b w:val="false"/>
          <w:bCs w:val="false"/>
          <w:sz w:val="24"/>
          <w:szCs w:val="24"/>
        </w:rPr>
        <w:tab/>
        <w:t>Faz-se urgente, diante do contexto apresentado, que o projeto profissional, político e societário hegemônico no Serviço Social envolva um trabalho de ensino dos conteúdos marxianos a partir de: qualificação do quadro docente, para que estes conheçam de forma sistemática e contínua os textos originais de Marx, seus debates e polêmicas mais importantes, evitando o ensino dogmático, sectário e/ou vulgar do método marxista (Netto, 1991); a abordagem, dentro da formação profissional, “do desenvolvimento plurívoco da tradição marxista e do reconhecimento franco e crítico de sua crise de implementação prático-política” (Ibidem, p. 94); e claro, a aproximação do estudante da escrita original de Marx, “que não é substituível a nenhuma interpretação” (Ibid., p. 95).</w:t>
      </w:r>
    </w:p>
    <w:p>
      <w:pPr>
        <w:pStyle w:val="Normal"/>
        <w:spacing w:lineRule="auto" w:line="360"/>
        <w:jc w:val="center"/>
        <w:rPr>
          <w:b/>
          <w:sz w:val="24"/>
          <w:szCs w:val="24"/>
        </w:rPr>
      </w:pPr>
      <w:r>
        <w:rPr>
          <w:b/>
          <w:sz w:val="24"/>
          <w:szCs w:val="24"/>
        </w:rPr>
      </w:r>
    </w:p>
    <w:p>
      <w:pPr>
        <w:pStyle w:val="Normal"/>
        <w:spacing w:lineRule="auto" w:line="360"/>
        <w:jc w:val="center"/>
        <w:rPr>
          <w:b/>
          <w:sz w:val="24"/>
          <w:szCs w:val="24"/>
        </w:rPr>
      </w:pPr>
      <w:r>
        <w:rPr>
          <w:b/>
          <w:sz w:val="24"/>
          <w:szCs w:val="24"/>
        </w:rPr>
        <w:t xml:space="preserve">REFERÊNCIAS </w:t>
      </w:r>
    </w:p>
    <w:p>
      <w:pPr>
        <w:pStyle w:val="Normal"/>
        <w:spacing w:lineRule="auto" w:line="360"/>
        <w:jc w:val="both"/>
        <w:rPr>
          <w:bCs/>
          <w:sz w:val="24"/>
          <w:szCs w:val="24"/>
        </w:rPr>
      </w:pPr>
      <w:r>
        <w:rPr>
          <w:bCs/>
          <w:sz w:val="24"/>
          <w:szCs w:val="24"/>
        </w:rPr>
      </w:r>
    </w:p>
    <w:p>
      <w:pPr>
        <w:pStyle w:val="Normal"/>
        <w:spacing w:lineRule="auto" w:line="360"/>
        <w:jc w:val="both"/>
        <w:rPr/>
      </w:pPr>
      <w:r>
        <w:rPr>
          <w:i w:val="false"/>
          <w:iCs w:val="false"/>
          <w:color w:val="000000"/>
          <w:sz w:val="24"/>
          <w:szCs w:val="24"/>
          <w:u w:val="none"/>
          <w:shd w:fill="auto" w:val="clear"/>
        </w:rPr>
        <w:t xml:space="preserve">BRANDÃO, V. S.; OLIVEIRA, E. A; SILVA, L. M. </w:t>
      </w:r>
      <w:r>
        <w:rPr>
          <w:b/>
          <w:bCs/>
          <w:i w:val="false"/>
          <w:iCs w:val="false"/>
          <w:color w:val="000000"/>
          <w:sz w:val="24"/>
          <w:szCs w:val="24"/>
          <w:u w:val="none"/>
          <w:shd w:fill="auto" w:val="clear"/>
        </w:rPr>
        <w:t>Serviço Social e teoria social de Marx: uma relação conflituosa.</w:t>
      </w:r>
      <w:r>
        <w:rPr>
          <w:i w:val="false"/>
          <w:iCs w:val="false"/>
          <w:color w:val="000000"/>
          <w:sz w:val="24"/>
          <w:szCs w:val="24"/>
          <w:u w:val="none"/>
          <w:shd w:fill="auto" w:val="clear"/>
        </w:rPr>
        <w:t xml:space="preserve"> In: OLIVERA, E. A.; MOLJO, C. B. Fundamentos do Serviço Social, questão social e políticas públicas. Juiz de Fora: editora UFJF/Selo Serviço Social, 2023.</w:t>
        <w:br/>
        <w:t xml:space="preserve">CARVALHO, R.; IAMAMOTO, M. V. </w:t>
      </w:r>
      <w:r>
        <w:rPr>
          <w:b/>
          <w:bCs/>
          <w:i w:val="false"/>
          <w:iCs w:val="false"/>
          <w:color w:val="000000"/>
          <w:sz w:val="24"/>
          <w:szCs w:val="24"/>
          <w:u w:val="none"/>
          <w:shd w:fill="auto" w:val="clear"/>
        </w:rPr>
        <w:t xml:space="preserve">Relações Sociais e Serviço Social no Brasil: </w:t>
      </w:r>
      <w:r>
        <w:rPr>
          <w:i w:val="false"/>
          <w:iCs w:val="false"/>
          <w:color w:val="000000"/>
          <w:sz w:val="24"/>
          <w:szCs w:val="24"/>
          <w:u w:val="none"/>
          <w:shd w:fill="auto" w:val="clear"/>
        </w:rPr>
        <w:t>esboço de uma interpretação histórico-metodológica. 17ª edição, São Paulo: Cortez Editora, 2005.</w:t>
        <w:br/>
        <w:t xml:space="preserve">LESSA, S. </w:t>
      </w:r>
      <w:r>
        <w:rPr>
          <w:b/>
          <w:bCs/>
          <w:i w:val="false"/>
          <w:iCs w:val="false"/>
          <w:color w:val="000000"/>
          <w:sz w:val="24"/>
          <w:szCs w:val="24"/>
          <w:u w:val="none"/>
          <w:shd w:fill="auto" w:val="clear"/>
        </w:rPr>
        <w:t>A crise da esquerda e do projeto ético-político do Serviço Social.</w:t>
      </w:r>
      <w:r>
        <w:rPr>
          <w:i w:val="false"/>
          <w:iCs w:val="false"/>
          <w:color w:val="000000"/>
          <w:sz w:val="24"/>
          <w:szCs w:val="24"/>
          <w:u w:val="none"/>
          <w:shd w:fill="auto" w:val="clear"/>
        </w:rPr>
        <w:t xml:space="preserve"> 1ª edição. Maceió: Coletivo Veredas, 2020.</w:t>
        <w:br/>
        <w:t xml:space="preserve">LUKÁCS, G. </w:t>
      </w:r>
      <w:r>
        <w:rPr>
          <w:b/>
          <w:bCs/>
          <w:i w:val="false"/>
          <w:iCs w:val="false"/>
          <w:color w:val="000000"/>
          <w:sz w:val="24"/>
          <w:szCs w:val="24"/>
          <w:u w:val="none"/>
          <w:shd w:fill="auto" w:val="clear"/>
        </w:rPr>
        <w:t>Para uma ontologia do ser social I.</w:t>
      </w:r>
      <w:r>
        <w:rPr>
          <w:i w:val="false"/>
          <w:iCs w:val="false"/>
          <w:color w:val="000000"/>
          <w:sz w:val="24"/>
          <w:szCs w:val="24"/>
          <w:u w:val="none"/>
          <w:shd w:fill="auto" w:val="clear"/>
        </w:rPr>
        <w:t xml:space="preserve"> São Paulo: Boitempo, 2012.</w:t>
        <w:br/>
        <w:t xml:space="preserve">MARX, K. </w:t>
      </w:r>
      <w:r>
        <w:rPr>
          <w:b/>
          <w:bCs/>
          <w:i w:val="false"/>
          <w:iCs w:val="false"/>
          <w:color w:val="000000"/>
          <w:sz w:val="24"/>
          <w:szCs w:val="24"/>
          <w:u w:val="none"/>
          <w:shd w:fill="auto" w:val="clear"/>
        </w:rPr>
        <w:t>Glosas marginais ao “Tratado de Economia Política” de Adolfo Wagner</w:t>
      </w:r>
      <w:r>
        <w:rPr>
          <w:i w:val="false"/>
          <w:iCs w:val="false"/>
          <w:color w:val="000000"/>
          <w:sz w:val="24"/>
          <w:szCs w:val="24"/>
          <w:u w:val="none"/>
          <w:shd w:fill="auto" w:val="clear"/>
        </w:rPr>
        <w:t xml:space="preserve"> - tradução de Evaristo Colmán. Serviço Social em Revista, Londrina, v. 13, n. 2, p. 170-179, jan/jun, 2011.</w:t>
        <w:br/>
        <w:t xml:space="preserve">NETTO, J. P. </w:t>
      </w:r>
      <w:r>
        <w:rPr>
          <w:b/>
          <w:bCs/>
          <w:i w:val="false"/>
          <w:iCs w:val="false"/>
          <w:color w:val="000000"/>
          <w:sz w:val="24"/>
          <w:szCs w:val="24"/>
          <w:u w:val="none"/>
          <w:shd w:fill="auto" w:val="clear"/>
        </w:rPr>
        <w:t xml:space="preserve">Ditadura e Serviço Social: </w:t>
      </w:r>
      <w:r>
        <w:rPr>
          <w:i w:val="false"/>
          <w:iCs w:val="false"/>
          <w:color w:val="000000"/>
          <w:sz w:val="24"/>
          <w:szCs w:val="24"/>
          <w:u w:val="none"/>
          <w:shd w:fill="auto" w:val="clear"/>
        </w:rPr>
        <w:t>uma análise do Serviço Social no Brasil pós-64. 8ª edição, São Paulo: Cortez Editora, 2005.</w:t>
        <w:br/>
        <w:t xml:space="preserve">NETTO, J. P. </w:t>
      </w:r>
      <w:r>
        <w:rPr>
          <w:b/>
          <w:bCs/>
          <w:i w:val="false"/>
          <w:iCs w:val="false"/>
          <w:color w:val="000000"/>
          <w:sz w:val="24"/>
          <w:szCs w:val="24"/>
          <w:u w:val="none"/>
          <w:shd w:fill="auto" w:val="clear"/>
        </w:rPr>
        <w:t>Notas sobre o marxismo e Serviço Social, suas relações no Brasil e a questão do seu ensino.</w:t>
      </w:r>
      <w:r>
        <w:rPr>
          <w:i w:val="false"/>
          <w:iCs w:val="false"/>
          <w:color w:val="000000"/>
          <w:sz w:val="24"/>
          <w:szCs w:val="24"/>
          <w:u w:val="none"/>
          <w:shd w:fill="auto" w:val="clear"/>
        </w:rPr>
        <w:t xml:space="preserve"> In: Ensino em Serviço Social: pluralismo e formação profissional. Cadernos ABESS, n. 04, Cortez: São Paulo, 1991. Disponível em: https://abepss.org.br/ensino-em-servico-social-pluralismo-e-formacao-profissional-cadernos-abess-n-04-cortez-sao-paulo-1991/. Acesso em: 30 de jun. de 2025.</w:t>
        <w:br/>
        <w:t xml:space="preserve">NETTO, J. P. </w:t>
      </w:r>
      <w:r>
        <w:rPr>
          <w:b/>
          <w:bCs/>
          <w:i w:val="false"/>
          <w:iCs w:val="false"/>
          <w:color w:val="000000"/>
          <w:sz w:val="24"/>
          <w:szCs w:val="24"/>
          <w:u w:val="none"/>
          <w:shd w:fill="auto" w:val="clear"/>
        </w:rPr>
        <w:t>O projeto ético-político profissional do Serviço Social brasileiro.</w:t>
      </w:r>
      <w:r>
        <w:rPr>
          <w:i w:val="false"/>
          <w:iCs w:val="false"/>
          <w:color w:val="000000"/>
          <w:sz w:val="24"/>
          <w:szCs w:val="24"/>
          <w:u w:val="none"/>
          <w:shd w:fill="auto" w:val="clear"/>
        </w:rPr>
        <w:t xml:space="preserve"> Intervenção Social (Online), Lisboa, nº 42/45, p. 229-242, 2015.</w:t>
        <w:br/>
        <w:t xml:space="preserve">OLIVEIRA, E. A.; BARBOSA, M. E. P. </w:t>
      </w:r>
      <w:r>
        <w:rPr>
          <w:b/>
          <w:bCs/>
          <w:i w:val="false"/>
          <w:iCs w:val="false"/>
          <w:color w:val="000000"/>
          <w:sz w:val="24"/>
          <w:szCs w:val="24"/>
          <w:u w:val="none"/>
          <w:shd w:fill="auto" w:val="clear"/>
        </w:rPr>
        <w:t>A relação entre marxismo e Serviço Social a partir da produção teórica dos assistentes sociais no Brasil.</w:t>
      </w:r>
      <w:r>
        <w:rPr>
          <w:i w:val="false"/>
          <w:iCs w:val="false"/>
          <w:color w:val="000000"/>
          <w:sz w:val="24"/>
          <w:szCs w:val="24"/>
          <w:u w:val="none"/>
          <w:shd w:fill="auto" w:val="clear"/>
        </w:rPr>
        <w:t xml:space="preserve"> In: Anais do XVIII Encontro Nacional de Pesquisadores em Serviço Social. Brasília: Abepss, v. 1, 2024.</w:t>
        <w:br/>
        <w:t>OLIVEIRA, E. A.; COUTINHO, P. S. Decadência ideológica, crise dos paradigmas e os impactos na produção do conhecimento. Serviço Social em Debate, Carangola, v. 5, n. 2, p. 20-34, mar. 2023.</w:t>
        <w:br/>
        <w:t xml:space="preserve">TONET, I. </w:t>
      </w:r>
      <w:r>
        <w:rPr>
          <w:b/>
          <w:bCs/>
          <w:i w:val="false"/>
          <w:iCs w:val="false"/>
          <w:color w:val="000000"/>
          <w:sz w:val="24"/>
          <w:szCs w:val="24"/>
          <w:u w:val="none"/>
          <w:shd w:fill="auto" w:val="clear"/>
        </w:rPr>
        <w:t>Pluralismo metodológico:</w:t>
      </w:r>
      <w:r>
        <w:rPr>
          <w:i w:val="false"/>
          <w:iCs w:val="false"/>
          <w:color w:val="000000"/>
          <w:sz w:val="24"/>
          <w:szCs w:val="24"/>
          <w:u w:val="none"/>
          <w:shd w:fill="auto" w:val="clear"/>
        </w:rPr>
        <w:t xml:space="preserve"> falso caminho. Gesto-debate, Campo Grande, v. 21, n. 1, p. 01-22, jan/dez. 2021.</w:t>
      </w:r>
    </w:p>
    <w:sectPr>
      <w:headerReference w:type="even" r:id="rId2"/>
      <w:headerReference w:type="default" r:id="rId3"/>
      <w:headerReference w:type="first" r:id="rId4"/>
      <w:footnotePr>
        <w:numFmt w:val="decimal"/>
      </w:footnotePr>
      <w:type w:val="nextPage"/>
      <w:pgSz w:w="11906" w:h="16838"/>
      <w:pgMar w:left="1701" w:right="1134" w:gutter="0" w:header="3401" w:top="3458" w:footer="0" w:bottom="1134"/>
      <w:pgNumType w:start="1" w:fmt="decimal"/>
      <w:formProt w:val="false"/>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Arial">
    <w:charset w:val="00" w:characterSet="windows-1252"/>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jc w:val="both"/>
        <w:rPr/>
      </w:pPr>
      <w:r>
        <w:rPr>
          <w:rStyle w:val="Caracteresdenotaderodap"/>
        </w:rPr>
        <w:footnoteRef/>
      </w:r>
      <w:r>
        <w:rPr/>
        <w:tab/>
        <w:t xml:space="preserve"> </w:t>
      </w:r>
      <w:r>
        <w:rPr/>
        <w:t xml:space="preserve">Assistente social, professora do Departamento de Política e Ação do Serviço Social da Universidade Federal de Juiz de Fora (UFJF), doutora em Serviço Social pela Universidade do Estado do Rio de Janeiro (UERJ). E-mail: oliveiraedneia21@yahoo.com.br. </w:t>
      </w:r>
    </w:p>
  </w:footnote>
  <w:footnote w:id="3">
    <w:p>
      <w:pPr>
        <w:pStyle w:val="FootnoteText"/>
        <w:jc w:val="both"/>
        <w:rPr/>
      </w:pPr>
      <w:r>
        <w:rPr>
          <w:rStyle w:val="Caracteresdenotaderodap"/>
        </w:rPr>
        <w:footnoteRef/>
      </w:r>
      <w:r>
        <w:rPr/>
        <w:tab/>
        <w:t xml:space="preserve"> </w:t>
      </w:r>
      <w:r>
        <w:rPr/>
        <w:t>Graduanda em Serviço Social pela Universidade Federal de Juiz de Fora. Email: pessanhamariaeduarda@gmail.com</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lang w:val="pt-BR" w:eastAsia="pt-BR"/>
      </w:rPr>
    </w:pPr>
    <w:r>
      <w:rPr>
        <w:lang w:val="pt-BR" w:eastAsia="pt-BR"/>
      </w:rPr>
      <w:drawing>
        <wp:anchor behindDoc="1" distT="0" distB="0" distL="0" distR="0" simplePos="0" locked="0" layoutInCell="1" allowOverlap="1" relativeHeight="13">
          <wp:simplePos x="0" y="0"/>
          <wp:positionH relativeFrom="column">
            <wp:posOffset>-1080135</wp:posOffset>
          </wp:positionH>
          <wp:positionV relativeFrom="paragraph">
            <wp:posOffset>-2014855</wp:posOffset>
          </wp:positionV>
          <wp:extent cx="7563485" cy="10727690"/>
          <wp:effectExtent l="0" t="0" r="0" b="0"/>
          <wp:wrapNone/>
          <wp:docPr id="1" name="image1.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title=""/>
                  <pic:cNvPicPr>
                    <a:picLocks noChangeAspect="1" noChangeArrowheads="1"/>
                  </pic:cNvPicPr>
                </pic:nvPicPr>
                <pic:blipFill>
                  <a:blip r:embed="rId1"/>
                  <a:srcRect l="-7" t="-5" r="-7" b="-5"/>
                  <a:stretch>
                    <a:fillRect/>
                  </a:stretch>
                </pic:blipFill>
                <pic:spPr bwMode="auto">
                  <a:xfrm>
                    <a:off x="0" y="0"/>
                    <a:ext cx="7563485" cy="10727690"/>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lang w:val="pt-BR" w:eastAsia="pt-BR"/>
      </w:rPr>
    </w:pPr>
    <w:r>
      <w:rPr>
        <w:lang w:val="pt-BR" w:eastAsia="pt-BR"/>
      </w:rPr>
      <w:drawing>
        <wp:anchor behindDoc="1" distT="0" distB="0" distL="0" distR="0" simplePos="0" locked="0" layoutInCell="1" allowOverlap="1" relativeHeight="13">
          <wp:simplePos x="0" y="0"/>
          <wp:positionH relativeFrom="column">
            <wp:posOffset>-1080135</wp:posOffset>
          </wp:positionH>
          <wp:positionV relativeFrom="paragraph">
            <wp:posOffset>-2014855</wp:posOffset>
          </wp:positionV>
          <wp:extent cx="7563485" cy="10727690"/>
          <wp:effectExtent l="0" t="0" r="0" b="0"/>
          <wp:wrapNone/>
          <wp:docPr id="2" name="image1.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title=""/>
                  <pic:cNvPicPr>
                    <a:picLocks noChangeAspect="1" noChangeArrowheads="1"/>
                  </pic:cNvPicPr>
                </pic:nvPicPr>
                <pic:blipFill>
                  <a:blip r:embed="rId1"/>
                  <a:srcRect l="-7" t="-5" r="-7" b="-5"/>
                  <a:stretch>
                    <a:fillRect/>
                  </a:stretch>
                </pic:blipFill>
                <pic:spPr bwMode="auto">
                  <a:xfrm>
                    <a:off x="0" y="0"/>
                    <a:ext cx="7563485" cy="1072769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pt-BR" w:eastAsia="zh-CN" w:bidi="hi-IN"/>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0"/>
      <w:jc w:val="start"/>
    </w:pPr>
    <w:rPr>
      <w:rFonts w:ascii="Arial" w:hAnsi="Arial" w:eastAsia="Arial" w:cs="Arial"/>
      <w:color w:val="auto"/>
      <w:kern w:val="0"/>
      <w:sz w:val="22"/>
      <w:szCs w:val="22"/>
      <w:lang w:val="pt-BR" w:eastAsia="zh-CN" w:bidi="ar-SA"/>
    </w:rPr>
  </w:style>
  <w:style w:type="paragraph" w:styleId="Heading1">
    <w:name w:val="Heading 1"/>
    <w:basedOn w:val="Normal"/>
    <w:next w:val="Normal"/>
    <w:qFormat/>
    <w:pPr>
      <w:keepNext w:val="true"/>
      <w:keepLines/>
      <w:numPr>
        <w:ilvl w:val="0"/>
        <w:numId w:val="1"/>
      </w:numPr>
      <w:spacing w:before="400" w:after="120"/>
      <w:outlineLvl w:val="0"/>
    </w:pPr>
    <w:rPr>
      <w:sz w:val="40"/>
      <w:szCs w:val="40"/>
    </w:rPr>
  </w:style>
  <w:style w:type="paragraph" w:styleId="Heading2">
    <w:name w:val="Heading 2"/>
    <w:basedOn w:val="Normal"/>
    <w:next w:val="Normal"/>
    <w:qFormat/>
    <w:pPr>
      <w:keepNext w:val="true"/>
      <w:keepLines/>
      <w:numPr>
        <w:ilvl w:val="1"/>
        <w:numId w:val="1"/>
      </w:numPr>
      <w:spacing w:before="360" w:after="120"/>
      <w:outlineLvl w:val="1"/>
    </w:pPr>
    <w:rPr>
      <w:sz w:val="32"/>
      <w:szCs w:val="32"/>
    </w:rPr>
  </w:style>
  <w:style w:type="paragraph" w:styleId="Heading3">
    <w:name w:val="Heading 3"/>
    <w:basedOn w:val="Normal"/>
    <w:next w:val="Normal"/>
    <w:qFormat/>
    <w:pPr>
      <w:keepNext w:val="true"/>
      <w:keepLines/>
      <w:numPr>
        <w:ilvl w:val="2"/>
        <w:numId w:val="1"/>
      </w:numPr>
      <w:spacing w:before="320" w:after="80"/>
      <w:outlineLvl w:val="2"/>
    </w:pPr>
    <w:rPr>
      <w:color w:val="434343"/>
      <w:sz w:val="28"/>
      <w:szCs w:val="28"/>
    </w:rPr>
  </w:style>
  <w:style w:type="paragraph" w:styleId="Heading4">
    <w:name w:val="Heading 4"/>
    <w:basedOn w:val="Normal"/>
    <w:next w:val="Normal"/>
    <w:qFormat/>
    <w:pPr>
      <w:keepNext w:val="true"/>
      <w:keepLines/>
      <w:numPr>
        <w:ilvl w:val="3"/>
        <w:numId w:val="1"/>
      </w:numPr>
      <w:spacing w:before="280" w:after="80"/>
      <w:outlineLvl w:val="3"/>
    </w:pPr>
    <w:rPr>
      <w:color w:val="666666"/>
      <w:sz w:val="24"/>
      <w:szCs w:val="24"/>
    </w:rPr>
  </w:style>
  <w:style w:type="paragraph" w:styleId="Heading5">
    <w:name w:val="Heading 5"/>
    <w:basedOn w:val="Normal"/>
    <w:next w:val="Normal"/>
    <w:qFormat/>
    <w:pPr>
      <w:keepNext w:val="true"/>
      <w:keepLines/>
      <w:numPr>
        <w:ilvl w:val="4"/>
        <w:numId w:val="1"/>
      </w:numPr>
      <w:spacing w:before="240" w:after="80"/>
      <w:outlineLvl w:val="4"/>
    </w:pPr>
    <w:rPr>
      <w:color w:val="666666"/>
    </w:rPr>
  </w:style>
  <w:style w:type="paragraph" w:styleId="Heading6">
    <w:name w:val="Heading 6"/>
    <w:basedOn w:val="Normal"/>
    <w:next w:val="Normal"/>
    <w:qFormat/>
    <w:pPr>
      <w:keepNext w:val="true"/>
      <w:keepLines/>
      <w:numPr>
        <w:ilvl w:val="5"/>
        <w:numId w:val="1"/>
      </w:numPr>
      <w:spacing w:before="240" w:after="80"/>
      <w:outlineLvl w:val="5"/>
    </w:pPr>
    <w:rPr>
      <w:i/>
      <w:color w:val="666666"/>
    </w:rPr>
  </w:style>
  <w:style w:type="character" w:styleId="Fontepargpadro">
    <w:name w:val="Fonte parág. padrão"/>
    <w:qFormat/>
    <w:rPr/>
  </w:style>
  <w:style w:type="character" w:styleId="CabealhoChar">
    <w:name w:val="Cabeçalho Char"/>
    <w:basedOn w:val="Fontepargpadro"/>
    <w:qFormat/>
    <w:rPr/>
  </w:style>
  <w:style w:type="character" w:styleId="RodapChar">
    <w:name w:val="Rodapé Char"/>
    <w:basedOn w:val="Fontepargpadro"/>
    <w:qFormat/>
    <w:rPr/>
  </w:style>
  <w:style w:type="character" w:styleId="Hyperlink">
    <w:name w:val="Hyperlink"/>
    <w:rPr>
      <w:color w:val="000080"/>
      <w:u w:val="single"/>
    </w:rPr>
  </w:style>
  <w:style w:type="character" w:styleId="Caracteresdenotaderodap">
    <w:name w:val="Caracteres de nota de rodapé"/>
    <w:qFormat/>
    <w:rPr>
      <w:vertAlign w:val="superscript"/>
    </w:rPr>
  </w:style>
  <w:style w:type="character" w:styleId="FootnoteReference">
    <w:name w:val="Footnote Reference"/>
    <w:rPr>
      <w:vertAlign w:val="superscript"/>
    </w:rPr>
  </w:style>
  <w:style w:type="character" w:styleId="Emphasis">
    <w:name w:val="Emphasis"/>
    <w:qFormat/>
    <w:rPr>
      <w:i/>
      <w:iCs/>
    </w:rPr>
  </w:style>
  <w:style w:type="character" w:styleId="Caracteresdenotadefim">
    <w:name w:val="Caracteres de nota de fim"/>
    <w:qFormat/>
    <w:rPr>
      <w:vertAlign w:val="superscript"/>
    </w:rPr>
  </w:style>
  <w:style w:type="character" w:styleId="EndnoteReference">
    <w:name w:val="Endnote Reference"/>
    <w:rPr>
      <w:vertAlign w:val="superscript"/>
    </w:rPr>
  </w:style>
  <w:style w:type="paragraph" w:styleId="Ttulo">
    <w:name w:val="Título"/>
    <w:basedOn w:val="Normal"/>
    <w:next w:val="Normal"/>
    <w:qFormat/>
    <w:pPr>
      <w:keepNext w:val="true"/>
      <w:keepLines/>
      <w:spacing w:before="0" w:after="60"/>
    </w:pPr>
    <w:rPr>
      <w:sz w:val="52"/>
      <w:szCs w:val="52"/>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Subtitle">
    <w:name w:val="Subtitle"/>
    <w:basedOn w:val="Normal"/>
    <w:next w:val="Normal"/>
    <w:qFormat/>
    <w:pPr>
      <w:keepNext w:val="true"/>
      <w:keepLines/>
      <w:spacing w:before="0" w:after="320"/>
    </w:pPr>
    <w:rPr>
      <w:color w:val="666666"/>
      <w:sz w:val="30"/>
      <w:szCs w:val="30"/>
    </w:rPr>
  </w:style>
  <w:style w:type="paragraph" w:styleId="CabealhoeRodap">
    <w:name w:val="Cabeçalho e Rodapé"/>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252" w:leader="none"/>
        <w:tab w:val="right" w:pos="8504" w:leader="none"/>
      </w:tabs>
      <w:spacing w:lineRule="auto" w:line="240"/>
    </w:pPr>
    <w:rPr/>
  </w:style>
  <w:style w:type="paragraph" w:styleId="Footer">
    <w:name w:val="Footer"/>
    <w:basedOn w:val="Normal"/>
    <w:pPr>
      <w:tabs>
        <w:tab w:val="clear" w:pos="720"/>
        <w:tab w:val="center" w:pos="4252" w:leader="none"/>
        <w:tab w:val="right" w:pos="8504" w:leader="none"/>
      </w:tabs>
      <w:spacing w:lineRule="auto" w:line="240"/>
    </w:pPr>
    <w:rPr/>
  </w:style>
  <w:style w:type="paragraph" w:styleId="FootnoteText">
    <w:name w:val="Footnote Text"/>
    <w:basedOn w:val="Normal"/>
    <w:pPr>
      <w:suppressLineNumbers/>
      <w:ind w:hanging="340" w:start="340"/>
    </w:pPr>
    <w:rPr>
      <w:sz w:val="20"/>
      <w:szCs w:val="20"/>
    </w:rPr>
  </w:style>
  <w:style w:type="paragraph" w:styleId="Blocodecitao">
    <w:name w:val="Bloco de citação"/>
    <w:basedOn w:val="Normal"/>
    <w:qFormat/>
    <w:pPr>
      <w:spacing w:before="0" w:after="283"/>
      <w:ind w:hanging="0" w:start="567" w:end="567"/>
    </w:pPr>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paragraph" w:styleId="EndnoteText">
    <w:name w:val="Endnote Text"/>
    <w:basedOn w:val="Normal"/>
    <w:pPr>
      <w:suppressLineNumbers/>
      <w:ind w:hanging="340" w:start="340"/>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283</TotalTime>
  <Application>LibreOffice/24.2.0.3$Windows_X86_64 LibreOffice_project/da48488a73ddd66ea24cf16bbc4f7b9c08e9bea1</Application>
  <AppVersion>15.0000</AppVersion>
  <Pages>4</Pages>
  <Words>3573</Words>
  <Characters>20752</Characters>
  <CharactersWithSpaces>24300</CharactersWithSpaces>
  <Paragraphs>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2025-02-17T13:43:00Z</dcterms:created>
  <dc:creator>DELL</dc:creator>
  <dc:description/>
  <dc:language>pt-BR</dc:language>
  <cp:lastModifiedBy/>
  <cp:lastPrinted>2025-06-07T16:52:24Z</cp:lastPrinted>
  <dcterms:modified xsi:type="dcterms:W3CDTF">2025-06-30T21:20:56Z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