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6D04E" w14:textId="77777777" w:rsidR="00DF3393" w:rsidRDefault="00BA3A18">
      <w:pPr>
        <w:spacing w:after="160" w:line="360" w:lineRule="auto"/>
        <w:jc w:val="center"/>
        <w:rPr>
          <w:sz w:val="24"/>
          <w:szCs w:val="24"/>
        </w:rPr>
      </w:pPr>
      <w:r>
        <w:rPr>
          <w:b/>
          <w:sz w:val="24"/>
          <w:szCs w:val="24"/>
        </w:rPr>
        <w:t>PROCAMPO</w:t>
      </w:r>
      <w:r>
        <w:rPr>
          <w:sz w:val="24"/>
          <w:szCs w:val="24"/>
        </w:rPr>
        <w:t>: entre a implantação, desestruturação financeira e o baixo ingresso discente nas LEdoCs.</w:t>
      </w:r>
    </w:p>
    <w:p w14:paraId="21B2463C" w14:textId="77777777" w:rsidR="00DF3393" w:rsidRDefault="00BA3A18">
      <w:pPr>
        <w:spacing w:line="240" w:lineRule="auto"/>
        <w:jc w:val="right"/>
        <w:rPr>
          <w:sz w:val="24"/>
          <w:szCs w:val="24"/>
        </w:rPr>
      </w:pPr>
      <w:r>
        <w:rPr>
          <w:sz w:val="24"/>
          <w:szCs w:val="24"/>
        </w:rPr>
        <w:t>Sara Jane Alvares Oliveira</w:t>
      </w:r>
      <w:r>
        <w:rPr>
          <w:sz w:val="24"/>
          <w:szCs w:val="24"/>
          <w:vertAlign w:val="superscript"/>
        </w:rPr>
        <w:footnoteReference w:id="1"/>
      </w:r>
    </w:p>
    <w:p w14:paraId="4F3D360D" w14:textId="77777777" w:rsidR="00DF3393" w:rsidRDefault="00BA3A18">
      <w:pPr>
        <w:spacing w:line="240" w:lineRule="auto"/>
        <w:jc w:val="right"/>
        <w:rPr>
          <w:sz w:val="24"/>
          <w:szCs w:val="24"/>
        </w:rPr>
      </w:pPr>
      <w:r>
        <w:rPr>
          <w:sz w:val="24"/>
          <w:szCs w:val="24"/>
        </w:rPr>
        <w:t xml:space="preserve">Danielle </w:t>
      </w:r>
      <w:proofErr w:type="spellStart"/>
      <w:r>
        <w:rPr>
          <w:sz w:val="24"/>
          <w:szCs w:val="24"/>
        </w:rPr>
        <w:t>Nayra</w:t>
      </w:r>
      <w:proofErr w:type="spellEnd"/>
      <w:r>
        <w:rPr>
          <w:sz w:val="24"/>
          <w:szCs w:val="24"/>
        </w:rPr>
        <w:t xml:space="preserve"> de Morais</w:t>
      </w:r>
      <w:r>
        <w:rPr>
          <w:sz w:val="24"/>
          <w:szCs w:val="24"/>
          <w:vertAlign w:val="superscript"/>
        </w:rPr>
        <w:footnoteReference w:id="2"/>
      </w:r>
    </w:p>
    <w:p w14:paraId="7A4F6AC9" w14:textId="77777777" w:rsidR="00DF3393" w:rsidRDefault="00BA3A18">
      <w:pPr>
        <w:spacing w:line="240" w:lineRule="auto"/>
        <w:jc w:val="right"/>
        <w:rPr>
          <w:sz w:val="24"/>
          <w:szCs w:val="24"/>
        </w:rPr>
      </w:pPr>
      <w:r>
        <w:rPr>
          <w:sz w:val="24"/>
          <w:szCs w:val="24"/>
        </w:rPr>
        <w:t>Maria do Socorro da Silva Arantes</w:t>
      </w:r>
      <w:r>
        <w:rPr>
          <w:sz w:val="24"/>
          <w:szCs w:val="24"/>
          <w:vertAlign w:val="superscript"/>
        </w:rPr>
        <w:footnoteReference w:id="3"/>
      </w:r>
    </w:p>
    <w:p w14:paraId="53C08798" w14:textId="77777777" w:rsidR="00DF3393" w:rsidRDefault="00BA3A18">
      <w:pPr>
        <w:spacing w:line="240" w:lineRule="auto"/>
        <w:jc w:val="right"/>
        <w:rPr>
          <w:sz w:val="24"/>
          <w:szCs w:val="24"/>
        </w:rPr>
      </w:pPr>
      <w:r>
        <w:rPr>
          <w:sz w:val="24"/>
          <w:szCs w:val="24"/>
        </w:rPr>
        <w:t>Adriana Lima Monteiro Cunha</w:t>
      </w:r>
      <w:r>
        <w:rPr>
          <w:sz w:val="24"/>
          <w:szCs w:val="24"/>
          <w:vertAlign w:val="superscript"/>
        </w:rPr>
        <w:footnoteReference w:id="4"/>
      </w:r>
    </w:p>
    <w:p w14:paraId="1C1EC5B0" w14:textId="77777777" w:rsidR="00DF3393" w:rsidRDefault="00DF3393">
      <w:pPr>
        <w:spacing w:line="240" w:lineRule="auto"/>
        <w:jc w:val="right"/>
        <w:rPr>
          <w:sz w:val="24"/>
          <w:szCs w:val="24"/>
        </w:rPr>
      </w:pPr>
    </w:p>
    <w:p w14:paraId="6392A0E4" w14:textId="77777777" w:rsidR="00DF3393" w:rsidRDefault="00BA3A18">
      <w:pPr>
        <w:spacing w:line="240" w:lineRule="auto"/>
        <w:ind w:left="2835"/>
        <w:jc w:val="both"/>
        <w:rPr>
          <w:b/>
          <w:sz w:val="20"/>
          <w:szCs w:val="20"/>
        </w:rPr>
      </w:pPr>
      <w:r>
        <w:rPr>
          <w:b/>
          <w:sz w:val="20"/>
          <w:szCs w:val="20"/>
        </w:rPr>
        <w:t>Resumo</w:t>
      </w:r>
    </w:p>
    <w:p w14:paraId="0B332E43" w14:textId="4BDAC0A2" w:rsidR="00DF3393" w:rsidRDefault="00BA3A18">
      <w:pPr>
        <w:spacing w:line="240" w:lineRule="auto"/>
        <w:ind w:left="2834"/>
        <w:jc w:val="both"/>
        <w:rPr>
          <w:sz w:val="20"/>
          <w:szCs w:val="20"/>
        </w:rPr>
      </w:pPr>
      <w:bookmarkStart w:id="0" w:name="_Hlk202034142"/>
      <w:r>
        <w:rPr>
          <w:sz w:val="20"/>
          <w:szCs w:val="20"/>
        </w:rPr>
        <w:t xml:space="preserve">Este </w:t>
      </w:r>
      <w:r>
        <w:rPr>
          <w:sz w:val="20"/>
          <w:szCs w:val="20"/>
        </w:rPr>
        <w:t>artigo tem como objetivo analisar a política do PROCAMPO, o processo de desestruturação nas L</w:t>
      </w:r>
      <w:r w:rsidR="00967711">
        <w:rPr>
          <w:sz w:val="20"/>
          <w:szCs w:val="20"/>
        </w:rPr>
        <w:t>icenciaturas em Educação do Campo (</w:t>
      </w:r>
      <w:proofErr w:type="spellStart"/>
      <w:r w:rsidR="00967711">
        <w:rPr>
          <w:sz w:val="20"/>
          <w:szCs w:val="20"/>
        </w:rPr>
        <w:t>LEdoC</w:t>
      </w:r>
      <w:proofErr w:type="spellEnd"/>
      <w:r w:rsidR="00967711">
        <w:rPr>
          <w:sz w:val="20"/>
          <w:szCs w:val="20"/>
        </w:rPr>
        <w:t>)</w:t>
      </w:r>
      <w:r>
        <w:rPr>
          <w:sz w:val="20"/>
          <w:szCs w:val="20"/>
        </w:rPr>
        <w:t xml:space="preserve"> na UFPI, com foco nos convênios e no baixo ingresso discente. Por meio d</w:t>
      </w:r>
      <w:r w:rsidR="00967711">
        <w:rPr>
          <w:sz w:val="20"/>
          <w:szCs w:val="20"/>
        </w:rPr>
        <w:t>e uma</w:t>
      </w:r>
      <w:r>
        <w:rPr>
          <w:sz w:val="20"/>
          <w:szCs w:val="20"/>
        </w:rPr>
        <w:t xml:space="preserve"> abordagem qualitativa, da pesquisa documental e da análise dos documentos como os convênios, contratos de financiamento e editais de seleção da </w:t>
      </w:r>
      <w:proofErr w:type="spellStart"/>
      <w:r>
        <w:rPr>
          <w:sz w:val="20"/>
          <w:szCs w:val="20"/>
        </w:rPr>
        <w:t>LEdoC</w:t>
      </w:r>
      <w:proofErr w:type="spellEnd"/>
      <w:r>
        <w:rPr>
          <w:sz w:val="20"/>
          <w:szCs w:val="20"/>
        </w:rPr>
        <w:t>. A desestruturação financeira e baixo ingresso discente nas LEdoCs, evidencia as desigualdades educacionais entre campo e a cidade, a precariedade do</w:t>
      </w:r>
      <w:r>
        <w:rPr>
          <w:sz w:val="20"/>
          <w:szCs w:val="20"/>
        </w:rPr>
        <w:t xml:space="preserve"> ensino e a minimização do paradigma da educação do campo. A precariedade ou falta de uma preparação de professores que considere as realidades, os saberes e as necessidades reais do campo, contribui para a marginalização das comunidades campesinas e minimiza o potencial emancipador da educação.</w:t>
      </w:r>
    </w:p>
    <w:p w14:paraId="4582753D" w14:textId="77777777" w:rsidR="00DF3393" w:rsidRDefault="00DF3393">
      <w:pPr>
        <w:spacing w:line="240" w:lineRule="auto"/>
        <w:ind w:left="2834"/>
        <w:jc w:val="both"/>
        <w:rPr>
          <w:b/>
          <w:sz w:val="20"/>
          <w:szCs w:val="20"/>
        </w:rPr>
      </w:pPr>
    </w:p>
    <w:p w14:paraId="38D88824" w14:textId="5B0B652E" w:rsidR="00DF3393" w:rsidRDefault="00BA3A18">
      <w:pPr>
        <w:spacing w:line="240" w:lineRule="auto"/>
        <w:ind w:left="2834"/>
        <w:jc w:val="both"/>
        <w:rPr>
          <w:sz w:val="20"/>
          <w:szCs w:val="20"/>
        </w:rPr>
      </w:pPr>
      <w:r>
        <w:rPr>
          <w:b/>
          <w:sz w:val="20"/>
          <w:szCs w:val="20"/>
        </w:rPr>
        <w:t>Palavras-chave</w:t>
      </w:r>
      <w:r>
        <w:rPr>
          <w:sz w:val="20"/>
          <w:szCs w:val="20"/>
        </w:rPr>
        <w:t xml:space="preserve">: </w:t>
      </w:r>
      <w:proofErr w:type="spellStart"/>
      <w:r>
        <w:rPr>
          <w:sz w:val="20"/>
          <w:szCs w:val="20"/>
        </w:rPr>
        <w:t>L</w:t>
      </w:r>
      <w:r w:rsidR="00967711">
        <w:rPr>
          <w:sz w:val="20"/>
          <w:szCs w:val="20"/>
        </w:rPr>
        <w:t>EdoC</w:t>
      </w:r>
      <w:proofErr w:type="spellEnd"/>
      <w:r>
        <w:rPr>
          <w:sz w:val="20"/>
          <w:szCs w:val="20"/>
        </w:rPr>
        <w:t>; Desestruturação, baixo ingresso.</w:t>
      </w:r>
    </w:p>
    <w:p w14:paraId="65EBA4E4" w14:textId="77777777" w:rsidR="00DF3393" w:rsidRDefault="00DF3393">
      <w:pPr>
        <w:spacing w:line="240" w:lineRule="auto"/>
        <w:ind w:left="2835"/>
        <w:jc w:val="both"/>
        <w:rPr>
          <w:sz w:val="20"/>
          <w:szCs w:val="20"/>
        </w:rPr>
      </w:pPr>
    </w:p>
    <w:p w14:paraId="1C21BA8A" w14:textId="77777777" w:rsidR="00DF3393" w:rsidRDefault="00BA3A18">
      <w:pPr>
        <w:spacing w:line="240" w:lineRule="auto"/>
        <w:ind w:left="2835"/>
        <w:jc w:val="both"/>
        <w:rPr>
          <w:b/>
          <w:sz w:val="20"/>
          <w:szCs w:val="20"/>
        </w:rPr>
      </w:pPr>
      <w:r>
        <w:rPr>
          <w:b/>
          <w:sz w:val="20"/>
          <w:szCs w:val="20"/>
        </w:rPr>
        <w:t>Abstract</w:t>
      </w:r>
    </w:p>
    <w:p w14:paraId="4BB4BB50" w14:textId="4056050B" w:rsidR="00967711" w:rsidRDefault="00536CEA">
      <w:pPr>
        <w:spacing w:line="240" w:lineRule="auto"/>
        <w:ind w:left="2835"/>
        <w:jc w:val="both"/>
        <w:rPr>
          <w:sz w:val="20"/>
          <w:szCs w:val="20"/>
        </w:rPr>
      </w:pPr>
      <w:proofErr w:type="spellStart"/>
      <w:r w:rsidRPr="00536CEA">
        <w:rPr>
          <w:sz w:val="20"/>
          <w:szCs w:val="20"/>
        </w:rPr>
        <w:t>This</w:t>
      </w:r>
      <w:proofErr w:type="spellEnd"/>
      <w:r w:rsidRPr="00536CEA">
        <w:rPr>
          <w:sz w:val="20"/>
          <w:szCs w:val="20"/>
        </w:rPr>
        <w:t xml:space="preserve"> </w:t>
      </w:r>
      <w:proofErr w:type="spellStart"/>
      <w:r w:rsidRPr="00536CEA">
        <w:rPr>
          <w:sz w:val="20"/>
          <w:szCs w:val="20"/>
        </w:rPr>
        <w:t>article</w:t>
      </w:r>
      <w:proofErr w:type="spellEnd"/>
      <w:r w:rsidRPr="00536CEA">
        <w:rPr>
          <w:sz w:val="20"/>
          <w:szCs w:val="20"/>
        </w:rPr>
        <w:t xml:space="preserve"> </w:t>
      </w:r>
      <w:proofErr w:type="spellStart"/>
      <w:r w:rsidRPr="00536CEA">
        <w:rPr>
          <w:sz w:val="20"/>
          <w:szCs w:val="20"/>
        </w:rPr>
        <w:t>aims</w:t>
      </w:r>
      <w:proofErr w:type="spellEnd"/>
      <w:r w:rsidRPr="00536CEA">
        <w:rPr>
          <w:sz w:val="20"/>
          <w:szCs w:val="20"/>
        </w:rPr>
        <w:t xml:space="preserve"> </w:t>
      </w:r>
      <w:proofErr w:type="spellStart"/>
      <w:r w:rsidRPr="00536CEA">
        <w:rPr>
          <w:sz w:val="20"/>
          <w:szCs w:val="20"/>
        </w:rPr>
        <w:t>to</w:t>
      </w:r>
      <w:proofErr w:type="spellEnd"/>
      <w:r w:rsidRPr="00536CEA">
        <w:rPr>
          <w:sz w:val="20"/>
          <w:szCs w:val="20"/>
        </w:rPr>
        <w:t xml:space="preserve"> </w:t>
      </w:r>
      <w:proofErr w:type="spellStart"/>
      <w:r w:rsidRPr="00536CEA">
        <w:rPr>
          <w:sz w:val="20"/>
          <w:szCs w:val="20"/>
        </w:rPr>
        <w:t>analyze</w:t>
      </w:r>
      <w:proofErr w:type="spellEnd"/>
      <w:r w:rsidRPr="00536CEA">
        <w:rPr>
          <w:sz w:val="20"/>
          <w:szCs w:val="20"/>
        </w:rPr>
        <w:t xml:space="preserve"> </w:t>
      </w:r>
      <w:proofErr w:type="spellStart"/>
      <w:r w:rsidRPr="00536CEA">
        <w:rPr>
          <w:sz w:val="20"/>
          <w:szCs w:val="20"/>
        </w:rPr>
        <w:t>the</w:t>
      </w:r>
      <w:proofErr w:type="spellEnd"/>
      <w:r w:rsidRPr="00536CEA">
        <w:rPr>
          <w:sz w:val="20"/>
          <w:szCs w:val="20"/>
        </w:rPr>
        <w:t xml:space="preserve"> PROCAMPO </w:t>
      </w:r>
      <w:proofErr w:type="spellStart"/>
      <w:r w:rsidRPr="00536CEA">
        <w:rPr>
          <w:sz w:val="20"/>
          <w:szCs w:val="20"/>
        </w:rPr>
        <w:t>policy</w:t>
      </w:r>
      <w:proofErr w:type="spellEnd"/>
      <w:r w:rsidRPr="00536CEA">
        <w:rPr>
          <w:sz w:val="20"/>
          <w:szCs w:val="20"/>
        </w:rPr>
        <w:t xml:space="preserve"> </w:t>
      </w:r>
      <w:proofErr w:type="spellStart"/>
      <w:r w:rsidRPr="00536CEA">
        <w:rPr>
          <w:sz w:val="20"/>
          <w:szCs w:val="20"/>
        </w:rPr>
        <w:t>and</w:t>
      </w:r>
      <w:proofErr w:type="spellEnd"/>
      <w:r w:rsidRPr="00536CEA">
        <w:rPr>
          <w:sz w:val="20"/>
          <w:szCs w:val="20"/>
        </w:rPr>
        <w:t xml:space="preserve"> </w:t>
      </w:r>
      <w:proofErr w:type="spellStart"/>
      <w:r w:rsidRPr="00536CEA">
        <w:rPr>
          <w:sz w:val="20"/>
          <w:szCs w:val="20"/>
        </w:rPr>
        <w:t>the</w:t>
      </w:r>
      <w:proofErr w:type="spellEnd"/>
      <w:r w:rsidRPr="00536CEA">
        <w:rPr>
          <w:sz w:val="20"/>
          <w:szCs w:val="20"/>
        </w:rPr>
        <w:t xml:space="preserve"> </w:t>
      </w:r>
      <w:proofErr w:type="spellStart"/>
      <w:r w:rsidRPr="00536CEA">
        <w:rPr>
          <w:sz w:val="20"/>
          <w:szCs w:val="20"/>
        </w:rPr>
        <w:t>process</w:t>
      </w:r>
      <w:proofErr w:type="spellEnd"/>
      <w:r w:rsidRPr="00536CEA">
        <w:rPr>
          <w:sz w:val="20"/>
          <w:szCs w:val="20"/>
        </w:rPr>
        <w:t xml:space="preserve"> </w:t>
      </w:r>
      <w:proofErr w:type="spellStart"/>
      <w:r w:rsidRPr="00536CEA">
        <w:rPr>
          <w:sz w:val="20"/>
          <w:szCs w:val="20"/>
        </w:rPr>
        <w:t>of</w:t>
      </w:r>
      <w:proofErr w:type="spellEnd"/>
      <w:r w:rsidRPr="00536CEA">
        <w:rPr>
          <w:sz w:val="20"/>
          <w:szCs w:val="20"/>
        </w:rPr>
        <w:t xml:space="preserve"> </w:t>
      </w:r>
      <w:proofErr w:type="spellStart"/>
      <w:r w:rsidRPr="00536CEA">
        <w:rPr>
          <w:sz w:val="20"/>
          <w:szCs w:val="20"/>
        </w:rPr>
        <w:t>structural</w:t>
      </w:r>
      <w:proofErr w:type="spellEnd"/>
      <w:r w:rsidRPr="00536CEA">
        <w:rPr>
          <w:sz w:val="20"/>
          <w:szCs w:val="20"/>
        </w:rPr>
        <w:t xml:space="preserve"> </w:t>
      </w:r>
      <w:proofErr w:type="spellStart"/>
      <w:r w:rsidRPr="00536CEA">
        <w:rPr>
          <w:sz w:val="20"/>
          <w:szCs w:val="20"/>
        </w:rPr>
        <w:t>weakening</w:t>
      </w:r>
      <w:proofErr w:type="spellEnd"/>
      <w:r w:rsidRPr="00536CEA">
        <w:rPr>
          <w:sz w:val="20"/>
          <w:szCs w:val="20"/>
        </w:rPr>
        <w:t xml:space="preserve"> </w:t>
      </w:r>
      <w:proofErr w:type="spellStart"/>
      <w:r w:rsidRPr="00536CEA">
        <w:rPr>
          <w:sz w:val="20"/>
          <w:szCs w:val="20"/>
        </w:rPr>
        <w:t>of</w:t>
      </w:r>
      <w:proofErr w:type="spellEnd"/>
      <w:r w:rsidRPr="00536CEA">
        <w:rPr>
          <w:sz w:val="20"/>
          <w:szCs w:val="20"/>
        </w:rPr>
        <w:t xml:space="preserve"> </w:t>
      </w:r>
      <w:proofErr w:type="spellStart"/>
      <w:r w:rsidRPr="00536CEA">
        <w:rPr>
          <w:sz w:val="20"/>
          <w:szCs w:val="20"/>
        </w:rPr>
        <w:t>the</w:t>
      </w:r>
      <w:proofErr w:type="spellEnd"/>
      <w:r w:rsidRPr="00536CEA">
        <w:rPr>
          <w:sz w:val="20"/>
          <w:szCs w:val="20"/>
        </w:rPr>
        <w:t xml:space="preserve"> </w:t>
      </w:r>
      <w:proofErr w:type="spellStart"/>
      <w:r w:rsidRPr="00536CEA">
        <w:rPr>
          <w:sz w:val="20"/>
          <w:szCs w:val="20"/>
        </w:rPr>
        <w:t>Bachelor's</w:t>
      </w:r>
      <w:proofErr w:type="spellEnd"/>
      <w:r w:rsidRPr="00536CEA">
        <w:rPr>
          <w:sz w:val="20"/>
          <w:szCs w:val="20"/>
        </w:rPr>
        <w:t xml:space="preserve"> </w:t>
      </w:r>
      <w:proofErr w:type="spellStart"/>
      <w:r w:rsidRPr="00536CEA">
        <w:rPr>
          <w:sz w:val="20"/>
          <w:szCs w:val="20"/>
        </w:rPr>
        <w:t>Degrees</w:t>
      </w:r>
      <w:proofErr w:type="spellEnd"/>
      <w:r w:rsidRPr="00536CEA">
        <w:rPr>
          <w:sz w:val="20"/>
          <w:szCs w:val="20"/>
        </w:rPr>
        <w:t xml:space="preserve"> in Rural </w:t>
      </w:r>
      <w:proofErr w:type="spellStart"/>
      <w:r w:rsidRPr="00536CEA">
        <w:rPr>
          <w:sz w:val="20"/>
          <w:szCs w:val="20"/>
        </w:rPr>
        <w:t>Education</w:t>
      </w:r>
      <w:proofErr w:type="spellEnd"/>
      <w:r w:rsidRPr="00536CEA">
        <w:rPr>
          <w:sz w:val="20"/>
          <w:szCs w:val="20"/>
        </w:rPr>
        <w:t xml:space="preserve"> (</w:t>
      </w:r>
      <w:proofErr w:type="spellStart"/>
      <w:r w:rsidRPr="00536CEA">
        <w:rPr>
          <w:sz w:val="20"/>
          <w:szCs w:val="20"/>
        </w:rPr>
        <w:t>LEdoC</w:t>
      </w:r>
      <w:proofErr w:type="spellEnd"/>
      <w:r w:rsidRPr="00536CEA">
        <w:rPr>
          <w:sz w:val="20"/>
          <w:szCs w:val="20"/>
        </w:rPr>
        <w:t xml:space="preserve">) </w:t>
      </w:r>
      <w:proofErr w:type="spellStart"/>
      <w:r w:rsidRPr="00536CEA">
        <w:rPr>
          <w:sz w:val="20"/>
          <w:szCs w:val="20"/>
        </w:rPr>
        <w:t>at</w:t>
      </w:r>
      <w:proofErr w:type="spellEnd"/>
      <w:r w:rsidRPr="00536CEA">
        <w:rPr>
          <w:sz w:val="20"/>
          <w:szCs w:val="20"/>
        </w:rPr>
        <w:t xml:space="preserve"> </w:t>
      </w:r>
      <w:proofErr w:type="spellStart"/>
      <w:r w:rsidRPr="00536CEA">
        <w:rPr>
          <w:sz w:val="20"/>
          <w:szCs w:val="20"/>
        </w:rPr>
        <w:t>the</w:t>
      </w:r>
      <w:proofErr w:type="spellEnd"/>
      <w:r w:rsidRPr="00536CEA">
        <w:rPr>
          <w:sz w:val="20"/>
          <w:szCs w:val="20"/>
        </w:rPr>
        <w:t xml:space="preserve"> Federal </w:t>
      </w:r>
      <w:proofErr w:type="spellStart"/>
      <w:r w:rsidRPr="00536CEA">
        <w:rPr>
          <w:sz w:val="20"/>
          <w:szCs w:val="20"/>
        </w:rPr>
        <w:t>University</w:t>
      </w:r>
      <w:proofErr w:type="spellEnd"/>
      <w:r w:rsidRPr="00536CEA">
        <w:rPr>
          <w:sz w:val="20"/>
          <w:szCs w:val="20"/>
        </w:rPr>
        <w:t xml:space="preserve"> </w:t>
      </w:r>
      <w:proofErr w:type="spellStart"/>
      <w:r w:rsidRPr="00536CEA">
        <w:rPr>
          <w:sz w:val="20"/>
          <w:szCs w:val="20"/>
        </w:rPr>
        <w:t>of</w:t>
      </w:r>
      <w:proofErr w:type="spellEnd"/>
      <w:r w:rsidRPr="00536CEA">
        <w:rPr>
          <w:sz w:val="20"/>
          <w:szCs w:val="20"/>
        </w:rPr>
        <w:t xml:space="preserve"> Piauí (UFPI), </w:t>
      </w:r>
      <w:proofErr w:type="spellStart"/>
      <w:r w:rsidRPr="00536CEA">
        <w:rPr>
          <w:sz w:val="20"/>
          <w:szCs w:val="20"/>
        </w:rPr>
        <w:t>with</w:t>
      </w:r>
      <w:proofErr w:type="spellEnd"/>
      <w:r w:rsidRPr="00536CEA">
        <w:rPr>
          <w:sz w:val="20"/>
          <w:szCs w:val="20"/>
        </w:rPr>
        <w:t xml:space="preserve"> a </w:t>
      </w:r>
      <w:proofErr w:type="spellStart"/>
      <w:r w:rsidRPr="00536CEA">
        <w:rPr>
          <w:sz w:val="20"/>
          <w:szCs w:val="20"/>
        </w:rPr>
        <w:t>focus</w:t>
      </w:r>
      <w:proofErr w:type="spellEnd"/>
      <w:r w:rsidRPr="00536CEA">
        <w:rPr>
          <w:sz w:val="20"/>
          <w:szCs w:val="20"/>
        </w:rPr>
        <w:t xml:space="preserve"> </w:t>
      </w:r>
      <w:proofErr w:type="spellStart"/>
      <w:r w:rsidRPr="00536CEA">
        <w:rPr>
          <w:sz w:val="20"/>
          <w:szCs w:val="20"/>
        </w:rPr>
        <w:t>on</w:t>
      </w:r>
      <w:proofErr w:type="spellEnd"/>
      <w:r w:rsidRPr="00536CEA">
        <w:rPr>
          <w:sz w:val="20"/>
          <w:szCs w:val="20"/>
        </w:rPr>
        <w:t xml:space="preserve"> </w:t>
      </w:r>
      <w:proofErr w:type="spellStart"/>
      <w:r w:rsidRPr="00536CEA">
        <w:rPr>
          <w:sz w:val="20"/>
          <w:szCs w:val="20"/>
        </w:rPr>
        <w:t>institutional</w:t>
      </w:r>
      <w:proofErr w:type="spellEnd"/>
      <w:r w:rsidRPr="00536CEA">
        <w:rPr>
          <w:sz w:val="20"/>
          <w:szCs w:val="20"/>
        </w:rPr>
        <w:t xml:space="preserve"> </w:t>
      </w:r>
      <w:proofErr w:type="spellStart"/>
      <w:r w:rsidRPr="00536CEA">
        <w:rPr>
          <w:sz w:val="20"/>
          <w:szCs w:val="20"/>
        </w:rPr>
        <w:t>agreements</w:t>
      </w:r>
      <w:proofErr w:type="spellEnd"/>
      <w:r w:rsidRPr="00536CEA">
        <w:rPr>
          <w:sz w:val="20"/>
          <w:szCs w:val="20"/>
        </w:rPr>
        <w:t xml:space="preserve"> </w:t>
      </w:r>
      <w:proofErr w:type="spellStart"/>
      <w:r w:rsidRPr="00536CEA">
        <w:rPr>
          <w:sz w:val="20"/>
          <w:szCs w:val="20"/>
        </w:rPr>
        <w:t>and</w:t>
      </w:r>
      <w:proofErr w:type="spellEnd"/>
      <w:r w:rsidRPr="00536CEA">
        <w:rPr>
          <w:sz w:val="20"/>
          <w:szCs w:val="20"/>
        </w:rPr>
        <w:t xml:space="preserve"> </w:t>
      </w:r>
      <w:proofErr w:type="spellStart"/>
      <w:r w:rsidRPr="00536CEA">
        <w:rPr>
          <w:sz w:val="20"/>
          <w:szCs w:val="20"/>
        </w:rPr>
        <w:t>the</w:t>
      </w:r>
      <w:proofErr w:type="spellEnd"/>
      <w:r w:rsidRPr="00536CEA">
        <w:rPr>
          <w:sz w:val="20"/>
          <w:szCs w:val="20"/>
        </w:rPr>
        <w:t xml:space="preserve"> </w:t>
      </w:r>
      <w:proofErr w:type="spellStart"/>
      <w:r w:rsidRPr="00536CEA">
        <w:rPr>
          <w:sz w:val="20"/>
          <w:szCs w:val="20"/>
        </w:rPr>
        <w:t>low</w:t>
      </w:r>
      <w:proofErr w:type="spellEnd"/>
      <w:r w:rsidRPr="00536CEA">
        <w:rPr>
          <w:sz w:val="20"/>
          <w:szCs w:val="20"/>
        </w:rPr>
        <w:t xml:space="preserve"> </w:t>
      </w:r>
      <w:proofErr w:type="spellStart"/>
      <w:r w:rsidRPr="00536CEA">
        <w:rPr>
          <w:sz w:val="20"/>
          <w:szCs w:val="20"/>
        </w:rPr>
        <w:t>student</w:t>
      </w:r>
      <w:proofErr w:type="spellEnd"/>
      <w:r w:rsidRPr="00536CEA">
        <w:rPr>
          <w:sz w:val="20"/>
          <w:szCs w:val="20"/>
        </w:rPr>
        <w:t xml:space="preserve"> </w:t>
      </w:r>
      <w:proofErr w:type="spellStart"/>
      <w:r w:rsidRPr="00536CEA">
        <w:rPr>
          <w:sz w:val="20"/>
          <w:szCs w:val="20"/>
        </w:rPr>
        <w:t>enrollment</w:t>
      </w:r>
      <w:proofErr w:type="spellEnd"/>
      <w:r w:rsidRPr="00536CEA">
        <w:rPr>
          <w:sz w:val="20"/>
          <w:szCs w:val="20"/>
        </w:rPr>
        <w:t xml:space="preserve"> rates. </w:t>
      </w:r>
      <w:proofErr w:type="spellStart"/>
      <w:r w:rsidRPr="00536CEA">
        <w:rPr>
          <w:sz w:val="20"/>
          <w:szCs w:val="20"/>
        </w:rPr>
        <w:t>Adopting</w:t>
      </w:r>
      <w:proofErr w:type="spellEnd"/>
      <w:r w:rsidRPr="00536CEA">
        <w:rPr>
          <w:sz w:val="20"/>
          <w:szCs w:val="20"/>
        </w:rPr>
        <w:t xml:space="preserve"> a </w:t>
      </w:r>
      <w:proofErr w:type="spellStart"/>
      <w:r w:rsidRPr="00536CEA">
        <w:rPr>
          <w:sz w:val="20"/>
          <w:szCs w:val="20"/>
        </w:rPr>
        <w:t>qualitative</w:t>
      </w:r>
      <w:proofErr w:type="spellEnd"/>
      <w:r w:rsidRPr="00536CEA">
        <w:rPr>
          <w:sz w:val="20"/>
          <w:szCs w:val="20"/>
        </w:rPr>
        <w:t xml:space="preserve"> approach </w:t>
      </w:r>
      <w:proofErr w:type="spellStart"/>
      <w:r w:rsidRPr="00536CEA">
        <w:rPr>
          <w:sz w:val="20"/>
          <w:szCs w:val="20"/>
        </w:rPr>
        <w:t>through</w:t>
      </w:r>
      <w:proofErr w:type="spellEnd"/>
      <w:r w:rsidRPr="00536CEA">
        <w:rPr>
          <w:sz w:val="20"/>
          <w:szCs w:val="20"/>
        </w:rPr>
        <w:t xml:space="preserve"> </w:t>
      </w:r>
      <w:proofErr w:type="spellStart"/>
      <w:r w:rsidRPr="00536CEA">
        <w:rPr>
          <w:sz w:val="20"/>
          <w:szCs w:val="20"/>
        </w:rPr>
        <w:t>documentary</w:t>
      </w:r>
      <w:proofErr w:type="spellEnd"/>
      <w:r w:rsidRPr="00536CEA">
        <w:rPr>
          <w:sz w:val="20"/>
          <w:szCs w:val="20"/>
        </w:rPr>
        <w:t xml:space="preserve"> </w:t>
      </w:r>
      <w:proofErr w:type="spellStart"/>
      <w:r w:rsidRPr="00536CEA">
        <w:rPr>
          <w:sz w:val="20"/>
          <w:szCs w:val="20"/>
        </w:rPr>
        <w:t>research</w:t>
      </w:r>
      <w:proofErr w:type="spellEnd"/>
      <w:r w:rsidRPr="00536CEA">
        <w:rPr>
          <w:sz w:val="20"/>
          <w:szCs w:val="20"/>
        </w:rPr>
        <w:t xml:space="preserve">, it examines </w:t>
      </w:r>
      <w:proofErr w:type="spellStart"/>
      <w:r w:rsidRPr="00536CEA">
        <w:rPr>
          <w:sz w:val="20"/>
          <w:szCs w:val="20"/>
        </w:rPr>
        <w:t>official</w:t>
      </w:r>
      <w:proofErr w:type="spellEnd"/>
      <w:r w:rsidRPr="00536CEA">
        <w:rPr>
          <w:sz w:val="20"/>
          <w:szCs w:val="20"/>
        </w:rPr>
        <w:t xml:space="preserve"> </w:t>
      </w:r>
      <w:proofErr w:type="spellStart"/>
      <w:r w:rsidRPr="00536CEA">
        <w:rPr>
          <w:sz w:val="20"/>
          <w:szCs w:val="20"/>
        </w:rPr>
        <w:t>documents</w:t>
      </w:r>
      <w:proofErr w:type="spellEnd"/>
      <w:r w:rsidRPr="00536CEA">
        <w:rPr>
          <w:sz w:val="20"/>
          <w:szCs w:val="20"/>
        </w:rPr>
        <w:t xml:space="preserve"> </w:t>
      </w:r>
      <w:proofErr w:type="spellStart"/>
      <w:r w:rsidRPr="00536CEA">
        <w:rPr>
          <w:sz w:val="20"/>
          <w:szCs w:val="20"/>
        </w:rPr>
        <w:t>such</w:t>
      </w:r>
      <w:proofErr w:type="spellEnd"/>
      <w:r w:rsidRPr="00536CEA">
        <w:rPr>
          <w:sz w:val="20"/>
          <w:szCs w:val="20"/>
        </w:rPr>
        <w:t xml:space="preserve"> as </w:t>
      </w:r>
      <w:proofErr w:type="spellStart"/>
      <w:r w:rsidRPr="00536CEA">
        <w:rPr>
          <w:sz w:val="20"/>
          <w:szCs w:val="20"/>
        </w:rPr>
        <w:t>agreements</w:t>
      </w:r>
      <w:proofErr w:type="spellEnd"/>
      <w:r w:rsidRPr="00536CEA">
        <w:rPr>
          <w:sz w:val="20"/>
          <w:szCs w:val="20"/>
        </w:rPr>
        <w:t xml:space="preserve">, </w:t>
      </w:r>
      <w:proofErr w:type="spellStart"/>
      <w:r w:rsidRPr="00536CEA">
        <w:rPr>
          <w:sz w:val="20"/>
          <w:szCs w:val="20"/>
        </w:rPr>
        <w:t>funding</w:t>
      </w:r>
      <w:proofErr w:type="spellEnd"/>
      <w:r w:rsidRPr="00536CEA">
        <w:rPr>
          <w:sz w:val="20"/>
          <w:szCs w:val="20"/>
        </w:rPr>
        <w:t xml:space="preserve"> </w:t>
      </w:r>
      <w:proofErr w:type="spellStart"/>
      <w:r w:rsidRPr="00536CEA">
        <w:rPr>
          <w:sz w:val="20"/>
          <w:szCs w:val="20"/>
        </w:rPr>
        <w:t>contracts</w:t>
      </w:r>
      <w:proofErr w:type="spellEnd"/>
      <w:r w:rsidRPr="00536CEA">
        <w:rPr>
          <w:sz w:val="20"/>
          <w:szCs w:val="20"/>
        </w:rPr>
        <w:t xml:space="preserve">, </w:t>
      </w:r>
      <w:proofErr w:type="spellStart"/>
      <w:r w:rsidRPr="00536CEA">
        <w:rPr>
          <w:sz w:val="20"/>
          <w:szCs w:val="20"/>
        </w:rPr>
        <w:t>and</w:t>
      </w:r>
      <w:proofErr w:type="spellEnd"/>
      <w:r w:rsidRPr="00536CEA">
        <w:rPr>
          <w:sz w:val="20"/>
          <w:szCs w:val="20"/>
        </w:rPr>
        <w:t xml:space="preserve"> </w:t>
      </w:r>
      <w:proofErr w:type="spellStart"/>
      <w:r w:rsidRPr="00536CEA">
        <w:rPr>
          <w:sz w:val="20"/>
          <w:szCs w:val="20"/>
        </w:rPr>
        <w:t>selection</w:t>
      </w:r>
      <w:proofErr w:type="spellEnd"/>
      <w:r w:rsidRPr="00536CEA">
        <w:rPr>
          <w:sz w:val="20"/>
          <w:szCs w:val="20"/>
        </w:rPr>
        <w:t xml:space="preserve"> </w:t>
      </w:r>
      <w:proofErr w:type="spellStart"/>
      <w:r w:rsidRPr="00536CEA">
        <w:rPr>
          <w:sz w:val="20"/>
          <w:szCs w:val="20"/>
        </w:rPr>
        <w:t>calls</w:t>
      </w:r>
      <w:proofErr w:type="spellEnd"/>
      <w:r w:rsidRPr="00536CEA">
        <w:rPr>
          <w:sz w:val="20"/>
          <w:szCs w:val="20"/>
        </w:rPr>
        <w:t xml:space="preserve"> </w:t>
      </w:r>
      <w:proofErr w:type="spellStart"/>
      <w:r w:rsidRPr="00536CEA">
        <w:rPr>
          <w:sz w:val="20"/>
          <w:szCs w:val="20"/>
        </w:rPr>
        <w:t>related</w:t>
      </w:r>
      <w:proofErr w:type="spellEnd"/>
      <w:r w:rsidRPr="00536CEA">
        <w:rPr>
          <w:sz w:val="20"/>
          <w:szCs w:val="20"/>
        </w:rPr>
        <w:t xml:space="preserve"> </w:t>
      </w:r>
      <w:proofErr w:type="spellStart"/>
      <w:r w:rsidRPr="00536CEA">
        <w:rPr>
          <w:sz w:val="20"/>
          <w:szCs w:val="20"/>
        </w:rPr>
        <w:t>to</w:t>
      </w:r>
      <w:proofErr w:type="spellEnd"/>
      <w:r w:rsidRPr="00536CEA">
        <w:rPr>
          <w:sz w:val="20"/>
          <w:szCs w:val="20"/>
        </w:rPr>
        <w:t xml:space="preserve"> </w:t>
      </w:r>
      <w:proofErr w:type="spellStart"/>
      <w:r w:rsidRPr="00536CEA">
        <w:rPr>
          <w:sz w:val="20"/>
          <w:szCs w:val="20"/>
        </w:rPr>
        <w:t>LEdoC</w:t>
      </w:r>
      <w:proofErr w:type="spellEnd"/>
      <w:r w:rsidRPr="00536CEA">
        <w:rPr>
          <w:sz w:val="20"/>
          <w:szCs w:val="20"/>
        </w:rPr>
        <w:t xml:space="preserve">. The </w:t>
      </w:r>
      <w:proofErr w:type="spellStart"/>
      <w:r w:rsidRPr="00536CEA">
        <w:rPr>
          <w:sz w:val="20"/>
          <w:szCs w:val="20"/>
        </w:rPr>
        <w:t>findings</w:t>
      </w:r>
      <w:proofErr w:type="spellEnd"/>
      <w:r w:rsidRPr="00536CEA">
        <w:rPr>
          <w:sz w:val="20"/>
          <w:szCs w:val="20"/>
        </w:rPr>
        <w:t xml:space="preserve"> </w:t>
      </w:r>
      <w:proofErr w:type="spellStart"/>
      <w:r w:rsidRPr="00536CEA">
        <w:rPr>
          <w:sz w:val="20"/>
          <w:szCs w:val="20"/>
        </w:rPr>
        <w:t>reveal</w:t>
      </w:r>
      <w:proofErr w:type="spellEnd"/>
      <w:r w:rsidRPr="00536CEA">
        <w:rPr>
          <w:sz w:val="20"/>
          <w:szCs w:val="20"/>
        </w:rPr>
        <w:t xml:space="preserve"> financial </w:t>
      </w:r>
      <w:proofErr w:type="spellStart"/>
      <w:r w:rsidRPr="00536CEA">
        <w:rPr>
          <w:sz w:val="20"/>
          <w:szCs w:val="20"/>
        </w:rPr>
        <w:t>disarticulation</w:t>
      </w:r>
      <w:proofErr w:type="spellEnd"/>
      <w:r w:rsidRPr="00536CEA">
        <w:rPr>
          <w:sz w:val="20"/>
          <w:szCs w:val="20"/>
        </w:rPr>
        <w:t xml:space="preserve"> </w:t>
      </w:r>
      <w:proofErr w:type="spellStart"/>
      <w:r w:rsidRPr="00536CEA">
        <w:rPr>
          <w:sz w:val="20"/>
          <w:szCs w:val="20"/>
        </w:rPr>
        <w:t>and</w:t>
      </w:r>
      <w:proofErr w:type="spellEnd"/>
      <w:r w:rsidRPr="00536CEA">
        <w:rPr>
          <w:sz w:val="20"/>
          <w:szCs w:val="20"/>
        </w:rPr>
        <w:t xml:space="preserve"> </w:t>
      </w:r>
      <w:proofErr w:type="spellStart"/>
      <w:r w:rsidRPr="00536CEA">
        <w:rPr>
          <w:sz w:val="20"/>
          <w:szCs w:val="20"/>
        </w:rPr>
        <w:t>limited</w:t>
      </w:r>
      <w:proofErr w:type="spellEnd"/>
      <w:r w:rsidRPr="00536CEA">
        <w:rPr>
          <w:sz w:val="20"/>
          <w:szCs w:val="20"/>
        </w:rPr>
        <w:t xml:space="preserve"> </w:t>
      </w:r>
      <w:proofErr w:type="spellStart"/>
      <w:r w:rsidRPr="00536CEA">
        <w:rPr>
          <w:sz w:val="20"/>
          <w:szCs w:val="20"/>
        </w:rPr>
        <w:t>student</w:t>
      </w:r>
      <w:proofErr w:type="spellEnd"/>
      <w:r w:rsidRPr="00536CEA">
        <w:rPr>
          <w:sz w:val="20"/>
          <w:szCs w:val="20"/>
        </w:rPr>
        <w:t xml:space="preserve"> </w:t>
      </w:r>
      <w:proofErr w:type="spellStart"/>
      <w:r w:rsidRPr="00536CEA">
        <w:rPr>
          <w:sz w:val="20"/>
          <w:szCs w:val="20"/>
        </w:rPr>
        <w:t>intake</w:t>
      </w:r>
      <w:proofErr w:type="spellEnd"/>
      <w:r w:rsidRPr="00536CEA">
        <w:rPr>
          <w:sz w:val="20"/>
          <w:szCs w:val="20"/>
        </w:rPr>
        <w:t xml:space="preserve">, </w:t>
      </w:r>
      <w:proofErr w:type="spellStart"/>
      <w:r w:rsidRPr="00536CEA">
        <w:rPr>
          <w:sz w:val="20"/>
          <w:szCs w:val="20"/>
        </w:rPr>
        <w:t>highlighting</w:t>
      </w:r>
      <w:proofErr w:type="spellEnd"/>
      <w:r w:rsidRPr="00536CEA">
        <w:rPr>
          <w:sz w:val="20"/>
          <w:szCs w:val="20"/>
        </w:rPr>
        <w:t xml:space="preserve"> </w:t>
      </w:r>
      <w:proofErr w:type="spellStart"/>
      <w:r w:rsidRPr="00536CEA">
        <w:rPr>
          <w:sz w:val="20"/>
          <w:szCs w:val="20"/>
        </w:rPr>
        <w:t>educational</w:t>
      </w:r>
      <w:proofErr w:type="spellEnd"/>
      <w:r w:rsidRPr="00536CEA">
        <w:rPr>
          <w:sz w:val="20"/>
          <w:szCs w:val="20"/>
        </w:rPr>
        <w:t xml:space="preserve"> </w:t>
      </w:r>
      <w:proofErr w:type="spellStart"/>
      <w:r w:rsidRPr="00536CEA">
        <w:rPr>
          <w:sz w:val="20"/>
          <w:szCs w:val="20"/>
        </w:rPr>
        <w:t>inequalities</w:t>
      </w:r>
      <w:proofErr w:type="spellEnd"/>
      <w:r w:rsidRPr="00536CEA">
        <w:rPr>
          <w:sz w:val="20"/>
          <w:szCs w:val="20"/>
        </w:rPr>
        <w:t xml:space="preserve"> </w:t>
      </w:r>
      <w:proofErr w:type="spellStart"/>
      <w:r w:rsidRPr="00536CEA">
        <w:rPr>
          <w:sz w:val="20"/>
          <w:szCs w:val="20"/>
        </w:rPr>
        <w:t>between</w:t>
      </w:r>
      <w:proofErr w:type="spellEnd"/>
      <w:r w:rsidRPr="00536CEA">
        <w:rPr>
          <w:sz w:val="20"/>
          <w:szCs w:val="20"/>
        </w:rPr>
        <w:t xml:space="preserve"> rural </w:t>
      </w:r>
      <w:proofErr w:type="spellStart"/>
      <w:r w:rsidRPr="00536CEA">
        <w:rPr>
          <w:sz w:val="20"/>
          <w:szCs w:val="20"/>
        </w:rPr>
        <w:t>and</w:t>
      </w:r>
      <w:proofErr w:type="spellEnd"/>
      <w:r w:rsidRPr="00536CEA">
        <w:rPr>
          <w:sz w:val="20"/>
          <w:szCs w:val="20"/>
        </w:rPr>
        <w:t xml:space="preserve"> </w:t>
      </w:r>
      <w:proofErr w:type="spellStart"/>
      <w:r w:rsidRPr="00536CEA">
        <w:rPr>
          <w:sz w:val="20"/>
          <w:szCs w:val="20"/>
        </w:rPr>
        <w:t>urban</w:t>
      </w:r>
      <w:proofErr w:type="spellEnd"/>
      <w:r w:rsidRPr="00536CEA">
        <w:rPr>
          <w:sz w:val="20"/>
          <w:szCs w:val="20"/>
        </w:rPr>
        <w:t xml:space="preserve"> </w:t>
      </w:r>
      <w:proofErr w:type="spellStart"/>
      <w:r w:rsidRPr="00536CEA">
        <w:rPr>
          <w:sz w:val="20"/>
          <w:szCs w:val="20"/>
        </w:rPr>
        <w:t>areas</w:t>
      </w:r>
      <w:proofErr w:type="spellEnd"/>
      <w:r w:rsidRPr="00536CEA">
        <w:rPr>
          <w:sz w:val="20"/>
          <w:szCs w:val="20"/>
        </w:rPr>
        <w:t xml:space="preserve">, </w:t>
      </w:r>
      <w:proofErr w:type="spellStart"/>
      <w:r w:rsidRPr="00536CEA">
        <w:rPr>
          <w:sz w:val="20"/>
          <w:szCs w:val="20"/>
        </w:rPr>
        <w:t>the</w:t>
      </w:r>
      <w:proofErr w:type="spellEnd"/>
      <w:r w:rsidRPr="00536CEA">
        <w:rPr>
          <w:sz w:val="20"/>
          <w:szCs w:val="20"/>
        </w:rPr>
        <w:t xml:space="preserve"> </w:t>
      </w:r>
      <w:proofErr w:type="spellStart"/>
      <w:r w:rsidRPr="00536CEA">
        <w:rPr>
          <w:sz w:val="20"/>
          <w:szCs w:val="20"/>
        </w:rPr>
        <w:t>precariousness</w:t>
      </w:r>
      <w:proofErr w:type="spellEnd"/>
      <w:r w:rsidRPr="00536CEA">
        <w:rPr>
          <w:sz w:val="20"/>
          <w:szCs w:val="20"/>
        </w:rPr>
        <w:t xml:space="preserve"> </w:t>
      </w:r>
      <w:proofErr w:type="spellStart"/>
      <w:r w:rsidRPr="00536CEA">
        <w:rPr>
          <w:sz w:val="20"/>
          <w:szCs w:val="20"/>
        </w:rPr>
        <w:t>of</w:t>
      </w:r>
      <w:proofErr w:type="spellEnd"/>
      <w:r w:rsidRPr="00536CEA">
        <w:rPr>
          <w:sz w:val="20"/>
          <w:szCs w:val="20"/>
        </w:rPr>
        <w:t xml:space="preserve"> </w:t>
      </w:r>
      <w:proofErr w:type="spellStart"/>
      <w:r w:rsidRPr="00536CEA">
        <w:rPr>
          <w:sz w:val="20"/>
          <w:szCs w:val="20"/>
        </w:rPr>
        <w:t>teaching</w:t>
      </w:r>
      <w:proofErr w:type="spellEnd"/>
      <w:r w:rsidRPr="00536CEA">
        <w:rPr>
          <w:sz w:val="20"/>
          <w:szCs w:val="20"/>
        </w:rPr>
        <w:t xml:space="preserve"> </w:t>
      </w:r>
      <w:proofErr w:type="spellStart"/>
      <w:r w:rsidRPr="00536CEA">
        <w:rPr>
          <w:sz w:val="20"/>
          <w:szCs w:val="20"/>
        </w:rPr>
        <w:t>conditions</w:t>
      </w:r>
      <w:proofErr w:type="spellEnd"/>
      <w:r w:rsidRPr="00536CEA">
        <w:rPr>
          <w:sz w:val="20"/>
          <w:szCs w:val="20"/>
        </w:rPr>
        <w:t xml:space="preserve">, </w:t>
      </w:r>
      <w:proofErr w:type="spellStart"/>
      <w:r w:rsidRPr="00536CEA">
        <w:rPr>
          <w:sz w:val="20"/>
          <w:szCs w:val="20"/>
        </w:rPr>
        <w:t>and</w:t>
      </w:r>
      <w:proofErr w:type="spellEnd"/>
      <w:r w:rsidRPr="00536CEA">
        <w:rPr>
          <w:sz w:val="20"/>
          <w:szCs w:val="20"/>
        </w:rPr>
        <w:t xml:space="preserve"> </w:t>
      </w:r>
      <w:proofErr w:type="spellStart"/>
      <w:r w:rsidRPr="00536CEA">
        <w:rPr>
          <w:sz w:val="20"/>
          <w:szCs w:val="20"/>
        </w:rPr>
        <w:t>the</w:t>
      </w:r>
      <w:proofErr w:type="spellEnd"/>
      <w:r w:rsidRPr="00536CEA">
        <w:rPr>
          <w:sz w:val="20"/>
          <w:szCs w:val="20"/>
        </w:rPr>
        <w:t xml:space="preserve"> </w:t>
      </w:r>
      <w:proofErr w:type="spellStart"/>
      <w:r w:rsidRPr="00536CEA">
        <w:rPr>
          <w:sz w:val="20"/>
          <w:szCs w:val="20"/>
        </w:rPr>
        <w:t>erosion</w:t>
      </w:r>
      <w:proofErr w:type="spellEnd"/>
      <w:r w:rsidRPr="00536CEA">
        <w:rPr>
          <w:sz w:val="20"/>
          <w:szCs w:val="20"/>
        </w:rPr>
        <w:t xml:space="preserve"> </w:t>
      </w:r>
      <w:proofErr w:type="spellStart"/>
      <w:r w:rsidRPr="00536CEA">
        <w:rPr>
          <w:sz w:val="20"/>
          <w:szCs w:val="20"/>
        </w:rPr>
        <w:t>of</w:t>
      </w:r>
      <w:proofErr w:type="spellEnd"/>
      <w:r w:rsidRPr="00536CEA">
        <w:rPr>
          <w:sz w:val="20"/>
          <w:szCs w:val="20"/>
        </w:rPr>
        <w:t xml:space="preserve"> </w:t>
      </w:r>
      <w:proofErr w:type="spellStart"/>
      <w:r w:rsidRPr="00536CEA">
        <w:rPr>
          <w:sz w:val="20"/>
          <w:szCs w:val="20"/>
        </w:rPr>
        <w:t>the</w:t>
      </w:r>
      <w:proofErr w:type="spellEnd"/>
      <w:r w:rsidRPr="00536CEA">
        <w:rPr>
          <w:sz w:val="20"/>
          <w:szCs w:val="20"/>
        </w:rPr>
        <w:t xml:space="preserve"> rural </w:t>
      </w:r>
      <w:proofErr w:type="spellStart"/>
      <w:r w:rsidRPr="00536CEA">
        <w:rPr>
          <w:sz w:val="20"/>
          <w:szCs w:val="20"/>
        </w:rPr>
        <w:t>education</w:t>
      </w:r>
      <w:proofErr w:type="spellEnd"/>
      <w:r w:rsidRPr="00536CEA">
        <w:rPr>
          <w:sz w:val="20"/>
          <w:szCs w:val="20"/>
        </w:rPr>
        <w:t xml:space="preserve"> </w:t>
      </w:r>
      <w:proofErr w:type="spellStart"/>
      <w:r w:rsidRPr="00536CEA">
        <w:rPr>
          <w:sz w:val="20"/>
          <w:szCs w:val="20"/>
        </w:rPr>
        <w:t>paradigm</w:t>
      </w:r>
      <w:proofErr w:type="spellEnd"/>
      <w:r w:rsidRPr="00536CEA">
        <w:rPr>
          <w:sz w:val="20"/>
          <w:szCs w:val="20"/>
        </w:rPr>
        <w:t xml:space="preserve">. The </w:t>
      </w:r>
      <w:proofErr w:type="spellStart"/>
      <w:r w:rsidRPr="00536CEA">
        <w:rPr>
          <w:sz w:val="20"/>
          <w:szCs w:val="20"/>
        </w:rPr>
        <w:t>lack</w:t>
      </w:r>
      <w:proofErr w:type="spellEnd"/>
      <w:r w:rsidRPr="00536CEA">
        <w:rPr>
          <w:sz w:val="20"/>
          <w:szCs w:val="20"/>
        </w:rPr>
        <w:t xml:space="preserve"> </w:t>
      </w:r>
      <w:proofErr w:type="spellStart"/>
      <w:r w:rsidRPr="00536CEA">
        <w:rPr>
          <w:sz w:val="20"/>
          <w:szCs w:val="20"/>
        </w:rPr>
        <w:t>or</w:t>
      </w:r>
      <w:proofErr w:type="spellEnd"/>
      <w:r w:rsidRPr="00536CEA">
        <w:rPr>
          <w:sz w:val="20"/>
          <w:szCs w:val="20"/>
        </w:rPr>
        <w:t xml:space="preserve"> </w:t>
      </w:r>
      <w:proofErr w:type="spellStart"/>
      <w:r w:rsidRPr="00536CEA">
        <w:rPr>
          <w:sz w:val="20"/>
          <w:szCs w:val="20"/>
        </w:rPr>
        <w:t>inadequacy</w:t>
      </w:r>
      <w:proofErr w:type="spellEnd"/>
      <w:r w:rsidRPr="00536CEA">
        <w:rPr>
          <w:sz w:val="20"/>
          <w:szCs w:val="20"/>
        </w:rPr>
        <w:t xml:space="preserve"> </w:t>
      </w:r>
      <w:proofErr w:type="spellStart"/>
      <w:r w:rsidRPr="00536CEA">
        <w:rPr>
          <w:sz w:val="20"/>
          <w:szCs w:val="20"/>
        </w:rPr>
        <w:t>of</w:t>
      </w:r>
      <w:proofErr w:type="spellEnd"/>
      <w:r w:rsidRPr="00536CEA">
        <w:rPr>
          <w:sz w:val="20"/>
          <w:szCs w:val="20"/>
        </w:rPr>
        <w:t xml:space="preserve"> </w:t>
      </w:r>
      <w:proofErr w:type="spellStart"/>
      <w:r w:rsidRPr="00536CEA">
        <w:rPr>
          <w:sz w:val="20"/>
          <w:szCs w:val="20"/>
        </w:rPr>
        <w:t>teacher</w:t>
      </w:r>
      <w:proofErr w:type="spellEnd"/>
      <w:r w:rsidRPr="00536CEA">
        <w:rPr>
          <w:sz w:val="20"/>
          <w:szCs w:val="20"/>
        </w:rPr>
        <w:t xml:space="preserve"> training </w:t>
      </w:r>
      <w:proofErr w:type="spellStart"/>
      <w:r w:rsidRPr="00536CEA">
        <w:rPr>
          <w:sz w:val="20"/>
          <w:szCs w:val="20"/>
        </w:rPr>
        <w:t>that</w:t>
      </w:r>
      <w:proofErr w:type="spellEnd"/>
      <w:r w:rsidRPr="00536CEA">
        <w:rPr>
          <w:sz w:val="20"/>
          <w:szCs w:val="20"/>
        </w:rPr>
        <w:t xml:space="preserve"> takes </w:t>
      </w:r>
      <w:proofErr w:type="spellStart"/>
      <w:r w:rsidRPr="00536CEA">
        <w:rPr>
          <w:sz w:val="20"/>
          <w:szCs w:val="20"/>
        </w:rPr>
        <w:t>into</w:t>
      </w:r>
      <w:proofErr w:type="spellEnd"/>
      <w:r w:rsidRPr="00536CEA">
        <w:rPr>
          <w:sz w:val="20"/>
          <w:szCs w:val="20"/>
        </w:rPr>
        <w:t xml:space="preserve"> </w:t>
      </w:r>
      <w:proofErr w:type="spellStart"/>
      <w:r w:rsidRPr="00536CEA">
        <w:rPr>
          <w:sz w:val="20"/>
          <w:szCs w:val="20"/>
        </w:rPr>
        <w:t>account</w:t>
      </w:r>
      <w:proofErr w:type="spellEnd"/>
      <w:r w:rsidRPr="00536CEA">
        <w:rPr>
          <w:sz w:val="20"/>
          <w:szCs w:val="20"/>
        </w:rPr>
        <w:t xml:space="preserve"> </w:t>
      </w:r>
      <w:proofErr w:type="spellStart"/>
      <w:r w:rsidRPr="00536CEA">
        <w:rPr>
          <w:sz w:val="20"/>
          <w:szCs w:val="20"/>
        </w:rPr>
        <w:t>the</w:t>
      </w:r>
      <w:proofErr w:type="spellEnd"/>
      <w:r w:rsidRPr="00536CEA">
        <w:rPr>
          <w:sz w:val="20"/>
          <w:szCs w:val="20"/>
        </w:rPr>
        <w:t xml:space="preserve"> </w:t>
      </w:r>
      <w:proofErr w:type="spellStart"/>
      <w:r w:rsidRPr="00536CEA">
        <w:rPr>
          <w:sz w:val="20"/>
          <w:szCs w:val="20"/>
        </w:rPr>
        <w:t>specific</w:t>
      </w:r>
      <w:proofErr w:type="spellEnd"/>
      <w:r w:rsidRPr="00536CEA">
        <w:rPr>
          <w:sz w:val="20"/>
          <w:szCs w:val="20"/>
        </w:rPr>
        <w:t xml:space="preserve"> realities, </w:t>
      </w:r>
      <w:proofErr w:type="spellStart"/>
      <w:r w:rsidRPr="00536CEA">
        <w:rPr>
          <w:sz w:val="20"/>
          <w:szCs w:val="20"/>
        </w:rPr>
        <w:t>knowledge</w:t>
      </w:r>
      <w:proofErr w:type="spellEnd"/>
      <w:r w:rsidRPr="00536CEA">
        <w:rPr>
          <w:sz w:val="20"/>
          <w:szCs w:val="20"/>
        </w:rPr>
        <w:t xml:space="preserve">, </w:t>
      </w:r>
      <w:proofErr w:type="spellStart"/>
      <w:r w:rsidRPr="00536CEA">
        <w:rPr>
          <w:sz w:val="20"/>
          <w:szCs w:val="20"/>
        </w:rPr>
        <w:t>and</w:t>
      </w:r>
      <w:proofErr w:type="spellEnd"/>
      <w:r w:rsidRPr="00536CEA">
        <w:rPr>
          <w:sz w:val="20"/>
          <w:szCs w:val="20"/>
        </w:rPr>
        <w:t xml:space="preserve"> </w:t>
      </w:r>
      <w:proofErr w:type="spellStart"/>
      <w:r w:rsidRPr="00536CEA">
        <w:rPr>
          <w:sz w:val="20"/>
          <w:szCs w:val="20"/>
        </w:rPr>
        <w:t>needs</w:t>
      </w:r>
      <w:proofErr w:type="spellEnd"/>
      <w:r w:rsidRPr="00536CEA">
        <w:rPr>
          <w:sz w:val="20"/>
          <w:szCs w:val="20"/>
        </w:rPr>
        <w:t xml:space="preserve"> </w:t>
      </w:r>
      <w:proofErr w:type="spellStart"/>
      <w:r w:rsidRPr="00536CEA">
        <w:rPr>
          <w:sz w:val="20"/>
          <w:szCs w:val="20"/>
        </w:rPr>
        <w:t>of</w:t>
      </w:r>
      <w:proofErr w:type="spellEnd"/>
      <w:r w:rsidRPr="00536CEA">
        <w:rPr>
          <w:sz w:val="20"/>
          <w:szCs w:val="20"/>
        </w:rPr>
        <w:t xml:space="preserve"> rural </w:t>
      </w:r>
      <w:proofErr w:type="spellStart"/>
      <w:r w:rsidRPr="00536CEA">
        <w:rPr>
          <w:sz w:val="20"/>
          <w:szCs w:val="20"/>
        </w:rPr>
        <w:t>communities</w:t>
      </w:r>
      <w:proofErr w:type="spellEnd"/>
      <w:r w:rsidRPr="00536CEA">
        <w:rPr>
          <w:sz w:val="20"/>
          <w:szCs w:val="20"/>
        </w:rPr>
        <w:t xml:space="preserve"> </w:t>
      </w:r>
      <w:proofErr w:type="spellStart"/>
      <w:r w:rsidRPr="00536CEA">
        <w:rPr>
          <w:sz w:val="20"/>
          <w:szCs w:val="20"/>
        </w:rPr>
        <w:t>contributes</w:t>
      </w:r>
      <w:proofErr w:type="spellEnd"/>
      <w:r w:rsidRPr="00536CEA">
        <w:rPr>
          <w:sz w:val="20"/>
          <w:szCs w:val="20"/>
        </w:rPr>
        <w:t xml:space="preserve"> </w:t>
      </w:r>
      <w:proofErr w:type="spellStart"/>
      <w:r w:rsidRPr="00536CEA">
        <w:rPr>
          <w:sz w:val="20"/>
          <w:szCs w:val="20"/>
        </w:rPr>
        <w:t>to</w:t>
      </w:r>
      <w:proofErr w:type="spellEnd"/>
      <w:r w:rsidRPr="00536CEA">
        <w:rPr>
          <w:sz w:val="20"/>
          <w:szCs w:val="20"/>
        </w:rPr>
        <w:t xml:space="preserve"> </w:t>
      </w:r>
      <w:proofErr w:type="spellStart"/>
      <w:r w:rsidRPr="00536CEA">
        <w:rPr>
          <w:sz w:val="20"/>
          <w:szCs w:val="20"/>
        </w:rPr>
        <w:t>the</w:t>
      </w:r>
      <w:proofErr w:type="spellEnd"/>
      <w:r w:rsidRPr="00536CEA">
        <w:rPr>
          <w:sz w:val="20"/>
          <w:szCs w:val="20"/>
        </w:rPr>
        <w:t xml:space="preserve"> </w:t>
      </w:r>
      <w:proofErr w:type="spellStart"/>
      <w:r w:rsidRPr="00536CEA">
        <w:rPr>
          <w:sz w:val="20"/>
          <w:szCs w:val="20"/>
        </w:rPr>
        <w:t>marginalization</w:t>
      </w:r>
      <w:proofErr w:type="spellEnd"/>
      <w:r w:rsidRPr="00536CEA">
        <w:rPr>
          <w:sz w:val="20"/>
          <w:szCs w:val="20"/>
        </w:rPr>
        <w:t xml:space="preserve"> </w:t>
      </w:r>
      <w:proofErr w:type="spellStart"/>
      <w:r w:rsidRPr="00536CEA">
        <w:rPr>
          <w:sz w:val="20"/>
          <w:szCs w:val="20"/>
        </w:rPr>
        <w:t>of</w:t>
      </w:r>
      <w:proofErr w:type="spellEnd"/>
      <w:r w:rsidRPr="00536CEA">
        <w:rPr>
          <w:sz w:val="20"/>
          <w:szCs w:val="20"/>
        </w:rPr>
        <w:t xml:space="preserve"> </w:t>
      </w:r>
      <w:proofErr w:type="spellStart"/>
      <w:r w:rsidRPr="00536CEA">
        <w:rPr>
          <w:sz w:val="20"/>
          <w:szCs w:val="20"/>
        </w:rPr>
        <w:t>these</w:t>
      </w:r>
      <w:proofErr w:type="spellEnd"/>
      <w:r w:rsidRPr="00536CEA">
        <w:rPr>
          <w:sz w:val="20"/>
          <w:szCs w:val="20"/>
        </w:rPr>
        <w:t xml:space="preserve"> </w:t>
      </w:r>
      <w:proofErr w:type="spellStart"/>
      <w:r w:rsidRPr="00536CEA">
        <w:rPr>
          <w:sz w:val="20"/>
          <w:szCs w:val="20"/>
        </w:rPr>
        <w:t>populations</w:t>
      </w:r>
      <w:proofErr w:type="spellEnd"/>
      <w:r w:rsidRPr="00536CEA">
        <w:rPr>
          <w:sz w:val="20"/>
          <w:szCs w:val="20"/>
        </w:rPr>
        <w:t xml:space="preserve"> </w:t>
      </w:r>
      <w:proofErr w:type="spellStart"/>
      <w:r w:rsidRPr="00536CEA">
        <w:rPr>
          <w:sz w:val="20"/>
          <w:szCs w:val="20"/>
        </w:rPr>
        <w:t>and</w:t>
      </w:r>
      <w:proofErr w:type="spellEnd"/>
      <w:r w:rsidRPr="00536CEA">
        <w:rPr>
          <w:sz w:val="20"/>
          <w:szCs w:val="20"/>
        </w:rPr>
        <w:t xml:space="preserve"> </w:t>
      </w:r>
      <w:proofErr w:type="spellStart"/>
      <w:r w:rsidRPr="00536CEA">
        <w:rPr>
          <w:sz w:val="20"/>
          <w:szCs w:val="20"/>
        </w:rPr>
        <w:t>diminishes</w:t>
      </w:r>
      <w:proofErr w:type="spellEnd"/>
      <w:r w:rsidRPr="00536CEA">
        <w:rPr>
          <w:sz w:val="20"/>
          <w:szCs w:val="20"/>
        </w:rPr>
        <w:t xml:space="preserve"> </w:t>
      </w:r>
      <w:proofErr w:type="spellStart"/>
      <w:r w:rsidRPr="00536CEA">
        <w:rPr>
          <w:sz w:val="20"/>
          <w:szCs w:val="20"/>
        </w:rPr>
        <w:t>the</w:t>
      </w:r>
      <w:proofErr w:type="spellEnd"/>
      <w:r w:rsidRPr="00536CEA">
        <w:rPr>
          <w:sz w:val="20"/>
          <w:szCs w:val="20"/>
        </w:rPr>
        <w:t xml:space="preserve"> </w:t>
      </w:r>
      <w:proofErr w:type="spellStart"/>
      <w:r w:rsidRPr="00536CEA">
        <w:rPr>
          <w:sz w:val="20"/>
          <w:szCs w:val="20"/>
        </w:rPr>
        <w:t>emancipatory</w:t>
      </w:r>
      <w:proofErr w:type="spellEnd"/>
      <w:r w:rsidRPr="00536CEA">
        <w:rPr>
          <w:sz w:val="20"/>
          <w:szCs w:val="20"/>
        </w:rPr>
        <w:t xml:space="preserve"> </w:t>
      </w:r>
      <w:proofErr w:type="spellStart"/>
      <w:r w:rsidRPr="00536CEA">
        <w:rPr>
          <w:sz w:val="20"/>
          <w:szCs w:val="20"/>
        </w:rPr>
        <w:t>potential</w:t>
      </w:r>
      <w:proofErr w:type="spellEnd"/>
      <w:r w:rsidRPr="00536CEA">
        <w:rPr>
          <w:sz w:val="20"/>
          <w:szCs w:val="20"/>
        </w:rPr>
        <w:t xml:space="preserve"> of </w:t>
      </w:r>
      <w:proofErr w:type="spellStart"/>
      <w:r w:rsidRPr="00536CEA">
        <w:rPr>
          <w:sz w:val="20"/>
          <w:szCs w:val="20"/>
        </w:rPr>
        <w:t>education</w:t>
      </w:r>
      <w:proofErr w:type="spellEnd"/>
      <w:r w:rsidRPr="00536CEA">
        <w:rPr>
          <w:sz w:val="20"/>
          <w:szCs w:val="20"/>
        </w:rPr>
        <w:t>.</w:t>
      </w:r>
    </w:p>
    <w:p w14:paraId="3F25B8EE" w14:textId="77777777" w:rsidR="00536CEA" w:rsidRDefault="00536CEA">
      <w:pPr>
        <w:spacing w:line="240" w:lineRule="auto"/>
        <w:ind w:left="2835"/>
        <w:jc w:val="both"/>
        <w:rPr>
          <w:sz w:val="20"/>
          <w:szCs w:val="20"/>
        </w:rPr>
      </w:pPr>
    </w:p>
    <w:p w14:paraId="2CD3A0B7" w14:textId="4ED7B779" w:rsidR="00DF3393" w:rsidRDefault="00BA3A18">
      <w:pPr>
        <w:spacing w:line="240" w:lineRule="auto"/>
        <w:ind w:left="2835"/>
        <w:jc w:val="both"/>
        <w:rPr>
          <w:sz w:val="20"/>
          <w:szCs w:val="20"/>
        </w:rPr>
      </w:pPr>
      <w:r>
        <w:rPr>
          <w:b/>
          <w:sz w:val="20"/>
          <w:szCs w:val="20"/>
        </w:rPr>
        <w:t>Keywords</w:t>
      </w:r>
      <w:r>
        <w:rPr>
          <w:sz w:val="20"/>
          <w:szCs w:val="20"/>
        </w:rPr>
        <w:t xml:space="preserve">: </w:t>
      </w:r>
      <w:proofErr w:type="spellStart"/>
      <w:r>
        <w:rPr>
          <w:sz w:val="20"/>
          <w:szCs w:val="20"/>
        </w:rPr>
        <w:t>Degree</w:t>
      </w:r>
      <w:proofErr w:type="spellEnd"/>
      <w:r>
        <w:rPr>
          <w:sz w:val="20"/>
          <w:szCs w:val="20"/>
        </w:rPr>
        <w:t xml:space="preserve"> in Rural </w:t>
      </w:r>
      <w:proofErr w:type="spellStart"/>
      <w:r>
        <w:rPr>
          <w:sz w:val="20"/>
          <w:szCs w:val="20"/>
        </w:rPr>
        <w:t>Education</w:t>
      </w:r>
      <w:proofErr w:type="spellEnd"/>
      <w:r>
        <w:rPr>
          <w:sz w:val="20"/>
          <w:szCs w:val="20"/>
        </w:rPr>
        <w:t xml:space="preserve">; </w:t>
      </w:r>
      <w:proofErr w:type="spellStart"/>
      <w:r>
        <w:rPr>
          <w:sz w:val="20"/>
          <w:szCs w:val="20"/>
        </w:rPr>
        <w:t>Dismantling</w:t>
      </w:r>
      <w:proofErr w:type="spellEnd"/>
      <w:r>
        <w:rPr>
          <w:sz w:val="20"/>
          <w:szCs w:val="20"/>
        </w:rPr>
        <w:t xml:space="preserve">, </w:t>
      </w:r>
      <w:proofErr w:type="spellStart"/>
      <w:r>
        <w:rPr>
          <w:sz w:val="20"/>
          <w:szCs w:val="20"/>
        </w:rPr>
        <w:t>low</w:t>
      </w:r>
      <w:proofErr w:type="spellEnd"/>
      <w:r>
        <w:rPr>
          <w:sz w:val="20"/>
          <w:szCs w:val="20"/>
        </w:rPr>
        <w:t xml:space="preserve"> income.</w:t>
      </w:r>
    </w:p>
    <w:bookmarkEnd w:id="0"/>
    <w:p w14:paraId="185C0107" w14:textId="77777777" w:rsidR="00DF3393" w:rsidRDefault="00BA3A18">
      <w:pPr>
        <w:spacing w:line="360" w:lineRule="auto"/>
        <w:rPr>
          <w:sz w:val="24"/>
          <w:szCs w:val="24"/>
        </w:rPr>
      </w:pPr>
      <w:r>
        <w:rPr>
          <w:b/>
          <w:sz w:val="24"/>
          <w:szCs w:val="24"/>
        </w:rPr>
        <w:lastRenderedPageBreak/>
        <w:t>1</w:t>
      </w:r>
      <w:r>
        <w:rPr>
          <w:b/>
          <w:sz w:val="24"/>
          <w:szCs w:val="24"/>
        </w:rPr>
        <w:tab/>
        <w:t>INTRODUÇÃO</w:t>
      </w:r>
    </w:p>
    <w:p w14:paraId="1CA026C3" w14:textId="77777777" w:rsidR="00DF3393" w:rsidRDefault="00DF3393">
      <w:pPr>
        <w:spacing w:line="360" w:lineRule="auto"/>
        <w:jc w:val="both"/>
        <w:rPr>
          <w:sz w:val="24"/>
          <w:szCs w:val="24"/>
        </w:rPr>
      </w:pPr>
    </w:p>
    <w:p w14:paraId="46FBC9AD" w14:textId="77777777" w:rsidR="00DF3393" w:rsidRDefault="00BA3A18">
      <w:pPr>
        <w:spacing w:line="360" w:lineRule="auto"/>
        <w:ind w:firstLine="850"/>
        <w:jc w:val="both"/>
        <w:rPr>
          <w:sz w:val="24"/>
          <w:szCs w:val="24"/>
        </w:rPr>
      </w:pPr>
      <w:r>
        <w:rPr>
          <w:sz w:val="24"/>
          <w:szCs w:val="24"/>
        </w:rPr>
        <w:t xml:space="preserve">A educação do campo surge como uma crítica ao paradigma tradicional da educação rural voltada às populações camponesas, mas se </w:t>
      </w:r>
      <w:proofErr w:type="spellStart"/>
      <w:r>
        <w:rPr>
          <w:sz w:val="24"/>
          <w:szCs w:val="24"/>
        </w:rPr>
        <w:t>afirma</w:t>
      </w:r>
      <w:proofErr w:type="spellEnd"/>
      <w:r>
        <w:rPr>
          <w:sz w:val="24"/>
          <w:szCs w:val="24"/>
        </w:rPr>
        <w:t>, sobretudo, como um paradigma no/do campo, emergente das elaborações teóricas dos camponeses na busca por uma educação vinculada às realidades e práticas de viver no e do campo. Nesse processo de resistência pedagógica, o trabalho educativo configura-se como um instrumento de construção de um projeto educativo articulado a uma proposta de sociedade baseada na justiça social, concebida a partir do pensamento camponês. (Batista e Silva, 2024).</w:t>
      </w:r>
    </w:p>
    <w:p w14:paraId="4474CC96" w14:textId="77777777" w:rsidR="00DF3393" w:rsidRDefault="00BA3A18">
      <w:pPr>
        <w:spacing w:line="360" w:lineRule="auto"/>
        <w:ind w:firstLine="850"/>
        <w:jc w:val="both"/>
        <w:rPr>
          <w:sz w:val="24"/>
          <w:szCs w:val="24"/>
        </w:rPr>
      </w:pPr>
      <w:r>
        <w:rPr>
          <w:sz w:val="24"/>
          <w:szCs w:val="24"/>
        </w:rPr>
        <w:t xml:space="preserve">Neste sentido </w:t>
      </w:r>
      <w:proofErr w:type="spellStart"/>
      <w:r>
        <w:rPr>
          <w:sz w:val="24"/>
          <w:szCs w:val="24"/>
        </w:rPr>
        <w:t>Caldart</w:t>
      </w:r>
      <w:proofErr w:type="spellEnd"/>
      <w:r>
        <w:rPr>
          <w:sz w:val="24"/>
          <w:szCs w:val="24"/>
        </w:rPr>
        <w:t xml:space="preserve"> (2015) afirma que a Educação do </w:t>
      </w:r>
      <w:proofErr w:type="gramStart"/>
      <w:r>
        <w:rPr>
          <w:sz w:val="24"/>
          <w:szCs w:val="24"/>
        </w:rPr>
        <w:t>Campo  não</w:t>
      </w:r>
      <w:proofErr w:type="gramEnd"/>
      <w:r>
        <w:rPr>
          <w:sz w:val="24"/>
          <w:szCs w:val="24"/>
        </w:rPr>
        <w:t xml:space="preserve"> pode ser entendida fora da tríade: campo, educação e política pública, e das relações que elas estabelecem entre si. Com o tempo, essas esferas se consolidaram como fundamentais para compreender a realidade educacional no campo e para organizar a atuação dos diferentes grupos envolvidos na </w:t>
      </w:r>
      <w:proofErr w:type="spellStart"/>
      <w:r>
        <w:rPr>
          <w:sz w:val="24"/>
          <w:szCs w:val="24"/>
        </w:rPr>
        <w:t>LEdoC</w:t>
      </w:r>
      <w:proofErr w:type="spellEnd"/>
      <w:r>
        <w:rPr>
          <w:sz w:val="24"/>
          <w:szCs w:val="24"/>
        </w:rPr>
        <w:t>.</w:t>
      </w:r>
    </w:p>
    <w:p w14:paraId="4FD96F0F" w14:textId="300E3801" w:rsidR="00DF3393" w:rsidRDefault="00BA3A18">
      <w:pPr>
        <w:spacing w:line="360" w:lineRule="auto"/>
        <w:ind w:firstLine="850"/>
        <w:jc w:val="both"/>
        <w:rPr>
          <w:sz w:val="24"/>
          <w:szCs w:val="24"/>
        </w:rPr>
      </w:pPr>
      <w:r>
        <w:rPr>
          <w:sz w:val="24"/>
          <w:szCs w:val="24"/>
        </w:rPr>
        <w:t xml:space="preserve">A necessidade dos cursos de Licenciatura em Educação do Campo surge </w:t>
      </w:r>
      <w:r>
        <w:rPr>
          <w:sz w:val="24"/>
          <w:szCs w:val="24"/>
        </w:rPr>
        <w:t>como uma etapa importante para a qualificação e formação continuada dos professores que atuam nas escolas básicas do campo. O acesso ao ensino superior é fruto de um processo histórico em que os próprios camponeses lutaram pelo direito à educação básica e à entrada na universidade. Essa oportunidade foi construída tanto pela parceria política quanto pelos conflitos entre o Estado e os movimentos do campo (Batista e Silva, 2024).</w:t>
      </w:r>
    </w:p>
    <w:p w14:paraId="638660BF" w14:textId="77777777" w:rsidR="00DF3393" w:rsidRDefault="00BA3A18">
      <w:pPr>
        <w:spacing w:line="360" w:lineRule="auto"/>
        <w:ind w:firstLine="850"/>
        <w:jc w:val="both"/>
        <w:rPr>
          <w:sz w:val="24"/>
          <w:szCs w:val="24"/>
        </w:rPr>
      </w:pPr>
      <w:r>
        <w:rPr>
          <w:sz w:val="24"/>
          <w:szCs w:val="24"/>
        </w:rPr>
        <w:t xml:space="preserve">Contudo, observa-se um progressivo processo de desestruturação dessa política, especialmente no que tange ao financiamento das Licenciaturas em Educação do Campo (LEdoCs). Cortes orçamentários, descontinuidade administrativa e desvalorização política das pautas do campo vêm comprometendo o funcionamento regular dos cursos, gerando insegurança institucional e desestímulo à entrada de novos discentes. Como resultado, há uma significativa redução no ingresso de </w:t>
      </w:r>
      <w:r>
        <w:rPr>
          <w:sz w:val="24"/>
          <w:szCs w:val="24"/>
        </w:rPr>
        <w:lastRenderedPageBreak/>
        <w:t>estudantes nas LEdoCs, fenômeno que compromete não apenas a consolidação do programa, mas também o próprio direito à educação nas áreas rurais.</w:t>
      </w:r>
    </w:p>
    <w:p w14:paraId="353A7879" w14:textId="62214138" w:rsidR="00DF3393" w:rsidRDefault="00BA3A18">
      <w:pPr>
        <w:spacing w:line="360" w:lineRule="auto"/>
        <w:ind w:firstLine="850"/>
        <w:jc w:val="both"/>
        <w:rPr>
          <w:sz w:val="24"/>
          <w:szCs w:val="24"/>
        </w:rPr>
      </w:pPr>
      <w:r>
        <w:rPr>
          <w:sz w:val="24"/>
          <w:szCs w:val="24"/>
        </w:rPr>
        <w:t xml:space="preserve">Considerando contribuir com a discussão a respeito da efetividade e continuidade dessas políticas, este artigo tem como objetivo: analisar a política do PROCAMPO, o processo de desestruturação nas LEdoCs na UFPI, com foco nos convênios e no baixo ingresso dos discentes, problematizando. A metodologia utilizada é a abordagem qualitativa </w:t>
      </w:r>
      <w:r>
        <w:rPr>
          <w:sz w:val="24"/>
          <w:szCs w:val="24"/>
        </w:rPr>
        <w:t xml:space="preserve">e o tipo de pesquisa documental. Como instrumentos de pesquisa utilizamos a análise dos documentos como os convênios, contratos de financiamento e editais de seleção da </w:t>
      </w:r>
      <w:proofErr w:type="spellStart"/>
      <w:r>
        <w:rPr>
          <w:sz w:val="24"/>
          <w:szCs w:val="24"/>
        </w:rPr>
        <w:t>LEdoC</w:t>
      </w:r>
      <w:proofErr w:type="spellEnd"/>
      <w:r>
        <w:rPr>
          <w:sz w:val="24"/>
          <w:szCs w:val="24"/>
        </w:rPr>
        <w:t>.</w:t>
      </w:r>
    </w:p>
    <w:p w14:paraId="1F2C81D1" w14:textId="30CFEDFE" w:rsidR="00DF3393" w:rsidRDefault="00BA3A18">
      <w:pPr>
        <w:spacing w:line="360" w:lineRule="auto"/>
        <w:ind w:firstLine="850"/>
        <w:jc w:val="both"/>
        <w:rPr>
          <w:sz w:val="24"/>
          <w:szCs w:val="24"/>
        </w:rPr>
      </w:pPr>
      <w:r>
        <w:rPr>
          <w:sz w:val="24"/>
          <w:szCs w:val="24"/>
        </w:rPr>
        <w:t xml:space="preserve"> Para tanto, apoiamos nossos estudos nas ideias de </w:t>
      </w:r>
      <w:proofErr w:type="spellStart"/>
      <w:r>
        <w:rPr>
          <w:sz w:val="24"/>
          <w:szCs w:val="24"/>
        </w:rPr>
        <w:t>Caldart</w:t>
      </w:r>
      <w:proofErr w:type="spellEnd"/>
      <w:r>
        <w:rPr>
          <w:sz w:val="24"/>
          <w:szCs w:val="24"/>
        </w:rPr>
        <w:t xml:space="preserve"> (2015), Batista e Silva, (2024), </w:t>
      </w:r>
      <w:r>
        <w:rPr>
          <w:sz w:val="24"/>
          <w:szCs w:val="24"/>
        </w:rPr>
        <w:t>Molina (2015), Arroyo (2007), Cara (2009) entre outros. Partindo da seguinte indagação:  Como o processo de desestruturação nas LEdoCs incide na realidade da educação do campo no ensino superior e de que forma isso repercute no Paradigma de Educação do Campo no Campo?</w:t>
      </w:r>
    </w:p>
    <w:p w14:paraId="097CE9D3" w14:textId="77777777" w:rsidR="00DF3393" w:rsidRDefault="00DF3393">
      <w:pPr>
        <w:spacing w:line="360" w:lineRule="auto"/>
        <w:jc w:val="both"/>
        <w:rPr>
          <w:sz w:val="24"/>
          <w:szCs w:val="24"/>
        </w:rPr>
      </w:pPr>
    </w:p>
    <w:p w14:paraId="1822EE4A" w14:textId="77777777" w:rsidR="00DF3393" w:rsidRDefault="00BA3A18">
      <w:pPr>
        <w:spacing w:line="360" w:lineRule="auto"/>
        <w:jc w:val="both"/>
        <w:rPr>
          <w:b/>
          <w:sz w:val="24"/>
          <w:szCs w:val="24"/>
        </w:rPr>
      </w:pPr>
      <w:r>
        <w:rPr>
          <w:b/>
          <w:sz w:val="24"/>
          <w:szCs w:val="24"/>
        </w:rPr>
        <w:t>2</w:t>
      </w:r>
      <w:r>
        <w:rPr>
          <w:b/>
          <w:sz w:val="24"/>
          <w:szCs w:val="24"/>
        </w:rPr>
        <w:tab/>
        <w:t xml:space="preserve">CONTEXTO HISTÓRICO DAS </w:t>
      </w:r>
      <w:proofErr w:type="gramStart"/>
      <w:r>
        <w:rPr>
          <w:b/>
          <w:sz w:val="24"/>
          <w:szCs w:val="24"/>
        </w:rPr>
        <w:t>LEdoCs  NA</w:t>
      </w:r>
      <w:proofErr w:type="gramEnd"/>
      <w:r>
        <w:rPr>
          <w:b/>
          <w:sz w:val="24"/>
          <w:szCs w:val="24"/>
        </w:rPr>
        <w:t xml:space="preserve"> UFPI.</w:t>
      </w:r>
    </w:p>
    <w:p w14:paraId="0F1C4DED" w14:textId="77777777" w:rsidR="00DF3393" w:rsidRDefault="00DF3393">
      <w:pPr>
        <w:spacing w:line="360" w:lineRule="auto"/>
        <w:jc w:val="both"/>
        <w:rPr>
          <w:b/>
          <w:sz w:val="24"/>
          <w:szCs w:val="24"/>
        </w:rPr>
      </w:pPr>
    </w:p>
    <w:p w14:paraId="4BE623AF" w14:textId="33E9EB49" w:rsidR="00DF3393" w:rsidRDefault="00BA3A18">
      <w:pPr>
        <w:spacing w:line="360" w:lineRule="auto"/>
        <w:ind w:firstLine="850"/>
        <w:jc w:val="both"/>
        <w:rPr>
          <w:sz w:val="24"/>
          <w:szCs w:val="24"/>
        </w:rPr>
      </w:pPr>
      <w:r>
        <w:rPr>
          <w:sz w:val="24"/>
          <w:szCs w:val="24"/>
        </w:rPr>
        <w:t xml:space="preserve">As </w:t>
      </w:r>
      <w:r>
        <w:rPr>
          <w:sz w:val="24"/>
          <w:szCs w:val="24"/>
        </w:rPr>
        <w:t>Licenciaturas em Educação do Campo (LEdoCs) surgem como uma conquista significativa dos movimentos sociais do campo, especialmente no contexto das lutas por políticas públicas educacionais específicas, conduzidas por trabalhadores e trabalhadoras camponesas. Desde o final da década de 1990, a Educação do Campo consolidou-se como um movimento nacional, articulando diferentes sujeitos com interesses sociais comuns, em especial famílias e comunidades cuja base de vida está no trabalho camponês (</w:t>
      </w:r>
      <w:proofErr w:type="spellStart"/>
      <w:r>
        <w:rPr>
          <w:sz w:val="24"/>
          <w:szCs w:val="24"/>
        </w:rPr>
        <w:t>Caldart</w:t>
      </w:r>
      <w:proofErr w:type="spellEnd"/>
      <w:r>
        <w:rPr>
          <w:sz w:val="24"/>
          <w:szCs w:val="24"/>
        </w:rPr>
        <w:t>, 2015).</w:t>
      </w:r>
      <w:r>
        <w:rPr>
          <w:sz w:val="24"/>
          <w:szCs w:val="24"/>
        </w:rPr>
        <w:t xml:space="preserve"> A proposta da Educação do Campo assume, portanto, o compromisso com a transformação das desigualdades históricas no acesso à educação por parte das populações rurais, promovendo ações que visam atender seus direitos sociais, </w:t>
      </w:r>
      <w:r>
        <w:rPr>
          <w:sz w:val="24"/>
          <w:szCs w:val="24"/>
        </w:rPr>
        <w:t xml:space="preserve">segundo </w:t>
      </w:r>
      <w:proofErr w:type="spellStart"/>
      <w:r>
        <w:rPr>
          <w:sz w:val="24"/>
          <w:szCs w:val="24"/>
        </w:rPr>
        <w:t>Caldart</w:t>
      </w:r>
      <w:proofErr w:type="spellEnd"/>
      <w:r>
        <w:rPr>
          <w:sz w:val="24"/>
          <w:szCs w:val="24"/>
        </w:rPr>
        <w:t xml:space="preserve"> (2015).</w:t>
      </w:r>
    </w:p>
    <w:p w14:paraId="56F3DF51" w14:textId="2FF42A55" w:rsidR="00DF3393" w:rsidRDefault="00BA3A18">
      <w:pPr>
        <w:spacing w:line="360" w:lineRule="auto"/>
        <w:ind w:firstLine="850"/>
        <w:jc w:val="both"/>
        <w:rPr>
          <w:sz w:val="24"/>
          <w:szCs w:val="24"/>
        </w:rPr>
      </w:pPr>
      <w:r>
        <w:rPr>
          <w:sz w:val="24"/>
          <w:szCs w:val="24"/>
        </w:rPr>
        <w:lastRenderedPageBreak/>
        <w:t>A Licenciatura em Educação do Campo (</w:t>
      </w:r>
      <w:proofErr w:type="spellStart"/>
      <w:r>
        <w:rPr>
          <w:sz w:val="24"/>
          <w:szCs w:val="24"/>
        </w:rPr>
        <w:t>LEdoC</w:t>
      </w:r>
      <w:proofErr w:type="spellEnd"/>
      <w:r>
        <w:rPr>
          <w:sz w:val="24"/>
          <w:szCs w:val="24"/>
        </w:rPr>
        <w:t xml:space="preserve">) </w:t>
      </w:r>
      <w:r>
        <w:rPr>
          <w:sz w:val="24"/>
          <w:szCs w:val="24"/>
        </w:rPr>
        <w:t xml:space="preserve">teve início com quatro experiências-piloto desenvolvidas por universidades indicadas pelos movimentos sociais: UFMG, UnB, UFBA e UFS (Molina, 2015). Posteriormente, foi ampliado por meio de editais MEC (BRASIL, 2008, 2009, 2012), buscando garantir o acesso dos sujeitos do campo à formação superior. No entanto, um dos principais desafios enfrentados foi a tentativa de impor o vestibular universal como forma de ingresso, o que contraria o propósito original de atender às especificidades desses sujeitos, como </w:t>
      </w:r>
      <w:r>
        <w:rPr>
          <w:sz w:val="24"/>
          <w:szCs w:val="24"/>
        </w:rPr>
        <w:t xml:space="preserve">a residência e atuação em comunidades rurais (Molina, 2015). </w:t>
      </w:r>
    </w:p>
    <w:p w14:paraId="64CB1219" w14:textId="004952B1" w:rsidR="00DF3393" w:rsidRDefault="00BA3A18">
      <w:pPr>
        <w:spacing w:line="360" w:lineRule="auto"/>
        <w:ind w:firstLine="850"/>
        <w:jc w:val="both"/>
        <w:rPr>
          <w:sz w:val="24"/>
          <w:szCs w:val="24"/>
        </w:rPr>
      </w:pPr>
      <w:r>
        <w:rPr>
          <w:sz w:val="24"/>
          <w:szCs w:val="24"/>
        </w:rPr>
        <w:t xml:space="preserve">No Piauí, a expansão do PROCAMPO se concretiza com a implantação da Licenciatura em Educação do Campo na Universidade Federal do Piauí (UFPI), </w:t>
      </w:r>
      <w:proofErr w:type="gramStart"/>
      <w:r>
        <w:rPr>
          <w:sz w:val="24"/>
          <w:szCs w:val="24"/>
        </w:rPr>
        <w:t xml:space="preserve">nos </w:t>
      </w:r>
      <w:r>
        <w:rPr>
          <w:sz w:val="24"/>
          <w:szCs w:val="24"/>
        </w:rPr>
        <w:t>campus</w:t>
      </w:r>
      <w:proofErr w:type="gramEnd"/>
      <w:r>
        <w:rPr>
          <w:sz w:val="24"/>
          <w:szCs w:val="24"/>
        </w:rPr>
        <w:t xml:space="preserve"> de Bom Jesus, Teresina, Picos e Floriano, a partir do REUNI – Programa de Apoio a Planos de Reestruturação e Expansão das Universidades Federais, com a primeira turma iniciando em 2014. Esse curso veio preencher uma lacuna na formação humana e social da região, onde predominavam cursos voltados às ciências agrárias e às demandas do agronegócio (Molina; Lima, 2025). </w:t>
      </w:r>
    </w:p>
    <w:p w14:paraId="5D822398" w14:textId="17F5FD09" w:rsidR="00DF3393" w:rsidRDefault="00BA3A18">
      <w:pPr>
        <w:spacing w:line="360" w:lineRule="auto"/>
        <w:ind w:firstLine="850"/>
        <w:jc w:val="both"/>
        <w:rPr>
          <w:sz w:val="24"/>
          <w:szCs w:val="24"/>
        </w:rPr>
      </w:pPr>
      <w:r>
        <w:rPr>
          <w:sz w:val="24"/>
          <w:szCs w:val="24"/>
        </w:rPr>
        <w:t xml:space="preserve">No campus de Bom Jesus é ofertado licenciatura em ciências sociais e humanas, </w:t>
      </w:r>
      <w:r>
        <w:rPr>
          <w:sz w:val="24"/>
          <w:szCs w:val="24"/>
        </w:rPr>
        <w:t>o curso visa formar professores para atuar nos componentes curriculares de Geografia, História, Filosofia e Sociologia, enquanto nos demais campus da UFPI (Teresina, Floriano e Picos), a formação é voltada às Ciências da Natureza, com habilitação em Biologia, Física e Química (Molina; Lima, 2025). Os cursos são ofertados em alternância, articulando os tempos e espaços da universidade e da comunidade. Durante o TU, os estudantes desenvolvem atividades orientadas pelos docentes, enquanto o TC permite a aplica</w:t>
      </w:r>
      <w:r>
        <w:rPr>
          <w:sz w:val="24"/>
          <w:szCs w:val="24"/>
        </w:rPr>
        <w:t>ção dos conhecimentos em suas realidades locais, promovendo uma reflexão constante entre prática e teoria (Molina; Lima, 2025).</w:t>
      </w:r>
    </w:p>
    <w:p w14:paraId="649C683E" w14:textId="77777777" w:rsidR="00DF3393" w:rsidRDefault="00BA3A18">
      <w:pPr>
        <w:spacing w:line="360" w:lineRule="auto"/>
        <w:ind w:firstLine="850"/>
        <w:jc w:val="both"/>
        <w:rPr>
          <w:sz w:val="24"/>
          <w:szCs w:val="24"/>
        </w:rPr>
      </w:pPr>
      <w:r>
        <w:rPr>
          <w:sz w:val="24"/>
          <w:szCs w:val="24"/>
        </w:rPr>
        <w:t xml:space="preserve">As LEdoCs possuem como foco as escolas do campo, promovendo a formação de docentes por áreas do conhecimento para atuar, de forma interdisciplinar, nos anos finais do Ensino Fundamental e no Ensino Médio (Molina; Hage, 2022). Além disso, buscam qualificar educadores para exercer funções de gestão em processos educativos escolares e comunitários. </w:t>
      </w:r>
      <w:r>
        <w:rPr>
          <w:color w:val="FF0000"/>
          <w:sz w:val="24"/>
          <w:szCs w:val="24"/>
        </w:rPr>
        <w:t xml:space="preserve"> </w:t>
      </w:r>
      <w:r>
        <w:rPr>
          <w:sz w:val="24"/>
          <w:szCs w:val="24"/>
        </w:rPr>
        <w:t xml:space="preserve">Portanto, a implantação </w:t>
      </w:r>
      <w:r>
        <w:rPr>
          <w:sz w:val="24"/>
          <w:szCs w:val="24"/>
        </w:rPr>
        <w:lastRenderedPageBreak/>
        <w:t xml:space="preserve">das LEdoCs no Piauí, e especificamente na UFPI, representa um marco na história da formação docente para o campo, reafirmando o compromisso com uma educação pública, contextualizada e socialmente referenciada, construída a partir da resistência e da luta dos sujeitos do campo por seus direitos. </w:t>
      </w:r>
    </w:p>
    <w:p w14:paraId="5F57ED2F" w14:textId="77777777" w:rsidR="00DF3393" w:rsidRDefault="00DF3393">
      <w:pPr>
        <w:spacing w:line="360" w:lineRule="auto"/>
        <w:jc w:val="both"/>
        <w:rPr>
          <w:sz w:val="24"/>
          <w:szCs w:val="24"/>
        </w:rPr>
      </w:pPr>
    </w:p>
    <w:p w14:paraId="4B331C09" w14:textId="77777777" w:rsidR="00DF3393" w:rsidRDefault="00BA3A18">
      <w:pPr>
        <w:spacing w:line="360" w:lineRule="auto"/>
        <w:jc w:val="both"/>
        <w:rPr>
          <w:b/>
          <w:sz w:val="24"/>
          <w:szCs w:val="24"/>
        </w:rPr>
      </w:pPr>
      <w:proofErr w:type="gramStart"/>
      <w:r>
        <w:rPr>
          <w:b/>
          <w:sz w:val="24"/>
          <w:szCs w:val="24"/>
        </w:rPr>
        <w:t>3.  (</w:t>
      </w:r>
      <w:proofErr w:type="gramEnd"/>
      <w:r>
        <w:rPr>
          <w:b/>
          <w:sz w:val="24"/>
          <w:szCs w:val="24"/>
        </w:rPr>
        <w:t xml:space="preserve">DES) ESTRUTURAÇÃO DAS LICENCIATURAS NA ATUALIDADE DO PROCAMPO: entraves entre financiamento e o baixo ingresso. </w:t>
      </w:r>
    </w:p>
    <w:p w14:paraId="02C757B2" w14:textId="77777777" w:rsidR="00DF3393" w:rsidRDefault="00DF3393">
      <w:pPr>
        <w:spacing w:line="360" w:lineRule="auto"/>
        <w:jc w:val="both"/>
        <w:rPr>
          <w:sz w:val="24"/>
          <w:szCs w:val="24"/>
        </w:rPr>
      </w:pPr>
    </w:p>
    <w:p w14:paraId="347BF3A6" w14:textId="77777777" w:rsidR="00DF3393" w:rsidRDefault="00BA3A18">
      <w:pPr>
        <w:spacing w:line="360" w:lineRule="auto"/>
        <w:ind w:firstLine="850"/>
        <w:jc w:val="both"/>
        <w:rPr>
          <w:sz w:val="24"/>
          <w:szCs w:val="24"/>
        </w:rPr>
      </w:pPr>
      <w:r>
        <w:rPr>
          <w:sz w:val="24"/>
          <w:szCs w:val="24"/>
        </w:rPr>
        <w:t>A política de formação docente para o campo, ainda que conquistada por meio de intensa mobilização social, enfrenta desafios em sua consolidação, pois, apesar de representar uma conquista importante na reafirmação do paradigma da Educação do Campo, a Licenciatura em Educação do Campo (</w:t>
      </w:r>
      <w:proofErr w:type="spellStart"/>
      <w:r>
        <w:rPr>
          <w:sz w:val="24"/>
          <w:szCs w:val="24"/>
        </w:rPr>
        <w:t>LEdoC</w:t>
      </w:r>
      <w:proofErr w:type="spellEnd"/>
      <w:r>
        <w:rPr>
          <w:sz w:val="24"/>
          <w:szCs w:val="24"/>
        </w:rPr>
        <w:t>) enfrenta, na atualidade, um processo de desmonte que afeta diretamente seus aspectos financeiros e pedagógicos. Essa fragilização compromete não apenas a efetivação de sua proposta formativa, mas também o próprio acesso e permanência dos sujeitos do campo na universidade. Esse processo se manifesta por meio de cortes orçamentários, redução de programas de assistência estudantil e descontinuidade de convênios e contratos essenciais para a manutenção das atividades acadêmicas e de extensão.</w:t>
      </w:r>
    </w:p>
    <w:p w14:paraId="123EF2B0" w14:textId="5CA42B02" w:rsidR="00DF3393" w:rsidRDefault="00BA3A18">
      <w:pPr>
        <w:spacing w:line="360" w:lineRule="auto"/>
        <w:ind w:firstLine="850"/>
        <w:jc w:val="both"/>
        <w:rPr>
          <w:sz w:val="24"/>
          <w:szCs w:val="24"/>
        </w:rPr>
      </w:pPr>
      <w:r>
        <w:rPr>
          <w:sz w:val="24"/>
          <w:szCs w:val="24"/>
        </w:rPr>
        <w:t xml:space="preserve">Um exemplo desse processo, é a extinção da </w:t>
      </w:r>
      <w:r>
        <w:rPr>
          <w:sz w:val="24"/>
          <w:szCs w:val="24"/>
        </w:rPr>
        <w:t xml:space="preserve">Secretaria de Educação Continuada, Alfabetização, Diversidade e Inclusão (SECADI/MEC) através do Decreto nº 9.465, de 2 de janeiro de 2019.I. Com este decreto, houve um retrocesso no campo dos direitos educacionais e mostra-se como uma medida que vai na contramão do reconhecimento da diversidade, </w:t>
      </w:r>
      <w:r>
        <w:rPr>
          <w:sz w:val="24"/>
          <w:szCs w:val="24"/>
        </w:rPr>
        <w:t xml:space="preserve">da </w:t>
      </w:r>
      <w:r>
        <w:rPr>
          <w:sz w:val="24"/>
          <w:szCs w:val="24"/>
        </w:rPr>
        <w:t>promoção</w:t>
      </w:r>
      <w:r>
        <w:rPr>
          <w:sz w:val="24"/>
          <w:szCs w:val="24"/>
        </w:rPr>
        <w:t xml:space="preserve"> da</w:t>
      </w:r>
      <w:r>
        <w:rPr>
          <w:sz w:val="24"/>
          <w:szCs w:val="24"/>
        </w:rPr>
        <w:t xml:space="preserve"> equidade e </w:t>
      </w:r>
      <w:r>
        <w:rPr>
          <w:sz w:val="24"/>
          <w:szCs w:val="24"/>
        </w:rPr>
        <w:t>do</w:t>
      </w:r>
      <w:r>
        <w:rPr>
          <w:sz w:val="24"/>
          <w:szCs w:val="24"/>
        </w:rPr>
        <w:t xml:space="preserve"> fortalecimento</w:t>
      </w:r>
      <w:r>
        <w:rPr>
          <w:sz w:val="24"/>
          <w:szCs w:val="24"/>
        </w:rPr>
        <w:t xml:space="preserve"> da inclusão no processo educativo (Taffarel; Carvalho, 2019). </w:t>
      </w:r>
    </w:p>
    <w:p w14:paraId="13F10A14" w14:textId="77777777" w:rsidR="00DF3393" w:rsidRDefault="00BA3A18">
      <w:pPr>
        <w:spacing w:line="360" w:lineRule="auto"/>
        <w:ind w:firstLine="850"/>
        <w:jc w:val="both"/>
        <w:rPr>
          <w:sz w:val="24"/>
          <w:szCs w:val="24"/>
        </w:rPr>
      </w:pPr>
      <w:r>
        <w:rPr>
          <w:sz w:val="24"/>
          <w:szCs w:val="24"/>
        </w:rPr>
        <w:t xml:space="preserve">Para o seu funcionamento, as LEdoCs de Teresina, Bom Jesus, Picos e Floriano possuíam financiamento mediante a celebração de Convênios e Contratos, entre a UFPI e a Fundação Cultural e de Fomento à Pesquisa, Ensino e Extensão - FADEX, objetivando a execução das ações do Projeto de Ensino do PROCAMPO. Nos contratos se estabelece como responsabilidade da FADEX, aplicar os recursos </w:t>
      </w:r>
      <w:r>
        <w:rPr>
          <w:sz w:val="24"/>
          <w:szCs w:val="24"/>
        </w:rPr>
        <w:lastRenderedPageBreak/>
        <w:t>financeiros recebidos da UFPI, exclusivamente na execução das ações previstas, comprovando o bom e regular emprego dos recursos captados, bem como dos resultados alcançados além de atuar em conjunto com a UFPI no planejamento, execução, acompanhamento e avaliação das atividades previstas no contrato n° 16/2015. Assim, o Financiamento adequado e boa gestão educacional, são imprescindíveis e interdependentes para a materialização de boas políticas públicas de educação (Cara, 2009).</w:t>
      </w:r>
    </w:p>
    <w:p w14:paraId="211C6753" w14:textId="69A7CC88" w:rsidR="00DF3393" w:rsidRDefault="00BA3A18">
      <w:pPr>
        <w:spacing w:line="360" w:lineRule="auto"/>
        <w:ind w:firstLine="850"/>
        <w:jc w:val="both"/>
        <w:rPr>
          <w:sz w:val="24"/>
          <w:szCs w:val="24"/>
        </w:rPr>
      </w:pPr>
      <w:r>
        <w:rPr>
          <w:sz w:val="24"/>
          <w:szCs w:val="24"/>
        </w:rPr>
        <w:t xml:space="preserve"> Os contratos das LEdoCs, são acompanhados dos planos de trabalhos, e neles, estão previstos a utilização dos recursos financeiros, distribuído em materiais de consumo; outros serviços de terceiros (pessoas jurídicas) para locação de veículos, serviços gráficos, entre outros; </w:t>
      </w:r>
      <w:r>
        <w:rPr>
          <w:sz w:val="24"/>
          <w:szCs w:val="24"/>
        </w:rPr>
        <w:t xml:space="preserve">além de auxílio financeiro aos estudantes, com bolsas e recursos para a participação em atividades acadêmicas e deslocamento para TU. Os quatro contratos iniciados no ano de 2015, possuíam vigência de 12 meses, no entanto, puderam ser prorrogados através de aditivos. Dessa forma, o período de execução dos contratos de Picos, Bom Jesus e Floriano ocorreram de </w:t>
      </w:r>
      <w:r>
        <w:rPr>
          <w:sz w:val="24"/>
          <w:szCs w:val="24"/>
        </w:rPr>
        <w:t xml:space="preserve">30/10/2015 a 30/10/2022 e de Teresina 09/10/2016 a 09/10/2021 não havendo mais a renovação dos contratos. </w:t>
      </w:r>
    </w:p>
    <w:p w14:paraId="59B4AE9F" w14:textId="77777777" w:rsidR="00DF3393" w:rsidRDefault="00BA3A18">
      <w:pPr>
        <w:spacing w:line="360" w:lineRule="auto"/>
        <w:ind w:firstLine="850"/>
        <w:jc w:val="both"/>
        <w:rPr>
          <w:sz w:val="24"/>
          <w:szCs w:val="24"/>
        </w:rPr>
      </w:pPr>
      <w:r>
        <w:rPr>
          <w:sz w:val="24"/>
          <w:szCs w:val="24"/>
        </w:rPr>
        <w:t xml:space="preserve">Destarte, sem os convênios da UFPI e </w:t>
      </w:r>
      <w:proofErr w:type="gramStart"/>
      <w:r>
        <w:rPr>
          <w:sz w:val="24"/>
          <w:szCs w:val="24"/>
        </w:rPr>
        <w:t>FADEX ,</w:t>
      </w:r>
      <w:proofErr w:type="gramEnd"/>
      <w:r>
        <w:rPr>
          <w:sz w:val="24"/>
          <w:szCs w:val="24"/>
        </w:rPr>
        <w:t xml:space="preserve"> as LEdoCs, pensadas para combater as desigualdades educacionais nas escolas do campo, ficam sem financiamento adequado, forçando as instituições a manterem os cursos por meio de remanejamento interno de recursos, o que pode gerar sobrecarga e instabilidade. Repercutindo negativamente em diversos aspectos dos cursos e no auxílio aos discentes, pois assim como a oferta de vagas, é necessário também possibilitar a permanência desses alunos nos cursos de graduação. </w:t>
      </w:r>
    </w:p>
    <w:p w14:paraId="039BF0F1" w14:textId="752819CA" w:rsidR="00DF3393" w:rsidRDefault="00BA3A18">
      <w:pPr>
        <w:spacing w:line="360" w:lineRule="auto"/>
        <w:ind w:firstLine="850"/>
        <w:jc w:val="both"/>
        <w:rPr>
          <w:sz w:val="24"/>
          <w:szCs w:val="24"/>
        </w:rPr>
      </w:pPr>
      <w:r>
        <w:rPr>
          <w:sz w:val="24"/>
          <w:szCs w:val="24"/>
        </w:rPr>
        <w:t>Vale ressaltar, que há uma disputa pelo espaço do campo, pelas</w:t>
      </w:r>
      <w:r>
        <w:rPr>
          <w:sz w:val="24"/>
          <w:szCs w:val="24"/>
        </w:rPr>
        <w:t xml:space="preserve"> esferas capitalistas, e que a desestruturação financeira da </w:t>
      </w:r>
      <w:proofErr w:type="spellStart"/>
      <w:r>
        <w:rPr>
          <w:sz w:val="24"/>
          <w:szCs w:val="24"/>
        </w:rPr>
        <w:t>LEdoC</w:t>
      </w:r>
      <w:proofErr w:type="spellEnd"/>
      <w:r>
        <w:rPr>
          <w:sz w:val="24"/>
          <w:szCs w:val="24"/>
        </w:rPr>
        <w:t xml:space="preserve"> compromete, de certa forma, os cursos de licenciatura do campo, como incide também na realidade das escolas campesinas, diante da </w:t>
      </w:r>
      <w:r>
        <w:rPr>
          <w:sz w:val="24"/>
          <w:szCs w:val="24"/>
        </w:rPr>
        <w:t xml:space="preserve">necessidade de profissionais qualificados para atuar nesses espaços e a garantia de direitos dessa população e do saber contra </w:t>
      </w:r>
      <w:r>
        <w:rPr>
          <w:sz w:val="24"/>
          <w:szCs w:val="24"/>
        </w:rPr>
        <w:lastRenderedPageBreak/>
        <w:t xml:space="preserve">hegemônico. Além de resultar na descaracterização dos princípios fundantes do curso e o crescente desinteresse das comunidades camponesas. </w:t>
      </w:r>
    </w:p>
    <w:p w14:paraId="1077059A" w14:textId="77777777" w:rsidR="00DF3393" w:rsidRDefault="00DF3393">
      <w:pPr>
        <w:spacing w:line="360" w:lineRule="auto"/>
        <w:ind w:firstLine="709"/>
        <w:jc w:val="both"/>
        <w:rPr>
          <w:sz w:val="24"/>
          <w:szCs w:val="24"/>
        </w:rPr>
      </w:pPr>
    </w:p>
    <w:p w14:paraId="411E9354" w14:textId="77777777" w:rsidR="00DF3393" w:rsidRDefault="00BA3A18">
      <w:pPr>
        <w:spacing w:line="360" w:lineRule="auto"/>
        <w:jc w:val="both"/>
        <w:rPr>
          <w:b/>
          <w:sz w:val="24"/>
          <w:szCs w:val="24"/>
        </w:rPr>
      </w:pPr>
      <w:r>
        <w:rPr>
          <w:b/>
          <w:sz w:val="24"/>
          <w:szCs w:val="24"/>
        </w:rPr>
        <w:t>4.</w:t>
      </w:r>
      <w:r>
        <w:rPr>
          <w:sz w:val="24"/>
          <w:szCs w:val="24"/>
        </w:rPr>
        <w:tab/>
      </w:r>
      <w:r>
        <w:rPr>
          <w:b/>
          <w:sz w:val="24"/>
          <w:szCs w:val="24"/>
        </w:rPr>
        <w:t xml:space="preserve">ATUALIDADE DO PARADIGMA DA EDUCAÇÃO NOS BAIXOS ÍNDICES DE INGRESSOS LEDOCS </w:t>
      </w:r>
    </w:p>
    <w:p w14:paraId="4D06C1B3" w14:textId="77777777" w:rsidR="00DF3393" w:rsidRDefault="00DF3393">
      <w:pPr>
        <w:spacing w:line="360" w:lineRule="auto"/>
        <w:jc w:val="both"/>
        <w:rPr>
          <w:b/>
          <w:sz w:val="24"/>
          <w:szCs w:val="24"/>
        </w:rPr>
      </w:pPr>
    </w:p>
    <w:p w14:paraId="1741D51C" w14:textId="77777777" w:rsidR="00DF3393" w:rsidRDefault="00BA3A18">
      <w:pPr>
        <w:spacing w:line="360" w:lineRule="auto"/>
        <w:ind w:firstLine="850"/>
        <w:jc w:val="both"/>
        <w:rPr>
          <w:sz w:val="24"/>
          <w:szCs w:val="24"/>
          <w:highlight w:val="white"/>
        </w:rPr>
      </w:pPr>
      <w:r>
        <w:rPr>
          <w:sz w:val="24"/>
          <w:szCs w:val="24"/>
        </w:rPr>
        <w:t xml:space="preserve">Há a necessidade de se compreender a educação do campo nos aspectos políticos, teóricos e pedagógicos, para que então se possa identificar suas tensões e adversidades. As LEdoCs foram formadas para combate às desvantagens educacionais históricas sofridas pelas populações rurais e do campo, pensando em uma educação do campo no campo. </w:t>
      </w:r>
      <w:r>
        <w:rPr>
          <w:sz w:val="24"/>
          <w:szCs w:val="24"/>
          <w:highlight w:val="white"/>
        </w:rPr>
        <w:t>As LEdoCs desempenham um papel importante, para a luta de classes,  por possuírem intencionalidade política  e pedagógica, pois além de disputar as concepções epistemológicas, possui uma visão contra hegemônica, pois a Educação do campo se concentra na luta pelo conhecimento produzido pela sociedade campesina a defendendo como produtora de saber, ao mesmo tempo que contesta a reprodução do conhecimento dominante da educação pautada no modo capitalista, buscando por um novo projeto de sociedade (Molina e Ant</w:t>
      </w:r>
      <w:r>
        <w:rPr>
          <w:sz w:val="24"/>
          <w:szCs w:val="24"/>
          <w:highlight w:val="white"/>
        </w:rPr>
        <w:t>unes, 2014).</w:t>
      </w:r>
    </w:p>
    <w:p w14:paraId="539947EC" w14:textId="692E5B31" w:rsidR="00DF3393" w:rsidRDefault="00BA3A18">
      <w:pPr>
        <w:spacing w:line="360" w:lineRule="auto"/>
        <w:ind w:firstLine="850"/>
        <w:jc w:val="both"/>
        <w:rPr>
          <w:sz w:val="24"/>
          <w:szCs w:val="24"/>
        </w:rPr>
      </w:pPr>
      <w:r>
        <w:rPr>
          <w:sz w:val="24"/>
          <w:szCs w:val="24"/>
        </w:rPr>
        <w:t>Em sua implantação, em</w:t>
      </w:r>
      <w:r>
        <w:rPr>
          <w:sz w:val="24"/>
          <w:szCs w:val="24"/>
        </w:rPr>
        <w:t xml:space="preserve"> 2014, iniciou-se a oferta do curso de Licenciatura em Educação do Campo, pelo PROCAMPO/UFPI, o processo seletivo destinado ao preenchimento de 240 (duzentas e quarenta) vagas, no curso de Licenciatura em Educação do Campo realizado duas vezes ao ano, com ampla participação da população. </w:t>
      </w:r>
      <w:r>
        <w:rPr>
          <w:sz w:val="24"/>
          <w:szCs w:val="24"/>
          <w:highlight w:val="white"/>
        </w:rPr>
        <w:t xml:space="preserve">Para Molina e Antunes (2014), a oferta dos cursos de licenciatura em educação do Campo, possibilitou o preenchimento de uma lacuna no campus referente à formação humana e social. </w:t>
      </w:r>
      <w:r>
        <w:rPr>
          <w:sz w:val="24"/>
          <w:szCs w:val="24"/>
        </w:rPr>
        <w:t xml:space="preserve"> O processo seletivo destina-se </w:t>
      </w:r>
      <w:r>
        <w:rPr>
          <w:sz w:val="24"/>
          <w:szCs w:val="24"/>
        </w:rPr>
        <w:t xml:space="preserve">a profissionais da educação em exercício nas escolas do campo da rede pública do Piauí, jovens e adultos de comunidades do campo ou que estudaram em escolas do campo, além de participantes </w:t>
      </w:r>
      <w:r>
        <w:rPr>
          <w:sz w:val="24"/>
          <w:szCs w:val="24"/>
        </w:rPr>
        <w:t xml:space="preserve">de instituições e movimentos sociais. </w:t>
      </w:r>
    </w:p>
    <w:p w14:paraId="3A68FDC7" w14:textId="77777777" w:rsidR="00DF3393" w:rsidRDefault="00BA3A18">
      <w:pPr>
        <w:spacing w:line="360" w:lineRule="auto"/>
        <w:ind w:firstLine="850"/>
        <w:jc w:val="both"/>
        <w:rPr>
          <w:sz w:val="24"/>
          <w:szCs w:val="24"/>
          <w:highlight w:val="white"/>
        </w:rPr>
      </w:pPr>
      <w:r>
        <w:rPr>
          <w:sz w:val="24"/>
          <w:szCs w:val="24"/>
          <w:highlight w:val="white"/>
        </w:rPr>
        <w:lastRenderedPageBreak/>
        <w:t xml:space="preserve">No entanto, ao analisar os editais atuais, é possível constatar um declínio nas inscrições das LEdoCs. </w:t>
      </w:r>
    </w:p>
    <w:p w14:paraId="68DC9B59" w14:textId="77777777" w:rsidR="00DF3393" w:rsidRDefault="00BA3A18">
      <w:pPr>
        <w:spacing w:line="360" w:lineRule="auto"/>
        <w:ind w:firstLine="850"/>
        <w:jc w:val="center"/>
        <w:rPr>
          <w:sz w:val="24"/>
          <w:szCs w:val="24"/>
          <w:highlight w:val="white"/>
        </w:rPr>
      </w:pPr>
      <w:r>
        <w:rPr>
          <w:sz w:val="24"/>
          <w:szCs w:val="24"/>
          <w:highlight w:val="white"/>
        </w:rPr>
        <w:t xml:space="preserve">Tabela 1- Inscrições efetivadas </w:t>
      </w:r>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15"/>
        <w:gridCol w:w="1785"/>
        <w:gridCol w:w="1800"/>
        <w:gridCol w:w="1800"/>
      </w:tblGrid>
      <w:tr w:rsidR="00DF3393" w14:paraId="1CED8563" w14:textId="77777777">
        <w:tc>
          <w:tcPr>
            <w:tcW w:w="1800" w:type="dxa"/>
            <w:shd w:val="clear" w:color="auto" w:fill="auto"/>
            <w:tcMar>
              <w:top w:w="100" w:type="dxa"/>
              <w:left w:w="100" w:type="dxa"/>
              <w:bottom w:w="100" w:type="dxa"/>
              <w:right w:w="100" w:type="dxa"/>
            </w:tcMar>
          </w:tcPr>
          <w:p w14:paraId="7240A049" w14:textId="77777777" w:rsidR="00DF3393" w:rsidRDefault="00BA3A18">
            <w:pPr>
              <w:widowControl w:val="0"/>
              <w:spacing w:line="360" w:lineRule="auto"/>
              <w:jc w:val="center"/>
              <w:rPr>
                <w:sz w:val="24"/>
                <w:szCs w:val="24"/>
                <w:highlight w:val="white"/>
              </w:rPr>
            </w:pPr>
            <w:r>
              <w:rPr>
                <w:sz w:val="24"/>
                <w:szCs w:val="24"/>
                <w:highlight w:val="white"/>
              </w:rPr>
              <w:t>SELEÇÕES</w:t>
            </w:r>
          </w:p>
        </w:tc>
        <w:tc>
          <w:tcPr>
            <w:tcW w:w="1815" w:type="dxa"/>
            <w:shd w:val="clear" w:color="auto" w:fill="auto"/>
            <w:tcMar>
              <w:top w:w="100" w:type="dxa"/>
              <w:left w:w="100" w:type="dxa"/>
              <w:bottom w:w="100" w:type="dxa"/>
              <w:right w:w="100" w:type="dxa"/>
            </w:tcMar>
          </w:tcPr>
          <w:p w14:paraId="3452137F" w14:textId="77777777" w:rsidR="00DF3393" w:rsidRDefault="00BA3A18">
            <w:pPr>
              <w:widowControl w:val="0"/>
              <w:spacing w:line="360" w:lineRule="auto"/>
              <w:jc w:val="center"/>
              <w:rPr>
                <w:sz w:val="24"/>
                <w:szCs w:val="24"/>
                <w:highlight w:val="white"/>
              </w:rPr>
            </w:pPr>
            <w:r>
              <w:rPr>
                <w:sz w:val="24"/>
                <w:szCs w:val="24"/>
                <w:highlight w:val="white"/>
              </w:rPr>
              <w:t>Edital 06/2015</w:t>
            </w:r>
          </w:p>
        </w:tc>
        <w:tc>
          <w:tcPr>
            <w:tcW w:w="1785" w:type="dxa"/>
            <w:shd w:val="clear" w:color="auto" w:fill="auto"/>
            <w:tcMar>
              <w:top w:w="100" w:type="dxa"/>
              <w:left w:w="100" w:type="dxa"/>
              <w:bottom w:w="100" w:type="dxa"/>
              <w:right w:w="100" w:type="dxa"/>
            </w:tcMar>
          </w:tcPr>
          <w:p w14:paraId="4BC2B618" w14:textId="77777777" w:rsidR="00DF3393" w:rsidRDefault="00BA3A18">
            <w:pPr>
              <w:widowControl w:val="0"/>
              <w:spacing w:line="360" w:lineRule="auto"/>
              <w:jc w:val="center"/>
              <w:rPr>
                <w:sz w:val="24"/>
                <w:szCs w:val="24"/>
                <w:highlight w:val="white"/>
              </w:rPr>
            </w:pPr>
            <w:r>
              <w:rPr>
                <w:sz w:val="24"/>
                <w:szCs w:val="24"/>
                <w:highlight w:val="white"/>
              </w:rPr>
              <w:t>Edital 08/2018</w:t>
            </w:r>
          </w:p>
        </w:tc>
        <w:tc>
          <w:tcPr>
            <w:tcW w:w="1800" w:type="dxa"/>
            <w:shd w:val="clear" w:color="auto" w:fill="auto"/>
            <w:tcMar>
              <w:top w:w="100" w:type="dxa"/>
              <w:left w:w="100" w:type="dxa"/>
              <w:bottom w:w="100" w:type="dxa"/>
              <w:right w:w="100" w:type="dxa"/>
            </w:tcMar>
          </w:tcPr>
          <w:p w14:paraId="07D09116" w14:textId="77777777" w:rsidR="00DF3393" w:rsidRDefault="00BA3A18">
            <w:pPr>
              <w:widowControl w:val="0"/>
              <w:spacing w:line="360" w:lineRule="auto"/>
              <w:jc w:val="center"/>
              <w:rPr>
                <w:sz w:val="24"/>
                <w:szCs w:val="24"/>
                <w:highlight w:val="white"/>
              </w:rPr>
            </w:pPr>
            <w:r>
              <w:rPr>
                <w:sz w:val="24"/>
                <w:szCs w:val="24"/>
                <w:highlight w:val="white"/>
              </w:rPr>
              <w:t>Edital 17/2023</w:t>
            </w:r>
          </w:p>
        </w:tc>
        <w:tc>
          <w:tcPr>
            <w:tcW w:w="1800" w:type="dxa"/>
            <w:shd w:val="clear" w:color="auto" w:fill="auto"/>
            <w:tcMar>
              <w:top w:w="100" w:type="dxa"/>
              <w:left w:w="100" w:type="dxa"/>
              <w:bottom w:w="100" w:type="dxa"/>
              <w:right w:w="100" w:type="dxa"/>
            </w:tcMar>
          </w:tcPr>
          <w:p w14:paraId="675AAEB7" w14:textId="77777777" w:rsidR="00DF3393" w:rsidRDefault="00BA3A18">
            <w:pPr>
              <w:widowControl w:val="0"/>
              <w:spacing w:line="360" w:lineRule="auto"/>
              <w:jc w:val="center"/>
              <w:rPr>
                <w:sz w:val="24"/>
                <w:szCs w:val="24"/>
                <w:highlight w:val="white"/>
              </w:rPr>
            </w:pPr>
            <w:r>
              <w:rPr>
                <w:sz w:val="24"/>
                <w:szCs w:val="24"/>
                <w:highlight w:val="white"/>
              </w:rPr>
              <w:t>Edital 17/2024</w:t>
            </w:r>
          </w:p>
        </w:tc>
      </w:tr>
      <w:tr w:rsidR="00DF3393" w14:paraId="0F6F9EF2" w14:textId="77777777">
        <w:trPr>
          <w:trHeight w:val="707"/>
        </w:trPr>
        <w:tc>
          <w:tcPr>
            <w:tcW w:w="1800" w:type="dxa"/>
            <w:shd w:val="clear" w:color="auto" w:fill="auto"/>
            <w:tcMar>
              <w:top w:w="100" w:type="dxa"/>
              <w:left w:w="100" w:type="dxa"/>
              <w:bottom w:w="100" w:type="dxa"/>
              <w:right w:w="100" w:type="dxa"/>
            </w:tcMar>
          </w:tcPr>
          <w:p w14:paraId="5F22F7D0" w14:textId="77777777" w:rsidR="00DF3393" w:rsidRDefault="00BA3A18">
            <w:pPr>
              <w:widowControl w:val="0"/>
              <w:spacing w:line="360" w:lineRule="auto"/>
              <w:jc w:val="center"/>
              <w:rPr>
                <w:sz w:val="24"/>
                <w:szCs w:val="24"/>
                <w:highlight w:val="white"/>
              </w:rPr>
            </w:pPr>
            <w:r>
              <w:rPr>
                <w:sz w:val="24"/>
                <w:szCs w:val="24"/>
                <w:highlight w:val="white"/>
              </w:rPr>
              <w:t>N° DE INSCRITOS</w:t>
            </w:r>
          </w:p>
        </w:tc>
        <w:tc>
          <w:tcPr>
            <w:tcW w:w="1815" w:type="dxa"/>
            <w:shd w:val="clear" w:color="auto" w:fill="auto"/>
            <w:tcMar>
              <w:top w:w="100" w:type="dxa"/>
              <w:left w:w="100" w:type="dxa"/>
              <w:bottom w:w="100" w:type="dxa"/>
              <w:right w:w="100" w:type="dxa"/>
            </w:tcMar>
          </w:tcPr>
          <w:p w14:paraId="5B89C007" w14:textId="77777777" w:rsidR="00DF3393" w:rsidRDefault="00BA3A18">
            <w:pPr>
              <w:widowControl w:val="0"/>
              <w:spacing w:line="360" w:lineRule="auto"/>
              <w:jc w:val="center"/>
              <w:rPr>
                <w:sz w:val="24"/>
                <w:szCs w:val="24"/>
                <w:highlight w:val="white"/>
              </w:rPr>
            </w:pPr>
            <w:r>
              <w:rPr>
                <w:sz w:val="24"/>
                <w:szCs w:val="24"/>
                <w:highlight w:val="white"/>
              </w:rPr>
              <w:t>1.835</w:t>
            </w:r>
          </w:p>
        </w:tc>
        <w:tc>
          <w:tcPr>
            <w:tcW w:w="1785" w:type="dxa"/>
            <w:shd w:val="clear" w:color="auto" w:fill="auto"/>
            <w:tcMar>
              <w:top w:w="100" w:type="dxa"/>
              <w:left w:w="100" w:type="dxa"/>
              <w:bottom w:w="100" w:type="dxa"/>
              <w:right w:w="100" w:type="dxa"/>
            </w:tcMar>
          </w:tcPr>
          <w:p w14:paraId="4E98A1BC" w14:textId="77777777" w:rsidR="00DF3393" w:rsidRDefault="00BA3A18">
            <w:pPr>
              <w:widowControl w:val="0"/>
              <w:spacing w:line="360" w:lineRule="auto"/>
              <w:jc w:val="center"/>
              <w:rPr>
                <w:sz w:val="24"/>
                <w:szCs w:val="24"/>
                <w:highlight w:val="white"/>
              </w:rPr>
            </w:pPr>
            <w:r>
              <w:rPr>
                <w:sz w:val="24"/>
                <w:szCs w:val="24"/>
                <w:highlight w:val="white"/>
              </w:rPr>
              <w:t>1.072</w:t>
            </w:r>
          </w:p>
        </w:tc>
        <w:tc>
          <w:tcPr>
            <w:tcW w:w="1800" w:type="dxa"/>
            <w:shd w:val="clear" w:color="auto" w:fill="auto"/>
            <w:tcMar>
              <w:top w:w="100" w:type="dxa"/>
              <w:left w:w="100" w:type="dxa"/>
              <w:bottom w:w="100" w:type="dxa"/>
              <w:right w:w="100" w:type="dxa"/>
            </w:tcMar>
          </w:tcPr>
          <w:p w14:paraId="5081974A" w14:textId="77777777" w:rsidR="00DF3393" w:rsidRDefault="00BA3A18">
            <w:pPr>
              <w:widowControl w:val="0"/>
              <w:spacing w:line="360" w:lineRule="auto"/>
              <w:jc w:val="center"/>
              <w:rPr>
                <w:sz w:val="24"/>
                <w:szCs w:val="24"/>
                <w:highlight w:val="white"/>
              </w:rPr>
            </w:pPr>
            <w:r>
              <w:rPr>
                <w:sz w:val="24"/>
                <w:szCs w:val="24"/>
                <w:highlight w:val="white"/>
              </w:rPr>
              <w:t>227</w:t>
            </w:r>
          </w:p>
        </w:tc>
        <w:tc>
          <w:tcPr>
            <w:tcW w:w="1800" w:type="dxa"/>
            <w:shd w:val="clear" w:color="auto" w:fill="auto"/>
            <w:tcMar>
              <w:top w:w="100" w:type="dxa"/>
              <w:left w:w="100" w:type="dxa"/>
              <w:bottom w:w="100" w:type="dxa"/>
              <w:right w:w="100" w:type="dxa"/>
            </w:tcMar>
          </w:tcPr>
          <w:p w14:paraId="1695E49A" w14:textId="77777777" w:rsidR="00DF3393" w:rsidRDefault="00BA3A18">
            <w:pPr>
              <w:widowControl w:val="0"/>
              <w:spacing w:line="360" w:lineRule="auto"/>
              <w:jc w:val="center"/>
              <w:rPr>
                <w:sz w:val="24"/>
                <w:szCs w:val="24"/>
                <w:highlight w:val="white"/>
              </w:rPr>
            </w:pPr>
            <w:r>
              <w:rPr>
                <w:sz w:val="24"/>
                <w:szCs w:val="24"/>
                <w:highlight w:val="white"/>
              </w:rPr>
              <w:t>140</w:t>
            </w:r>
          </w:p>
        </w:tc>
      </w:tr>
    </w:tbl>
    <w:p w14:paraId="483169D4" w14:textId="77777777" w:rsidR="00DF3393" w:rsidRDefault="00BA3A18">
      <w:pPr>
        <w:spacing w:line="360" w:lineRule="auto"/>
        <w:rPr>
          <w:sz w:val="20"/>
          <w:szCs w:val="20"/>
          <w:highlight w:val="white"/>
        </w:rPr>
      </w:pPr>
      <w:r>
        <w:rPr>
          <w:sz w:val="20"/>
          <w:szCs w:val="20"/>
          <w:highlight w:val="white"/>
        </w:rPr>
        <w:t>Fonte: Autoria das pesquisadoras, 2025.</w:t>
      </w:r>
    </w:p>
    <w:p w14:paraId="2AB5C189" w14:textId="77777777" w:rsidR="00DF3393" w:rsidRDefault="00DF3393">
      <w:pPr>
        <w:spacing w:line="360" w:lineRule="auto"/>
        <w:rPr>
          <w:sz w:val="20"/>
          <w:szCs w:val="20"/>
          <w:highlight w:val="white"/>
        </w:rPr>
      </w:pPr>
    </w:p>
    <w:p w14:paraId="19CE5E3E" w14:textId="77777777" w:rsidR="00DF3393" w:rsidRDefault="00BA3A18">
      <w:pPr>
        <w:spacing w:line="360" w:lineRule="auto"/>
        <w:ind w:firstLine="850"/>
        <w:jc w:val="both"/>
        <w:rPr>
          <w:sz w:val="24"/>
          <w:szCs w:val="24"/>
        </w:rPr>
      </w:pPr>
      <w:r>
        <w:rPr>
          <w:sz w:val="24"/>
          <w:szCs w:val="24"/>
        </w:rPr>
        <w:t xml:space="preserve">De acordo com as inscrições efetivadas nos processos seletivos, é possível verificar uma baixa adesão nos cursos da LEdoCs quando comparado com as primeiras turmas ofertas. </w:t>
      </w:r>
      <w:r>
        <w:rPr>
          <w:sz w:val="24"/>
          <w:szCs w:val="24"/>
          <w:highlight w:val="white"/>
        </w:rPr>
        <w:t xml:space="preserve">De acordo com o edital 17/2024, processo seletivo destinado ao preenchimento de 240 (duzentas e quarenta) vagas para a entrada correspondente ao primeiro semestre letivo de 2025, apenas 140 (cento e quarenta) matrículas foram efetivadas.  </w:t>
      </w:r>
      <w:r>
        <w:rPr>
          <w:sz w:val="24"/>
          <w:szCs w:val="24"/>
        </w:rPr>
        <w:t xml:space="preserve">Em 2024, foram realizados 3 processos seletivos para o preenchimento de 480 vagas dos cursos de educação do campo, que não foram preenchidos na sua totalidade, sendo um deles complementar, com 70 vagas que recebeu apenas 49 inscrições no processo seletivo. </w:t>
      </w:r>
    </w:p>
    <w:p w14:paraId="1D023037" w14:textId="70350ECF" w:rsidR="00DF3393" w:rsidRDefault="00BA3A18">
      <w:pPr>
        <w:spacing w:line="360" w:lineRule="auto"/>
        <w:ind w:firstLine="850"/>
        <w:jc w:val="both"/>
        <w:rPr>
          <w:sz w:val="24"/>
          <w:szCs w:val="24"/>
        </w:rPr>
      </w:pPr>
      <w:r>
        <w:rPr>
          <w:sz w:val="24"/>
          <w:szCs w:val="24"/>
        </w:rPr>
        <w:t>Recentemente a UFPI, por meio da Coordenadoria Permanente de Seleção (COPESE), informou o cancelamento do Edital nº 09/2025, referente à seleção para ingresso no curso de Licenciatura em Educação do Campo. S</w:t>
      </w:r>
      <w:r>
        <w:rPr>
          <w:sz w:val="24"/>
          <w:szCs w:val="24"/>
        </w:rPr>
        <w:t xml:space="preserve">egundo a COPESE </w:t>
      </w:r>
      <w:r>
        <w:rPr>
          <w:sz w:val="24"/>
          <w:szCs w:val="24"/>
        </w:rPr>
        <w:t>(2025) a</w:t>
      </w:r>
      <w:r>
        <w:rPr>
          <w:sz w:val="24"/>
          <w:szCs w:val="24"/>
        </w:rPr>
        <w:t xml:space="preserve"> decisão foi tomada por motivos de ordem técnica e administrativa, que impossibilitou a continuidade do processo seletivo conforme previsto. Dessa forma, foi cancelado o cronograma e todas as etapas do certame.</w:t>
      </w:r>
    </w:p>
    <w:p w14:paraId="78007097" w14:textId="28D091A7" w:rsidR="00DF3393" w:rsidRDefault="00BA3A18">
      <w:pPr>
        <w:spacing w:line="360" w:lineRule="auto"/>
        <w:ind w:firstLine="850"/>
        <w:jc w:val="both"/>
        <w:rPr>
          <w:sz w:val="24"/>
          <w:szCs w:val="24"/>
          <w:highlight w:val="white"/>
        </w:rPr>
      </w:pPr>
      <w:r>
        <w:rPr>
          <w:sz w:val="24"/>
          <w:szCs w:val="24"/>
        </w:rPr>
        <w:t>Diante do exposto acerca da implantação,</w:t>
      </w:r>
      <w:r>
        <w:rPr>
          <w:sz w:val="24"/>
          <w:szCs w:val="24"/>
        </w:rPr>
        <w:t xml:space="preserve"> desestruturação das LEdoCs, e as baixas entradas nas licenciaturas da educação do campo, se faz necessário refletir sobre a forma como esses fatores implicam no paradigma da educação do campo. Considerando que as pessoas que residem geograficamente no campo são consideradas populações rurais</w:t>
      </w:r>
      <w:r>
        <w:rPr>
          <w:color w:val="001D35"/>
          <w:sz w:val="24"/>
          <w:szCs w:val="24"/>
          <w:highlight w:val="white"/>
        </w:rPr>
        <w:t xml:space="preserve">. </w:t>
      </w:r>
      <w:r>
        <w:rPr>
          <w:sz w:val="24"/>
          <w:szCs w:val="24"/>
        </w:rPr>
        <w:t xml:space="preserve">De acordo com o Instituto Brasileiro de Geografia e </w:t>
      </w:r>
      <w:r>
        <w:rPr>
          <w:sz w:val="24"/>
          <w:szCs w:val="24"/>
        </w:rPr>
        <w:lastRenderedPageBreak/>
        <w:t xml:space="preserve">Estatística (IBGE), em 2022, cerca </w:t>
      </w:r>
      <w:proofErr w:type="gramStart"/>
      <w:r>
        <w:rPr>
          <w:sz w:val="24"/>
          <w:szCs w:val="24"/>
        </w:rPr>
        <w:t xml:space="preserve">de </w:t>
      </w:r>
      <w:r>
        <w:rPr>
          <w:sz w:val="24"/>
          <w:szCs w:val="24"/>
          <w:highlight w:val="white"/>
        </w:rPr>
        <w:t xml:space="preserve"> 997.227</w:t>
      </w:r>
      <w:proofErr w:type="gramEnd"/>
      <w:r>
        <w:rPr>
          <w:sz w:val="24"/>
          <w:szCs w:val="24"/>
          <w:highlight w:val="white"/>
        </w:rPr>
        <w:t xml:space="preserve"> piauienses residiam em áreas rurais, o que corresponde a 30,6% do total da população do estado, tornando o Piauí, o es</w:t>
      </w:r>
      <w:r>
        <w:rPr>
          <w:sz w:val="24"/>
          <w:szCs w:val="24"/>
          <w:highlight w:val="white"/>
        </w:rPr>
        <w:t xml:space="preserve">tado com maior população rural do país. </w:t>
      </w:r>
    </w:p>
    <w:p w14:paraId="43EC3D0D" w14:textId="77777777" w:rsidR="00DF3393" w:rsidRDefault="00BA3A18">
      <w:pPr>
        <w:spacing w:line="360" w:lineRule="auto"/>
        <w:ind w:firstLine="850"/>
        <w:jc w:val="both"/>
        <w:rPr>
          <w:sz w:val="20"/>
          <w:szCs w:val="20"/>
          <w:highlight w:val="white"/>
        </w:rPr>
      </w:pPr>
      <w:r>
        <w:rPr>
          <w:sz w:val="24"/>
          <w:szCs w:val="24"/>
          <w:highlight w:val="white"/>
        </w:rPr>
        <w:t>Pensando nisso, as LEdoCs devem dar preferências na formação de jovens e adultos que vivem nas comunidades do campo, professores que já atuam nas escolas rurais, e que os cursos sejam ofertados em regiões tenham uma maior concentração de comunidades do campo, sendo uma formação que dialogue com a formação pedagogia e realidade da comunidade, com materiais e currículo que incorporem essas especificidades e atendam as demandas da educação básica.</w:t>
      </w:r>
    </w:p>
    <w:p w14:paraId="58EF00A6" w14:textId="77777777" w:rsidR="00DF3393" w:rsidRDefault="00BA3A18">
      <w:pPr>
        <w:spacing w:line="360" w:lineRule="auto"/>
        <w:ind w:firstLine="850"/>
        <w:jc w:val="both"/>
        <w:rPr>
          <w:sz w:val="24"/>
          <w:szCs w:val="24"/>
        </w:rPr>
      </w:pPr>
      <w:r>
        <w:rPr>
          <w:sz w:val="24"/>
          <w:szCs w:val="24"/>
        </w:rPr>
        <w:t xml:space="preserve">No entanto, há um processo de precarização da educação do campo que se  inicia com a  “Adaptação” das condições do campo a educação escolar, os currículos e da formação dos profissionais (Arroyo, 2007),  moldados para uma educação capitalista e guiados por um currículo que não contempla a educação do campo, a nucleação, caracterizada pela retirada das população do campo para que sejam “educadas” na cidade e a intensa e veloz redução do número de escolas existentes no território rural, não pode ser vista em </w:t>
      </w:r>
      <w:r>
        <w:rPr>
          <w:sz w:val="24"/>
          <w:szCs w:val="24"/>
        </w:rPr>
        <w:t>separado desse processo (Molina, 2015).</w:t>
      </w:r>
    </w:p>
    <w:p w14:paraId="63F8D3D8" w14:textId="5AD68446" w:rsidR="00DF3393" w:rsidRDefault="00BA3A18">
      <w:pPr>
        <w:spacing w:line="360" w:lineRule="auto"/>
        <w:ind w:firstLine="850"/>
        <w:jc w:val="both"/>
        <w:rPr>
          <w:sz w:val="24"/>
          <w:szCs w:val="24"/>
        </w:rPr>
      </w:pPr>
      <w:r>
        <w:rPr>
          <w:sz w:val="24"/>
          <w:szCs w:val="24"/>
          <w:highlight w:val="white"/>
        </w:rPr>
        <w:t xml:space="preserve">As LEdoCs visam confrontar esse processo de precarização, que só será possível através da formação específica de profissionais para atuar na educação do campo. Assim, refletimos que as baixas entradas nos cursos de licenciaturas do campo, nos alerta sobre a fragilidade na implantação desse programa educacional e o risco de retrocesso no paradigma da educação do campo, a questão que se coloca é aproximar a </w:t>
      </w:r>
      <w:r>
        <w:rPr>
          <w:sz w:val="24"/>
          <w:szCs w:val="24"/>
          <w:highlight w:val="white"/>
        </w:rPr>
        <w:t xml:space="preserve">população do campo e os profissionais já atuam nesses espaços </w:t>
      </w:r>
      <w:r>
        <w:rPr>
          <w:sz w:val="24"/>
          <w:szCs w:val="24"/>
          <w:highlight w:val="white"/>
        </w:rPr>
        <w:t xml:space="preserve">aos </w:t>
      </w:r>
      <w:r>
        <w:rPr>
          <w:sz w:val="24"/>
          <w:szCs w:val="24"/>
          <w:highlight w:val="white"/>
        </w:rPr>
        <w:t>cursos de licenciaturas do campo. Para que isso ocorra, é imprescindível que se garanta a realização de um vestibular específico, mantendo, necessariamente, o caráter de política afirmativa do PROCAMPO, a ação dos movimentos sociais nas LEdoCs e a vinculação desses cursos com as escolas do campo, (Molina, 2015).</w:t>
      </w:r>
    </w:p>
    <w:p w14:paraId="5BE3E2C1" w14:textId="77777777" w:rsidR="00DF3393" w:rsidRDefault="00DF3393">
      <w:pPr>
        <w:spacing w:line="360" w:lineRule="auto"/>
        <w:jc w:val="both"/>
        <w:rPr>
          <w:sz w:val="24"/>
          <w:szCs w:val="24"/>
        </w:rPr>
      </w:pPr>
    </w:p>
    <w:p w14:paraId="507EE56C" w14:textId="77777777" w:rsidR="00DF3393" w:rsidRDefault="00BA3A18">
      <w:pPr>
        <w:spacing w:line="360" w:lineRule="auto"/>
        <w:jc w:val="both"/>
        <w:rPr>
          <w:sz w:val="24"/>
          <w:szCs w:val="24"/>
        </w:rPr>
      </w:pPr>
      <w:r>
        <w:rPr>
          <w:b/>
          <w:sz w:val="24"/>
          <w:szCs w:val="24"/>
        </w:rPr>
        <w:t>5.</w:t>
      </w:r>
      <w:r>
        <w:rPr>
          <w:b/>
          <w:sz w:val="24"/>
          <w:szCs w:val="24"/>
        </w:rPr>
        <w:tab/>
        <w:t>CONCLUSÃO</w:t>
      </w:r>
    </w:p>
    <w:p w14:paraId="2F343BDF" w14:textId="77777777" w:rsidR="00DF3393" w:rsidRDefault="00DF3393">
      <w:pPr>
        <w:spacing w:line="360" w:lineRule="auto"/>
        <w:jc w:val="both"/>
        <w:rPr>
          <w:sz w:val="24"/>
          <w:szCs w:val="24"/>
          <w:highlight w:val="green"/>
        </w:rPr>
      </w:pPr>
    </w:p>
    <w:p w14:paraId="01E9B979" w14:textId="77777777" w:rsidR="00DF3393" w:rsidRDefault="00BA3A18">
      <w:pPr>
        <w:spacing w:line="360" w:lineRule="auto"/>
        <w:ind w:firstLine="709"/>
        <w:jc w:val="both"/>
        <w:rPr>
          <w:color w:val="FF0000"/>
          <w:sz w:val="24"/>
          <w:szCs w:val="24"/>
        </w:rPr>
      </w:pPr>
      <w:r>
        <w:rPr>
          <w:sz w:val="24"/>
          <w:szCs w:val="24"/>
        </w:rPr>
        <w:lastRenderedPageBreak/>
        <w:t xml:space="preserve">Neste estudo procuramos discutir sobre as consequências da </w:t>
      </w:r>
      <w:r>
        <w:rPr>
          <w:sz w:val="24"/>
          <w:szCs w:val="24"/>
        </w:rPr>
        <w:t>desestruturação financeira do PROCAMPO e do baixo ingresso discente nos cursos de licenciatura em Educação do Campo do Piauí. O desmonte do programa, evidenciado pela descontinuidade dos contratos financeiros, dificulta a continuidade das turmas quanto ao ingresso de novos estudantes. Comprometendo as condições materiais e pedagógicas necessárias para assegurar a permanência dos alunos e a execução da pedagogia da alternância.</w:t>
      </w:r>
      <w:r>
        <w:rPr>
          <w:color w:val="FF0000"/>
          <w:sz w:val="24"/>
          <w:szCs w:val="24"/>
        </w:rPr>
        <w:t xml:space="preserve"> </w:t>
      </w:r>
    </w:p>
    <w:p w14:paraId="7E7D1A2A" w14:textId="77777777" w:rsidR="00DF3393" w:rsidRDefault="00BA3A18">
      <w:pPr>
        <w:spacing w:line="360" w:lineRule="auto"/>
        <w:ind w:firstLine="709"/>
        <w:jc w:val="both"/>
        <w:rPr>
          <w:sz w:val="24"/>
          <w:szCs w:val="24"/>
        </w:rPr>
      </w:pPr>
      <w:r>
        <w:rPr>
          <w:sz w:val="24"/>
          <w:szCs w:val="24"/>
        </w:rPr>
        <w:t xml:space="preserve">As consequências desse movimento, compromete não apenas as universidades ofertantes da </w:t>
      </w:r>
      <w:proofErr w:type="spellStart"/>
      <w:r>
        <w:rPr>
          <w:sz w:val="24"/>
          <w:szCs w:val="24"/>
        </w:rPr>
        <w:t>LEdoC</w:t>
      </w:r>
      <w:proofErr w:type="spellEnd"/>
      <w:r>
        <w:rPr>
          <w:sz w:val="24"/>
          <w:szCs w:val="24"/>
        </w:rPr>
        <w:t xml:space="preserve">, reforça também as desigualdades educacionais entre campo e a cidade. A precariedade ou falta de uma preparação de professores que considere as realidades, os saberes e as necessidades reais do campo, contribui para a marginalização das comunidades campesinas e minimiza o potencial emancipador da educação. </w:t>
      </w:r>
    </w:p>
    <w:p w14:paraId="2061BAD8" w14:textId="77777777" w:rsidR="00DF3393" w:rsidRDefault="00BA3A18">
      <w:pPr>
        <w:spacing w:line="360" w:lineRule="auto"/>
        <w:ind w:firstLine="709"/>
        <w:jc w:val="both"/>
        <w:rPr>
          <w:sz w:val="24"/>
          <w:szCs w:val="24"/>
        </w:rPr>
      </w:pPr>
      <w:r>
        <w:rPr>
          <w:sz w:val="24"/>
          <w:szCs w:val="24"/>
        </w:rPr>
        <w:t xml:space="preserve">Os desmontes na educação e a desestruturação das LEdoCs comprometem a efetivação dessas políticas, e enfraquece as lutas contra hegemônicas do campo, fortalecendo as ideias </w:t>
      </w:r>
      <w:proofErr w:type="spellStart"/>
      <w:r>
        <w:rPr>
          <w:sz w:val="24"/>
          <w:szCs w:val="24"/>
        </w:rPr>
        <w:t>urbanocentricas</w:t>
      </w:r>
      <w:proofErr w:type="spellEnd"/>
      <w:r>
        <w:rPr>
          <w:sz w:val="24"/>
          <w:szCs w:val="24"/>
        </w:rPr>
        <w:t xml:space="preserve"> capitalista dominantes.  A distância entre a proposta política original e a realidade das práticas formativas nas instituições de ensino superior </w:t>
      </w:r>
      <w:proofErr w:type="gramStart"/>
      <w:r>
        <w:rPr>
          <w:sz w:val="24"/>
          <w:szCs w:val="24"/>
        </w:rPr>
        <w:t>evidencia</w:t>
      </w:r>
      <w:proofErr w:type="gramEnd"/>
      <w:r>
        <w:rPr>
          <w:sz w:val="24"/>
          <w:szCs w:val="24"/>
        </w:rPr>
        <w:t xml:space="preserve"> inúmeros desafios, dentre os quais se destacam: os cortes orçamentários, a redução de programas de permanência estudantil e a perda de apoio institucional. Assim, torna-se evidente que não basta garantir políticas de acesso à educação superior; é imprescindível assegurar também políticas de permanência que garantam condições efetivas de f</w:t>
      </w:r>
      <w:r>
        <w:rPr>
          <w:sz w:val="24"/>
          <w:szCs w:val="24"/>
        </w:rPr>
        <w:t xml:space="preserve">ormação acadêmica e emancipação social. </w:t>
      </w:r>
    </w:p>
    <w:p w14:paraId="6049A524" w14:textId="77777777" w:rsidR="00DF3393" w:rsidRDefault="00BA3A18">
      <w:pPr>
        <w:spacing w:line="360" w:lineRule="auto"/>
        <w:ind w:firstLine="709"/>
        <w:jc w:val="both"/>
        <w:rPr>
          <w:sz w:val="24"/>
          <w:szCs w:val="24"/>
        </w:rPr>
      </w:pPr>
      <w:r>
        <w:rPr>
          <w:sz w:val="24"/>
          <w:szCs w:val="24"/>
        </w:rPr>
        <w:t xml:space="preserve">O baixo ingresso discente nos cursos de licenciatura do campo se torna preocupante quando observado o processo de nucleação e de fechamento das escolas do campo, evidenciando os jogos de poderes presentes nesses processos. O retrocesso nas políticas públicas educacionais, afeta diretamente os territórios mais vulneráveis. Retomar o compromisso com a educação do campo exige não apenas reverter os cortes orçamentários, mas reconstruir uma estrutura institucional que </w:t>
      </w:r>
      <w:r>
        <w:rPr>
          <w:sz w:val="24"/>
          <w:szCs w:val="24"/>
        </w:rPr>
        <w:lastRenderedPageBreak/>
        <w:t>assegure a continuidade dos cursos, valorizando sua especificidade político-pedagógica e sua articulação com os movimentos sociais do campo.</w:t>
      </w:r>
    </w:p>
    <w:p w14:paraId="04514A85" w14:textId="77777777" w:rsidR="00DF3393" w:rsidRDefault="00DF3393">
      <w:pPr>
        <w:spacing w:line="360" w:lineRule="auto"/>
        <w:ind w:firstLine="709"/>
        <w:jc w:val="both"/>
        <w:rPr>
          <w:sz w:val="24"/>
          <w:szCs w:val="24"/>
        </w:rPr>
      </w:pPr>
    </w:p>
    <w:p w14:paraId="3DA48E22" w14:textId="77777777" w:rsidR="00DF3393" w:rsidRDefault="00BA3A18">
      <w:pPr>
        <w:spacing w:line="360" w:lineRule="auto"/>
        <w:jc w:val="center"/>
        <w:rPr>
          <w:b/>
          <w:sz w:val="24"/>
          <w:szCs w:val="24"/>
        </w:rPr>
      </w:pPr>
      <w:r>
        <w:rPr>
          <w:b/>
          <w:sz w:val="24"/>
          <w:szCs w:val="24"/>
        </w:rPr>
        <w:t xml:space="preserve">REFERÊNCIAS </w:t>
      </w:r>
    </w:p>
    <w:p w14:paraId="6CED8292" w14:textId="77777777" w:rsidR="00DF3393" w:rsidRDefault="00DF3393">
      <w:pPr>
        <w:spacing w:line="360" w:lineRule="auto"/>
        <w:jc w:val="center"/>
        <w:rPr>
          <w:b/>
          <w:sz w:val="24"/>
          <w:szCs w:val="24"/>
        </w:rPr>
      </w:pPr>
    </w:p>
    <w:p w14:paraId="6EB6FB2B" w14:textId="77777777" w:rsidR="00DF3393" w:rsidRDefault="00BA3A18">
      <w:pPr>
        <w:spacing w:line="240" w:lineRule="auto"/>
        <w:rPr>
          <w:sz w:val="24"/>
          <w:szCs w:val="24"/>
        </w:rPr>
      </w:pPr>
      <w:r>
        <w:rPr>
          <w:b/>
          <w:sz w:val="24"/>
          <w:szCs w:val="24"/>
        </w:rPr>
        <w:t>ARROYO, M. G.</w:t>
      </w:r>
      <w:r>
        <w:rPr>
          <w:sz w:val="24"/>
          <w:szCs w:val="24"/>
        </w:rPr>
        <w:t xml:space="preserve"> Políticas de formação de educadores(as) do campo. </w:t>
      </w:r>
      <w:r>
        <w:rPr>
          <w:i/>
          <w:sz w:val="24"/>
          <w:szCs w:val="24"/>
        </w:rPr>
        <w:t>Cadernos CEDES</w:t>
      </w:r>
      <w:r>
        <w:rPr>
          <w:sz w:val="24"/>
          <w:szCs w:val="24"/>
        </w:rPr>
        <w:t>, Campinas, v. 27, n. 72, p. 157-176, maio/ago. 2007. Disponível em:</w:t>
      </w:r>
      <w:hyperlink r:id="rId7">
        <w:r w:rsidR="00DF3393">
          <w:rPr>
            <w:sz w:val="24"/>
            <w:szCs w:val="24"/>
          </w:rPr>
          <w:t xml:space="preserve"> </w:t>
        </w:r>
      </w:hyperlink>
      <w:hyperlink r:id="rId8">
        <w:r w:rsidR="00DF3393">
          <w:rPr>
            <w:color w:val="1155CC"/>
            <w:sz w:val="24"/>
            <w:szCs w:val="24"/>
            <w:u w:val="single"/>
          </w:rPr>
          <w:t>https://www.scielo.br/j/ccedes/a/jL4tKcDNvCggFcg6sLYJhwG/?format=pdf&amp;lang=p</w:t>
        </w:r>
      </w:hyperlink>
      <w:r>
        <w:rPr>
          <w:sz w:val="24"/>
          <w:szCs w:val="24"/>
        </w:rPr>
        <w:t>. Acesso em: 10 mai. 2025.</w:t>
      </w:r>
    </w:p>
    <w:p w14:paraId="7CCEA29E" w14:textId="77777777" w:rsidR="00DF3393" w:rsidRDefault="00DF3393">
      <w:pPr>
        <w:spacing w:line="240" w:lineRule="auto"/>
        <w:rPr>
          <w:sz w:val="24"/>
          <w:szCs w:val="24"/>
        </w:rPr>
      </w:pPr>
    </w:p>
    <w:p w14:paraId="1E418D4C" w14:textId="77777777" w:rsidR="00DF3393" w:rsidRDefault="00BA3A18">
      <w:pPr>
        <w:spacing w:line="240" w:lineRule="auto"/>
        <w:rPr>
          <w:sz w:val="24"/>
          <w:szCs w:val="24"/>
        </w:rPr>
      </w:pPr>
      <w:r>
        <w:rPr>
          <w:b/>
          <w:sz w:val="24"/>
          <w:szCs w:val="24"/>
        </w:rPr>
        <w:t>BATISTA, O. A.; SILVA, M. do S. P. da.</w:t>
      </w:r>
      <w:r>
        <w:rPr>
          <w:sz w:val="24"/>
          <w:szCs w:val="24"/>
        </w:rPr>
        <w:t xml:space="preserve"> Os camponeses na universidade: entre a realidade do ensino básico no campo e a luta pela permanência no ensino superior. </w:t>
      </w:r>
      <w:r>
        <w:rPr>
          <w:i/>
          <w:sz w:val="24"/>
          <w:szCs w:val="24"/>
        </w:rPr>
        <w:t>Avaliação: Revista da Avaliação da Educação Superior (Campinas)</w:t>
      </w:r>
      <w:r>
        <w:rPr>
          <w:sz w:val="24"/>
          <w:szCs w:val="24"/>
        </w:rPr>
        <w:t>, v. 29, e024009, 2024. Disponível em:</w:t>
      </w:r>
      <w:hyperlink r:id="rId9">
        <w:r w:rsidR="00DF3393">
          <w:rPr>
            <w:sz w:val="24"/>
            <w:szCs w:val="24"/>
          </w:rPr>
          <w:t xml:space="preserve"> </w:t>
        </w:r>
      </w:hyperlink>
      <w:hyperlink r:id="rId10">
        <w:r w:rsidR="00DF3393">
          <w:rPr>
            <w:color w:val="1155CC"/>
            <w:sz w:val="24"/>
            <w:szCs w:val="24"/>
            <w:u w:val="single"/>
          </w:rPr>
          <w:t>https://doi.org/10.1590/1982-57652024v29id276830</w:t>
        </w:r>
      </w:hyperlink>
      <w:r>
        <w:rPr>
          <w:sz w:val="24"/>
          <w:szCs w:val="24"/>
        </w:rPr>
        <w:t>. Acesso em: 15 abr. 2025.</w:t>
      </w:r>
    </w:p>
    <w:p w14:paraId="53D666DD" w14:textId="77777777" w:rsidR="00DF3393" w:rsidRDefault="00DF3393">
      <w:pPr>
        <w:spacing w:line="240" w:lineRule="auto"/>
        <w:rPr>
          <w:sz w:val="24"/>
          <w:szCs w:val="24"/>
        </w:rPr>
      </w:pPr>
    </w:p>
    <w:p w14:paraId="63350659" w14:textId="77777777" w:rsidR="00DF3393" w:rsidRDefault="00BA3A18">
      <w:pPr>
        <w:spacing w:line="240" w:lineRule="auto"/>
        <w:rPr>
          <w:sz w:val="24"/>
          <w:szCs w:val="24"/>
        </w:rPr>
      </w:pPr>
      <w:r>
        <w:rPr>
          <w:b/>
          <w:sz w:val="24"/>
          <w:szCs w:val="24"/>
        </w:rPr>
        <w:t>CALDART, R. S.</w:t>
      </w:r>
      <w:r>
        <w:rPr>
          <w:sz w:val="24"/>
          <w:szCs w:val="24"/>
        </w:rPr>
        <w:t xml:space="preserve"> </w:t>
      </w:r>
      <w:r>
        <w:rPr>
          <w:i/>
          <w:sz w:val="24"/>
          <w:szCs w:val="24"/>
        </w:rPr>
        <w:t>et al.</w:t>
      </w:r>
      <w:r>
        <w:rPr>
          <w:sz w:val="24"/>
          <w:szCs w:val="24"/>
        </w:rPr>
        <w:t xml:space="preserve"> (org.). </w:t>
      </w:r>
      <w:r>
        <w:rPr>
          <w:i/>
          <w:sz w:val="24"/>
          <w:szCs w:val="24"/>
        </w:rPr>
        <w:t>Dicionário de educação do campo</w:t>
      </w:r>
      <w:r>
        <w:rPr>
          <w:sz w:val="24"/>
          <w:szCs w:val="24"/>
        </w:rPr>
        <w:t>. Rio de Janeiro; São Paulo: Escola Politécnica de Saúde Joaquim Venâncio; Expressão Popular, 2013.</w:t>
      </w:r>
    </w:p>
    <w:p w14:paraId="04416AEA" w14:textId="77777777" w:rsidR="00DF3393" w:rsidRDefault="00DF3393">
      <w:pPr>
        <w:spacing w:line="240" w:lineRule="auto"/>
        <w:rPr>
          <w:sz w:val="24"/>
          <w:szCs w:val="24"/>
          <w:highlight w:val="yellow"/>
        </w:rPr>
      </w:pPr>
    </w:p>
    <w:p w14:paraId="5CAF39AB" w14:textId="77777777" w:rsidR="00DF3393" w:rsidRDefault="00BA3A18">
      <w:pPr>
        <w:spacing w:line="240" w:lineRule="auto"/>
        <w:rPr>
          <w:sz w:val="24"/>
          <w:szCs w:val="24"/>
        </w:rPr>
      </w:pPr>
      <w:r>
        <w:rPr>
          <w:sz w:val="24"/>
          <w:szCs w:val="24"/>
        </w:rPr>
        <w:t xml:space="preserve">CALDART, R. S. </w:t>
      </w:r>
      <w:r>
        <w:rPr>
          <w:b/>
          <w:sz w:val="24"/>
          <w:szCs w:val="24"/>
        </w:rPr>
        <w:t>Sobre a especificidade da Educação do Campo e os desafios do momento atual.</w:t>
      </w:r>
      <w:r>
        <w:rPr>
          <w:sz w:val="24"/>
          <w:szCs w:val="24"/>
        </w:rPr>
        <w:t xml:space="preserve"> </w:t>
      </w:r>
      <w:proofErr w:type="spellStart"/>
      <w:r>
        <w:rPr>
          <w:sz w:val="24"/>
          <w:szCs w:val="24"/>
        </w:rPr>
        <w:t>Mimeo</w:t>
      </w:r>
      <w:proofErr w:type="spellEnd"/>
      <w:r>
        <w:rPr>
          <w:sz w:val="24"/>
          <w:szCs w:val="24"/>
        </w:rPr>
        <w:t>. 2015.</w:t>
      </w:r>
    </w:p>
    <w:p w14:paraId="49444AD5" w14:textId="77777777" w:rsidR="00DF3393" w:rsidRDefault="00DF3393">
      <w:pPr>
        <w:spacing w:line="240" w:lineRule="auto"/>
        <w:rPr>
          <w:sz w:val="24"/>
          <w:szCs w:val="24"/>
        </w:rPr>
      </w:pPr>
    </w:p>
    <w:p w14:paraId="5BF7B4EE" w14:textId="77777777" w:rsidR="00DF3393" w:rsidRDefault="00BA3A18">
      <w:pPr>
        <w:spacing w:line="240" w:lineRule="auto"/>
        <w:rPr>
          <w:sz w:val="24"/>
          <w:szCs w:val="24"/>
        </w:rPr>
      </w:pPr>
      <w:r>
        <w:rPr>
          <w:sz w:val="24"/>
          <w:szCs w:val="24"/>
        </w:rPr>
        <w:t xml:space="preserve">CARA, Daniel; REIS FILHO, Horácio Francisco dos; OLIVEIRA, Romualdo Luiz Portela de. Financiamento e gestão: impasses e perspectivas. </w:t>
      </w:r>
      <w:r>
        <w:rPr>
          <w:b/>
          <w:i/>
          <w:sz w:val="24"/>
          <w:szCs w:val="24"/>
        </w:rPr>
        <w:t>Retratos da Escola</w:t>
      </w:r>
      <w:r>
        <w:rPr>
          <w:sz w:val="24"/>
          <w:szCs w:val="24"/>
        </w:rPr>
        <w:t>, Brasília, v. 3, n. 4, p. 11-21, jan./jun. 2009. Disponível em:</w:t>
      </w:r>
      <w:hyperlink r:id="rId11">
        <w:r w:rsidR="00DF3393">
          <w:rPr>
            <w:sz w:val="24"/>
            <w:szCs w:val="24"/>
          </w:rPr>
          <w:t xml:space="preserve"> </w:t>
        </w:r>
      </w:hyperlink>
      <w:hyperlink r:id="rId12">
        <w:r w:rsidR="00DF3393">
          <w:rPr>
            <w:color w:val="1155CC"/>
            <w:sz w:val="24"/>
            <w:szCs w:val="24"/>
            <w:u w:val="single"/>
          </w:rPr>
          <w:t>http:// www.esforce.org.br</w:t>
        </w:r>
      </w:hyperlink>
      <w:r>
        <w:rPr>
          <w:sz w:val="24"/>
          <w:szCs w:val="24"/>
        </w:rPr>
        <w:t>.</w:t>
      </w:r>
    </w:p>
    <w:p w14:paraId="48E4E959" w14:textId="77777777" w:rsidR="00DF3393" w:rsidRDefault="00DF3393">
      <w:pPr>
        <w:spacing w:line="240" w:lineRule="auto"/>
        <w:rPr>
          <w:sz w:val="24"/>
          <w:szCs w:val="24"/>
        </w:rPr>
      </w:pPr>
    </w:p>
    <w:p w14:paraId="10D8E1D6" w14:textId="77777777" w:rsidR="00DF3393" w:rsidRDefault="00BA3A18">
      <w:pPr>
        <w:spacing w:line="240" w:lineRule="auto"/>
        <w:rPr>
          <w:sz w:val="24"/>
          <w:szCs w:val="24"/>
        </w:rPr>
      </w:pPr>
      <w:r>
        <w:rPr>
          <w:sz w:val="24"/>
          <w:szCs w:val="24"/>
        </w:rPr>
        <w:t xml:space="preserve">COPESE/UFPI.LEDOC 2025-02. Teresina, PI: Universidade Federal do Piauí. Disponível em: </w:t>
      </w:r>
      <w:hyperlink r:id="rId13">
        <w:r w:rsidR="00DF3393">
          <w:rPr>
            <w:color w:val="1155CC"/>
            <w:sz w:val="24"/>
            <w:szCs w:val="24"/>
            <w:u w:val="single"/>
          </w:rPr>
          <w:t>https://copese.ufpi.br/copese2/materiais/index/mostrar/id/13893</w:t>
        </w:r>
      </w:hyperlink>
      <w:r>
        <w:rPr>
          <w:sz w:val="24"/>
          <w:szCs w:val="24"/>
        </w:rPr>
        <w:t>. Acesso em: 14 jun.2025.</w:t>
      </w:r>
    </w:p>
    <w:p w14:paraId="6B5C94CC" w14:textId="77777777" w:rsidR="00DF3393" w:rsidRDefault="00DF3393">
      <w:pPr>
        <w:spacing w:line="240" w:lineRule="auto"/>
        <w:rPr>
          <w:sz w:val="24"/>
          <w:szCs w:val="24"/>
        </w:rPr>
      </w:pPr>
    </w:p>
    <w:p w14:paraId="59C54FF1" w14:textId="77777777" w:rsidR="00DF3393" w:rsidRDefault="00BA3A18">
      <w:pPr>
        <w:spacing w:line="240" w:lineRule="auto"/>
        <w:rPr>
          <w:sz w:val="24"/>
          <w:szCs w:val="24"/>
        </w:rPr>
      </w:pPr>
      <w:r>
        <w:rPr>
          <w:sz w:val="24"/>
          <w:szCs w:val="24"/>
        </w:rPr>
        <w:t xml:space="preserve">INSTITUTO BRASILEIRO DE GEOGRAFIA E ESTATÍSTICA – IBGE. </w:t>
      </w:r>
      <w:r>
        <w:rPr>
          <w:b/>
          <w:i/>
          <w:sz w:val="24"/>
          <w:szCs w:val="24"/>
        </w:rPr>
        <w:t>Censo Demográfico 2022</w:t>
      </w:r>
      <w:r>
        <w:rPr>
          <w:sz w:val="24"/>
          <w:szCs w:val="24"/>
        </w:rPr>
        <w:t>. Rio de Janeiro, 2023. Disponível em:</w:t>
      </w:r>
      <w:hyperlink r:id="rId14">
        <w:r w:rsidR="00DF3393">
          <w:rPr>
            <w:sz w:val="24"/>
            <w:szCs w:val="24"/>
          </w:rPr>
          <w:t xml:space="preserve"> </w:t>
        </w:r>
      </w:hyperlink>
      <w:hyperlink r:id="rId15">
        <w:r w:rsidR="00DF3393">
          <w:rPr>
            <w:color w:val="1155CC"/>
            <w:sz w:val="24"/>
            <w:szCs w:val="24"/>
            <w:u w:val="single"/>
          </w:rPr>
          <w:t>https://www.ibge.gov.br/estatisticas/sociais/populacao/22827-censo-demografico-2022.html</w:t>
        </w:r>
      </w:hyperlink>
      <w:r>
        <w:rPr>
          <w:sz w:val="24"/>
          <w:szCs w:val="24"/>
        </w:rPr>
        <w:t>. Acesso em: 14 maio 2025.</w:t>
      </w:r>
    </w:p>
    <w:p w14:paraId="0198B7E2" w14:textId="77777777" w:rsidR="00DF3393" w:rsidRDefault="00DF3393">
      <w:pPr>
        <w:spacing w:line="240" w:lineRule="auto"/>
        <w:rPr>
          <w:sz w:val="24"/>
          <w:szCs w:val="24"/>
        </w:rPr>
      </w:pPr>
    </w:p>
    <w:p w14:paraId="5AD2F8B8" w14:textId="77777777" w:rsidR="00DF3393" w:rsidRDefault="00BA3A18">
      <w:pPr>
        <w:spacing w:line="240" w:lineRule="auto"/>
        <w:rPr>
          <w:sz w:val="24"/>
          <w:szCs w:val="24"/>
        </w:rPr>
      </w:pPr>
      <w:r>
        <w:rPr>
          <w:sz w:val="24"/>
          <w:szCs w:val="24"/>
        </w:rPr>
        <w:t>MOLINA M.C.</w:t>
      </w:r>
      <w:proofErr w:type="gramStart"/>
      <w:r>
        <w:rPr>
          <w:sz w:val="24"/>
          <w:szCs w:val="24"/>
        </w:rPr>
        <w:t>;  LIMA</w:t>
      </w:r>
      <w:proofErr w:type="gramEnd"/>
      <w:r>
        <w:rPr>
          <w:sz w:val="24"/>
          <w:szCs w:val="24"/>
        </w:rPr>
        <w:t xml:space="preserve">, R.B. A práxis dos egressos da LEDOC/UFPI/CPCE e as contribuições para o avanço da agroecologia nos territórios camponeses: The </w:t>
      </w:r>
      <w:proofErr w:type="spellStart"/>
      <w:r>
        <w:rPr>
          <w:sz w:val="24"/>
          <w:szCs w:val="24"/>
        </w:rPr>
        <w:t>praxis</w:t>
      </w:r>
      <w:proofErr w:type="spellEnd"/>
      <w:r>
        <w:rPr>
          <w:sz w:val="24"/>
          <w:szCs w:val="24"/>
        </w:rPr>
        <w:t xml:space="preserve"> </w:t>
      </w:r>
      <w:proofErr w:type="spellStart"/>
      <w:r>
        <w:rPr>
          <w:sz w:val="24"/>
          <w:szCs w:val="24"/>
        </w:rPr>
        <w:t>of</w:t>
      </w:r>
      <w:proofErr w:type="spellEnd"/>
      <w:r>
        <w:rPr>
          <w:sz w:val="24"/>
          <w:szCs w:val="24"/>
        </w:rPr>
        <w:t xml:space="preserve"> LEDOC/UFPI/CPCE </w:t>
      </w:r>
      <w:proofErr w:type="spellStart"/>
      <w:r>
        <w:rPr>
          <w:sz w:val="24"/>
          <w:szCs w:val="24"/>
        </w:rPr>
        <w:t>graduates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contributions</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advancement</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agroecology</w:t>
      </w:r>
      <w:proofErr w:type="spellEnd"/>
      <w:r>
        <w:rPr>
          <w:sz w:val="24"/>
          <w:szCs w:val="24"/>
        </w:rPr>
        <w:t xml:space="preserve"> in </w:t>
      </w:r>
      <w:proofErr w:type="spellStart"/>
      <w:r>
        <w:rPr>
          <w:sz w:val="24"/>
          <w:szCs w:val="24"/>
        </w:rPr>
        <w:t>peasant</w:t>
      </w:r>
      <w:proofErr w:type="spellEnd"/>
      <w:r>
        <w:rPr>
          <w:sz w:val="24"/>
          <w:szCs w:val="24"/>
        </w:rPr>
        <w:t xml:space="preserve"> </w:t>
      </w:r>
      <w:proofErr w:type="spellStart"/>
      <w:r>
        <w:rPr>
          <w:sz w:val="24"/>
          <w:szCs w:val="24"/>
        </w:rPr>
        <w:t>territories</w:t>
      </w:r>
      <w:proofErr w:type="spellEnd"/>
      <w:r>
        <w:rPr>
          <w:sz w:val="24"/>
          <w:szCs w:val="24"/>
        </w:rPr>
        <w:t>.</w:t>
      </w:r>
      <w:r>
        <w:rPr>
          <w:b/>
          <w:sz w:val="24"/>
          <w:szCs w:val="24"/>
        </w:rPr>
        <w:t xml:space="preserve"> Revista Cocar,</w:t>
      </w:r>
      <w:r>
        <w:rPr>
          <w:sz w:val="24"/>
          <w:szCs w:val="24"/>
        </w:rPr>
        <w:t xml:space="preserve"> [S. l.], n. 33, 2024. Disponível em:</w:t>
      </w:r>
      <w:hyperlink r:id="rId16">
        <w:r w:rsidR="00DF3393">
          <w:rPr>
            <w:sz w:val="24"/>
            <w:szCs w:val="24"/>
          </w:rPr>
          <w:t xml:space="preserve"> </w:t>
        </w:r>
      </w:hyperlink>
      <w:hyperlink r:id="rId17">
        <w:r w:rsidR="00DF3393">
          <w:rPr>
            <w:color w:val="1155CC"/>
            <w:sz w:val="24"/>
            <w:szCs w:val="24"/>
            <w:u w:val="single"/>
          </w:rPr>
          <w:t>https://periodicos.uepa.br/index.php/cocar/article/view/9766</w:t>
        </w:r>
      </w:hyperlink>
      <w:r>
        <w:rPr>
          <w:sz w:val="24"/>
          <w:szCs w:val="24"/>
        </w:rPr>
        <w:t>. Acesso em: 4 maio. 2025.</w:t>
      </w:r>
    </w:p>
    <w:p w14:paraId="6A9C9DB5" w14:textId="77777777" w:rsidR="00DF3393" w:rsidRDefault="00DF3393">
      <w:pPr>
        <w:spacing w:line="240" w:lineRule="auto"/>
        <w:rPr>
          <w:sz w:val="24"/>
          <w:szCs w:val="24"/>
        </w:rPr>
      </w:pPr>
    </w:p>
    <w:p w14:paraId="155B1F85" w14:textId="77777777" w:rsidR="00DF3393" w:rsidRDefault="00BA3A18">
      <w:pPr>
        <w:spacing w:line="240" w:lineRule="auto"/>
        <w:rPr>
          <w:sz w:val="24"/>
          <w:szCs w:val="24"/>
        </w:rPr>
      </w:pPr>
      <w:r>
        <w:rPr>
          <w:sz w:val="24"/>
          <w:szCs w:val="24"/>
        </w:rPr>
        <w:t xml:space="preserve">MOLINA, M.C Expansão das licenciaturas em Educação do Campo: desafios e potencialidades. </w:t>
      </w:r>
      <w:r>
        <w:rPr>
          <w:b/>
          <w:sz w:val="24"/>
          <w:szCs w:val="24"/>
        </w:rPr>
        <w:t>Educar em Revista</w:t>
      </w:r>
      <w:r>
        <w:rPr>
          <w:sz w:val="24"/>
          <w:szCs w:val="24"/>
        </w:rPr>
        <w:t>, Curitiba, Brasil, n. 55, p. 145-166, jan./mar. 2015.</w:t>
      </w:r>
    </w:p>
    <w:p w14:paraId="63D4E0F8" w14:textId="77777777" w:rsidR="00DF3393" w:rsidRDefault="00DF3393">
      <w:pPr>
        <w:spacing w:line="240" w:lineRule="auto"/>
        <w:rPr>
          <w:sz w:val="24"/>
          <w:szCs w:val="24"/>
        </w:rPr>
      </w:pPr>
    </w:p>
    <w:p w14:paraId="78C77803" w14:textId="77777777" w:rsidR="00DF3393" w:rsidRDefault="00BA3A18">
      <w:pPr>
        <w:spacing w:line="240" w:lineRule="auto"/>
        <w:rPr>
          <w:sz w:val="30"/>
          <w:szCs w:val="30"/>
        </w:rPr>
      </w:pPr>
      <w:r>
        <w:rPr>
          <w:sz w:val="24"/>
          <w:szCs w:val="24"/>
        </w:rPr>
        <w:t xml:space="preserve">MOLINA, Mônica C.; ANTUNES-ROCHA, Maria Isabel. Educação do campo: história, práticas e desafios no âmbito das políticas de formação de educadores: reflexões sobre o </w:t>
      </w:r>
      <w:proofErr w:type="spellStart"/>
      <w:r>
        <w:rPr>
          <w:sz w:val="24"/>
          <w:szCs w:val="24"/>
        </w:rPr>
        <w:t>Pronera</w:t>
      </w:r>
      <w:proofErr w:type="spellEnd"/>
      <w:r>
        <w:rPr>
          <w:sz w:val="24"/>
          <w:szCs w:val="24"/>
        </w:rPr>
        <w:t xml:space="preserve"> e o </w:t>
      </w:r>
      <w:proofErr w:type="spellStart"/>
      <w:r>
        <w:rPr>
          <w:sz w:val="24"/>
          <w:szCs w:val="24"/>
        </w:rPr>
        <w:t>Procampo</w:t>
      </w:r>
      <w:proofErr w:type="spellEnd"/>
      <w:r>
        <w:rPr>
          <w:sz w:val="24"/>
          <w:szCs w:val="24"/>
        </w:rPr>
        <w:t>.</w:t>
      </w:r>
      <w:r>
        <w:rPr>
          <w:b/>
          <w:sz w:val="24"/>
          <w:szCs w:val="24"/>
        </w:rPr>
        <w:t xml:space="preserve"> Rev. </w:t>
      </w:r>
      <w:proofErr w:type="spellStart"/>
      <w:proofErr w:type="gramStart"/>
      <w:r>
        <w:rPr>
          <w:b/>
          <w:sz w:val="24"/>
          <w:szCs w:val="24"/>
        </w:rPr>
        <w:t>Reflex</w:t>
      </w:r>
      <w:proofErr w:type="spellEnd"/>
      <w:r>
        <w:rPr>
          <w:sz w:val="24"/>
          <w:szCs w:val="24"/>
        </w:rPr>
        <w:t>,  Santa</w:t>
      </w:r>
      <w:proofErr w:type="gramEnd"/>
      <w:r>
        <w:rPr>
          <w:sz w:val="24"/>
          <w:szCs w:val="24"/>
        </w:rPr>
        <w:t xml:space="preserve"> Cruz do </w:t>
      </w:r>
      <w:proofErr w:type="gramStart"/>
      <w:r>
        <w:rPr>
          <w:sz w:val="24"/>
          <w:szCs w:val="24"/>
        </w:rPr>
        <w:t>Sul ,</w:t>
      </w:r>
      <w:proofErr w:type="gramEnd"/>
      <w:r>
        <w:rPr>
          <w:sz w:val="24"/>
          <w:szCs w:val="24"/>
        </w:rPr>
        <w:t xml:space="preserve">  v. 22, n. 2, p. 220-</w:t>
      </w:r>
      <w:proofErr w:type="gramStart"/>
      <w:r>
        <w:rPr>
          <w:sz w:val="24"/>
          <w:szCs w:val="24"/>
        </w:rPr>
        <w:t>253,  dez.</w:t>
      </w:r>
      <w:proofErr w:type="gramEnd"/>
      <w:r>
        <w:rPr>
          <w:sz w:val="24"/>
          <w:szCs w:val="24"/>
        </w:rPr>
        <w:t xml:space="preserve">  </w:t>
      </w:r>
      <w:proofErr w:type="gramStart"/>
      <w:r>
        <w:rPr>
          <w:sz w:val="24"/>
          <w:szCs w:val="24"/>
        </w:rPr>
        <w:t>2014 .</w:t>
      </w:r>
      <w:proofErr w:type="gramEnd"/>
      <w:r>
        <w:rPr>
          <w:sz w:val="24"/>
          <w:szCs w:val="24"/>
        </w:rPr>
        <w:t xml:space="preserve">   Disponível em &lt;http://educa.fcc.org.br/scielo.php?script=sci_arttext&amp;pid=S1982-99492014000200220&amp;lng=pt&amp;nrm=iso&gt;. acessos </w:t>
      </w:r>
      <w:proofErr w:type="gramStart"/>
      <w:r>
        <w:rPr>
          <w:sz w:val="24"/>
          <w:szCs w:val="24"/>
        </w:rPr>
        <w:t>em  24</w:t>
      </w:r>
      <w:proofErr w:type="gramEnd"/>
      <w:r>
        <w:rPr>
          <w:sz w:val="24"/>
          <w:szCs w:val="24"/>
        </w:rPr>
        <w:t xml:space="preserve"> mai.  2025.</w:t>
      </w:r>
    </w:p>
    <w:p w14:paraId="1753F6D7" w14:textId="77777777" w:rsidR="00DF3393" w:rsidRDefault="00DF3393">
      <w:pPr>
        <w:spacing w:line="240" w:lineRule="auto"/>
        <w:rPr>
          <w:sz w:val="24"/>
          <w:szCs w:val="24"/>
        </w:rPr>
      </w:pPr>
    </w:p>
    <w:p w14:paraId="0B315161" w14:textId="77777777" w:rsidR="00DF3393" w:rsidRDefault="00BA3A18">
      <w:pPr>
        <w:spacing w:line="240" w:lineRule="auto"/>
        <w:rPr>
          <w:sz w:val="24"/>
          <w:szCs w:val="24"/>
        </w:rPr>
      </w:pPr>
      <w:r>
        <w:rPr>
          <w:sz w:val="24"/>
          <w:szCs w:val="24"/>
        </w:rPr>
        <w:t xml:space="preserve">MOLINA, M. </w:t>
      </w:r>
      <w:proofErr w:type="gramStart"/>
      <w:r>
        <w:rPr>
          <w:sz w:val="24"/>
          <w:szCs w:val="24"/>
        </w:rPr>
        <w:t>C. .</w:t>
      </w:r>
      <w:proofErr w:type="gramEnd"/>
      <w:r>
        <w:rPr>
          <w:sz w:val="24"/>
          <w:szCs w:val="24"/>
        </w:rPr>
        <w:t xml:space="preserve">; HAGE, S. A. M.; MARTINS, M. de F. </w:t>
      </w:r>
      <w:proofErr w:type="gramStart"/>
      <w:r>
        <w:rPr>
          <w:sz w:val="24"/>
          <w:szCs w:val="24"/>
        </w:rPr>
        <w:t>A. .</w:t>
      </w:r>
      <w:proofErr w:type="gramEnd"/>
      <w:r>
        <w:rPr>
          <w:sz w:val="24"/>
          <w:szCs w:val="24"/>
        </w:rPr>
        <w:t xml:space="preserve">; PEREIRA, M. F. </w:t>
      </w:r>
      <w:proofErr w:type="gramStart"/>
      <w:r>
        <w:rPr>
          <w:sz w:val="24"/>
          <w:szCs w:val="24"/>
        </w:rPr>
        <w:t>R. .</w:t>
      </w:r>
      <w:proofErr w:type="gramEnd"/>
      <w:r>
        <w:rPr>
          <w:sz w:val="24"/>
          <w:szCs w:val="24"/>
        </w:rPr>
        <w:t xml:space="preserve"> LICENCIATURA EM EDUCAÇÃO DO CAMPO E A GARANTIA DO DIREITO À EDUCAÇÃO: CONTRIBUIÇÕES DE PESQUISAS SOBRE A ATUAÇÃO DE SEUS EGRESSOS. </w:t>
      </w:r>
      <w:r>
        <w:rPr>
          <w:b/>
          <w:sz w:val="24"/>
          <w:szCs w:val="24"/>
        </w:rPr>
        <w:t xml:space="preserve">Revista </w:t>
      </w:r>
      <w:proofErr w:type="spellStart"/>
      <w:r>
        <w:rPr>
          <w:b/>
          <w:sz w:val="24"/>
          <w:szCs w:val="24"/>
        </w:rPr>
        <w:t>Inter-Ação</w:t>
      </w:r>
      <w:proofErr w:type="spellEnd"/>
      <w:r>
        <w:rPr>
          <w:sz w:val="24"/>
          <w:szCs w:val="24"/>
        </w:rPr>
        <w:t>, Goiânia, v. 47, n. 2, p. 458–475, 2022. DOI: 10.5216/</w:t>
      </w:r>
      <w:proofErr w:type="gramStart"/>
      <w:r>
        <w:rPr>
          <w:sz w:val="24"/>
          <w:szCs w:val="24"/>
        </w:rPr>
        <w:t>ia.v</w:t>
      </w:r>
      <w:proofErr w:type="gramEnd"/>
      <w:r>
        <w:rPr>
          <w:sz w:val="24"/>
          <w:szCs w:val="24"/>
        </w:rPr>
        <w:t>47i2.72097. Disponível em: https://revistas.ufg.br/interacao/article/view/72097. Acesso em: 3 maio. 2025.</w:t>
      </w:r>
    </w:p>
    <w:p w14:paraId="7E0B9D59" w14:textId="77777777" w:rsidR="00DF3393" w:rsidRDefault="00DF3393">
      <w:pPr>
        <w:spacing w:line="240" w:lineRule="auto"/>
        <w:rPr>
          <w:sz w:val="24"/>
          <w:szCs w:val="24"/>
        </w:rPr>
      </w:pPr>
    </w:p>
    <w:p w14:paraId="1EA0587E" w14:textId="77777777" w:rsidR="00DF3393" w:rsidRDefault="00BA3A18">
      <w:pPr>
        <w:spacing w:line="240" w:lineRule="auto"/>
        <w:rPr>
          <w:sz w:val="32"/>
          <w:szCs w:val="32"/>
        </w:rPr>
      </w:pPr>
      <w:r>
        <w:rPr>
          <w:color w:val="222222"/>
          <w:sz w:val="24"/>
          <w:szCs w:val="24"/>
        </w:rPr>
        <w:t>TAFFAREL, C. N. Z.; CARVALHO, M. S. A extinção da SECADI: um golpe fatal nas conquistas no campo da educação</w:t>
      </w:r>
      <w:proofErr w:type="gramStart"/>
      <w:r>
        <w:rPr>
          <w:color w:val="222222"/>
          <w:sz w:val="24"/>
          <w:szCs w:val="24"/>
        </w:rPr>
        <w:t>: .</w:t>
      </w:r>
      <w:proofErr w:type="gramEnd"/>
      <w:r>
        <w:rPr>
          <w:color w:val="222222"/>
          <w:sz w:val="24"/>
          <w:szCs w:val="24"/>
        </w:rPr>
        <w:t xml:space="preserve"> Cadernos do GPOSSHE On-line, </w:t>
      </w:r>
      <w:r>
        <w:rPr>
          <w:i/>
          <w:color w:val="222222"/>
          <w:sz w:val="24"/>
          <w:szCs w:val="24"/>
        </w:rPr>
        <w:t>[S. l.]</w:t>
      </w:r>
      <w:r>
        <w:rPr>
          <w:color w:val="222222"/>
          <w:sz w:val="24"/>
          <w:szCs w:val="24"/>
        </w:rPr>
        <w:t>, v. 2, n. 1, p. 84–90, 2019. DOI: 10.33241/</w:t>
      </w:r>
      <w:proofErr w:type="gramStart"/>
      <w:r>
        <w:rPr>
          <w:color w:val="222222"/>
          <w:sz w:val="24"/>
          <w:szCs w:val="24"/>
        </w:rPr>
        <w:t>cadernosdogposshe.v</w:t>
      </w:r>
      <w:proofErr w:type="gramEnd"/>
      <w:r>
        <w:rPr>
          <w:color w:val="222222"/>
          <w:sz w:val="24"/>
          <w:szCs w:val="24"/>
        </w:rPr>
        <w:t>2i1.1523. Disponível em: https://revistas.uece.br/index.php/CadernosdoGPOSSHE/article/view/1523. Acesso em: 17 maio. 2025.</w:t>
      </w:r>
    </w:p>
    <w:p w14:paraId="086FA8AD" w14:textId="77777777" w:rsidR="00DF3393" w:rsidRDefault="00DF3393">
      <w:pPr>
        <w:spacing w:line="240" w:lineRule="auto"/>
        <w:rPr>
          <w:sz w:val="24"/>
          <w:szCs w:val="24"/>
        </w:rPr>
      </w:pPr>
    </w:p>
    <w:p w14:paraId="3EA6B297" w14:textId="77777777" w:rsidR="00DF3393" w:rsidRDefault="00BA3A18">
      <w:pPr>
        <w:spacing w:line="240" w:lineRule="auto"/>
        <w:rPr>
          <w:sz w:val="24"/>
          <w:szCs w:val="24"/>
        </w:rPr>
      </w:pPr>
      <w:r>
        <w:rPr>
          <w:sz w:val="24"/>
          <w:szCs w:val="24"/>
        </w:rPr>
        <w:t>UNIVERSIDADE FEDERAL DO PIAUI. Editais.</w:t>
      </w:r>
      <w:r>
        <w:rPr>
          <w:b/>
          <w:sz w:val="24"/>
          <w:szCs w:val="24"/>
        </w:rPr>
        <w:t xml:space="preserve"> Processos seletivos para os cursos de licenciatura em educação do campo (</w:t>
      </w:r>
      <w:proofErr w:type="spellStart"/>
      <w:r>
        <w:rPr>
          <w:b/>
          <w:sz w:val="24"/>
          <w:szCs w:val="24"/>
        </w:rPr>
        <w:t>LEdoC</w:t>
      </w:r>
      <w:proofErr w:type="spellEnd"/>
      <w:r>
        <w:rPr>
          <w:b/>
          <w:sz w:val="24"/>
          <w:szCs w:val="24"/>
        </w:rPr>
        <w:t>)</w:t>
      </w:r>
      <w:r>
        <w:rPr>
          <w:sz w:val="24"/>
          <w:szCs w:val="24"/>
        </w:rPr>
        <w:t xml:space="preserve"> Disponível em: &lt; </w:t>
      </w:r>
      <w:hyperlink r:id="rId18">
        <w:r w:rsidR="00DF3393">
          <w:rPr>
            <w:color w:val="1155CC"/>
            <w:sz w:val="24"/>
            <w:szCs w:val="24"/>
            <w:u w:val="single"/>
          </w:rPr>
          <w:t>https://copese.ufpi.br/copese2/index/pagina/id/533</w:t>
        </w:r>
      </w:hyperlink>
      <w:r>
        <w:rPr>
          <w:sz w:val="24"/>
          <w:szCs w:val="24"/>
        </w:rPr>
        <w:t>&gt; Acesso em: 08 maio 2025.</w:t>
      </w:r>
    </w:p>
    <w:p w14:paraId="1C1E181C" w14:textId="77777777" w:rsidR="00DF3393" w:rsidRDefault="00DF3393">
      <w:pPr>
        <w:spacing w:line="240" w:lineRule="auto"/>
        <w:rPr>
          <w:sz w:val="24"/>
          <w:szCs w:val="24"/>
        </w:rPr>
      </w:pPr>
    </w:p>
    <w:p w14:paraId="498FA810" w14:textId="77777777" w:rsidR="00DF3393" w:rsidRDefault="00BA3A18">
      <w:pPr>
        <w:spacing w:line="240" w:lineRule="auto"/>
        <w:rPr>
          <w:rFonts w:ascii="Calibri" w:eastAsia="Calibri" w:hAnsi="Calibri" w:cs="Calibri"/>
          <w:sz w:val="24"/>
          <w:szCs w:val="24"/>
        </w:rPr>
      </w:pPr>
      <w:r>
        <w:rPr>
          <w:sz w:val="24"/>
          <w:szCs w:val="24"/>
        </w:rPr>
        <w:t xml:space="preserve">UNIVERSIDADE FEDERAL DO PIAUÍ; FUNDAÇÃO CULTURAL E DE FOMENTO À PESQUISA, EXTENSÃO E INOVAÇÃO. </w:t>
      </w:r>
      <w:r>
        <w:rPr>
          <w:b/>
          <w:sz w:val="24"/>
          <w:szCs w:val="24"/>
        </w:rPr>
        <w:t xml:space="preserve">4° aditivo do contrato n° 16/2015. </w:t>
      </w:r>
      <w:proofErr w:type="spellStart"/>
      <w:proofErr w:type="gramStart"/>
      <w:r>
        <w:rPr>
          <w:sz w:val="24"/>
          <w:szCs w:val="24"/>
        </w:rPr>
        <w:t>Teresina,PI</w:t>
      </w:r>
      <w:proofErr w:type="spellEnd"/>
      <w:proofErr w:type="gramEnd"/>
      <w:r>
        <w:rPr>
          <w:sz w:val="24"/>
          <w:szCs w:val="24"/>
        </w:rPr>
        <w:t>: 2015.</w:t>
      </w:r>
    </w:p>
    <w:sectPr w:rsidR="00DF3393">
      <w:headerReference w:type="even" r:id="rId19"/>
      <w:headerReference w:type="default" r:id="rId20"/>
      <w:footerReference w:type="even" r:id="rId21"/>
      <w:footerReference w:type="default" r:id="rId22"/>
      <w:headerReference w:type="first" r:id="rId23"/>
      <w:footerReference w:type="first" r:id="rId24"/>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8767E" w14:textId="77777777" w:rsidR="00F2736E" w:rsidRDefault="00F2736E">
      <w:pPr>
        <w:spacing w:line="240" w:lineRule="auto"/>
      </w:pPr>
      <w:r>
        <w:separator/>
      </w:r>
    </w:p>
  </w:endnote>
  <w:endnote w:type="continuationSeparator" w:id="0">
    <w:p w14:paraId="2FD4C97F" w14:textId="77777777" w:rsidR="00F2736E" w:rsidRDefault="00F273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BCE86" w14:textId="77777777" w:rsidR="00536CEA" w:rsidRDefault="00536CE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8B51F" w14:textId="77777777" w:rsidR="00DF3393" w:rsidRDefault="00DF339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B7C94" w14:textId="77777777" w:rsidR="00536CEA" w:rsidRDefault="00536CE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73DDB" w14:textId="77777777" w:rsidR="00F2736E" w:rsidRDefault="00F2736E">
      <w:pPr>
        <w:spacing w:line="240" w:lineRule="auto"/>
      </w:pPr>
      <w:r>
        <w:separator/>
      </w:r>
    </w:p>
  </w:footnote>
  <w:footnote w:type="continuationSeparator" w:id="0">
    <w:p w14:paraId="13D558AB" w14:textId="77777777" w:rsidR="00F2736E" w:rsidRDefault="00F2736E">
      <w:pPr>
        <w:spacing w:line="240" w:lineRule="auto"/>
      </w:pPr>
      <w:r>
        <w:continuationSeparator/>
      </w:r>
    </w:p>
  </w:footnote>
  <w:footnote w:id="1">
    <w:p w14:paraId="4B2DF8AE" w14:textId="77777777" w:rsidR="00DF3393" w:rsidRDefault="00BA3A18">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sz w:val="20"/>
          <w:szCs w:val="20"/>
        </w:rPr>
        <w:t xml:space="preserve">|Mestranda em educação da Universidade Federal do Piauí - UFPI, </w:t>
      </w:r>
      <w:hyperlink r:id="rId1">
        <w:r w:rsidR="00DF3393">
          <w:rPr>
            <w:color w:val="0000FF"/>
            <w:sz w:val="20"/>
            <w:szCs w:val="20"/>
            <w:u w:val="single"/>
          </w:rPr>
          <w:t>sara.janeoliveira@hotmail.com</w:t>
        </w:r>
      </w:hyperlink>
      <w:r>
        <w:rPr>
          <w:sz w:val="20"/>
          <w:szCs w:val="20"/>
        </w:rPr>
        <w:t>;</w:t>
      </w:r>
    </w:p>
  </w:footnote>
  <w:footnote w:id="2">
    <w:p w14:paraId="3DAA13F6" w14:textId="77777777" w:rsidR="00DF3393" w:rsidRDefault="00BA3A18">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Mestranda em educação da Universidade Federal do Piauí – UFPI, </w:t>
      </w:r>
      <w:hyperlink r:id="rId2">
        <w:r w:rsidR="00DF3393">
          <w:rPr>
            <w:color w:val="1155CC"/>
            <w:sz w:val="20"/>
            <w:szCs w:val="20"/>
            <w:u w:val="single"/>
          </w:rPr>
          <w:t>dannymorais1996@gmail.com</w:t>
        </w:r>
      </w:hyperlink>
      <w:r>
        <w:rPr>
          <w:color w:val="000000"/>
          <w:sz w:val="20"/>
          <w:szCs w:val="20"/>
        </w:rPr>
        <w:t xml:space="preserve">; </w:t>
      </w:r>
    </w:p>
  </w:footnote>
  <w:footnote w:id="3">
    <w:p w14:paraId="40CC9BA9" w14:textId="77777777" w:rsidR="00DF3393" w:rsidRDefault="00BA3A18">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Professora doutora do Curso de Pedagogia e do Programa de Pós-Graduação em Políticas Públicas (PPGPP/UFPI</w:t>
      </w:r>
      <w:proofErr w:type="gramStart"/>
      <w:r>
        <w:rPr>
          <w:color w:val="000000"/>
          <w:sz w:val="20"/>
          <w:szCs w:val="20"/>
        </w:rPr>
        <w:t>),  e-mail</w:t>
      </w:r>
      <w:proofErr w:type="gramEnd"/>
      <w:r>
        <w:rPr>
          <w:color w:val="000000"/>
          <w:sz w:val="20"/>
          <w:szCs w:val="20"/>
        </w:rPr>
        <w:t xml:space="preserve">: </w:t>
      </w:r>
      <w:hyperlink r:id="rId3">
        <w:r w:rsidR="00DF3393">
          <w:rPr>
            <w:color w:val="1155CC"/>
            <w:sz w:val="20"/>
            <w:szCs w:val="20"/>
            <w:u w:val="single"/>
          </w:rPr>
          <w:t>socorroprof@ufpi.edu.br</w:t>
        </w:r>
      </w:hyperlink>
      <w:r>
        <w:rPr>
          <w:color w:val="000000"/>
          <w:sz w:val="20"/>
          <w:szCs w:val="20"/>
        </w:rPr>
        <w:t xml:space="preserve">; </w:t>
      </w:r>
    </w:p>
  </w:footnote>
  <w:footnote w:id="4">
    <w:p w14:paraId="047C6D54" w14:textId="665B1017" w:rsidR="00DF3393" w:rsidRDefault="00BA3A18">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Professora doutora do Curso de Licenciatura em Educação do Campo (</w:t>
      </w:r>
      <w:proofErr w:type="spellStart"/>
      <w:r>
        <w:rPr>
          <w:color w:val="000000"/>
          <w:sz w:val="20"/>
          <w:szCs w:val="20"/>
        </w:rPr>
        <w:t>LEdoC</w:t>
      </w:r>
      <w:proofErr w:type="spellEnd"/>
      <w:r>
        <w:rPr>
          <w:color w:val="000000"/>
          <w:sz w:val="20"/>
          <w:szCs w:val="20"/>
        </w:rPr>
        <w:t>), da Universidade Federal do Piauí</w:t>
      </w:r>
      <w:r w:rsidR="00967711">
        <w:rPr>
          <w:color w:val="000000"/>
          <w:sz w:val="20"/>
          <w:szCs w:val="20"/>
        </w:rPr>
        <w:t>-</w:t>
      </w:r>
      <w:r>
        <w:rPr>
          <w:color w:val="000000"/>
          <w:sz w:val="20"/>
          <w:szCs w:val="20"/>
        </w:rPr>
        <w:t xml:space="preserve">UFPI, </w:t>
      </w:r>
      <w:hyperlink r:id="rId4">
        <w:r w:rsidR="00DF3393">
          <w:rPr>
            <w:color w:val="1155CC"/>
            <w:sz w:val="20"/>
            <w:szCs w:val="20"/>
            <w:u w:val="single"/>
          </w:rPr>
          <w:t>adrianamonteiro10@ufpi.edu.br</w:t>
        </w:r>
      </w:hyperlink>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C7032" w14:textId="77777777" w:rsidR="00536CEA" w:rsidRDefault="00536CE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D5F96" w14:textId="77777777" w:rsidR="00DF3393" w:rsidRDefault="00BA3A18">
    <w:r>
      <w:rPr>
        <w:noProof/>
      </w:rPr>
      <w:drawing>
        <wp:anchor distT="0" distB="0" distL="0" distR="0" simplePos="0" relativeHeight="251658240" behindDoc="1" locked="0" layoutInCell="1" hidden="0" allowOverlap="1" wp14:anchorId="6EE797FF" wp14:editId="44185061">
          <wp:simplePos x="0" y="0"/>
          <wp:positionH relativeFrom="page">
            <wp:posOffset>8622</wp:posOffset>
          </wp:positionH>
          <wp:positionV relativeFrom="page">
            <wp:posOffset>133714</wp:posOffset>
          </wp:positionV>
          <wp:extent cx="7563485" cy="107276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F3117" w14:textId="77777777" w:rsidR="00536CEA" w:rsidRDefault="00536CE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393"/>
    <w:rsid w:val="00065B7E"/>
    <w:rsid w:val="00536CEA"/>
    <w:rsid w:val="0071642A"/>
    <w:rsid w:val="00967711"/>
    <w:rsid w:val="00BA3A18"/>
    <w:rsid w:val="00DF3393"/>
    <w:rsid w:val="00F273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C306C"/>
  <w15:docId w15:val="{15DCFB0A-D321-4289-A906-AB6782F77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Textodenotaderodap">
    <w:name w:val="footnote text"/>
    <w:basedOn w:val="Normal"/>
    <w:link w:val="TextodenotaderodapChar"/>
    <w:uiPriority w:val="99"/>
    <w:semiHidden/>
    <w:unhideWhenUsed/>
    <w:rsid w:val="00C50A22"/>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C50A22"/>
    <w:rPr>
      <w:sz w:val="20"/>
      <w:szCs w:val="20"/>
    </w:rPr>
  </w:style>
  <w:style w:type="character" w:styleId="Refdenotaderodap">
    <w:name w:val="footnote reference"/>
    <w:basedOn w:val="Fontepargpadro"/>
    <w:uiPriority w:val="99"/>
    <w:semiHidden/>
    <w:unhideWhenUsed/>
    <w:rsid w:val="00C50A22"/>
    <w:rPr>
      <w:vertAlign w:val="superscript"/>
    </w:rPr>
  </w:style>
  <w:style w:type="character" w:styleId="Hyperlink">
    <w:name w:val="Hyperlink"/>
    <w:basedOn w:val="Fontepargpadro"/>
    <w:uiPriority w:val="99"/>
    <w:unhideWhenUsed/>
    <w:rsid w:val="00C50A22"/>
    <w:rPr>
      <w:color w:val="0000FF" w:themeColor="hyperlink"/>
      <w:u w:val="single"/>
    </w:rPr>
  </w:style>
  <w:style w:type="character" w:styleId="MenoPendente">
    <w:name w:val="Unresolved Mention"/>
    <w:basedOn w:val="Fontepargpadro"/>
    <w:uiPriority w:val="99"/>
    <w:semiHidden/>
    <w:unhideWhenUsed/>
    <w:rsid w:val="00C50A2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536CEA"/>
    <w:pPr>
      <w:tabs>
        <w:tab w:val="center" w:pos="4252"/>
        <w:tab w:val="right" w:pos="8504"/>
      </w:tabs>
      <w:spacing w:line="240" w:lineRule="auto"/>
    </w:pPr>
  </w:style>
  <w:style w:type="character" w:customStyle="1" w:styleId="CabealhoChar">
    <w:name w:val="Cabeçalho Char"/>
    <w:basedOn w:val="Fontepargpadro"/>
    <w:link w:val="Cabealho"/>
    <w:uiPriority w:val="99"/>
    <w:rsid w:val="00536CEA"/>
  </w:style>
  <w:style w:type="paragraph" w:styleId="Rodap">
    <w:name w:val="footer"/>
    <w:basedOn w:val="Normal"/>
    <w:link w:val="RodapChar"/>
    <w:uiPriority w:val="99"/>
    <w:unhideWhenUsed/>
    <w:rsid w:val="00536CEA"/>
    <w:pPr>
      <w:tabs>
        <w:tab w:val="center" w:pos="4252"/>
        <w:tab w:val="right" w:pos="8504"/>
      </w:tabs>
      <w:spacing w:line="240" w:lineRule="auto"/>
    </w:pPr>
  </w:style>
  <w:style w:type="character" w:customStyle="1" w:styleId="RodapChar">
    <w:name w:val="Rodapé Char"/>
    <w:basedOn w:val="Fontepargpadro"/>
    <w:link w:val="Rodap"/>
    <w:uiPriority w:val="99"/>
    <w:rsid w:val="00536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ielo.br/j/ccedes/a/jL4tKcDNvCggFcg6sLYJhwG/?format=pdf&amp;lang=p" TargetMode="External"/><Relationship Id="rId13" Type="http://schemas.openxmlformats.org/officeDocument/2006/relationships/hyperlink" Target="https://copese.ufpi.br/copese2/materiais/index/mostrar/id/13893" TargetMode="External"/><Relationship Id="rId18" Type="http://schemas.openxmlformats.org/officeDocument/2006/relationships/hyperlink" Target="https://copese.ufpi.br/copese2/index/pagina/id/53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scielo.br/j/ccedes/a/jL4tKcDNvCggFcg6sLYJhwG/?format=pdf&amp;lang=p" TargetMode="External"/><Relationship Id="rId12" Type="http://schemas.openxmlformats.org/officeDocument/2006/relationships/hyperlink" Target="https://www.google.com/search?q=http//www.esforce.org.br" TargetMode="External"/><Relationship Id="rId17" Type="http://schemas.openxmlformats.org/officeDocument/2006/relationships/hyperlink" Target="https://periodicos.uepa.br/index.php/cocar/article/view/976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eriodicos.uepa.br/index.php/cocar/article/view/9766"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ogle.com/search?q=http//www.esforce.org.br"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ibge.gov.br/estatisticas/sociais/populacao/22827-censo-demografico-2022.html" TargetMode="External"/><Relationship Id="rId23" Type="http://schemas.openxmlformats.org/officeDocument/2006/relationships/header" Target="header3.xml"/><Relationship Id="rId10" Type="http://schemas.openxmlformats.org/officeDocument/2006/relationships/hyperlink" Target="https://doi.org/10.1590/1982-57652024v29id27683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590/1982-57652024v29id276830" TargetMode="External"/><Relationship Id="rId14" Type="http://schemas.openxmlformats.org/officeDocument/2006/relationships/hyperlink" Target="https://www.ibge.gov.br/estatisticas/sociais/populacao/22827-censo-demografico-2022.html"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mailto:socorroprof@ufpi.edu.br" TargetMode="External"/><Relationship Id="rId2" Type="http://schemas.openxmlformats.org/officeDocument/2006/relationships/hyperlink" Target="mailto:dannymorais1996@gmail.com" TargetMode="External"/><Relationship Id="rId1" Type="http://schemas.openxmlformats.org/officeDocument/2006/relationships/hyperlink" Target="mailto:sara.janeoliveira@hotmail.com" TargetMode="External"/><Relationship Id="rId4" Type="http://schemas.openxmlformats.org/officeDocument/2006/relationships/hyperlink" Target="mailto:adrianamonteiro10@ufpi.edu.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xIIhcfo4KsGNu8w9t7/JYyPnHA==">CgMxLjA4AHIhMU1jcUxJdkItM0V2YnM1a2FOMkR1WmFLVHMzUlJQR0la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3852</Words>
  <Characters>20807</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sarap</dc:creator>
  <cp:lastModifiedBy>saraprofessora23@outlook.com</cp:lastModifiedBy>
  <cp:revision>2</cp:revision>
  <dcterms:created xsi:type="dcterms:W3CDTF">2025-06-28T23:29:00Z</dcterms:created>
  <dcterms:modified xsi:type="dcterms:W3CDTF">2025-06-28T23:29:00Z</dcterms:modified>
</cp:coreProperties>
</file>