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914A19" w14:textId="77777777" w:rsidR="00D44BC7" w:rsidRDefault="00CD402A">
      <w:pPr>
        <w:spacing w:line="240" w:lineRule="auto"/>
        <w:jc w:val="center"/>
        <w:rPr>
          <w:sz w:val="24"/>
          <w:szCs w:val="24"/>
        </w:rPr>
      </w:pPr>
      <w:r>
        <w:rPr>
          <w:b/>
          <w:sz w:val="24"/>
          <w:szCs w:val="24"/>
        </w:rPr>
        <w:t>PROGRAMA MULHER, VIVER SEM VIOLÊNCIA:</w:t>
      </w:r>
      <w:r>
        <w:rPr>
          <w:sz w:val="24"/>
          <w:szCs w:val="24"/>
        </w:rPr>
        <w:t xml:space="preserve"> </w:t>
      </w:r>
    </w:p>
    <w:p w14:paraId="1C914A1A" w14:textId="787A661D" w:rsidR="00D44BC7" w:rsidRDefault="00CD402A">
      <w:pPr>
        <w:spacing w:line="240" w:lineRule="auto"/>
        <w:jc w:val="center"/>
        <w:rPr>
          <w:sz w:val="24"/>
          <w:szCs w:val="24"/>
        </w:rPr>
      </w:pPr>
      <w:r>
        <w:rPr>
          <w:sz w:val="24"/>
          <w:szCs w:val="24"/>
        </w:rPr>
        <w:t xml:space="preserve">Análise das rupturas e continuidades da política de enfrentamento à violência contra as mulheres no Brasil durantes </w:t>
      </w:r>
      <w:r w:rsidR="00F0233C">
        <w:rPr>
          <w:sz w:val="24"/>
          <w:szCs w:val="24"/>
        </w:rPr>
        <w:t>os governos</w:t>
      </w:r>
      <w:r>
        <w:rPr>
          <w:sz w:val="24"/>
          <w:szCs w:val="24"/>
        </w:rPr>
        <w:t xml:space="preserve"> federais no </w:t>
      </w:r>
      <w:r w:rsidR="00F0233C">
        <w:rPr>
          <w:sz w:val="24"/>
          <w:szCs w:val="24"/>
        </w:rPr>
        <w:t>período</w:t>
      </w:r>
      <w:r>
        <w:rPr>
          <w:sz w:val="24"/>
          <w:szCs w:val="24"/>
        </w:rPr>
        <w:t xml:space="preserve"> de 2013 - 2023.</w:t>
      </w:r>
    </w:p>
    <w:p w14:paraId="28F5D01D" w14:textId="77777777" w:rsidR="005468F0" w:rsidRDefault="005468F0">
      <w:pPr>
        <w:spacing w:line="240" w:lineRule="auto"/>
        <w:jc w:val="center"/>
        <w:rPr>
          <w:sz w:val="24"/>
          <w:szCs w:val="24"/>
        </w:rPr>
      </w:pPr>
    </w:p>
    <w:p w14:paraId="1C914A1E" w14:textId="77777777" w:rsidR="00D44BC7" w:rsidRDefault="00D44BC7">
      <w:pPr>
        <w:spacing w:line="240" w:lineRule="auto"/>
        <w:ind w:left="2835"/>
        <w:jc w:val="both"/>
        <w:rPr>
          <w:b/>
          <w:sz w:val="20"/>
          <w:szCs w:val="20"/>
        </w:rPr>
      </w:pPr>
    </w:p>
    <w:p w14:paraId="1C914A1F" w14:textId="77777777" w:rsidR="00D44BC7" w:rsidRDefault="00CD402A">
      <w:pPr>
        <w:spacing w:line="240" w:lineRule="auto"/>
        <w:ind w:left="2835"/>
        <w:jc w:val="both"/>
        <w:rPr>
          <w:sz w:val="20"/>
          <w:szCs w:val="20"/>
        </w:rPr>
      </w:pPr>
      <w:r>
        <w:rPr>
          <w:b/>
          <w:sz w:val="20"/>
          <w:szCs w:val="20"/>
        </w:rPr>
        <w:t>Resumo</w:t>
      </w:r>
    </w:p>
    <w:p w14:paraId="1C914A20" w14:textId="77777777" w:rsidR="00D44BC7" w:rsidRDefault="00CD402A">
      <w:pPr>
        <w:spacing w:line="240" w:lineRule="auto"/>
        <w:ind w:left="2835"/>
        <w:jc w:val="both"/>
        <w:rPr>
          <w:sz w:val="20"/>
          <w:szCs w:val="20"/>
        </w:rPr>
      </w:pPr>
      <w:r>
        <w:rPr>
          <w:sz w:val="20"/>
          <w:szCs w:val="20"/>
        </w:rPr>
        <w:t>Este artigo investiga as rupturas e continuidades do Programa Mulher: Viver sem Violência (PMVSV), política federal de enfrentamento à violência contra mulheres no Brasil, entre 2013 e 2023. A pesquisa qualitativa e descritiva, ancorada no institucionalismo histórico, analisa como instituições e atores moldaram a trajetória do programa. A metodologia incluiu revisão bibliográfica e documental. Os resultados evidenciam uma trajetória não linear: o governo Dilma instituiu o PMVSV e as Casas da Mulher Brasilei</w:t>
      </w:r>
      <w:r>
        <w:rPr>
          <w:sz w:val="20"/>
          <w:szCs w:val="20"/>
        </w:rPr>
        <w:t>ra (</w:t>
      </w:r>
      <w:proofErr w:type="spellStart"/>
      <w:r>
        <w:rPr>
          <w:sz w:val="20"/>
          <w:szCs w:val="20"/>
        </w:rPr>
        <w:t>CMBs</w:t>
      </w:r>
      <w:proofErr w:type="spellEnd"/>
      <w:r>
        <w:rPr>
          <w:sz w:val="20"/>
          <w:szCs w:val="20"/>
        </w:rPr>
        <w:t xml:space="preserve">), mas enfrentou precarização pós-impeachment. Temer aprofundou essa fragilidade com a PEC do Teto de Gastos. Bolsonaro promoveu ruptura ideológica e desmonte, alterando o programa e aumentando a violência letal. O governo Lula (2023), por sua vez, sinalizou retomada e ruptura, relançando o PMVSV e o Ministério das Mulheres, com expressivo aumento de investimentos e foco na interseccionalidade. </w:t>
      </w:r>
    </w:p>
    <w:p w14:paraId="1C914A21" w14:textId="77777777" w:rsidR="00D44BC7" w:rsidRDefault="00CD402A">
      <w:pPr>
        <w:spacing w:line="240" w:lineRule="auto"/>
        <w:ind w:left="2835"/>
        <w:jc w:val="both"/>
        <w:rPr>
          <w:sz w:val="20"/>
          <w:szCs w:val="20"/>
          <w:highlight w:val="green"/>
        </w:rPr>
      </w:pPr>
      <w:r>
        <w:rPr>
          <w:b/>
          <w:sz w:val="20"/>
          <w:szCs w:val="20"/>
        </w:rPr>
        <w:t>Palavras-chave</w:t>
      </w:r>
      <w:r>
        <w:rPr>
          <w:sz w:val="20"/>
          <w:szCs w:val="20"/>
        </w:rPr>
        <w:t>: Programa Mulher: Viver sem Violência (PMVSV); Institucionalismo histórico; Avaliação de políticas públicas.</w:t>
      </w:r>
    </w:p>
    <w:p w14:paraId="1C914A22" w14:textId="77777777" w:rsidR="00D44BC7" w:rsidRDefault="00D44BC7">
      <w:pPr>
        <w:spacing w:line="240" w:lineRule="auto"/>
        <w:ind w:left="2835"/>
        <w:jc w:val="both"/>
        <w:rPr>
          <w:sz w:val="20"/>
          <w:szCs w:val="20"/>
        </w:rPr>
      </w:pPr>
    </w:p>
    <w:p w14:paraId="1C914A23" w14:textId="77777777" w:rsidR="00D44BC7" w:rsidRDefault="00CD402A">
      <w:pPr>
        <w:spacing w:line="240" w:lineRule="auto"/>
        <w:ind w:left="2835"/>
        <w:jc w:val="both"/>
        <w:rPr>
          <w:sz w:val="20"/>
          <w:szCs w:val="20"/>
        </w:rPr>
      </w:pPr>
      <w:r>
        <w:rPr>
          <w:b/>
          <w:sz w:val="20"/>
          <w:szCs w:val="20"/>
        </w:rPr>
        <w:t>Abstract</w:t>
      </w:r>
    </w:p>
    <w:p w14:paraId="1C914A24" w14:textId="77777777" w:rsidR="00D44BC7" w:rsidRDefault="00CD402A">
      <w:pPr>
        <w:spacing w:line="240" w:lineRule="auto"/>
        <w:ind w:left="2835"/>
        <w:jc w:val="both"/>
        <w:rPr>
          <w:sz w:val="20"/>
          <w:szCs w:val="20"/>
        </w:rPr>
      </w:pPr>
      <w:proofErr w:type="spellStart"/>
      <w:r>
        <w:rPr>
          <w:sz w:val="20"/>
          <w:szCs w:val="20"/>
        </w:rPr>
        <w:t>This</w:t>
      </w:r>
      <w:proofErr w:type="spellEnd"/>
      <w:r>
        <w:rPr>
          <w:sz w:val="20"/>
          <w:szCs w:val="20"/>
        </w:rPr>
        <w:t xml:space="preserve"> </w:t>
      </w:r>
      <w:proofErr w:type="spellStart"/>
      <w:r>
        <w:rPr>
          <w:sz w:val="20"/>
          <w:szCs w:val="20"/>
        </w:rPr>
        <w:t>article</w:t>
      </w:r>
      <w:proofErr w:type="spellEnd"/>
      <w:r>
        <w:rPr>
          <w:sz w:val="20"/>
          <w:szCs w:val="20"/>
        </w:rPr>
        <w:t xml:space="preserve"> </w:t>
      </w:r>
      <w:proofErr w:type="spellStart"/>
      <w:r>
        <w:rPr>
          <w:sz w:val="20"/>
          <w:szCs w:val="20"/>
        </w:rPr>
        <w:t>investigates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ruptures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continuities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Brazil's</w:t>
      </w:r>
      <w:proofErr w:type="spellEnd"/>
      <w:r>
        <w:rPr>
          <w:sz w:val="20"/>
          <w:szCs w:val="20"/>
        </w:rPr>
        <w:t xml:space="preserve"> "Mulher: Viver sem Violência" </w:t>
      </w:r>
      <w:proofErr w:type="spellStart"/>
      <w:r>
        <w:rPr>
          <w:sz w:val="20"/>
          <w:szCs w:val="20"/>
        </w:rPr>
        <w:t>Program</w:t>
      </w:r>
      <w:proofErr w:type="spellEnd"/>
      <w:r>
        <w:rPr>
          <w:sz w:val="20"/>
          <w:szCs w:val="20"/>
        </w:rPr>
        <w:t xml:space="preserve"> (PMVSV), a federal </w:t>
      </w:r>
      <w:proofErr w:type="spellStart"/>
      <w:r>
        <w:rPr>
          <w:sz w:val="20"/>
          <w:szCs w:val="20"/>
        </w:rPr>
        <w:t>policy</w:t>
      </w:r>
      <w:proofErr w:type="spellEnd"/>
      <w:r>
        <w:rPr>
          <w:sz w:val="20"/>
          <w:szCs w:val="20"/>
        </w:rPr>
        <w:t xml:space="preserve"> </w:t>
      </w:r>
      <w:proofErr w:type="spellStart"/>
      <w:r>
        <w:rPr>
          <w:sz w:val="20"/>
          <w:szCs w:val="20"/>
        </w:rPr>
        <w:t>combating</w:t>
      </w:r>
      <w:proofErr w:type="spellEnd"/>
      <w:r>
        <w:rPr>
          <w:sz w:val="20"/>
          <w:szCs w:val="20"/>
        </w:rPr>
        <w:t xml:space="preserve"> </w:t>
      </w:r>
      <w:proofErr w:type="spellStart"/>
      <w:r>
        <w:rPr>
          <w:sz w:val="20"/>
          <w:szCs w:val="20"/>
        </w:rPr>
        <w:t>violence</w:t>
      </w:r>
      <w:proofErr w:type="spellEnd"/>
      <w:r>
        <w:rPr>
          <w:sz w:val="20"/>
          <w:szCs w:val="20"/>
        </w:rPr>
        <w:t xml:space="preserve"> </w:t>
      </w:r>
      <w:proofErr w:type="spellStart"/>
      <w:r>
        <w:rPr>
          <w:sz w:val="20"/>
          <w:szCs w:val="20"/>
        </w:rPr>
        <w:t>against</w:t>
      </w:r>
      <w:proofErr w:type="spellEnd"/>
      <w:r>
        <w:rPr>
          <w:sz w:val="20"/>
          <w:szCs w:val="20"/>
        </w:rPr>
        <w:t xml:space="preserve"> </w:t>
      </w:r>
      <w:proofErr w:type="spellStart"/>
      <w:r>
        <w:rPr>
          <w:sz w:val="20"/>
          <w:szCs w:val="20"/>
        </w:rPr>
        <w:t>women</w:t>
      </w:r>
      <w:proofErr w:type="spellEnd"/>
      <w:r>
        <w:rPr>
          <w:sz w:val="20"/>
          <w:szCs w:val="20"/>
        </w:rPr>
        <w:t xml:space="preserve">, </w:t>
      </w:r>
      <w:proofErr w:type="spellStart"/>
      <w:r>
        <w:rPr>
          <w:sz w:val="20"/>
          <w:szCs w:val="20"/>
        </w:rPr>
        <w:t>between</w:t>
      </w:r>
      <w:proofErr w:type="spellEnd"/>
      <w:r>
        <w:rPr>
          <w:sz w:val="20"/>
          <w:szCs w:val="20"/>
        </w:rPr>
        <w:t xml:space="preserve"> 2013 </w:t>
      </w:r>
      <w:proofErr w:type="spellStart"/>
      <w:r>
        <w:rPr>
          <w:sz w:val="20"/>
          <w:szCs w:val="20"/>
        </w:rPr>
        <w:t>and</w:t>
      </w:r>
      <w:proofErr w:type="spellEnd"/>
      <w:r>
        <w:rPr>
          <w:sz w:val="20"/>
          <w:szCs w:val="20"/>
        </w:rPr>
        <w:t xml:space="preserve"> 2023. The </w:t>
      </w:r>
      <w:proofErr w:type="spellStart"/>
      <w:r>
        <w:rPr>
          <w:sz w:val="20"/>
          <w:szCs w:val="20"/>
        </w:rPr>
        <w:t>qualitative</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descriptive</w:t>
      </w:r>
      <w:proofErr w:type="spellEnd"/>
      <w:r>
        <w:rPr>
          <w:sz w:val="20"/>
          <w:szCs w:val="20"/>
        </w:rPr>
        <w:t xml:space="preserve"> </w:t>
      </w:r>
      <w:proofErr w:type="spellStart"/>
      <w:r>
        <w:rPr>
          <w:sz w:val="20"/>
          <w:szCs w:val="20"/>
        </w:rPr>
        <w:t>research</w:t>
      </w:r>
      <w:proofErr w:type="spellEnd"/>
      <w:r>
        <w:rPr>
          <w:sz w:val="20"/>
          <w:szCs w:val="20"/>
        </w:rPr>
        <w:t xml:space="preserve">, </w:t>
      </w:r>
      <w:proofErr w:type="spellStart"/>
      <w:r>
        <w:rPr>
          <w:sz w:val="20"/>
          <w:szCs w:val="20"/>
        </w:rPr>
        <w:t>grounded</w:t>
      </w:r>
      <w:proofErr w:type="spellEnd"/>
      <w:r>
        <w:rPr>
          <w:sz w:val="20"/>
          <w:szCs w:val="20"/>
        </w:rPr>
        <w:t xml:space="preserve"> in </w:t>
      </w:r>
      <w:proofErr w:type="spellStart"/>
      <w:r>
        <w:rPr>
          <w:sz w:val="20"/>
          <w:szCs w:val="20"/>
        </w:rPr>
        <w:t>historical</w:t>
      </w:r>
      <w:proofErr w:type="spellEnd"/>
      <w:r>
        <w:rPr>
          <w:sz w:val="20"/>
          <w:szCs w:val="20"/>
        </w:rPr>
        <w:t xml:space="preserve"> </w:t>
      </w:r>
      <w:proofErr w:type="spellStart"/>
      <w:r>
        <w:rPr>
          <w:sz w:val="20"/>
          <w:szCs w:val="20"/>
        </w:rPr>
        <w:t>institutionalism</w:t>
      </w:r>
      <w:proofErr w:type="spellEnd"/>
      <w:r>
        <w:rPr>
          <w:sz w:val="20"/>
          <w:szCs w:val="20"/>
        </w:rPr>
        <w:t xml:space="preserve">, </w:t>
      </w:r>
      <w:proofErr w:type="spellStart"/>
      <w:r>
        <w:rPr>
          <w:sz w:val="20"/>
          <w:szCs w:val="20"/>
        </w:rPr>
        <w:t>analyzes</w:t>
      </w:r>
      <w:proofErr w:type="spellEnd"/>
      <w:r>
        <w:rPr>
          <w:sz w:val="20"/>
          <w:szCs w:val="20"/>
        </w:rPr>
        <w:t xml:space="preserve"> </w:t>
      </w:r>
      <w:proofErr w:type="spellStart"/>
      <w:r>
        <w:rPr>
          <w:sz w:val="20"/>
          <w:szCs w:val="20"/>
        </w:rPr>
        <w:t>how</w:t>
      </w:r>
      <w:proofErr w:type="spellEnd"/>
      <w:r>
        <w:rPr>
          <w:sz w:val="20"/>
          <w:szCs w:val="20"/>
        </w:rPr>
        <w:t xml:space="preserve"> </w:t>
      </w:r>
      <w:proofErr w:type="spellStart"/>
      <w:r>
        <w:rPr>
          <w:sz w:val="20"/>
          <w:szCs w:val="20"/>
        </w:rPr>
        <w:t>institutions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actors</w:t>
      </w:r>
      <w:proofErr w:type="spellEnd"/>
      <w:r>
        <w:rPr>
          <w:sz w:val="20"/>
          <w:szCs w:val="20"/>
        </w:rPr>
        <w:t xml:space="preserve"> </w:t>
      </w:r>
      <w:proofErr w:type="spellStart"/>
      <w:r>
        <w:rPr>
          <w:sz w:val="20"/>
          <w:szCs w:val="20"/>
        </w:rPr>
        <w:t>shaped</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program's</w:t>
      </w:r>
      <w:proofErr w:type="spellEnd"/>
      <w:r>
        <w:rPr>
          <w:sz w:val="20"/>
          <w:szCs w:val="20"/>
        </w:rPr>
        <w:t xml:space="preserve"> </w:t>
      </w:r>
      <w:proofErr w:type="spellStart"/>
      <w:r>
        <w:rPr>
          <w:sz w:val="20"/>
          <w:szCs w:val="20"/>
        </w:rPr>
        <w:t>trajectory</w:t>
      </w:r>
      <w:proofErr w:type="spellEnd"/>
      <w:r>
        <w:rPr>
          <w:sz w:val="20"/>
          <w:szCs w:val="20"/>
        </w:rPr>
        <w:t xml:space="preserve">. The </w:t>
      </w:r>
      <w:proofErr w:type="spellStart"/>
      <w:r>
        <w:rPr>
          <w:sz w:val="20"/>
          <w:szCs w:val="20"/>
        </w:rPr>
        <w:t>methodology</w:t>
      </w:r>
      <w:proofErr w:type="spellEnd"/>
      <w:r>
        <w:rPr>
          <w:sz w:val="20"/>
          <w:szCs w:val="20"/>
        </w:rPr>
        <w:t xml:space="preserve"> </w:t>
      </w:r>
      <w:proofErr w:type="spellStart"/>
      <w:r>
        <w:rPr>
          <w:sz w:val="20"/>
          <w:szCs w:val="20"/>
        </w:rPr>
        <w:t>included</w:t>
      </w:r>
      <w:proofErr w:type="spellEnd"/>
      <w:r>
        <w:rPr>
          <w:sz w:val="20"/>
          <w:szCs w:val="20"/>
        </w:rPr>
        <w:t xml:space="preserve"> </w:t>
      </w:r>
      <w:proofErr w:type="spellStart"/>
      <w:r>
        <w:rPr>
          <w:sz w:val="20"/>
          <w:szCs w:val="20"/>
        </w:rPr>
        <w:t>bibliographic</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documentary</w:t>
      </w:r>
      <w:proofErr w:type="spellEnd"/>
      <w:r>
        <w:rPr>
          <w:sz w:val="20"/>
          <w:szCs w:val="20"/>
        </w:rPr>
        <w:t xml:space="preserve"> review. </w:t>
      </w:r>
      <w:proofErr w:type="spellStart"/>
      <w:r>
        <w:rPr>
          <w:sz w:val="20"/>
          <w:szCs w:val="20"/>
        </w:rPr>
        <w:t>Results</w:t>
      </w:r>
      <w:proofErr w:type="spellEnd"/>
      <w:r>
        <w:rPr>
          <w:sz w:val="20"/>
          <w:szCs w:val="20"/>
        </w:rPr>
        <w:t xml:space="preserve"> show a non-linear </w:t>
      </w:r>
      <w:proofErr w:type="spellStart"/>
      <w:r>
        <w:rPr>
          <w:sz w:val="20"/>
          <w:szCs w:val="20"/>
        </w:rPr>
        <w:t>trajectory</w:t>
      </w:r>
      <w:proofErr w:type="spellEnd"/>
      <w:r>
        <w:rPr>
          <w:sz w:val="20"/>
          <w:szCs w:val="20"/>
        </w:rPr>
        <w:t xml:space="preserve">: </w:t>
      </w:r>
      <w:proofErr w:type="spellStart"/>
      <w:r>
        <w:rPr>
          <w:sz w:val="20"/>
          <w:szCs w:val="20"/>
        </w:rPr>
        <w:t>Dilma's</w:t>
      </w:r>
      <w:proofErr w:type="spellEnd"/>
      <w:r>
        <w:rPr>
          <w:sz w:val="20"/>
          <w:szCs w:val="20"/>
        </w:rPr>
        <w:t xml:space="preserve"> </w:t>
      </w:r>
      <w:proofErr w:type="spellStart"/>
      <w:r>
        <w:rPr>
          <w:sz w:val="20"/>
          <w:szCs w:val="20"/>
        </w:rPr>
        <w:t>government</w:t>
      </w:r>
      <w:proofErr w:type="spellEnd"/>
      <w:r>
        <w:rPr>
          <w:sz w:val="20"/>
          <w:szCs w:val="20"/>
        </w:rPr>
        <w:t xml:space="preserve"> </w:t>
      </w:r>
      <w:proofErr w:type="spellStart"/>
      <w:r>
        <w:rPr>
          <w:sz w:val="20"/>
          <w:szCs w:val="20"/>
        </w:rPr>
        <w:t>instituted</w:t>
      </w:r>
      <w:proofErr w:type="spellEnd"/>
      <w:r>
        <w:rPr>
          <w:sz w:val="20"/>
          <w:szCs w:val="20"/>
        </w:rPr>
        <w:t xml:space="preserve"> </w:t>
      </w:r>
      <w:proofErr w:type="spellStart"/>
      <w:r>
        <w:rPr>
          <w:sz w:val="20"/>
          <w:szCs w:val="20"/>
        </w:rPr>
        <w:t>the</w:t>
      </w:r>
      <w:proofErr w:type="spellEnd"/>
      <w:r>
        <w:rPr>
          <w:sz w:val="20"/>
          <w:szCs w:val="20"/>
        </w:rPr>
        <w:t xml:space="preserve"> PMVSV </w:t>
      </w:r>
      <w:proofErr w:type="spellStart"/>
      <w:r>
        <w:rPr>
          <w:sz w:val="20"/>
          <w:szCs w:val="20"/>
        </w:rPr>
        <w:t>and</w:t>
      </w:r>
      <w:proofErr w:type="spellEnd"/>
      <w:r>
        <w:rPr>
          <w:sz w:val="20"/>
          <w:szCs w:val="20"/>
        </w:rPr>
        <w:t xml:space="preserve"> </w:t>
      </w:r>
      <w:proofErr w:type="spellStart"/>
      <w:r>
        <w:rPr>
          <w:sz w:val="20"/>
          <w:szCs w:val="20"/>
        </w:rPr>
        <w:t>the</w:t>
      </w:r>
      <w:proofErr w:type="spellEnd"/>
      <w:r>
        <w:rPr>
          <w:sz w:val="20"/>
          <w:szCs w:val="20"/>
        </w:rPr>
        <w:t xml:space="preserve"> "Casas da Mulher Brasilei</w:t>
      </w:r>
      <w:r>
        <w:rPr>
          <w:sz w:val="20"/>
          <w:szCs w:val="20"/>
        </w:rPr>
        <w:t>ra" (</w:t>
      </w:r>
      <w:proofErr w:type="spellStart"/>
      <w:r>
        <w:rPr>
          <w:sz w:val="20"/>
          <w:szCs w:val="20"/>
        </w:rPr>
        <w:t>CMBs</w:t>
      </w:r>
      <w:proofErr w:type="spellEnd"/>
      <w:r>
        <w:rPr>
          <w:sz w:val="20"/>
          <w:szCs w:val="20"/>
        </w:rPr>
        <w:t xml:space="preserve">), </w:t>
      </w:r>
      <w:proofErr w:type="spellStart"/>
      <w:r>
        <w:rPr>
          <w:sz w:val="20"/>
          <w:szCs w:val="20"/>
        </w:rPr>
        <w:t>but</w:t>
      </w:r>
      <w:proofErr w:type="spellEnd"/>
      <w:r>
        <w:rPr>
          <w:sz w:val="20"/>
          <w:szCs w:val="20"/>
        </w:rPr>
        <w:t xml:space="preserve"> </w:t>
      </w:r>
      <w:proofErr w:type="spellStart"/>
      <w:r>
        <w:rPr>
          <w:sz w:val="20"/>
          <w:szCs w:val="20"/>
        </w:rPr>
        <w:t>faced</w:t>
      </w:r>
      <w:proofErr w:type="spellEnd"/>
      <w:r>
        <w:rPr>
          <w:sz w:val="20"/>
          <w:szCs w:val="20"/>
        </w:rPr>
        <w:t xml:space="preserve"> </w:t>
      </w:r>
      <w:proofErr w:type="spellStart"/>
      <w:r>
        <w:rPr>
          <w:sz w:val="20"/>
          <w:szCs w:val="20"/>
        </w:rPr>
        <w:t>precarization</w:t>
      </w:r>
      <w:proofErr w:type="spellEnd"/>
      <w:r>
        <w:rPr>
          <w:sz w:val="20"/>
          <w:szCs w:val="20"/>
        </w:rPr>
        <w:t xml:space="preserve"> post-impeachment. Temer </w:t>
      </w:r>
      <w:proofErr w:type="spellStart"/>
      <w:r>
        <w:rPr>
          <w:sz w:val="20"/>
          <w:szCs w:val="20"/>
        </w:rPr>
        <w:t>deepened</w:t>
      </w:r>
      <w:proofErr w:type="spellEnd"/>
      <w:r>
        <w:rPr>
          <w:sz w:val="20"/>
          <w:szCs w:val="20"/>
        </w:rPr>
        <w:t xml:space="preserve"> </w:t>
      </w:r>
      <w:proofErr w:type="spellStart"/>
      <w:r>
        <w:rPr>
          <w:sz w:val="20"/>
          <w:szCs w:val="20"/>
        </w:rPr>
        <w:t>this</w:t>
      </w:r>
      <w:proofErr w:type="spellEnd"/>
      <w:r>
        <w:rPr>
          <w:sz w:val="20"/>
          <w:szCs w:val="20"/>
        </w:rPr>
        <w:t xml:space="preserve"> </w:t>
      </w:r>
      <w:proofErr w:type="spellStart"/>
      <w:r>
        <w:rPr>
          <w:sz w:val="20"/>
          <w:szCs w:val="20"/>
        </w:rPr>
        <w:t>fragility</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Spending</w:t>
      </w:r>
      <w:proofErr w:type="spellEnd"/>
      <w:r>
        <w:rPr>
          <w:sz w:val="20"/>
          <w:szCs w:val="20"/>
        </w:rPr>
        <w:t xml:space="preserve"> Cap PEC. Bolsonaro </w:t>
      </w:r>
      <w:proofErr w:type="spellStart"/>
      <w:r>
        <w:rPr>
          <w:sz w:val="20"/>
          <w:szCs w:val="20"/>
        </w:rPr>
        <w:t>promoted</w:t>
      </w:r>
      <w:proofErr w:type="spellEnd"/>
      <w:r>
        <w:rPr>
          <w:sz w:val="20"/>
          <w:szCs w:val="20"/>
        </w:rPr>
        <w:t xml:space="preserve"> </w:t>
      </w:r>
      <w:proofErr w:type="spellStart"/>
      <w:r>
        <w:rPr>
          <w:sz w:val="20"/>
          <w:szCs w:val="20"/>
        </w:rPr>
        <w:t>ideological</w:t>
      </w:r>
      <w:proofErr w:type="spellEnd"/>
      <w:r>
        <w:rPr>
          <w:sz w:val="20"/>
          <w:szCs w:val="20"/>
        </w:rPr>
        <w:t xml:space="preserve"> </w:t>
      </w:r>
      <w:proofErr w:type="spellStart"/>
      <w:r>
        <w:rPr>
          <w:sz w:val="20"/>
          <w:szCs w:val="20"/>
        </w:rPr>
        <w:t>rupture</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dismantling</w:t>
      </w:r>
      <w:proofErr w:type="spellEnd"/>
      <w:r>
        <w:rPr>
          <w:sz w:val="20"/>
          <w:szCs w:val="20"/>
        </w:rPr>
        <w:t xml:space="preserve">, </w:t>
      </w:r>
      <w:proofErr w:type="spellStart"/>
      <w:r>
        <w:rPr>
          <w:sz w:val="20"/>
          <w:szCs w:val="20"/>
        </w:rPr>
        <w:t>altering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program</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increasing</w:t>
      </w:r>
      <w:proofErr w:type="spellEnd"/>
      <w:r>
        <w:rPr>
          <w:sz w:val="20"/>
          <w:szCs w:val="20"/>
        </w:rPr>
        <w:t xml:space="preserve"> </w:t>
      </w:r>
      <w:proofErr w:type="spellStart"/>
      <w:r>
        <w:rPr>
          <w:sz w:val="20"/>
          <w:szCs w:val="20"/>
        </w:rPr>
        <w:t>lethal</w:t>
      </w:r>
      <w:proofErr w:type="spellEnd"/>
      <w:r>
        <w:rPr>
          <w:sz w:val="20"/>
          <w:szCs w:val="20"/>
        </w:rPr>
        <w:t xml:space="preserve"> </w:t>
      </w:r>
      <w:proofErr w:type="spellStart"/>
      <w:r>
        <w:rPr>
          <w:sz w:val="20"/>
          <w:szCs w:val="20"/>
        </w:rPr>
        <w:t>violence</w:t>
      </w:r>
      <w:proofErr w:type="spellEnd"/>
      <w:r>
        <w:rPr>
          <w:sz w:val="20"/>
          <w:szCs w:val="20"/>
        </w:rPr>
        <w:t xml:space="preserve">. </w:t>
      </w:r>
      <w:proofErr w:type="spellStart"/>
      <w:r>
        <w:rPr>
          <w:sz w:val="20"/>
          <w:szCs w:val="20"/>
        </w:rPr>
        <w:t>Conversely</w:t>
      </w:r>
      <w:proofErr w:type="spellEnd"/>
      <w:r>
        <w:rPr>
          <w:sz w:val="20"/>
          <w:szCs w:val="20"/>
        </w:rPr>
        <w:t xml:space="preserve">, </w:t>
      </w:r>
      <w:proofErr w:type="spellStart"/>
      <w:r>
        <w:rPr>
          <w:sz w:val="20"/>
          <w:szCs w:val="20"/>
        </w:rPr>
        <w:t>the</w:t>
      </w:r>
      <w:proofErr w:type="spellEnd"/>
      <w:r>
        <w:rPr>
          <w:sz w:val="20"/>
          <w:szCs w:val="20"/>
        </w:rPr>
        <w:t xml:space="preserve"> Lula </w:t>
      </w:r>
      <w:proofErr w:type="spellStart"/>
      <w:r>
        <w:rPr>
          <w:sz w:val="20"/>
          <w:szCs w:val="20"/>
        </w:rPr>
        <w:t>government</w:t>
      </w:r>
      <w:proofErr w:type="spellEnd"/>
      <w:r>
        <w:rPr>
          <w:sz w:val="20"/>
          <w:szCs w:val="20"/>
        </w:rPr>
        <w:t xml:space="preserve"> (2023) </w:t>
      </w:r>
      <w:proofErr w:type="spellStart"/>
      <w:r>
        <w:rPr>
          <w:sz w:val="20"/>
          <w:szCs w:val="20"/>
        </w:rPr>
        <w:t>signaled</w:t>
      </w:r>
      <w:proofErr w:type="spellEnd"/>
      <w:r>
        <w:rPr>
          <w:sz w:val="20"/>
          <w:szCs w:val="20"/>
        </w:rPr>
        <w:t xml:space="preserve"> </w:t>
      </w:r>
      <w:proofErr w:type="spellStart"/>
      <w:r>
        <w:rPr>
          <w:sz w:val="20"/>
          <w:szCs w:val="20"/>
        </w:rPr>
        <w:t>re-establishment</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rupture</w:t>
      </w:r>
      <w:proofErr w:type="spellEnd"/>
      <w:r>
        <w:rPr>
          <w:sz w:val="20"/>
          <w:szCs w:val="20"/>
        </w:rPr>
        <w:t xml:space="preserve">, </w:t>
      </w:r>
      <w:proofErr w:type="spellStart"/>
      <w:r>
        <w:rPr>
          <w:sz w:val="20"/>
          <w:szCs w:val="20"/>
        </w:rPr>
        <w:t>relaunching</w:t>
      </w:r>
      <w:proofErr w:type="spellEnd"/>
      <w:r>
        <w:rPr>
          <w:sz w:val="20"/>
          <w:szCs w:val="20"/>
        </w:rPr>
        <w:t xml:space="preserve"> </w:t>
      </w:r>
      <w:proofErr w:type="spellStart"/>
      <w:r>
        <w:rPr>
          <w:sz w:val="20"/>
          <w:szCs w:val="20"/>
        </w:rPr>
        <w:t>the</w:t>
      </w:r>
      <w:proofErr w:type="spellEnd"/>
      <w:r>
        <w:rPr>
          <w:sz w:val="20"/>
          <w:szCs w:val="20"/>
        </w:rPr>
        <w:t xml:space="preserve"> PMVSV </w:t>
      </w:r>
      <w:proofErr w:type="spellStart"/>
      <w:r>
        <w:rPr>
          <w:sz w:val="20"/>
          <w:szCs w:val="20"/>
        </w:rPr>
        <w:t>and</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Ministry</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Women</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significantly</w:t>
      </w:r>
      <w:proofErr w:type="spellEnd"/>
      <w:r>
        <w:rPr>
          <w:sz w:val="20"/>
          <w:szCs w:val="20"/>
        </w:rPr>
        <w:t xml:space="preserve"> </w:t>
      </w:r>
      <w:proofErr w:type="spellStart"/>
      <w:r>
        <w:rPr>
          <w:sz w:val="20"/>
          <w:szCs w:val="20"/>
        </w:rPr>
        <w:t>increased</w:t>
      </w:r>
      <w:proofErr w:type="spellEnd"/>
      <w:r>
        <w:rPr>
          <w:sz w:val="20"/>
          <w:szCs w:val="20"/>
        </w:rPr>
        <w:t xml:space="preserve"> </w:t>
      </w:r>
      <w:proofErr w:type="spellStart"/>
      <w:r>
        <w:rPr>
          <w:sz w:val="20"/>
          <w:szCs w:val="20"/>
        </w:rPr>
        <w:t>investments</w:t>
      </w:r>
      <w:proofErr w:type="spellEnd"/>
      <w:r>
        <w:rPr>
          <w:sz w:val="20"/>
          <w:szCs w:val="20"/>
        </w:rPr>
        <w:t xml:space="preserve"> </w:t>
      </w:r>
      <w:proofErr w:type="spellStart"/>
      <w:r>
        <w:rPr>
          <w:sz w:val="20"/>
          <w:szCs w:val="20"/>
        </w:rPr>
        <w:t>and</w:t>
      </w:r>
      <w:proofErr w:type="spellEnd"/>
      <w:r>
        <w:rPr>
          <w:sz w:val="20"/>
          <w:szCs w:val="20"/>
        </w:rPr>
        <w:t xml:space="preserve"> a </w:t>
      </w:r>
      <w:proofErr w:type="spellStart"/>
      <w:r>
        <w:rPr>
          <w:sz w:val="20"/>
          <w:szCs w:val="20"/>
        </w:rPr>
        <w:t>focus</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intersectionality</w:t>
      </w:r>
      <w:proofErr w:type="spellEnd"/>
      <w:r>
        <w:rPr>
          <w:sz w:val="20"/>
          <w:szCs w:val="20"/>
        </w:rPr>
        <w:t xml:space="preserve">. </w:t>
      </w:r>
    </w:p>
    <w:p w14:paraId="1C914A25" w14:textId="77777777" w:rsidR="00D44BC7" w:rsidRDefault="00CD402A">
      <w:pPr>
        <w:spacing w:line="240" w:lineRule="auto"/>
        <w:ind w:left="2835"/>
        <w:jc w:val="both"/>
        <w:rPr>
          <w:sz w:val="20"/>
          <w:szCs w:val="20"/>
        </w:rPr>
        <w:sectPr w:rsidR="00D44BC7">
          <w:headerReference w:type="default" r:id="rId6"/>
          <w:pgSz w:w="11909" w:h="16834"/>
          <w:pgMar w:top="737" w:right="1133" w:bottom="1303" w:left="1700" w:header="3401" w:footer="720" w:gutter="0"/>
          <w:pgNumType w:start="1"/>
          <w:cols w:space="720"/>
        </w:sectPr>
      </w:pPr>
      <w:r>
        <w:rPr>
          <w:b/>
          <w:sz w:val="20"/>
          <w:szCs w:val="20"/>
        </w:rPr>
        <w:t>Keywords</w:t>
      </w:r>
      <w:r>
        <w:rPr>
          <w:sz w:val="20"/>
          <w:szCs w:val="20"/>
        </w:rPr>
        <w:t xml:space="preserve">: </w:t>
      </w:r>
      <w:proofErr w:type="spellStart"/>
      <w:r>
        <w:rPr>
          <w:sz w:val="20"/>
          <w:szCs w:val="20"/>
        </w:rPr>
        <w:t>Women's</w:t>
      </w:r>
      <w:proofErr w:type="spellEnd"/>
      <w:r>
        <w:rPr>
          <w:sz w:val="20"/>
          <w:szCs w:val="20"/>
        </w:rPr>
        <w:t xml:space="preserve"> </w:t>
      </w:r>
      <w:proofErr w:type="spellStart"/>
      <w:r>
        <w:rPr>
          <w:sz w:val="20"/>
          <w:szCs w:val="20"/>
        </w:rPr>
        <w:t>Program</w:t>
      </w:r>
      <w:proofErr w:type="spellEnd"/>
      <w:r>
        <w:rPr>
          <w:sz w:val="20"/>
          <w:szCs w:val="20"/>
        </w:rPr>
        <w:t xml:space="preserve">: Living </w:t>
      </w:r>
      <w:proofErr w:type="spellStart"/>
      <w:r>
        <w:rPr>
          <w:sz w:val="20"/>
          <w:szCs w:val="20"/>
        </w:rPr>
        <w:t>without</w:t>
      </w:r>
      <w:proofErr w:type="spellEnd"/>
      <w:r>
        <w:rPr>
          <w:sz w:val="20"/>
          <w:szCs w:val="20"/>
        </w:rPr>
        <w:t xml:space="preserve"> </w:t>
      </w:r>
      <w:proofErr w:type="spellStart"/>
      <w:r>
        <w:rPr>
          <w:sz w:val="20"/>
          <w:szCs w:val="20"/>
        </w:rPr>
        <w:t>violence</w:t>
      </w:r>
      <w:proofErr w:type="spellEnd"/>
      <w:r>
        <w:rPr>
          <w:sz w:val="20"/>
          <w:szCs w:val="20"/>
        </w:rPr>
        <w:t xml:space="preserve"> (PMVSV); </w:t>
      </w:r>
      <w:proofErr w:type="spellStart"/>
      <w:r>
        <w:rPr>
          <w:sz w:val="20"/>
          <w:szCs w:val="20"/>
        </w:rPr>
        <w:t>Historical</w:t>
      </w:r>
      <w:proofErr w:type="spellEnd"/>
      <w:r>
        <w:rPr>
          <w:sz w:val="20"/>
          <w:szCs w:val="20"/>
        </w:rPr>
        <w:t xml:space="preserve"> </w:t>
      </w:r>
      <w:proofErr w:type="spellStart"/>
      <w:r>
        <w:rPr>
          <w:sz w:val="20"/>
          <w:szCs w:val="20"/>
        </w:rPr>
        <w:t>institutionalism</w:t>
      </w:r>
      <w:proofErr w:type="spellEnd"/>
      <w:r>
        <w:rPr>
          <w:sz w:val="20"/>
          <w:szCs w:val="20"/>
        </w:rPr>
        <w:t xml:space="preserve">; </w:t>
      </w:r>
      <w:proofErr w:type="spellStart"/>
      <w:r>
        <w:rPr>
          <w:sz w:val="20"/>
          <w:szCs w:val="20"/>
        </w:rPr>
        <w:t>Evaluation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public</w:t>
      </w:r>
      <w:proofErr w:type="spellEnd"/>
      <w:r>
        <w:rPr>
          <w:sz w:val="20"/>
          <w:szCs w:val="20"/>
        </w:rPr>
        <w:t xml:space="preserve"> policies</w:t>
      </w:r>
    </w:p>
    <w:p w14:paraId="1C914A26" w14:textId="77777777" w:rsidR="00D44BC7" w:rsidRDefault="00D44BC7">
      <w:pPr>
        <w:spacing w:line="240" w:lineRule="auto"/>
        <w:jc w:val="both"/>
        <w:rPr>
          <w:sz w:val="20"/>
          <w:szCs w:val="20"/>
        </w:rPr>
      </w:pPr>
    </w:p>
    <w:p w14:paraId="00052DFC" w14:textId="77777777" w:rsidR="0014683E" w:rsidRDefault="0014683E">
      <w:pPr>
        <w:spacing w:line="240" w:lineRule="auto"/>
        <w:jc w:val="both"/>
        <w:rPr>
          <w:sz w:val="20"/>
          <w:szCs w:val="20"/>
        </w:rPr>
      </w:pPr>
    </w:p>
    <w:p w14:paraId="6164FE39" w14:textId="77777777" w:rsidR="0014683E" w:rsidRDefault="0014683E">
      <w:pPr>
        <w:spacing w:line="240" w:lineRule="auto"/>
        <w:jc w:val="both"/>
        <w:rPr>
          <w:sz w:val="20"/>
          <w:szCs w:val="20"/>
        </w:rPr>
      </w:pPr>
    </w:p>
    <w:p w14:paraId="6506717C" w14:textId="77777777" w:rsidR="00CD402A" w:rsidRDefault="00CD402A">
      <w:pPr>
        <w:spacing w:line="240" w:lineRule="auto"/>
        <w:jc w:val="both"/>
        <w:rPr>
          <w:sz w:val="20"/>
          <w:szCs w:val="20"/>
        </w:rPr>
      </w:pPr>
    </w:p>
    <w:p w14:paraId="07576C5E" w14:textId="77777777" w:rsidR="00CD402A" w:rsidRDefault="00CD402A">
      <w:pPr>
        <w:spacing w:line="240" w:lineRule="auto"/>
        <w:jc w:val="both"/>
        <w:rPr>
          <w:sz w:val="20"/>
          <w:szCs w:val="20"/>
        </w:rPr>
      </w:pPr>
    </w:p>
    <w:p w14:paraId="4F1B880C" w14:textId="77777777" w:rsidR="00CD402A" w:rsidRDefault="00CD402A">
      <w:pPr>
        <w:spacing w:line="240" w:lineRule="auto"/>
        <w:jc w:val="both"/>
        <w:rPr>
          <w:sz w:val="20"/>
          <w:szCs w:val="20"/>
        </w:rPr>
      </w:pPr>
    </w:p>
    <w:p w14:paraId="05FC1617" w14:textId="77777777" w:rsidR="00CD402A" w:rsidRDefault="00CD402A">
      <w:pPr>
        <w:spacing w:line="240" w:lineRule="auto"/>
        <w:jc w:val="both"/>
        <w:rPr>
          <w:sz w:val="20"/>
          <w:szCs w:val="20"/>
        </w:rPr>
      </w:pPr>
    </w:p>
    <w:p w14:paraId="0C85CD25" w14:textId="77777777" w:rsidR="00CD402A" w:rsidRDefault="00CD402A">
      <w:pPr>
        <w:spacing w:line="240" w:lineRule="auto"/>
        <w:jc w:val="both"/>
        <w:rPr>
          <w:sz w:val="20"/>
          <w:szCs w:val="20"/>
        </w:rPr>
      </w:pPr>
    </w:p>
    <w:p w14:paraId="356E8F6D" w14:textId="77777777" w:rsidR="00CD402A" w:rsidRDefault="00CD402A">
      <w:pPr>
        <w:spacing w:line="240" w:lineRule="auto"/>
        <w:jc w:val="both"/>
        <w:rPr>
          <w:sz w:val="20"/>
          <w:szCs w:val="20"/>
        </w:rPr>
      </w:pPr>
    </w:p>
    <w:p w14:paraId="2DEE90B7" w14:textId="77777777" w:rsidR="0014683E" w:rsidRDefault="0014683E">
      <w:pPr>
        <w:spacing w:line="240" w:lineRule="auto"/>
        <w:jc w:val="both"/>
        <w:rPr>
          <w:sz w:val="20"/>
          <w:szCs w:val="20"/>
        </w:rPr>
      </w:pPr>
    </w:p>
    <w:p w14:paraId="1C914A27" w14:textId="77777777" w:rsidR="00D44BC7" w:rsidRDefault="00CD402A">
      <w:pPr>
        <w:spacing w:line="360" w:lineRule="auto"/>
        <w:jc w:val="both"/>
        <w:rPr>
          <w:sz w:val="24"/>
          <w:szCs w:val="24"/>
        </w:rPr>
      </w:pPr>
      <w:r>
        <w:rPr>
          <w:b/>
          <w:sz w:val="24"/>
          <w:szCs w:val="24"/>
        </w:rPr>
        <w:lastRenderedPageBreak/>
        <w:t>1</w:t>
      </w:r>
      <w:r>
        <w:rPr>
          <w:b/>
          <w:sz w:val="24"/>
          <w:szCs w:val="24"/>
        </w:rPr>
        <w:tab/>
        <w:t>INTRODUÇÃO</w:t>
      </w:r>
    </w:p>
    <w:p w14:paraId="1C914A28" w14:textId="77777777" w:rsidR="00D44BC7" w:rsidRDefault="00CD402A">
      <w:pPr>
        <w:spacing w:line="360" w:lineRule="auto"/>
        <w:ind w:firstLine="708"/>
        <w:jc w:val="both"/>
        <w:rPr>
          <w:sz w:val="24"/>
          <w:szCs w:val="24"/>
        </w:rPr>
      </w:pPr>
      <w:r>
        <w:rPr>
          <w:sz w:val="24"/>
          <w:szCs w:val="24"/>
        </w:rPr>
        <w:t xml:space="preserve">A violência contra as mulheres representa um desafio social persistente e complexo no Brasil, com profundas raízes históricas e culturais que se manifestam em estruturas patriarcais e misóginas. Diante desse cenário alarmante, o Estado brasileiro tem buscado implementar políticas públicas para o enfrentamento dessa problemática. Neste contexto, o Programa Mulher: Viver sem Violência (PMVSV) foi instituído em 2013, durante a gestão da então presidenta Dilma Rousseff, sob a coordenação da Secretaria Especial </w:t>
      </w:r>
      <w:r>
        <w:rPr>
          <w:sz w:val="24"/>
          <w:szCs w:val="24"/>
        </w:rPr>
        <w:t>de Políticas para as Mulheres (SPM). Sua criação visava promover uma abordagem integrada no combate à violência de gênero, abrangendo tanto medidas corretivas para os agressores quanto o apoio e a proteção das mulheres em situação de violência, buscando salvaguardar suas integridades física, social e o direito à vida.</w:t>
      </w:r>
    </w:p>
    <w:p w14:paraId="1C914A29" w14:textId="77777777" w:rsidR="00D44BC7" w:rsidRDefault="00CD402A">
      <w:pPr>
        <w:spacing w:line="360" w:lineRule="auto"/>
        <w:ind w:firstLine="708"/>
        <w:jc w:val="both"/>
        <w:rPr>
          <w:sz w:val="24"/>
          <w:szCs w:val="24"/>
        </w:rPr>
      </w:pPr>
      <w:r>
        <w:rPr>
          <w:sz w:val="24"/>
          <w:szCs w:val="24"/>
        </w:rPr>
        <w:t xml:space="preserve">A trajetória do PMVSV, entretanto, foi marcada por desafios significativos. Estudos indicam que a execução da política sofreu com a precarização, impulsionada por constrições orçamentárias e pela instabilidade política decorrente do impeachment de Dilma Rousseff em 2016, cenário que persistiu nos governos subsequentes </w:t>
      </w:r>
      <w:hyperlink r:id="rId7">
        <w:r w:rsidR="00D44BC7">
          <w:rPr>
            <w:sz w:val="24"/>
            <w:szCs w:val="24"/>
          </w:rPr>
          <w:t>(</w:t>
        </w:r>
        <w:proofErr w:type="spellStart"/>
        <w:r w:rsidR="00D44BC7">
          <w:rPr>
            <w:sz w:val="24"/>
            <w:szCs w:val="24"/>
          </w:rPr>
          <w:t>Malgarezi</w:t>
        </w:r>
        <w:proofErr w:type="spellEnd"/>
        <w:r w:rsidR="00D44BC7">
          <w:rPr>
            <w:sz w:val="24"/>
            <w:szCs w:val="24"/>
          </w:rPr>
          <w:t xml:space="preserve">, 2024; Marques; Silva, 2017; </w:t>
        </w:r>
        <w:proofErr w:type="spellStart"/>
        <w:r w:rsidR="00D44BC7">
          <w:rPr>
            <w:sz w:val="24"/>
            <w:szCs w:val="24"/>
          </w:rPr>
          <w:t>Sardenderg</w:t>
        </w:r>
        <w:proofErr w:type="spellEnd"/>
        <w:r w:rsidR="00D44BC7">
          <w:rPr>
            <w:sz w:val="24"/>
            <w:szCs w:val="24"/>
          </w:rPr>
          <w:t>, 2018)</w:t>
        </w:r>
      </w:hyperlink>
      <w:r>
        <w:rPr>
          <w:sz w:val="24"/>
          <w:szCs w:val="24"/>
        </w:rPr>
        <w:t xml:space="preserve">. Essa instabilidade e a subsequente descontinuidade de ações impactaram diretamente a capacidade do programa de atingir seus </w:t>
      </w:r>
      <w:r>
        <w:rPr>
          <w:sz w:val="24"/>
          <w:szCs w:val="24"/>
        </w:rPr>
        <w:t>objetivos, evidenciando a fragilidade da articulação e priorização de políticas públicas essenciais pelos governos no período.</w:t>
      </w:r>
    </w:p>
    <w:p w14:paraId="1C914A2A" w14:textId="3F5695E5" w:rsidR="00D44BC7" w:rsidRDefault="00CD402A">
      <w:pPr>
        <w:spacing w:line="360" w:lineRule="auto"/>
        <w:ind w:firstLine="708"/>
        <w:jc w:val="both"/>
        <w:rPr>
          <w:sz w:val="24"/>
          <w:szCs w:val="24"/>
        </w:rPr>
      </w:pPr>
      <w:r>
        <w:rPr>
          <w:sz w:val="24"/>
          <w:szCs w:val="24"/>
        </w:rPr>
        <w:t xml:space="preserve">A gravidade da violência de gênero no Brasil é amplamente documentada por dados recentes, que reiteram a urgência de políticas públicas eficazes. Conforme a 10ª Pesquisa Nacional de Violência contra a Mulher, 30% das mulheres brasileiras já sofreram algum tipo de violência doméstica ou familiar praticada por um homem </w:t>
      </w:r>
      <w:hyperlink r:id="rId8">
        <w:r w:rsidR="00D44BC7">
          <w:rPr>
            <w:sz w:val="24"/>
            <w:szCs w:val="24"/>
          </w:rPr>
          <w:t>(Senado Federal, 2023)</w:t>
        </w:r>
      </w:hyperlink>
      <w:r>
        <w:rPr>
          <w:sz w:val="24"/>
          <w:szCs w:val="24"/>
        </w:rPr>
        <w:t xml:space="preserve">. A pesquisa "Visível e Invisível: a Vitimização de Mulheres no Brasil" revela </w:t>
      </w:r>
      <w:r w:rsidR="0014683E">
        <w:rPr>
          <w:sz w:val="24"/>
          <w:szCs w:val="24"/>
        </w:rPr>
        <w:t>que 21</w:t>
      </w:r>
      <w:r>
        <w:rPr>
          <w:sz w:val="24"/>
          <w:szCs w:val="24"/>
        </w:rPr>
        <w:t xml:space="preserve">,4 milhões de brasileiras sofreram algum tipo de agressão, o que representa 37,5% da população feminina, em 2023 </w:t>
      </w:r>
      <w:hyperlink r:id="rId9">
        <w:r w:rsidR="00D44BC7">
          <w:rPr>
            <w:sz w:val="24"/>
            <w:szCs w:val="24"/>
          </w:rPr>
          <w:t>(Senado Federal, 2023)</w:t>
        </w:r>
      </w:hyperlink>
      <w:r>
        <w:rPr>
          <w:sz w:val="24"/>
          <w:szCs w:val="24"/>
        </w:rPr>
        <w:t>.</w:t>
      </w:r>
    </w:p>
    <w:p w14:paraId="1C914A2B" w14:textId="77777777" w:rsidR="00D44BC7" w:rsidRDefault="00CD402A">
      <w:pPr>
        <w:spacing w:line="360" w:lineRule="auto"/>
        <w:ind w:firstLine="708"/>
        <w:jc w:val="both"/>
        <w:rPr>
          <w:sz w:val="24"/>
          <w:szCs w:val="24"/>
        </w:rPr>
      </w:pPr>
      <w:r>
        <w:rPr>
          <w:sz w:val="24"/>
          <w:szCs w:val="24"/>
        </w:rPr>
        <w:lastRenderedPageBreak/>
        <w:t xml:space="preserve">A violência contra as mulheres não as afeta de forma homogênea. A lente da interseccionalidade é fundamental para analisar as vivências de mulheres negras, </w:t>
      </w:r>
      <w:proofErr w:type="spellStart"/>
      <w:r>
        <w:rPr>
          <w:sz w:val="24"/>
          <w:szCs w:val="24"/>
        </w:rPr>
        <w:t>periferizadas</w:t>
      </w:r>
      <w:proofErr w:type="spellEnd"/>
      <w:r>
        <w:rPr>
          <w:sz w:val="24"/>
          <w:szCs w:val="24"/>
        </w:rPr>
        <w:t>, indígenas, lésbicas, trans e travestis, que estão mais vulnerabilizadas e correm maiores riscos de sofrerem agressões.</w:t>
      </w:r>
    </w:p>
    <w:p w14:paraId="1C914A2C" w14:textId="77777777" w:rsidR="00D44BC7" w:rsidRDefault="00CD402A">
      <w:pPr>
        <w:spacing w:line="360" w:lineRule="auto"/>
        <w:ind w:firstLine="708"/>
        <w:jc w:val="both"/>
        <w:rPr>
          <w:sz w:val="24"/>
          <w:szCs w:val="24"/>
        </w:rPr>
      </w:pPr>
      <w:r>
        <w:rPr>
          <w:sz w:val="24"/>
          <w:szCs w:val="24"/>
        </w:rPr>
        <w:t xml:space="preserve">Diante desse panorama, o presente estudo tem como objetivo analisar as rupturas e continuidades da política de enfrentamento à violência contra as mulheres no Brasil, materializadas no Programa Mulher: Viver sem Violência </w:t>
      </w:r>
      <w:hyperlink r:id="rId10">
        <w:r w:rsidR="00D44BC7">
          <w:rPr>
            <w:sz w:val="24"/>
            <w:szCs w:val="24"/>
          </w:rPr>
          <w:t>(Brasil, 2013)</w:t>
        </w:r>
      </w:hyperlink>
      <w:r>
        <w:rPr>
          <w:sz w:val="24"/>
          <w:szCs w:val="24"/>
        </w:rPr>
        <w:t>. A pesquisa justifica-se pela necessidade de fortalecer as estratégias de proteção e promoção dos direitos das mulheres, garantindo a efetividade das ações governamentais, e contribui para a identificação de lacunas e potencialidades para aprimorar o programa, ajudando a demarcar momentos históricos do percurso da política.</w:t>
      </w:r>
    </w:p>
    <w:p w14:paraId="1C914A2D" w14:textId="77777777" w:rsidR="00D44BC7" w:rsidRDefault="00CD402A">
      <w:pPr>
        <w:spacing w:line="360" w:lineRule="auto"/>
        <w:jc w:val="both"/>
        <w:rPr>
          <w:b/>
          <w:sz w:val="24"/>
          <w:szCs w:val="24"/>
        </w:rPr>
      </w:pPr>
      <w:r>
        <w:rPr>
          <w:b/>
          <w:sz w:val="24"/>
          <w:szCs w:val="24"/>
        </w:rPr>
        <w:t>2</w:t>
      </w:r>
      <w:r>
        <w:rPr>
          <w:b/>
          <w:sz w:val="24"/>
          <w:szCs w:val="24"/>
        </w:rPr>
        <w:tab/>
        <w:t xml:space="preserve">METODOLOGIA  </w:t>
      </w:r>
    </w:p>
    <w:p w14:paraId="1C914A2E" w14:textId="5D21D699" w:rsidR="00D44BC7" w:rsidRDefault="00CD402A">
      <w:pPr>
        <w:spacing w:line="360" w:lineRule="auto"/>
        <w:ind w:firstLine="708"/>
        <w:jc w:val="both"/>
        <w:rPr>
          <w:sz w:val="24"/>
          <w:szCs w:val="24"/>
        </w:rPr>
      </w:pPr>
      <w:r>
        <w:rPr>
          <w:sz w:val="24"/>
          <w:szCs w:val="24"/>
        </w:rPr>
        <w:t xml:space="preserve">Este estudo adota uma abordagem de pesquisa qualitativa, de caráter descritivo, visando caracterizar a trajetória das rupturas e continuidades da política de enfrentamento à violência contra as mulheres no Brasil, </w:t>
      </w:r>
      <w:r w:rsidR="004B3D70">
        <w:rPr>
          <w:sz w:val="24"/>
          <w:szCs w:val="24"/>
        </w:rPr>
        <w:t>instituídas</w:t>
      </w:r>
      <w:r>
        <w:rPr>
          <w:sz w:val="24"/>
          <w:szCs w:val="24"/>
        </w:rPr>
        <w:t xml:space="preserve"> pelo PMVSV, durante os governos federais no </w:t>
      </w:r>
      <w:r w:rsidR="004B3D70">
        <w:rPr>
          <w:sz w:val="24"/>
          <w:szCs w:val="24"/>
        </w:rPr>
        <w:t>período</w:t>
      </w:r>
      <w:r>
        <w:rPr>
          <w:sz w:val="24"/>
          <w:szCs w:val="24"/>
        </w:rPr>
        <w:t xml:space="preserve"> de 2013 a 2023.</w:t>
      </w:r>
    </w:p>
    <w:p w14:paraId="1C914A2F" w14:textId="0E239028" w:rsidR="00D44BC7" w:rsidRDefault="00CD402A">
      <w:pPr>
        <w:spacing w:line="360" w:lineRule="auto"/>
        <w:ind w:firstLine="708"/>
        <w:jc w:val="both"/>
        <w:rPr>
          <w:sz w:val="24"/>
          <w:szCs w:val="24"/>
        </w:rPr>
      </w:pPr>
      <w:r>
        <w:rPr>
          <w:sz w:val="24"/>
          <w:szCs w:val="24"/>
        </w:rPr>
        <w:t xml:space="preserve">A pesquisa se insere no referencial de análise do campo de avaliação de políticas públicas, com foco na metodologia do institucionalismo histórico </w:t>
      </w:r>
      <w:hyperlink r:id="rId11">
        <w:r w:rsidR="00D44BC7">
          <w:rPr>
            <w:sz w:val="24"/>
            <w:szCs w:val="24"/>
          </w:rPr>
          <w:t xml:space="preserve">(Hall; Taylor, 2003; Pierson, 2004; </w:t>
        </w:r>
        <w:proofErr w:type="spellStart"/>
        <w:r w:rsidR="00D44BC7">
          <w:rPr>
            <w:sz w:val="24"/>
            <w:szCs w:val="24"/>
          </w:rPr>
          <w:t>Steinmo</w:t>
        </w:r>
        <w:proofErr w:type="spellEnd"/>
        <w:r w:rsidR="00D44BC7">
          <w:rPr>
            <w:sz w:val="24"/>
            <w:szCs w:val="24"/>
          </w:rPr>
          <w:t xml:space="preserve">; </w:t>
        </w:r>
        <w:proofErr w:type="spellStart"/>
        <w:r w:rsidR="00D44BC7">
          <w:rPr>
            <w:sz w:val="24"/>
            <w:szCs w:val="24"/>
          </w:rPr>
          <w:t>Thelen</w:t>
        </w:r>
        <w:proofErr w:type="spellEnd"/>
        <w:r w:rsidR="00D44BC7">
          <w:rPr>
            <w:sz w:val="24"/>
            <w:szCs w:val="24"/>
          </w:rPr>
          <w:t xml:space="preserve">; </w:t>
        </w:r>
        <w:proofErr w:type="spellStart"/>
        <w:r w:rsidR="00D44BC7">
          <w:rPr>
            <w:sz w:val="24"/>
            <w:szCs w:val="24"/>
          </w:rPr>
          <w:t>Longstreth</w:t>
        </w:r>
        <w:proofErr w:type="spellEnd"/>
        <w:r w:rsidR="00D44BC7">
          <w:rPr>
            <w:sz w:val="24"/>
            <w:szCs w:val="24"/>
          </w:rPr>
          <w:t>, 1992)</w:t>
        </w:r>
      </w:hyperlink>
      <w:r>
        <w:rPr>
          <w:sz w:val="24"/>
          <w:szCs w:val="24"/>
        </w:rPr>
        <w:t xml:space="preserve">. De acordo com essa elaboração, as instituições configuram-se enquanto um conjunto de procedimentos, protocolos, normas e convenções oficiais e oficiosas, que são estruturantes e promovem alterações nas estratégias dos atores. Essas alterações são percebidas nas arenas políticas, como também pela inserção dos atores dentro do processo político, que conduziu conjunto de estruturas e procedimentos </w:t>
      </w:r>
      <w:r w:rsidR="004B3D70">
        <w:rPr>
          <w:sz w:val="24"/>
          <w:szCs w:val="24"/>
        </w:rPr>
        <w:t>guiados pelos</w:t>
      </w:r>
      <w:r>
        <w:rPr>
          <w:sz w:val="24"/>
          <w:szCs w:val="24"/>
        </w:rPr>
        <w:t xml:space="preserve"> interesses defendidos (Dias; Lima; Teixeira, 2013; Hall; Taylor, 2003).</w:t>
      </w:r>
    </w:p>
    <w:p w14:paraId="1C914A30" w14:textId="2C21F3D9" w:rsidR="00D44BC7" w:rsidRDefault="00CD402A">
      <w:pPr>
        <w:spacing w:line="360" w:lineRule="auto"/>
        <w:ind w:firstLine="708"/>
        <w:jc w:val="both"/>
        <w:rPr>
          <w:sz w:val="24"/>
          <w:szCs w:val="24"/>
        </w:rPr>
      </w:pPr>
      <w:r>
        <w:rPr>
          <w:sz w:val="24"/>
          <w:szCs w:val="24"/>
        </w:rPr>
        <w:t xml:space="preserve">As instituições se tornam “path </w:t>
      </w:r>
      <w:proofErr w:type="spellStart"/>
      <w:r>
        <w:rPr>
          <w:sz w:val="24"/>
          <w:szCs w:val="24"/>
        </w:rPr>
        <w:t>dependent</w:t>
      </w:r>
      <w:proofErr w:type="spellEnd"/>
      <w:r>
        <w:rPr>
          <w:sz w:val="24"/>
          <w:szCs w:val="24"/>
        </w:rPr>
        <w:t xml:space="preserve">” (dependentes da trajetória) quando arranjos institucionais iniciais se solidificam após a introdução de uma política, </w:t>
      </w:r>
      <w:r>
        <w:rPr>
          <w:sz w:val="24"/>
          <w:szCs w:val="24"/>
        </w:rPr>
        <w:lastRenderedPageBreak/>
        <w:t xml:space="preserve">reduzindo a probabilidade de reversão das escolhas inicialmente empregadas. Isso implica que as políticas estabelecidas em um determinado momento configuram moldes definidores para o processo de tomada de decisão subsequente e propiciam a consolidação de arranjos institucionais existentes, pelo efeito </w:t>
      </w:r>
      <w:r>
        <w:rPr>
          <w:i/>
          <w:sz w:val="24"/>
          <w:szCs w:val="24"/>
        </w:rPr>
        <w:t xml:space="preserve">feedback </w:t>
      </w:r>
      <w:r>
        <w:rPr>
          <w:sz w:val="24"/>
          <w:szCs w:val="24"/>
        </w:rPr>
        <w:t xml:space="preserve">no processo político. Portanto, </w:t>
      </w:r>
      <w:r w:rsidR="00684C22">
        <w:rPr>
          <w:sz w:val="24"/>
          <w:szCs w:val="24"/>
        </w:rPr>
        <w:t>a sequência temporal dos eventos dentro da construção de uma política produz</w:t>
      </w:r>
      <w:r>
        <w:rPr>
          <w:sz w:val="24"/>
          <w:szCs w:val="24"/>
        </w:rPr>
        <w:t xml:space="preserve"> legados que influenciam e direcionam processos futuros. Serão aplicados conceitos como "conjunturas críticas", que se referem a períodos de redução dos constrangimentos institucionais onde mudanças significativas são possíveis, embora não necessárias </w:t>
      </w:r>
      <w:hyperlink r:id="rId12">
        <w:r w:rsidR="00D44BC7">
          <w:rPr>
            <w:sz w:val="24"/>
            <w:szCs w:val="24"/>
          </w:rPr>
          <w:t>(Dias; Lima; Teixeira, 2013)</w:t>
        </w:r>
      </w:hyperlink>
      <w:r>
        <w:rPr>
          <w:sz w:val="24"/>
          <w:szCs w:val="24"/>
        </w:rPr>
        <w:t xml:space="preserve">. </w:t>
      </w:r>
    </w:p>
    <w:p w14:paraId="1C914A31" w14:textId="35BC61AC" w:rsidR="00D44BC7" w:rsidRDefault="00CD402A">
      <w:pPr>
        <w:spacing w:line="360" w:lineRule="auto"/>
        <w:ind w:firstLine="708"/>
        <w:jc w:val="both"/>
        <w:rPr>
          <w:sz w:val="24"/>
          <w:szCs w:val="24"/>
        </w:rPr>
      </w:pPr>
      <w:r>
        <w:rPr>
          <w:sz w:val="24"/>
          <w:szCs w:val="24"/>
        </w:rPr>
        <w:t xml:space="preserve">Com base no institucionalismo histórico, foram selecionadas algumas categorias de análises que permitiram identificar os momentos e eventos que configuram rupturas e continuidades no percurso institucional da </w:t>
      </w:r>
      <w:r w:rsidR="00684C22">
        <w:rPr>
          <w:sz w:val="24"/>
          <w:szCs w:val="24"/>
        </w:rPr>
        <w:t>política.</w:t>
      </w:r>
      <w:r>
        <w:rPr>
          <w:sz w:val="24"/>
          <w:szCs w:val="24"/>
        </w:rPr>
        <w:t xml:space="preserve"> Estas categorias: Momento/Período, Programas e projetos prioritários, Objetos da política, Atores e organizações mobilizados, Estratégias e instrumentos e Evidências de implementação.</w:t>
      </w:r>
    </w:p>
    <w:p w14:paraId="1C914A32" w14:textId="77777777" w:rsidR="00D44BC7" w:rsidRDefault="00CD402A">
      <w:pPr>
        <w:spacing w:line="360" w:lineRule="auto"/>
        <w:ind w:firstLine="708"/>
        <w:jc w:val="both"/>
        <w:rPr>
          <w:b/>
          <w:sz w:val="24"/>
          <w:szCs w:val="24"/>
        </w:rPr>
      </w:pPr>
      <w:r>
        <w:rPr>
          <w:b/>
          <w:sz w:val="24"/>
          <w:szCs w:val="24"/>
        </w:rPr>
        <w:t>3</w:t>
      </w:r>
      <w:r>
        <w:rPr>
          <w:b/>
          <w:sz w:val="24"/>
          <w:szCs w:val="24"/>
        </w:rPr>
        <w:tab/>
        <w:t xml:space="preserve">RESULTADOS E DISCUSSÃO </w:t>
      </w:r>
    </w:p>
    <w:p w14:paraId="1C914A33" w14:textId="77777777" w:rsidR="00D44BC7" w:rsidRDefault="00CD402A">
      <w:pPr>
        <w:spacing w:line="360" w:lineRule="auto"/>
        <w:ind w:firstLine="708"/>
        <w:jc w:val="both"/>
        <w:rPr>
          <w:b/>
          <w:sz w:val="24"/>
          <w:szCs w:val="24"/>
        </w:rPr>
      </w:pPr>
      <w:r>
        <w:rPr>
          <w:b/>
          <w:sz w:val="24"/>
          <w:szCs w:val="24"/>
        </w:rPr>
        <w:t>3.1. Governo Dilma Rousseff (2013-2016)</w:t>
      </w:r>
    </w:p>
    <w:p w14:paraId="1C914A34" w14:textId="77777777" w:rsidR="00D44BC7" w:rsidRDefault="00CD402A">
      <w:pPr>
        <w:spacing w:line="360" w:lineRule="auto"/>
        <w:ind w:firstLine="708"/>
        <w:jc w:val="both"/>
        <w:rPr>
          <w:sz w:val="24"/>
          <w:szCs w:val="24"/>
        </w:rPr>
      </w:pPr>
      <w:r>
        <w:rPr>
          <w:sz w:val="24"/>
          <w:szCs w:val="24"/>
        </w:rPr>
        <w:t>O governo de Dilma Rousseff (2011-2016), a primeira mulher Presidenta do Brasil, iniciou-se com um período de crescimento econômico e ampliação de programas sociais e educacionais, consolidando uma agenda de inclusão e direitos. Contudo, essa gestão foi atravessada por intensa polarização política, culminando em seu impeachment em 2016. A destituição, justificada por acusações de "pedaladas fiscais", foi posteriormente reavaliada pela Justiça e pelo Ministério Público Federal, que se posicionaram pela inexi</w:t>
      </w:r>
      <w:r>
        <w:rPr>
          <w:sz w:val="24"/>
          <w:szCs w:val="24"/>
        </w:rPr>
        <w:t xml:space="preserve">stência de crime </w:t>
      </w:r>
      <w:hyperlink r:id="rId13">
        <w:r w:rsidR="00D44BC7">
          <w:rPr>
            <w:sz w:val="24"/>
            <w:szCs w:val="24"/>
          </w:rPr>
          <w:t>(BBC News Brasil, 2023)</w:t>
        </w:r>
      </w:hyperlink>
      <w:r>
        <w:rPr>
          <w:sz w:val="24"/>
          <w:szCs w:val="24"/>
        </w:rPr>
        <w:t>.</w:t>
      </w:r>
    </w:p>
    <w:p w14:paraId="1C914A35" w14:textId="77777777" w:rsidR="00D44BC7" w:rsidRDefault="00CD402A">
      <w:pPr>
        <w:spacing w:line="360" w:lineRule="auto"/>
        <w:ind w:firstLine="708"/>
        <w:jc w:val="both"/>
        <w:rPr>
          <w:sz w:val="24"/>
          <w:szCs w:val="24"/>
        </w:rPr>
      </w:pPr>
      <w:r>
        <w:rPr>
          <w:sz w:val="24"/>
          <w:szCs w:val="24"/>
        </w:rPr>
        <w:t xml:space="preserve">Considerando os objetos da política e aos programas prioritários de enfrentamento à violência contra as mulheres, foi nesse contexto que, em 30 de agosto de 2013, o Programa Mulher: Viver sem Violência (PMVSV) foi instituído por meio do Decreto Nº 8.086. A coordenação do Programa, de responsabilidade da </w:t>
      </w:r>
      <w:r>
        <w:rPr>
          <w:sz w:val="24"/>
          <w:szCs w:val="24"/>
        </w:rPr>
        <w:lastRenderedPageBreak/>
        <w:t>Secretaria de Políticas para as Mulheres da Presidência da República (SPM-PR), esteve a cargo da então ministra Eleonora Menicucci. O PMVSV visava promover uma abordagem integrada no combate à violência de gênero, abrangendo tanto medidas corretivas quanto o apoio e a proteção das mulheres em situação de violência. Suas ações prioritárias incluíam a implementação de Casas da Mulher Brasileira (CMB), a ampliação da Central de Atendimento à Mulher – Ligue 180, a organização e humanização do atendimento a víti</w:t>
      </w:r>
      <w:r>
        <w:rPr>
          <w:sz w:val="24"/>
          <w:szCs w:val="24"/>
        </w:rPr>
        <w:t>mas de violência sexual, e a promoção de campanhas de conscientização.</w:t>
      </w:r>
    </w:p>
    <w:p w14:paraId="1C914A36" w14:textId="77777777" w:rsidR="00D44BC7" w:rsidRDefault="00CD402A">
      <w:pPr>
        <w:spacing w:line="360" w:lineRule="auto"/>
        <w:ind w:firstLine="708"/>
        <w:jc w:val="both"/>
        <w:rPr>
          <w:sz w:val="24"/>
          <w:szCs w:val="24"/>
        </w:rPr>
      </w:pPr>
      <w:r>
        <w:rPr>
          <w:sz w:val="24"/>
          <w:szCs w:val="24"/>
        </w:rPr>
        <w:t xml:space="preserve">Em termos de evidências de implementação e investimento orçamentário, o governo Dilma inaugurou a primeira Casa da Mulher Brasileira em Campo Grande (MS) em 2015. A criação da Casa da Mulher Brasileira representou um avanço significativo, pois concentrou em um único local os serviços que, anteriormente, exigiam que as mulheres percorressem um longo caminho de forma fragmentada. Foram finalizadas a construção de três Casas da Mulher Brasileira, localizadas em Mato Grosso do Sul, Paraná e Distrito Federal. O </w:t>
      </w:r>
      <w:r>
        <w:rPr>
          <w:sz w:val="24"/>
          <w:szCs w:val="24"/>
        </w:rPr>
        <w:t xml:space="preserve">investimento federal para a construção da primeira Casa foi de R$7,84 milhões, com um total previsto de R$18,2 milhões para custeio e aparelhamento por dois anos. A construção das </w:t>
      </w:r>
      <w:proofErr w:type="spellStart"/>
      <w:r>
        <w:rPr>
          <w:sz w:val="24"/>
          <w:szCs w:val="24"/>
        </w:rPr>
        <w:t>CMBs</w:t>
      </w:r>
      <w:proofErr w:type="spellEnd"/>
      <w:r>
        <w:rPr>
          <w:sz w:val="24"/>
          <w:szCs w:val="24"/>
        </w:rPr>
        <w:t xml:space="preserve"> foi uma sugestão da Comissão Parlamentar Mista de Inquérito (CPMI) de 2013 que investigou a violência contra a mulher </w:t>
      </w:r>
      <w:hyperlink r:id="rId14">
        <w:r w:rsidR="00D44BC7">
          <w:rPr>
            <w:sz w:val="24"/>
            <w:szCs w:val="24"/>
          </w:rPr>
          <w:t>(Campos; Bernardes, 2022)</w:t>
        </w:r>
      </w:hyperlink>
      <w:r>
        <w:rPr>
          <w:sz w:val="24"/>
          <w:szCs w:val="24"/>
        </w:rPr>
        <w:t>.</w:t>
      </w:r>
    </w:p>
    <w:p w14:paraId="1C914A37" w14:textId="77777777" w:rsidR="00D44BC7" w:rsidRDefault="00CD402A">
      <w:pPr>
        <w:spacing w:line="360" w:lineRule="auto"/>
        <w:ind w:firstLine="708"/>
        <w:jc w:val="both"/>
        <w:rPr>
          <w:sz w:val="24"/>
          <w:szCs w:val="24"/>
        </w:rPr>
      </w:pPr>
      <w:r>
        <w:rPr>
          <w:sz w:val="24"/>
          <w:szCs w:val="24"/>
        </w:rPr>
        <w:t xml:space="preserve">Contudo, a trajetória do PMVSV nesse período foi atravessada por significativas rupturas e efeitos de </w:t>
      </w:r>
      <w:r>
        <w:rPr>
          <w:i/>
          <w:sz w:val="24"/>
          <w:szCs w:val="24"/>
        </w:rPr>
        <w:t>feedback</w:t>
      </w:r>
      <w:r>
        <w:rPr>
          <w:sz w:val="24"/>
          <w:szCs w:val="24"/>
        </w:rPr>
        <w:t xml:space="preserve"> do cenário político. Dilma Rousseff sofreu intensos e violentos ataques misóginos e discursos de ódio por parte da mídia, de deputados e da população, buscando desqualificá-la para a atuação política </w:t>
      </w:r>
      <w:hyperlink r:id="rId15">
        <w:r w:rsidR="00D44BC7">
          <w:rPr>
            <w:sz w:val="24"/>
            <w:szCs w:val="24"/>
          </w:rPr>
          <w:t xml:space="preserve">(Carniel; </w:t>
        </w:r>
        <w:proofErr w:type="spellStart"/>
        <w:r w:rsidR="00D44BC7">
          <w:rPr>
            <w:sz w:val="24"/>
            <w:szCs w:val="24"/>
          </w:rPr>
          <w:t>Ruggi</w:t>
        </w:r>
        <w:proofErr w:type="spellEnd"/>
        <w:r w:rsidR="00D44BC7">
          <w:rPr>
            <w:sz w:val="24"/>
            <w:szCs w:val="24"/>
          </w:rPr>
          <w:t xml:space="preserve">; </w:t>
        </w:r>
        <w:proofErr w:type="spellStart"/>
        <w:r w:rsidR="00D44BC7">
          <w:rPr>
            <w:sz w:val="24"/>
            <w:szCs w:val="24"/>
          </w:rPr>
          <w:t>Ruggi</w:t>
        </w:r>
        <w:proofErr w:type="spellEnd"/>
        <w:r w:rsidR="00D44BC7">
          <w:rPr>
            <w:sz w:val="24"/>
            <w:szCs w:val="24"/>
          </w:rPr>
          <w:t xml:space="preserve">, 2018; </w:t>
        </w:r>
        <w:proofErr w:type="spellStart"/>
        <w:r w:rsidR="00D44BC7">
          <w:rPr>
            <w:sz w:val="24"/>
            <w:szCs w:val="24"/>
          </w:rPr>
          <w:t>Kulaitis</w:t>
        </w:r>
        <w:proofErr w:type="spellEnd"/>
        <w:r w:rsidR="00D44BC7">
          <w:rPr>
            <w:sz w:val="24"/>
            <w:szCs w:val="24"/>
          </w:rPr>
          <w:t xml:space="preserve">, 2024; Meneguelli; Ferré-Pavia, 2024; </w:t>
        </w:r>
        <w:proofErr w:type="spellStart"/>
        <w:r w:rsidR="00D44BC7">
          <w:rPr>
            <w:sz w:val="24"/>
            <w:szCs w:val="24"/>
          </w:rPr>
          <w:t>Stocker</w:t>
        </w:r>
        <w:proofErr w:type="spellEnd"/>
        <w:r w:rsidR="00D44BC7">
          <w:rPr>
            <w:sz w:val="24"/>
            <w:szCs w:val="24"/>
          </w:rPr>
          <w:t xml:space="preserve">; </w:t>
        </w:r>
        <w:proofErr w:type="spellStart"/>
        <w:r w:rsidR="00D44BC7">
          <w:rPr>
            <w:sz w:val="24"/>
            <w:szCs w:val="24"/>
          </w:rPr>
          <w:t>Dalmaso</w:t>
        </w:r>
        <w:proofErr w:type="spellEnd"/>
        <w:r w:rsidR="00D44BC7">
          <w:rPr>
            <w:sz w:val="24"/>
            <w:szCs w:val="24"/>
          </w:rPr>
          <w:t>, 2016)</w:t>
        </w:r>
      </w:hyperlink>
      <w:r>
        <w:rPr>
          <w:sz w:val="24"/>
          <w:szCs w:val="24"/>
        </w:rPr>
        <w:t>. Esse ambiente de violência política de gênero, juntamente com a crise política e econômica instaurada pelo processo de impeachment, impactou diretamente o investimento orçamentário e a continuidade das políticas do programa.</w:t>
      </w:r>
    </w:p>
    <w:p w14:paraId="1C914A38" w14:textId="77777777" w:rsidR="00D44BC7" w:rsidRDefault="00CD402A">
      <w:pPr>
        <w:spacing w:line="360" w:lineRule="auto"/>
        <w:ind w:firstLine="708"/>
        <w:jc w:val="both"/>
        <w:rPr>
          <w:sz w:val="24"/>
          <w:szCs w:val="24"/>
        </w:rPr>
      </w:pPr>
      <w:r>
        <w:rPr>
          <w:b/>
          <w:sz w:val="24"/>
          <w:szCs w:val="24"/>
        </w:rPr>
        <w:t>3.1. Governo Temer (2016-2018)</w:t>
      </w:r>
    </w:p>
    <w:p w14:paraId="1C914A39" w14:textId="77777777" w:rsidR="00D44BC7" w:rsidRDefault="00CD402A">
      <w:pPr>
        <w:spacing w:line="360" w:lineRule="auto"/>
        <w:ind w:firstLine="708"/>
        <w:jc w:val="both"/>
        <w:rPr>
          <w:sz w:val="24"/>
          <w:szCs w:val="24"/>
        </w:rPr>
      </w:pPr>
      <w:r>
        <w:rPr>
          <w:sz w:val="24"/>
          <w:szCs w:val="24"/>
        </w:rPr>
        <w:lastRenderedPageBreak/>
        <w:t xml:space="preserve">No período de 2016 a 2018, sob a presidência de Michel Temer, iniciou-se em um cenário de profunda instabilidade política, configurando-se como uma conjuntura crítica no percurso institucional do Brasil. A ascensão de Temer à presidência foi diretamente resultante do processo de </w:t>
      </w:r>
      <w:r>
        <w:rPr>
          <w:i/>
          <w:sz w:val="24"/>
          <w:szCs w:val="24"/>
        </w:rPr>
        <w:t>impeachment</w:t>
      </w:r>
      <w:r>
        <w:rPr>
          <w:sz w:val="24"/>
          <w:szCs w:val="24"/>
        </w:rPr>
        <w:t xml:space="preserve"> de Dilma Rousseff, um evento no qual, além da vice-presidência, a atuação do então presidente da Câmara dos Deputados, Eduardo Cunha, foi central na articulação e execução do afastamento da presidenta </w:t>
      </w:r>
      <w:hyperlink r:id="rId16">
        <w:r w:rsidR="00D44BC7">
          <w:rPr>
            <w:sz w:val="24"/>
            <w:szCs w:val="24"/>
          </w:rPr>
          <w:t>(Moritz; Rita, 2020)</w:t>
        </w:r>
      </w:hyperlink>
      <w:r>
        <w:rPr>
          <w:sz w:val="24"/>
          <w:szCs w:val="24"/>
        </w:rPr>
        <w:t xml:space="preserve">. </w:t>
      </w:r>
    </w:p>
    <w:p w14:paraId="1C914A3A" w14:textId="77777777" w:rsidR="00D44BC7" w:rsidRDefault="00CD402A">
      <w:pPr>
        <w:spacing w:line="360" w:lineRule="auto"/>
        <w:ind w:firstLine="708"/>
        <w:jc w:val="both"/>
        <w:rPr>
          <w:sz w:val="24"/>
          <w:szCs w:val="24"/>
        </w:rPr>
      </w:pPr>
      <w:r>
        <w:rPr>
          <w:sz w:val="24"/>
          <w:szCs w:val="24"/>
        </w:rPr>
        <w:t xml:space="preserve">Nesse contexto de crise, a esquerda brasileira, incluindo partidos e militantes, sofreu intensa criminalização, com sua imagem associada à crise política e econômica. A Operação Lava Jato e o juiz Sérgio Moro foram amplamente divulgados pela mídia, em esforço contínuo para criminalizar o PT e Lula. Essa campanha culminou na prisão de Lula em abril de 2018, afetando o pleito presidencial. Suas condenações foram anuladas pelo STF em 2021, devido à suspeição de Moro, que agiu com parcialidade e em conluio com </w:t>
      </w:r>
      <w:r>
        <w:rPr>
          <w:sz w:val="24"/>
          <w:szCs w:val="24"/>
        </w:rPr>
        <w:t xml:space="preserve">a acusação. Esse processo gerou profundo efeito de feedback, deslegitimando setores políticos e judiciais, e intensificando a polarização social </w:t>
      </w:r>
      <w:hyperlink r:id="rId17">
        <w:r w:rsidR="00D44BC7">
          <w:rPr>
            <w:sz w:val="24"/>
            <w:szCs w:val="24"/>
          </w:rPr>
          <w:t>(</w:t>
        </w:r>
        <w:proofErr w:type="spellStart"/>
        <w:r w:rsidR="00D44BC7">
          <w:rPr>
            <w:sz w:val="24"/>
            <w:szCs w:val="24"/>
          </w:rPr>
          <w:t>Bello</w:t>
        </w:r>
        <w:proofErr w:type="spellEnd"/>
        <w:r w:rsidR="00D44BC7">
          <w:rPr>
            <w:sz w:val="24"/>
            <w:szCs w:val="24"/>
          </w:rPr>
          <w:t>; Capela; Keller, 2021)</w:t>
        </w:r>
      </w:hyperlink>
      <w:r>
        <w:rPr>
          <w:sz w:val="24"/>
          <w:szCs w:val="24"/>
        </w:rPr>
        <w:t>.</w:t>
      </w:r>
    </w:p>
    <w:p w14:paraId="1C914A3B" w14:textId="77777777" w:rsidR="00D44BC7" w:rsidRDefault="00CD402A">
      <w:pPr>
        <w:spacing w:line="360" w:lineRule="auto"/>
        <w:ind w:firstLine="708"/>
        <w:jc w:val="both"/>
        <w:rPr>
          <w:sz w:val="24"/>
          <w:szCs w:val="24"/>
        </w:rPr>
      </w:pPr>
      <w:r>
        <w:rPr>
          <w:sz w:val="24"/>
          <w:szCs w:val="24"/>
        </w:rPr>
        <w:t xml:space="preserve">Apesar de assumir a presidência em um momento de ruptura, o governo Temer carecia de apoio popular, sendo massificado o </w:t>
      </w:r>
      <w:r>
        <w:rPr>
          <w:i/>
          <w:sz w:val="24"/>
          <w:szCs w:val="24"/>
        </w:rPr>
        <w:t>slogan</w:t>
      </w:r>
      <w:r>
        <w:rPr>
          <w:sz w:val="24"/>
          <w:szCs w:val="24"/>
        </w:rPr>
        <w:t xml:space="preserve"> "Fora Temer", que expressava a insatisfação e a pressão da sociedade pela mudança de governo. Manifestações populares e protestos foram frequentes, demonstrando a baixa legitimidade percebida de sua gestão. Entretanto, mesmo com a intensa pressão popular para a mudança de governo e a falta de capital político, Michel Temer priorizou uma agenda de ajuste fiscal.</w:t>
      </w:r>
    </w:p>
    <w:p w14:paraId="1C914A3C" w14:textId="77777777" w:rsidR="00D44BC7" w:rsidRDefault="00CD402A">
      <w:pPr>
        <w:spacing w:line="360" w:lineRule="auto"/>
        <w:jc w:val="both"/>
        <w:rPr>
          <w:sz w:val="24"/>
          <w:szCs w:val="24"/>
        </w:rPr>
      </w:pPr>
      <w:r>
        <w:rPr>
          <w:sz w:val="24"/>
          <w:szCs w:val="24"/>
        </w:rPr>
        <w:t xml:space="preserve">Em termos de estratégias e instrumentos de implementação e seus impactos orçamentários, o governo Temer executou um arrocho fiscal drástico, a emenda Constitucional nº 95, conhecida como a PEC do Teto de Gastos </w:t>
      </w:r>
      <w:hyperlink r:id="rId18">
        <w:r w:rsidR="00D44BC7">
          <w:rPr>
            <w:sz w:val="24"/>
            <w:szCs w:val="24"/>
          </w:rPr>
          <w:t>(Brasil, 2016)</w:t>
        </w:r>
      </w:hyperlink>
      <w:r>
        <w:rPr>
          <w:sz w:val="24"/>
          <w:szCs w:val="24"/>
        </w:rPr>
        <w:t xml:space="preserve">. Esta medida congelou o crescimento dos gastos públicos primários por 20 anos, limitando-os à inflação do ano anterior. No contexto do Programa Mulher: Viver sem Violência </w:t>
      </w:r>
      <w:r>
        <w:rPr>
          <w:sz w:val="24"/>
          <w:szCs w:val="24"/>
        </w:rPr>
        <w:lastRenderedPageBreak/>
        <w:t>(PMVSV), essa medida representou uma grande ruptura nos investimentos e na capacidade de expansão do programa, uma vez que políticas sociais como essa dependem diretamente de verbas públicas para sua execução e ampliação.</w:t>
      </w:r>
    </w:p>
    <w:p w14:paraId="1C914A3D" w14:textId="77777777" w:rsidR="00D44BC7" w:rsidRDefault="00CD402A">
      <w:pPr>
        <w:spacing w:after="240" w:line="360" w:lineRule="auto"/>
        <w:ind w:firstLine="708"/>
        <w:jc w:val="both"/>
        <w:rPr>
          <w:sz w:val="24"/>
          <w:szCs w:val="24"/>
        </w:rPr>
      </w:pPr>
      <w:r>
        <w:rPr>
          <w:sz w:val="24"/>
          <w:szCs w:val="24"/>
        </w:rPr>
        <w:t xml:space="preserve">Os efeitos de </w:t>
      </w:r>
      <w:r>
        <w:rPr>
          <w:i/>
          <w:sz w:val="24"/>
          <w:szCs w:val="24"/>
        </w:rPr>
        <w:t>feedback</w:t>
      </w:r>
      <w:r>
        <w:rPr>
          <w:sz w:val="24"/>
          <w:szCs w:val="24"/>
        </w:rPr>
        <w:t xml:space="preserve"> dessa política fiscal foram imediatos para o PMVSV e outras políticas sociais. A descontinuidade dos investimentos em Casas da Mulher Brasileira, iniciada após o impeachment de Dilma, foi aprofundada transformando a promessa de 27 </w:t>
      </w:r>
      <w:proofErr w:type="spellStart"/>
      <w:r>
        <w:rPr>
          <w:sz w:val="24"/>
          <w:szCs w:val="24"/>
        </w:rPr>
        <w:t>CMBs</w:t>
      </w:r>
      <w:proofErr w:type="spellEnd"/>
      <w:r>
        <w:rPr>
          <w:sz w:val="24"/>
          <w:szCs w:val="24"/>
        </w:rPr>
        <w:t xml:space="preserve"> em apenas 7 efetivamente construídas até o fim da gestão Temer e o início do governo seguinte. A precarização orçamentária e a falta de apoio político para a área de políticas de gênero evidenciaram a fragilidade institucional do programa em um ambiente de restrição </w:t>
      </w:r>
      <w:r>
        <w:rPr>
          <w:sz w:val="24"/>
          <w:szCs w:val="24"/>
        </w:rPr>
        <w:t>fiscal, comprometendo sua evidência de implementação e seu alcance em um momento de crise aguda no país.</w:t>
      </w:r>
    </w:p>
    <w:p w14:paraId="1C914A3E" w14:textId="77777777" w:rsidR="00D44BC7" w:rsidRDefault="00CD402A">
      <w:pPr>
        <w:spacing w:line="360" w:lineRule="auto"/>
        <w:ind w:firstLine="708"/>
        <w:jc w:val="both"/>
        <w:rPr>
          <w:sz w:val="24"/>
          <w:szCs w:val="24"/>
        </w:rPr>
      </w:pPr>
      <w:r>
        <w:rPr>
          <w:b/>
          <w:sz w:val="24"/>
          <w:szCs w:val="24"/>
        </w:rPr>
        <w:t>3.1. Governo Bolsonaro (2019-2022)</w:t>
      </w:r>
    </w:p>
    <w:p w14:paraId="1C914A3F" w14:textId="77777777" w:rsidR="00D44BC7" w:rsidRDefault="00CD402A">
      <w:pPr>
        <w:spacing w:after="240" w:line="360" w:lineRule="auto"/>
        <w:ind w:firstLine="708"/>
        <w:jc w:val="both"/>
        <w:rPr>
          <w:sz w:val="24"/>
          <w:szCs w:val="24"/>
        </w:rPr>
      </w:pPr>
      <w:r>
        <w:rPr>
          <w:sz w:val="24"/>
          <w:szCs w:val="24"/>
        </w:rPr>
        <w:t xml:space="preserve">O governo de Jair Bolsonaro (2019-2022) marcou uma ruptura significativa nas políticas sociais brasileiras, especialmente as voltadas ao enfrentamento da violência contra as mulheres. A gestão promoveu a centralização das políticas sociais no Ministério da Mulher, da Família e dos Direitos Humanos (MMFDH), sob uma ideologia ultraconservadora e </w:t>
      </w:r>
      <w:proofErr w:type="spellStart"/>
      <w:r>
        <w:rPr>
          <w:sz w:val="24"/>
          <w:szCs w:val="24"/>
        </w:rPr>
        <w:t>anti-gênero</w:t>
      </w:r>
      <w:proofErr w:type="spellEnd"/>
      <w:r>
        <w:rPr>
          <w:sz w:val="24"/>
          <w:szCs w:val="24"/>
        </w:rPr>
        <w:t xml:space="preserve">. Essa reestruturação ministerial e ideológica impactou diretamente o objeto da política e a atuação do Estado na área de gênero, caracterizando um desmonte intencional e progressivo das políticas públicas </w:t>
      </w:r>
      <w:hyperlink r:id="rId19">
        <w:r w:rsidR="00D44BC7">
          <w:rPr>
            <w:sz w:val="24"/>
            <w:szCs w:val="24"/>
          </w:rPr>
          <w:t>(Biroli; Tatagiba; Quintela, 2024; Campos; Bernardes, 2022)</w:t>
        </w:r>
      </w:hyperlink>
      <w:r>
        <w:rPr>
          <w:sz w:val="24"/>
          <w:szCs w:val="24"/>
        </w:rPr>
        <w:t>.</w:t>
      </w:r>
    </w:p>
    <w:p w14:paraId="1C914A40" w14:textId="77777777" w:rsidR="00D44BC7" w:rsidRDefault="00CD402A">
      <w:pPr>
        <w:spacing w:after="240" w:line="360" w:lineRule="auto"/>
        <w:ind w:firstLine="708"/>
        <w:jc w:val="both"/>
        <w:rPr>
          <w:sz w:val="24"/>
          <w:szCs w:val="24"/>
        </w:rPr>
      </w:pPr>
      <w:r>
        <w:rPr>
          <w:sz w:val="24"/>
          <w:szCs w:val="24"/>
        </w:rPr>
        <w:t>A mudança de orientação no governo Bolsonaro se refletiu na alteração do PMVSV para “Programa Mulher Segura e Protegida” (Decreto Nº 10.112/2019), sob Damares Alves. Essa modificação não foi apenas nominal, mas indicou uma ruptura, deslocando o foco da prevenção para um atendimento reativo às vítimas. A política do MMFDH passou a usar categorias do senso-comum, como "mulher" e "família", em oposição a "gênero", estabelecendo uma "nova gramática" para os direitos humanos com viés conservador e de controle so</w:t>
      </w:r>
      <w:r>
        <w:rPr>
          <w:sz w:val="24"/>
          <w:szCs w:val="24"/>
        </w:rPr>
        <w:t xml:space="preserve">cial </w:t>
      </w:r>
      <w:hyperlink r:id="rId20">
        <w:r w:rsidR="00D44BC7">
          <w:rPr>
            <w:sz w:val="24"/>
            <w:szCs w:val="24"/>
          </w:rPr>
          <w:t>(Bitencourt; Oliveira, 2023)</w:t>
        </w:r>
      </w:hyperlink>
      <w:r>
        <w:rPr>
          <w:sz w:val="24"/>
          <w:szCs w:val="24"/>
        </w:rPr>
        <w:t>.</w:t>
      </w:r>
    </w:p>
    <w:p w14:paraId="1C914A41" w14:textId="77777777" w:rsidR="00D44BC7" w:rsidRDefault="00CD402A">
      <w:pPr>
        <w:spacing w:after="240" w:line="360" w:lineRule="auto"/>
        <w:ind w:firstLine="708"/>
        <w:jc w:val="both"/>
        <w:rPr>
          <w:sz w:val="24"/>
          <w:szCs w:val="24"/>
        </w:rPr>
      </w:pPr>
      <w:r>
        <w:rPr>
          <w:sz w:val="24"/>
          <w:szCs w:val="24"/>
        </w:rPr>
        <w:lastRenderedPageBreak/>
        <w:t xml:space="preserve">A gestão Bolsonaro perseguiu ativamente direitos, como o aborto legal. Sob influência da ideologia do Ministério de Damares Alves, vítimas de violência sexual com direito ao aborto sofreram entraves e perseguições. A administração utilizou a "ideologia de gênero" para criar pânico moral e reafirmar normas heteronormativas, gerando um efeito de </w:t>
      </w:r>
      <w:r>
        <w:rPr>
          <w:i/>
          <w:sz w:val="24"/>
          <w:szCs w:val="24"/>
        </w:rPr>
        <w:t>feedback</w:t>
      </w:r>
      <w:r>
        <w:rPr>
          <w:sz w:val="24"/>
          <w:szCs w:val="24"/>
        </w:rPr>
        <w:t xml:space="preserve"> regressivo na política de gênero. O governo desestruturou os objetivos iniciais da política, substituindo-os por uma ideologia machista e misógina de submissão feminina </w:t>
      </w:r>
      <w:hyperlink r:id="rId21">
        <w:r w:rsidR="00D44BC7">
          <w:rPr>
            <w:sz w:val="24"/>
            <w:szCs w:val="24"/>
          </w:rPr>
          <w:t>(Tavares; Alves, 2023)</w:t>
        </w:r>
      </w:hyperlink>
      <w:r>
        <w:rPr>
          <w:sz w:val="24"/>
          <w:szCs w:val="24"/>
        </w:rPr>
        <w:t>.</w:t>
      </w:r>
    </w:p>
    <w:p w14:paraId="1C914A42" w14:textId="77777777" w:rsidR="00D44BC7" w:rsidRDefault="00CD402A">
      <w:pPr>
        <w:spacing w:after="240" w:line="360" w:lineRule="auto"/>
        <w:ind w:firstLine="708"/>
        <w:jc w:val="both"/>
        <w:rPr>
          <w:sz w:val="24"/>
          <w:szCs w:val="24"/>
        </w:rPr>
      </w:pPr>
      <w:r>
        <w:rPr>
          <w:sz w:val="24"/>
          <w:szCs w:val="24"/>
        </w:rPr>
        <w:t xml:space="preserve">Em termos de evidências de implementação e impacto da política, a gestão Bolsonaro foi marcada pelo aumento da violência contra as mulheres. O feminicídio atingiu seu maior número histórico em 2022, com 1.400 vítimas. O número de mulheres assassinadas por armas de fogo também cresceu significativamente (13,3% entre 2019 e 2021) </w:t>
      </w:r>
      <w:hyperlink r:id="rId22">
        <w:r w:rsidR="00D44BC7">
          <w:rPr>
            <w:sz w:val="24"/>
            <w:szCs w:val="24"/>
          </w:rPr>
          <w:t>(Fórum Brasileiro de Segurança Pública, 2023)</w:t>
        </w:r>
      </w:hyperlink>
      <w:r>
        <w:rPr>
          <w:sz w:val="24"/>
          <w:szCs w:val="24"/>
        </w:rPr>
        <w:t>. Esse aumento pode ser associado ao discurso presidencial que incentivava a violência e a polarização, e à política de liberação de armas de fogo, tornando esse instrumento mais acessível aos agressores na violência doméstica.</w:t>
      </w:r>
    </w:p>
    <w:p w14:paraId="1C914A43" w14:textId="77777777" w:rsidR="00D44BC7" w:rsidRDefault="00CD402A">
      <w:pPr>
        <w:spacing w:after="240" w:line="360" w:lineRule="auto"/>
        <w:ind w:firstLine="708"/>
        <w:jc w:val="both"/>
        <w:rPr>
          <w:sz w:val="24"/>
          <w:szCs w:val="24"/>
        </w:rPr>
      </w:pPr>
      <w:r>
        <w:rPr>
          <w:sz w:val="24"/>
          <w:szCs w:val="24"/>
        </w:rPr>
        <w:t xml:space="preserve">A precarização orçamentária persistiu, afetando a efetividade e fragilizando o programa. Houve uma acentuada redução na dotação orçamentária para políticas de mulheres a partir de 2016, que se manteve em 2019, apesar de uma recuperação parcial em 2020-2021, seguida por nova queda em 2022 </w:t>
      </w:r>
      <w:hyperlink r:id="rId23">
        <w:r w:rsidR="00D44BC7">
          <w:rPr>
            <w:sz w:val="24"/>
            <w:szCs w:val="24"/>
          </w:rPr>
          <w:t>(Carlos; Pereira; Rodrigues, 2025)</w:t>
        </w:r>
      </w:hyperlink>
      <w:r>
        <w:rPr>
          <w:sz w:val="24"/>
          <w:szCs w:val="24"/>
        </w:rPr>
        <w:t>. Essa precarização, aliada à restrição das áreas temáticas e à diminuição de instrumentos de políticas, bem como à exclusão da transversalidade de gênero e interseccionalidade, refletiu uma tentativa de desinstitucionalizar a pauta de gênero e de direitos humanos. Esse período, portanto, configurou uma fase de desestruturação institucional e retrocesso para as políticas de enfrentamento à violência contra as mulheres no Brasil.</w:t>
      </w:r>
    </w:p>
    <w:p w14:paraId="1C914A44" w14:textId="77777777" w:rsidR="00D44BC7" w:rsidRDefault="00CD402A">
      <w:pPr>
        <w:spacing w:line="360" w:lineRule="auto"/>
        <w:ind w:firstLine="708"/>
        <w:jc w:val="both"/>
        <w:rPr>
          <w:sz w:val="24"/>
          <w:szCs w:val="24"/>
        </w:rPr>
      </w:pPr>
      <w:r>
        <w:rPr>
          <w:b/>
          <w:sz w:val="24"/>
          <w:szCs w:val="24"/>
        </w:rPr>
        <w:t>3.1. Governo Lula (2023)</w:t>
      </w:r>
    </w:p>
    <w:p w14:paraId="1C914A45" w14:textId="77777777" w:rsidR="00D44BC7" w:rsidRDefault="00CD402A">
      <w:pPr>
        <w:spacing w:line="360" w:lineRule="auto"/>
        <w:ind w:firstLine="708"/>
        <w:jc w:val="both"/>
        <w:rPr>
          <w:sz w:val="24"/>
          <w:szCs w:val="24"/>
        </w:rPr>
      </w:pPr>
      <w:r>
        <w:rPr>
          <w:sz w:val="24"/>
          <w:szCs w:val="24"/>
        </w:rPr>
        <w:lastRenderedPageBreak/>
        <w:t xml:space="preserve">O início do terceiro mandato do presidente Luiz Inácio Lula da Silva em 2023 representou uma conjuntura crítica e de restauração democrática. Sua eleição resultou de uma frente ampla, unindo diversos grupos políticos e ideologias, exemplificada pela chapa Lula (PT) e Geraldo Alckmin (PSB), adversários históricos, em prol de um projeto democrático. Contudo, a transição foi marcada pela tentativa de golpe de Estado em 08 de janeiro de 2023, com a invasão e depredação dos Três Poderes, evento em julgamento no </w:t>
      </w:r>
      <w:r>
        <w:rPr>
          <w:sz w:val="24"/>
          <w:szCs w:val="24"/>
        </w:rPr>
        <w:t>STF. Essa ameaça configurou um momento de extrema fragilidade institucional, gerando uma retomada das ações governamentais pela reconstrução democrática.</w:t>
      </w:r>
    </w:p>
    <w:p w14:paraId="1C914A46" w14:textId="2A6F82FE" w:rsidR="00D44BC7" w:rsidRDefault="00CD402A">
      <w:pPr>
        <w:spacing w:line="360" w:lineRule="auto"/>
        <w:ind w:firstLine="708"/>
        <w:jc w:val="both"/>
        <w:rPr>
          <w:sz w:val="24"/>
          <w:szCs w:val="24"/>
        </w:rPr>
      </w:pPr>
      <w:r>
        <w:rPr>
          <w:sz w:val="24"/>
          <w:szCs w:val="24"/>
        </w:rPr>
        <w:t>O governo Lula, via Ministério da Fazenda, aprovou o Novo Arcabouço Fiscal (NAF)</w:t>
      </w:r>
      <w:hyperlink r:id="rId24">
        <w:r w:rsidR="00D44BC7">
          <w:rPr>
            <w:sz w:val="24"/>
            <w:szCs w:val="24"/>
          </w:rPr>
          <w:t>(Brasil, 2023)</w:t>
        </w:r>
      </w:hyperlink>
      <w:r>
        <w:rPr>
          <w:sz w:val="24"/>
          <w:szCs w:val="24"/>
        </w:rPr>
        <w:t xml:space="preserve">. Essa lei substituiu o Teto de Gastos, mas o NAF se insere num ajuste fiscal permanente desde os anos 1990. Ele mantém a constrição fiscal sobre políticas </w:t>
      </w:r>
      <w:r w:rsidR="007210A2">
        <w:rPr>
          <w:sz w:val="24"/>
          <w:szCs w:val="24"/>
        </w:rPr>
        <w:t>sociais e</w:t>
      </w:r>
      <w:r>
        <w:rPr>
          <w:sz w:val="24"/>
          <w:szCs w:val="24"/>
        </w:rPr>
        <w:t xml:space="preserve"> impõe entraves ao crescimento dos gastos públicos </w:t>
      </w:r>
      <w:r w:rsidR="007210A2">
        <w:rPr>
          <w:sz w:val="24"/>
          <w:szCs w:val="24"/>
        </w:rPr>
        <w:t>sociais,</w:t>
      </w:r>
      <w:r>
        <w:rPr>
          <w:sz w:val="24"/>
          <w:szCs w:val="24"/>
        </w:rPr>
        <w:t xml:space="preserve"> priorizando a dívida pública sem alterar sua estrutura de amortização não auditada </w:t>
      </w:r>
      <w:hyperlink r:id="rId25">
        <w:r w:rsidR="00D44BC7">
          <w:rPr>
            <w:sz w:val="24"/>
            <w:szCs w:val="24"/>
          </w:rPr>
          <w:t>(Salvador, 2024)</w:t>
        </w:r>
      </w:hyperlink>
      <w:r>
        <w:rPr>
          <w:sz w:val="24"/>
          <w:szCs w:val="24"/>
        </w:rPr>
        <w:t>. No que se refere aos programas e projetos prioritários e aos objetos da política de enfrentamento à violência de gênero, o “governo Lula 3” demonstrou clara retomada da agenda. Em 8 de março de 2023, o programa “Mulher: Viver sem Violência” (PMVSV) foi relançado pelo Decreto Nº 11.431/2023.</w:t>
      </w:r>
    </w:p>
    <w:p w14:paraId="1C914A47" w14:textId="77777777" w:rsidR="00D44BC7" w:rsidRDefault="00CD402A">
      <w:pPr>
        <w:spacing w:after="240" w:line="360" w:lineRule="auto"/>
        <w:ind w:firstLine="708"/>
        <w:jc w:val="both"/>
        <w:rPr>
          <w:sz w:val="24"/>
          <w:szCs w:val="24"/>
        </w:rPr>
      </w:pPr>
      <w:r>
        <w:rPr>
          <w:sz w:val="24"/>
          <w:szCs w:val="24"/>
        </w:rPr>
        <w:t xml:space="preserve">Em termos de evidências de implementação e investimento orçamentário, 2023 registrou progressos notáveis. Houve um aumento expressivo de recursos, com R$250 milhões liberados para a construção de mais 13 Casas da Mulher Brasileira (CMB), via PMVSV e Programa Nacional de Segurança Pública com Cidadania (Pronasci 2) </w:t>
      </w:r>
      <w:hyperlink r:id="rId26">
        <w:r w:rsidR="00D44BC7">
          <w:rPr>
            <w:sz w:val="24"/>
            <w:szCs w:val="24"/>
          </w:rPr>
          <w:t xml:space="preserve">(Agência </w:t>
        </w:r>
        <w:proofErr w:type="spellStart"/>
        <w:r w:rsidR="00D44BC7">
          <w:rPr>
            <w:sz w:val="24"/>
            <w:szCs w:val="24"/>
          </w:rPr>
          <w:t>Gov</w:t>
        </w:r>
        <w:proofErr w:type="spellEnd"/>
        <w:r w:rsidR="00D44BC7">
          <w:rPr>
            <w:sz w:val="24"/>
            <w:szCs w:val="24"/>
          </w:rPr>
          <w:t>, 2023)</w:t>
        </w:r>
      </w:hyperlink>
      <w:r>
        <w:rPr>
          <w:sz w:val="24"/>
          <w:szCs w:val="24"/>
        </w:rPr>
        <w:t>. O investimento total desde 2023 atingiu R$296 milhões, correspondendo a 65% do montante destinado ao programa desde seu lançamento em 2013. Essa injeção de recursos e a priorização política sinalizam uma ruptura com a precarização orçamentária anterior, buscando fortalecer a infraestrutura e o alcance das políticas de enfrentamento à violência contra as mulheres no país.</w:t>
      </w:r>
    </w:p>
    <w:p w14:paraId="1C914A48" w14:textId="77777777" w:rsidR="00D44BC7" w:rsidRDefault="00CD402A">
      <w:pPr>
        <w:spacing w:line="360" w:lineRule="auto"/>
        <w:ind w:firstLine="708"/>
        <w:jc w:val="both"/>
        <w:rPr>
          <w:b/>
          <w:sz w:val="24"/>
          <w:szCs w:val="24"/>
        </w:rPr>
      </w:pPr>
      <w:r>
        <w:rPr>
          <w:b/>
          <w:sz w:val="24"/>
          <w:szCs w:val="24"/>
        </w:rPr>
        <w:t>4</w:t>
      </w:r>
      <w:r>
        <w:rPr>
          <w:b/>
          <w:sz w:val="24"/>
          <w:szCs w:val="24"/>
        </w:rPr>
        <w:tab/>
        <w:t>CONCLUSÃO</w:t>
      </w:r>
    </w:p>
    <w:p w14:paraId="1C914A49" w14:textId="77777777" w:rsidR="00D44BC7" w:rsidRDefault="00CD402A">
      <w:pPr>
        <w:widowControl w:val="0"/>
        <w:spacing w:line="360" w:lineRule="auto"/>
        <w:ind w:left="262" w:right="4" w:firstLine="446"/>
        <w:jc w:val="both"/>
        <w:rPr>
          <w:color w:val="212121"/>
          <w:sz w:val="24"/>
          <w:szCs w:val="24"/>
        </w:rPr>
      </w:pPr>
      <w:r>
        <w:rPr>
          <w:color w:val="212121"/>
          <w:sz w:val="24"/>
          <w:szCs w:val="24"/>
        </w:rPr>
        <w:lastRenderedPageBreak/>
        <w:t>A análise da trajetória do Programa Mulher: Viver sem Violência (PMVSV) no Brasil (2013-2023), sob a ótica do institucionalismo histórico, revelou um percurso de rupturas e continuidades, moldado por distintas conjunturas políticas e seus respectivos feedbacks. Os achados demonstram que a política não seguiu uma trajetória linear, sendo reconfigurada por pressões internas e externas.</w:t>
      </w:r>
    </w:p>
    <w:p w14:paraId="1C914A4A" w14:textId="77777777" w:rsidR="00D44BC7" w:rsidRDefault="00CD402A">
      <w:pPr>
        <w:widowControl w:val="0"/>
        <w:spacing w:line="360" w:lineRule="auto"/>
        <w:ind w:left="262" w:right="4" w:firstLine="446"/>
        <w:jc w:val="both"/>
        <w:rPr>
          <w:color w:val="212121"/>
          <w:sz w:val="24"/>
          <w:szCs w:val="24"/>
        </w:rPr>
      </w:pPr>
      <w:r>
        <w:rPr>
          <w:color w:val="212121"/>
          <w:sz w:val="24"/>
          <w:szCs w:val="24"/>
        </w:rPr>
        <w:t>A trajetória do PMVSV explicita a capacidade das instituições e atores em influenciar o desenvolvimento das políticas. Os achados deste estudo ressaltam a importância do compromisso estatal e do investimento para a efetividade das políticas de enfrentamento à violência. A compreensão desses processos oferece subsídios para o aprimoramento da política pública, buscando garantir justiça e proteção para todas as mulheres.</w:t>
      </w:r>
    </w:p>
    <w:p w14:paraId="1C914A4B" w14:textId="77777777" w:rsidR="00D44BC7" w:rsidRDefault="00D44BC7">
      <w:pPr>
        <w:widowControl w:val="0"/>
        <w:spacing w:line="360" w:lineRule="auto"/>
        <w:ind w:left="262" w:right="4" w:firstLine="446"/>
        <w:jc w:val="both"/>
        <w:rPr>
          <w:b/>
          <w:color w:val="212121"/>
          <w:sz w:val="24"/>
          <w:szCs w:val="24"/>
        </w:rPr>
      </w:pPr>
    </w:p>
    <w:p w14:paraId="1C914A4C" w14:textId="77777777" w:rsidR="00D44BC7" w:rsidRDefault="00CD402A">
      <w:pPr>
        <w:widowControl w:val="0"/>
        <w:spacing w:line="360" w:lineRule="auto"/>
        <w:ind w:right="4"/>
        <w:jc w:val="both"/>
        <w:rPr>
          <w:b/>
          <w:color w:val="212121"/>
          <w:sz w:val="24"/>
          <w:szCs w:val="24"/>
        </w:rPr>
      </w:pPr>
      <w:r>
        <w:rPr>
          <w:b/>
          <w:color w:val="212121"/>
          <w:sz w:val="24"/>
          <w:szCs w:val="24"/>
        </w:rPr>
        <w:t xml:space="preserve">REFERÊNCIAS </w:t>
      </w:r>
    </w:p>
    <w:p w14:paraId="1C914A4D" w14:textId="77777777" w:rsidR="00D44BC7" w:rsidRDefault="00D44BC7">
      <w:pPr>
        <w:widowControl w:val="0"/>
        <w:pBdr>
          <w:top w:val="nil"/>
          <w:left w:val="nil"/>
          <w:bottom w:val="nil"/>
          <w:right w:val="nil"/>
          <w:between w:val="nil"/>
        </w:pBdr>
        <w:spacing w:after="240" w:line="240" w:lineRule="auto"/>
        <w:rPr>
          <w:sz w:val="20"/>
          <w:szCs w:val="20"/>
        </w:rPr>
      </w:pPr>
      <w:hyperlink r:id="rId27">
        <w:r>
          <w:t xml:space="preserve">AGÊNCIA GOV. </w:t>
        </w:r>
      </w:hyperlink>
      <w:hyperlink r:id="rId28">
        <w:r>
          <w:rPr>
            <w:b/>
          </w:rPr>
          <w:t>Governo libera R$ 250 milhões para a construção de mais 13 Casas da Mulher Brasileira</w:t>
        </w:r>
      </w:hyperlink>
      <w:hyperlink r:id="rId29">
        <w:r>
          <w:t xml:space="preserve">. Noticia. Disponível em: &lt;https://agenciagov.ebc.com.br/noticias/202312/mjsp-autoriza-a-construcao-de-mais-13-casas-da-mulher-brasileira-ao-custo-de-quase-r-250-milhoes&gt;. Acesso em: 22 jun. 2025. </w:t>
        </w:r>
      </w:hyperlink>
    </w:p>
    <w:p w14:paraId="1C914A4E" w14:textId="77777777" w:rsidR="00D44BC7" w:rsidRDefault="00D44BC7">
      <w:pPr>
        <w:widowControl w:val="0"/>
        <w:pBdr>
          <w:top w:val="nil"/>
          <w:left w:val="nil"/>
          <w:bottom w:val="nil"/>
          <w:right w:val="nil"/>
          <w:between w:val="nil"/>
        </w:pBdr>
        <w:spacing w:after="240" w:line="240" w:lineRule="auto"/>
        <w:rPr>
          <w:sz w:val="20"/>
          <w:szCs w:val="20"/>
        </w:rPr>
      </w:pPr>
      <w:hyperlink r:id="rId30">
        <w:r>
          <w:t xml:space="preserve">BBC NEWS BRASIL. </w:t>
        </w:r>
      </w:hyperlink>
      <w:hyperlink r:id="rId31">
        <w:r>
          <w:rPr>
            <w:b/>
          </w:rPr>
          <w:t>Pedaladas fiscais: o que TRF-1 decidiu no caso de Dilma?</w:t>
        </w:r>
      </w:hyperlink>
      <w:hyperlink r:id="rId32">
        <w:r>
          <w:t xml:space="preserve"> Disponível em: &lt;https://www.bbc.com/portuguese/articles/cn37z5v89d4o&gt;. Acesso em: 22 jun. 2025. </w:t>
        </w:r>
      </w:hyperlink>
    </w:p>
    <w:p w14:paraId="1C914A4F" w14:textId="77777777" w:rsidR="00D44BC7" w:rsidRDefault="00D44BC7">
      <w:pPr>
        <w:widowControl w:val="0"/>
        <w:pBdr>
          <w:top w:val="nil"/>
          <w:left w:val="nil"/>
          <w:bottom w:val="nil"/>
          <w:right w:val="nil"/>
          <w:between w:val="nil"/>
        </w:pBdr>
        <w:spacing w:after="240" w:line="240" w:lineRule="auto"/>
        <w:rPr>
          <w:sz w:val="20"/>
          <w:szCs w:val="20"/>
        </w:rPr>
      </w:pPr>
      <w:hyperlink r:id="rId33">
        <w:r>
          <w:t>BELLO, Enzo; CAPELA, Gustavo; KELLER, Rene José. Operação Lava Jato: ideologia, narrativa e (</w:t>
        </w:r>
        <w:proofErr w:type="spellStart"/>
        <w:r>
          <w:t>re</w:t>
        </w:r>
        <w:proofErr w:type="spellEnd"/>
        <w:r>
          <w:t xml:space="preserve">)articulação da hegemonia. </w:t>
        </w:r>
      </w:hyperlink>
      <w:hyperlink r:id="rId34">
        <w:r>
          <w:rPr>
            <w:b/>
          </w:rPr>
          <w:t>Revista Direito e Práxis</w:t>
        </w:r>
      </w:hyperlink>
      <w:hyperlink r:id="rId35">
        <w:r>
          <w:t xml:space="preserve">, v. 12, n. 3, p. 1665–1667, jul. 2021. </w:t>
        </w:r>
      </w:hyperlink>
    </w:p>
    <w:p w14:paraId="1C914A50" w14:textId="77777777" w:rsidR="00D44BC7" w:rsidRDefault="00D44BC7">
      <w:pPr>
        <w:widowControl w:val="0"/>
        <w:pBdr>
          <w:top w:val="nil"/>
          <w:left w:val="nil"/>
          <w:bottom w:val="nil"/>
          <w:right w:val="nil"/>
          <w:between w:val="nil"/>
        </w:pBdr>
        <w:spacing w:after="240" w:line="240" w:lineRule="auto"/>
        <w:rPr>
          <w:sz w:val="20"/>
          <w:szCs w:val="20"/>
        </w:rPr>
      </w:pPr>
      <w:hyperlink r:id="rId36">
        <w:r>
          <w:t xml:space="preserve">BIROLI, Flávia; TATAGIBA, Luciana; QUINTELA, Débora </w:t>
        </w:r>
        <w:proofErr w:type="spellStart"/>
        <w:r>
          <w:t>Françolin</w:t>
        </w:r>
        <w:proofErr w:type="spellEnd"/>
        <w:r>
          <w:t xml:space="preserve">. Reações à igualdade de gênero e ocupação do Estado no governo Bolsonaro (2019-2022). </w:t>
        </w:r>
      </w:hyperlink>
      <w:hyperlink r:id="rId37">
        <w:r>
          <w:rPr>
            <w:b/>
          </w:rPr>
          <w:t>Opinião Pública</w:t>
        </w:r>
      </w:hyperlink>
      <w:hyperlink r:id="rId38">
        <w:r>
          <w:t xml:space="preserve">, v. 30, p. e3013, 2024. </w:t>
        </w:r>
      </w:hyperlink>
    </w:p>
    <w:p w14:paraId="1C914A51" w14:textId="77777777" w:rsidR="00D44BC7" w:rsidRDefault="00D44BC7">
      <w:pPr>
        <w:widowControl w:val="0"/>
        <w:pBdr>
          <w:top w:val="nil"/>
          <w:left w:val="nil"/>
          <w:bottom w:val="nil"/>
          <w:right w:val="nil"/>
          <w:between w:val="nil"/>
        </w:pBdr>
        <w:spacing w:after="240" w:line="240" w:lineRule="auto"/>
        <w:rPr>
          <w:sz w:val="20"/>
          <w:szCs w:val="20"/>
        </w:rPr>
      </w:pPr>
      <w:hyperlink r:id="rId39">
        <w:r>
          <w:t xml:space="preserve">BITENCOURT, Leandro De Oliveira; OLIVEIRA, Maria Helena Barros De. ‘Meninos vestem azul e meninas vestem rosa’: Análise do Discurso Crítica sobre a ‘ideologia de gênero’ no Ministério da Mulher, Família e Direitos Humanos. </w:t>
        </w:r>
      </w:hyperlink>
      <w:hyperlink r:id="rId40">
        <w:r>
          <w:rPr>
            <w:b/>
          </w:rPr>
          <w:t>Saúde em Debate</w:t>
        </w:r>
      </w:hyperlink>
      <w:hyperlink r:id="rId41">
        <w:r>
          <w:t xml:space="preserve">, v. 47, n. spe1, p. e9092, 2023. </w:t>
        </w:r>
      </w:hyperlink>
    </w:p>
    <w:p w14:paraId="1C914A52" w14:textId="77777777" w:rsidR="00D44BC7" w:rsidRDefault="00D44BC7">
      <w:pPr>
        <w:widowControl w:val="0"/>
        <w:pBdr>
          <w:top w:val="nil"/>
          <w:left w:val="nil"/>
          <w:bottom w:val="nil"/>
          <w:right w:val="nil"/>
          <w:between w:val="nil"/>
        </w:pBdr>
        <w:spacing w:after="240" w:line="240" w:lineRule="auto"/>
        <w:rPr>
          <w:sz w:val="20"/>
          <w:szCs w:val="20"/>
        </w:rPr>
      </w:pPr>
      <w:hyperlink r:id="rId42">
        <w:r>
          <w:t>BRASIL. Decreto n</w:t>
        </w:r>
      </w:hyperlink>
      <w:hyperlink r:id="rId43">
        <w:r>
          <w:rPr>
            <w:vertAlign w:val="superscript"/>
          </w:rPr>
          <w:t>o</w:t>
        </w:r>
      </w:hyperlink>
      <w:hyperlink r:id="rId44">
        <w:r>
          <w:t xml:space="preserve"> 8.086, de 30 de agosto de 2013. Institui o Programa Mulher: Viver sem Violência e dá outras providências. </w:t>
        </w:r>
      </w:hyperlink>
      <w:hyperlink r:id="rId45">
        <w:r>
          <w:rPr>
            <w:b/>
          </w:rPr>
          <w:t>Presidência da República</w:t>
        </w:r>
      </w:hyperlink>
      <w:hyperlink r:id="rId46">
        <w:r>
          <w:t xml:space="preserve">. 2013. </w:t>
        </w:r>
      </w:hyperlink>
    </w:p>
    <w:p w14:paraId="1C914A53" w14:textId="77777777" w:rsidR="00D44BC7" w:rsidRDefault="00D44BC7">
      <w:pPr>
        <w:widowControl w:val="0"/>
        <w:pBdr>
          <w:top w:val="nil"/>
          <w:left w:val="nil"/>
          <w:bottom w:val="nil"/>
          <w:right w:val="nil"/>
          <w:between w:val="nil"/>
        </w:pBdr>
        <w:spacing w:after="240" w:line="240" w:lineRule="auto"/>
        <w:rPr>
          <w:sz w:val="20"/>
          <w:szCs w:val="20"/>
        </w:rPr>
      </w:pPr>
      <w:hyperlink r:id="rId47">
        <w:r>
          <w:t>BRASIL. EMENDA CONSTITUCIONAL N</w:t>
        </w:r>
      </w:hyperlink>
      <w:hyperlink r:id="rId48">
        <w:r>
          <w:rPr>
            <w:vertAlign w:val="superscript"/>
          </w:rPr>
          <w:t>o</w:t>
        </w:r>
      </w:hyperlink>
      <w:hyperlink r:id="rId49">
        <w:r>
          <w:t xml:space="preserve"> 95, DE 15 DE DEZEMBRO DE 2016. Altera o Ato das Disposições Constitucionais Transitórias, para instituir o Novo Regime Fiscal, e dá outras providências. </w:t>
        </w:r>
      </w:hyperlink>
      <w:hyperlink r:id="rId50">
        <w:r>
          <w:rPr>
            <w:b/>
          </w:rPr>
          <w:t>Presidência da República</w:t>
        </w:r>
      </w:hyperlink>
      <w:hyperlink r:id="rId51">
        <w:r>
          <w:t xml:space="preserve">. 15 dez. 2016. </w:t>
        </w:r>
      </w:hyperlink>
    </w:p>
    <w:p w14:paraId="1C914A54" w14:textId="77777777" w:rsidR="00D44BC7" w:rsidRDefault="00D44BC7">
      <w:pPr>
        <w:widowControl w:val="0"/>
        <w:pBdr>
          <w:top w:val="nil"/>
          <w:left w:val="nil"/>
          <w:bottom w:val="nil"/>
          <w:right w:val="nil"/>
          <w:between w:val="nil"/>
        </w:pBdr>
        <w:spacing w:after="240" w:line="240" w:lineRule="auto"/>
        <w:rPr>
          <w:sz w:val="20"/>
          <w:szCs w:val="20"/>
        </w:rPr>
      </w:pPr>
      <w:hyperlink r:id="rId52">
        <w:r>
          <w:t>BRASIL. Lei Complementar n</w:t>
        </w:r>
      </w:hyperlink>
      <w:hyperlink r:id="rId53">
        <w:r>
          <w:rPr>
            <w:vertAlign w:val="superscript"/>
          </w:rPr>
          <w:t>o</w:t>
        </w:r>
      </w:hyperlink>
      <w:hyperlink r:id="rId54">
        <w:r>
          <w:t xml:space="preserve"> 200 de 30 de agosto de 2023. Institui regime fiscal sustentável para garantir a estabilidade macroeconômica do País e criar as condições adequadas ao crescimento socioeconômico, com fundamento no art. 6</w:t>
        </w:r>
      </w:hyperlink>
      <w:hyperlink r:id="rId55">
        <w:r>
          <w:rPr>
            <w:vertAlign w:val="superscript"/>
          </w:rPr>
          <w:t>o</w:t>
        </w:r>
      </w:hyperlink>
      <w:hyperlink r:id="rId56">
        <w:r>
          <w:t xml:space="preserve"> da Emenda Constitucional n</w:t>
        </w:r>
      </w:hyperlink>
      <w:hyperlink r:id="rId57">
        <w:r>
          <w:rPr>
            <w:vertAlign w:val="superscript"/>
          </w:rPr>
          <w:t>o</w:t>
        </w:r>
      </w:hyperlink>
      <w:hyperlink r:id="rId58">
        <w:r>
          <w:t xml:space="preserve"> 126, de 21 de dezembro de 2022, e no inciso VIII do caput e no parágrafo único do art. 163 da Constituição Federal; e altera a Lei Complementar n</w:t>
        </w:r>
      </w:hyperlink>
      <w:hyperlink r:id="rId59">
        <w:r>
          <w:rPr>
            <w:vertAlign w:val="superscript"/>
          </w:rPr>
          <w:t>o</w:t>
        </w:r>
      </w:hyperlink>
      <w:hyperlink r:id="rId60">
        <w:r>
          <w:t xml:space="preserve"> 101, de 4 de maio de 2000 (Lei de Responsabilidade Fiscal). </w:t>
        </w:r>
      </w:hyperlink>
      <w:hyperlink r:id="rId61">
        <w:r>
          <w:rPr>
            <w:b/>
          </w:rPr>
          <w:t>Presidência da República</w:t>
        </w:r>
      </w:hyperlink>
      <w:hyperlink r:id="rId62">
        <w:r>
          <w:t xml:space="preserve">. 30 ago. 2023. </w:t>
        </w:r>
      </w:hyperlink>
    </w:p>
    <w:p w14:paraId="1C914A55" w14:textId="77777777" w:rsidR="00D44BC7" w:rsidRDefault="00D44BC7">
      <w:pPr>
        <w:widowControl w:val="0"/>
        <w:pBdr>
          <w:top w:val="nil"/>
          <w:left w:val="nil"/>
          <w:bottom w:val="nil"/>
          <w:right w:val="nil"/>
          <w:between w:val="nil"/>
        </w:pBdr>
        <w:spacing w:after="240" w:line="240" w:lineRule="auto"/>
        <w:rPr>
          <w:sz w:val="20"/>
          <w:szCs w:val="20"/>
        </w:rPr>
      </w:pPr>
      <w:hyperlink r:id="rId63">
        <w:r>
          <w:t xml:space="preserve">CAMPOS, Carmen Hein De; BERNARDES, Márcia Nina. Ideologia de gênero e o Ministério da Mulher, da Família e dos Direitos Humanos. </w:t>
        </w:r>
      </w:hyperlink>
      <w:hyperlink r:id="rId64">
        <w:r>
          <w:rPr>
            <w:b/>
          </w:rPr>
          <w:t>Revista Estudos Feministas</w:t>
        </w:r>
      </w:hyperlink>
      <w:hyperlink r:id="rId65">
        <w:r>
          <w:t xml:space="preserve">, v. 30, n. 3, p. e73882, 2022. </w:t>
        </w:r>
      </w:hyperlink>
    </w:p>
    <w:p w14:paraId="1C914A56" w14:textId="77777777" w:rsidR="00D44BC7" w:rsidRDefault="00D44BC7">
      <w:pPr>
        <w:widowControl w:val="0"/>
        <w:pBdr>
          <w:top w:val="nil"/>
          <w:left w:val="nil"/>
          <w:bottom w:val="nil"/>
          <w:right w:val="nil"/>
          <w:between w:val="nil"/>
        </w:pBdr>
        <w:spacing w:after="240" w:line="240" w:lineRule="auto"/>
        <w:rPr>
          <w:sz w:val="20"/>
          <w:szCs w:val="20"/>
        </w:rPr>
      </w:pPr>
      <w:hyperlink r:id="rId66">
        <w:r>
          <w:t xml:space="preserve">CARLOS, </w:t>
        </w:r>
        <w:proofErr w:type="spellStart"/>
        <w:r>
          <w:t>Euzeneia</w:t>
        </w:r>
        <w:proofErr w:type="spellEnd"/>
        <w:r>
          <w:t xml:space="preserve">; PEREIRA, Matheus Mazzilli; RODRIGUES, Cristiano. DESMONTE DE POLÍTICAS PÚBLICAS NO GOVERNO BOLSONARO: POLÍTICAS PARA MULHERES, DE IGUALDADE RACIAL E PARA LGBTQIA+ EM PERSPECTIVA COMPARADA. </w:t>
        </w:r>
      </w:hyperlink>
      <w:hyperlink r:id="rId67">
        <w:r>
          <w:rPr>
            <w:b/>
          </w:rPr>
          <w:t>Lua Nova: Revista de Cultura e Política</w:t>
        </w:r>
      </w:hyperlink>
      <w:hyperlink r:id="rId68">
        <w:r>
          <w:t xml:space="preserve">, n. 124, p. e124044ec, 2025. </w:t>
        </w:r>
      </w:hyperlink>
    </w:p>
    <w:p w14:paraId="1C914A57" w14:textId="77777777" w:rsidR="00D44BC7" w:rsidRDefault="00D44BC7">
      <w:pPr>
        <w:widowControl w:val="0"/>
        <w:pBdr>
          <w:top w:val="nil"/>
          <w:left w:val="nil"/>
          <w:bottom w:val="nil"/>
          <w:right w:val="nil"/>
          <w:between w:val="nil"/>
        </w:pBdr>
        <w:spacing w:after="240" w:line="240" w:lineRule="auto"/>
        <w:rPr>
          <w:sz w:val="20"/>
          <w:szCs w:val="20"/>
        </w:rPr>
      </w:pPr>
      <w:hyperlink r:id="rId69">
        <w:r>
          <w:t xml:space="preserve">CARNIEL, Fagner; RUGGI, </w:t>
        </w:r>
        <w:proofErr w:type="spellStart"/>
        <w:r>
          <w:t>Lennita</w:t>
        </w:r>
        <w:proofErr w:type="spellEnd"/>
        <w:r>
          <w:t xml:space="preserve">; RUGGI, Júlia De Oliveira. Gênero e humor nas redes sociais: a campanha contra Dilma Rousseff no Brasil. </w:t>
        </w:r>
      </w:hyperlink>
      <w:hyperlink r:id="rId70">
        <w:r>
          <w:rPr>
            <w:b/>
          </w:rPr>
          <w:t>Opinião Pública</w:t>
        </w:r>
      </w:hyperlink>
      <w:hyperlink r:id="rId71">
        <w:r>
          <w:t xml:space="preserve">, v. 24, n. 3, p. 523–546, dez. 2018. </w:t>
        </w:r>
      </w:hyperlink>
    </w:p>
    <w:p w14:paraId="1C914A58" w14:textId="77777777" w:rsidR="00D44BC7" w:rsidRDefault="00D44BC7">
      <w:pPr>
        <w:widowControl w:val="0"/>
        <w:pBdr>
          <w:top w:val="nil"/>
          <w:left w:val="nil"/>
          <w:bottom w:val="nil"/>
          <w:right w:val="nil"/>
          <w:between w:val="nil"/>
        </w:pBdr>
        <w:spacing w:after="240" w:line="240" w:lineRule="auto"/>
        <w:rPr>
          <w:sz w:val="20"/>
          <w:szCs w:val="20"/>
        </w:rPr>
      </w:pPr>
      <w:hyperlink r:id="rId72">
        <w:r>
          <w:t xml:space="preserve">DIAS, Henrique Sant’Anna; LIMA, Luciana Dias De; TEIXEIRA, Márcia. A trajetória da política nacional de reorientação da formação profissional em saúde no SUS. </w:t>
        </w:r>
      </w:hyperlink>
      <w:hyperlink r:id="rId73">
        <w:r>
          <w:rPr>
            <w:b/>
          </w:rPr>
          <w:t>Ciência &amp; Saúde Coletiva</w:t>
        </w:r>
      </w:hyperlink>
      <w:hyperlink r:id="rId74">
        <w:r>
          <w:t xml:space="preserve">, v. 18, n. 6, p. 1613–1624, jun. 2013. </w:t>
        </w:r>
      </w:hyperlink>
    </w:p>
    <w:p w14:paraId="1C914A59" w14:textId="77777777" w:rsidR="00D44BC7" w:rsidRDefault="00D44BC7">
      <w:pPr>
        <w:widowControl w:val="0"/>
        <w:pBdr>
          <w:top w:val="nil"/>
          <w:left w:val="nil"/>
          <w:bottom w:val="nil"/>
          <w:right w:val="nil"/>
          <w:between w:val="nil"/>
        </w:pBdr>
        <w:spacing w:after="240" w:line="240" w:lineRule="auto"/>
        <w:rPr>
          <w:sz w:val="20"/>
          <w:szCs w:val="20"/>
        </w:rPr>
      </w:pPr>
      <w:hyperlink r:id="rId75">
        <w:r>
          <w:t xml:space="preserve">FÓRUM BRASILEIRO DE SEGURANÇA PÚBLICA. </w:t>
        </w:r>
      </w:hyperlink>
      <w:hyperlink r:id="rId76">
        <w:r>
          <w:rPr>
            <w:b/>
          </w:rPr>
          <w:t>17</w:t>
        </w:r>
      </w:hyperlink>
      <w:hyperlink r:id="rId77">
        <w:r>
          <w:rPr>
            <w:b/>
            <w:vertAlign w:val="superscript"/>
          </w:rPr>
          <w:t>o</w:t>
        </w:r>
      </w:hyperlink>
      <w:hyperlink r:id="rId78">
        <w:r>
          <w:rPr>
            <w:b/>
          </w:rPr>
          <w:t xml:space="preserve"> Anuário Brasileiro de Segurança Pública</w:t>
        </w:r>
      </w:hyperlink>
      <w:hyperlink r:id="rId79">
        <w:r>
          <w:t xml:space="preserve">. São Paulo: Fórum Brasileiro de Segurança Pública, 2023. </w:t>
        </w:r>
      </w:hyperlink>
    </w:p>
    <w:p w14:paraId="1C914A5A" w14:textId="77777777" w:rsidR="00D44BC7" w:rsidRDefault="00D44BC7">
      <w:pPr>
        <w:widowControl w:val="0"/>
        <w:pBdr>
          <w:top w:val="nil"/>
          <w:left w:val="nil"/>
          <w:bottom w:val="nil"/>
          <w:right w:val="nil"/>
          <w:between w:val="nil"/>
        </w:pBdr>
        <w:spacing w:after="240" w:line="240" w:lineRule="auto"/>
        <w:rPr>
          <w:sz w:val="20"/>
          <w:szCs w:val="20"/>
        </w:rPr>
      </w:pPr>
      <w:hyperlink r:id="rId80">
        <w:r>
          <w:t xml:space="preserve">HALL, Peter A.; TAYLOR, Rosemary C. R. As três versões do </w:t>
        </w:r>
        <w:proofErr w:type="spellStart"/>
        <w:r>
          <w:t>neo-institucionalismo</w:t>
        </w:r>
        <w:proofErr w:type="spellEnd"/>
        <w:r>
          <w:t xml:space="preserve">. </w:t>
        </w:r>
      </w:hyperlink>
      <w:hyperlink r:id="rId81">
        <w:r>
          <w:rPr>
            <w:b/>
          </w:rPr>
          <w:t>Lua Nova: Revista de Cultura e Política</w:t>
        </w:r>
      </w:hyperlink>
      <w:hyperlink r:id="rId82">
        <w:r>
          <w:t xml:space="preserve">, n. 58, p. 193–223, 2003. </w:t>
        </w:r>
      </w:hyperlink>
    </w:p>
    <w:p w14:paraId="1C914A5B" w14:textId="77777777" w:rsidR="00D44BC7" w:rsidRDefault="00D44BC7">
      <w:pPr>
        <w:widowControl w:val="0"/>
        <w:pBdr>
          <w:top w:val="nil"/>
          <w:left w:val="nil"/>
          <w:bottom w:val="nil"/>
          <w:right w:val="nil"/>
          <w:between w:val="nil"/>
        </w:pBdr>
        <w:spacing w:after="240" w:line="240" w:lineRule="auto"/>
        <w:rPr>
          <w:sz w:val="20"/>
          <w:szCs w:val="20"/>
        </w:rPr>
      </w:pPr>
      <w:hyperlink r:id="rId83">
        <w:r>
          <w:t xml:space="preserve">KULAITIS, Letícia Figueira Moutinho. “Os Homens Estruturam um Mundo Deles e para Eles”: A Violência Política de Gênero como Estratégia Ortodoxa de Reprodução do Campo Político. </w:t>
        </w:r>
      </w:hyperlink>
      <w:hyperlink r:id="rId84">
        <w:r>
          <w:rPr>
            <w:b/>
          </w:rPr>
          <w:t>Mediações - Revista de Ciências Sociais</w:t>
        </w:r>
      </w:hyperlink>
      <w:hyperlink r:id="rId85">
        <w:r>
          <w:t xml:space="preserve">, p. 1–20, 22 mar. 2024. </w:t>
        </w:r>
      </w:hyperlink>
    </w:p>
    <w:p w14:paraId="1C914A5C" w14:textId="77777777" w:rsidR="00D44BC7" w:rsidRDefault="00D44BC7">
      <w:pPr>
        <w:widowControl w:val="0"/>
        <w:pBdr>
          <w:top w:val="nil"/>
          <w:left w:val="nil"/>
          <w:bottom w:val="nil"/>
          <w:right w:val="nil"/>
          <w:between w:val="nil"/>
        </w:pBdr>
        <w:spacing w:after="240" w:line="240" w:lineRule="auto"/>
        <w:rPr>
          <w:sz w:val="20"/>
          <w:szCs w:val="20"/>
        </w:rPr>
      </w:pPr>
      <w:hyperlink r:id="rId86">
        <w:r>
          <w:t xml:space="preserve">MALGAREZI, Vitor Apolinário. (UMA) ANÁLISE DAS POLÍTICAS PÚBLICAS DE COMBATE A VIOLÊNCIA CONTRA A MULHER NO BRASIL (2014 - 2019). </w:t>
        </w:r>
      </w:hyperlink>
      <w:hyperlink r:id="rId87">
        <w:r>
          <w:rPr>
            <w:b/>
          </w:rPr>
          <w:t>AKRÓPOLIS - Revista de Ciências Humanas da UNIPAR</w:t>
        </w:r>
      </w:hyperlink>
      <w:hyperlink r:id="rId88">
        <w:r>
          <w:t xml:space="preserve">, v. 32, n. 1, p. 1–15, 19 ago. 2024. </w:t>
        </w:r>
      </w:hyperlink>
    </w:p>
    <w:p w14:paraId="1C914A5D" w14:textId="77777777" w:rsidR="00D44BC7" w:rsidRDefault="00D44BC7">
      <w:pPr>
        <w:widowControl w:val="0"/>
        <w:pBdr>
          <w:top w:val="nil"/>
          <w:left w:val="nil"/>
          <w:bottom w:val="nil"/>
          <w:right w:val="nil"/>
          <w:between w:val="nil"/>
        </w:pBdr>
        <w:spacing w:after="240" w:line="240" w:lineRule="auto"/>
        <w:rPr>
          <w:sz w:val="20"/>
          <w:szCs w:val="20"/>
        </w:rPr>
      </w:pPr>
      <w:hyperlink r:id="rId89">
        <w:r>
          <w:t xml:space="preserve">MARQUES, </w:t>
        </w:r>
        <w:proofErr w:type="spellStart"/>
        <w:r>
          <w:t>Elissa</w:t>
        </w:r>
        <w:proofErr w:type="spellEnd"/>
        <w:r>
          <w:t xml:space="preserve"> Emily Andrada; SILVA, </w:t>
        </w:r>
        <w:proofErr w:type="spellStart"/>
        <w:r>
          <w:t>Suylan</w:t>
        </w:r>
        <w:proofErr w:type="spellEnd"/>
        <w:r>
          <w:t xml:space="preserve"> de Almeida </w:t>
        </w:r>
        <w:proofErr w:type="spellStart"/>
        <w:r>
          <w:t>Midlej</w:t>
        </w:r>
        <w:proofErr w:type="spellEnd"/>
        <w:r>
          <w:t xml:space="preserve"> e. Mulher, Viver Sem Violência: Uma Análise de sua Implementação a Partir da Casa da Mulher Brasileira e de Entidades Parceiras. </w:t>
        </w:r>
      </w:hyperlink>
      <w:hyperlink r:id="rId90">
        <w:r>
          <w:rPr>
            <w:b/>
          </w:rPr>
          <w:t>Estudos de Administração e Sociedade</w:t>
        </w:r>
      </w:hyperlink>
      <w:hyperlink r:id="rId91">
        <w:r>
          <w:t xml:space="preserve">, v. 3, n. 2, 2017. </w:t>
        </w:r>
      </w:hyperlink>
    </w:p>
    <w:p w14:paraId="1C914A5E" w14:textId="77777777" w:rsidR="00D44BC7" w:rsidRDefault="00D44BC7">
      <w:pPr>
        <w:widowControl w:val="0"/>
        <w:pBdr>
          <w:top w:val="nil"/>
          <w:left w:val="nil"/>
          <w:bottom w:val="nil"/>
          <w:right w:val="nil"/>
          <w:between w:val="nil"/>
        </w:pBdr>
        <w:spacing w:after="240" w:line="240" w:lineRule="auto"/>
        <w:rPr>
          <w:sz w:val="20"/>
          <w:szCs w:val="20"/>
        </w:rPr>
      </w:pPr>
      <w:hyperlink r:id="rId92">
        <w:r>
          <w:t xml:space="preserve">MENEGUELLI, </w:t>
        </w:r>
        <w:proofErr w:type="spellStart"/>
        <w:r>
          <w:t>Gisella</w:t>
        </w:r>
        <w:proofErr w:type="spellEnd"/>
        <w:r>
          <w:t xml:space="preserve">; FERRÉ-PAVIA, Carme. El discurso de </w:t>
        </w:r>
        <w:proofErr w:type="spellStart"/>
        <w:r>
          <w:t>odio</w:t>
        </w:r>
        <w:proofErr w:type="spellEnd"/>
        <w:r>
          <w:t xml:space="preserve"> contra Dilma Rousseff </w:t>
        </w:r>
        <w:r>
          <w:lastRenderedPageBreak/>
          <w:t xml:space="preserve">desde </w:t>
        </w:r>
        <w:proofErr w:type="spellStart"/>
        <w:r>
          <w:t>la</w:t>
        </w:r>
        <w:proofErr w:type="spellEnd"/>
        <w:r>
          <w:t xml:space="preserve"> perspectiva </w:t>
        </w:r>
        <w:proofErr w:type="spellStart"/>
        <w:r>
          <w:t>semiolingüística</w:t>
        </w:r>
        <w:proofErr w:type="spellEnd"/>
        <w:r>
          <w:t xml:space="preserve">. </w:t>
        </w:r>
      </w:hyperlink>
      <w:hyperlink r:id="rId93">
        <w:r>
          <w:rPr>
            <w:b/>
          </w:rPr>
          <w:t>Revista Estudos Feministas</w:t>
        </w:r>
      </w:hyperlink>
      <w:hyperlink r:id="rId94">
        <w:r>
          <w:t xml:space="preserve">, v. 32, n. 1, p. e87865, 2024. </w:t>
        </w:r>
      </w:hyperlink>
    </w:p>
    <w:p w14:paraId="1C914A5F" w14:textId="77777777" w:rsidR="00D44BC7" w:rsidRDefault="00D44BC7">
      <w:pPr>
        <w:widowControl w:val="0"/>
        <w:pBdr>
          <w:top w:val="nil"/>
          <w:left w:val="nil"/>
          <w:bottom w:val="nil"/>
          <w:right w:val="nil"/>
          <w:between w:val="nil"/>
        </w:pBdr>
        <w:spacing w:after="240" w:line="240" w:lineRule="auto"/>
        <w:rPr>
          <w:sz w:val="20"/>
          <w:szCs w:val="20"/>
        </w:rPr>
      </w:pPr>
      <w:hyperlink r:id="rId95">
        <w:r>
          <w:t xml:space="preserve">MORITZ, Maria Lúcia; RITA, Mayara Bacelar. Mídia Impressa e Gênero na construção do impeachment de Dilma Rousseff. </w:t>
        </w:r>
      </w:hyperlink>
      <w:hyperlink r:id="rId96">
        <w:proofErr w:type="spellStart"/>
        <w:r>
          <w:rPr>
            <w:b/>
          </w:rPr>
          <w:t>Intercom</w:t>
        </w:r>
        <w:proofErr w:type="spellEnd"/>
        <w:r>
          <w:rPr>
            <w:b/>
          </w:rPr>
          <w:t>: Revista Brasileira de Ciências da Comunicação</w:t>
        </w:r>
      </w:hyperlink>
      <w:hyperlink r:id="rId97">
        <w:r>
          <w:t xml:space="preserve">, v. 43, n. 2, p. 203–223, maio 2020. </w:t>
        </w:r>
      </w:hyperlink>
    </w:p>
    <w:p w14:paraId="1C914A60" w14:textId="77777777" w:rsidR="00D44BC7" w:rsidRDefault="00D44BC7">
      <w:pPr>
        <w:widowControl w:val="0"/>
        <w:pBdr>
          <w:top w:val="nil"/>
          <w:left w:val="nil"/>
          <w:bottom w:val="nil"/>
          <w:right w:val="nil"/>
          <w:between w:val="nil"/>
        </w:pBdr>
        <w:spacing w:after="240" w:line="240" w:lineRule="auto"/>
        <w:rPr>
          <w:sz w:val="20"/>
          <w:szCs w:val="20"/>
        </w:rPr>
      </w:pPr>
      <w:hyperlink r:id="rId98">
        <w:r>
          <w:t xml:space="preserve">PIERSON, Paul. </w:t>
        </w:r>
      </w:hyperlink>
      <w:hyperlink r:id="rId99">
        <w:proofErr w:type="spellStart"/>
        <w:r>
          <w:rPr>
            <w:b/>
          </w:rPr>
          <w:t>Politics</w:t>
        </w:r>
        <w:proofErr w:type="spellEnd"/>
        <w:r>
          <w:rPr>
            <w:b/>
          </w:rPr>
          <w:t xml:space="preserve"> in Time: </w:t>
        </w:r>
        <w:proofErr w:type="spellStart"/>
        <w:r>
          <w:rPr>
            <w:b/>
          </w:rPr>
          <w:t>History</w:t>
        </w:r>
        <w:proofErr w:type="spellEnd"/>
        <w:r>
          <w:rPr>
            <w:b/>
          </w:rPr>
          <w:t xml:space="preserve">, </w:t>
        </w:r>
        <w:proofErr w:type="spellStart"/>
        <w:r>
          <w:rPr>
            <w:b/>
          </w:rPr>
          <w:t>Institutions</w:t>
        </w:r>
        <w:proofErr w:type="spellEnd"/>
        <w:r>
          <w:rPr>
            <w:b/>
          </w:rPr>
          <w:t xml:space="preserve">, </w:t>
        </w:r>
        <w:proofErr w:type="spellStart"/>
        <w:r>
          <w:rPr>
            <w:b/>
          </w:rPr>
          <w:t>and</w:t>
        </w:r>
        <w:proofErr w:type="spellEnd"/>
        <w:r>
          <w:rPr>
            <w:b/>
          </w:rPr>
          <w:t xml:space="preserve"> Social </w:t>
        </w:r>
        <w:proofErr w:type="spellStart"/>
        <w:r>
          <w:rPr>
            <w:b/>
          </w:rPr>
          <w:t>Analysis</w:t>
        </w:r>
        <w:proofErr w:type="spellEnd"/>
      </w:hyperlink>
      <w:hyperlink r:id="rId100">
        <w:r>
          <w:t xml:space="preserve">. Princeton: Princeton </w:t>
        </w:r>
        <w:proofErr w:type="spellStart"/>
        <w:r>
          <w:t>University</w:t>
        </w:r>
        <w:proofErr w:type="spellEnd"/>
        <w:r>
          <w:t xml:space="preserve"> Press, 2004. </w:t>
        </w:r>
      </w:hyperlink>
    </w:p>
    <w:p w14:paraId="1C914A61" w14:textId="77777777" w:rsidR="00D44BC7" w:rsidRDefault="00D44BC7">
      <w:pPr>
        <w:widowControl w:val="0"/>
        <w:pBdr>
          <w:top w:val="nil"/>
          <w:left w:val="nil"/>
          <w:bottom w:val="nil"/>
          <w:right w:val="nil"/>
          <w:between w:val="nil"/>
        </w:pBdr>
        <w:spacing w:after="240" w:line="240" w:lineRule="auto"/>
        <w:rPr>
          <w:sz w:val="20"/>
          <w:szCs w:val="20"/>
        </w:rPr>
      </w:pPr>
      <w:hyperlink r:id="rId101">
        <w:r>
          <w:t xml:space="preserve">SALVADOR, Evilásio. O arcabouço fiscal e as implicações no financiamento das políticas sociais. </w:t>
        </w:r>
      </w:hyperlink>
      <w:hyperlink r:id="rId102">
        <w:proofErr w:type="spellStart"/>
        <w:r>
          <w:rPr>
            <w:b/>
          </w:rPr>
          <w:t>Argumentum</w:t>
        </w:r>
        <w:proofErr w:type="spellEnd"/>
      </w:hyperlink>
      <w:hyperlink r:id="rId103">
        <w:r>
          <w:t xml:space="preserve">, v. 16, n. 1, p. 6–19, 30 abr. 2024. </w:t>
        </w:r>
      </w:hyperlink>
    </w:p>
    <w:p w14:paraId="1C914A62" w14:textId="77777777" w:rsidR="00D44BC7" w:rsidRDefault="00D44BC7">
      <w:pPr>
        <w:widowControl w:val="0"/>
        <w:pBdr>
          <w:top w:val="nil"/>
          <w:left w:val="nil"/>
          <w:bottom w:val="nil"/>
          <w:right w:val="nil"/>
          <w:between w:val="nil"/>
        </w:pBdr>
        <w:spacing w:after="240" w:line="240" w:lineRule="auto"/>
        <w:rPr>
          <w:sz w:val="20"/>
          <w:szCs w:val="20"/>
        </w:rPr>
      </w:pPr>
      <w:hyperlink r:id="rId104">
        <w:r>
          <w:t xml:space="preserve">SARDENDERG, Cecilia. Políticas de Enfrentamento da Violência Contra Mulheres no Brasil: Construção e Desmonte. </w:t>
        </w:r>
      </w:hyperlink>
      <w:hyperlink r:id="rId105">
        <w:r>
          <w:rPr>
            <w:b/>
          </w:rPr>
          <w:t xml:space="preserve">Revista </w:t>
        </w:r>
        <w:proofErr w:type="spellStart"/>
        <w:r>
          <w:rPr>
            <w:b/>
          </w:rPr>
          <w:t>Estudios</w:t>
        </w:r>
        <w:proofErr w:type="spellEnd"/>
        <w:r>
          <w:rPr>
            <w:b/>
          </w:rPr>
          <w:t xml:space="preserve"> de Políticas Públicas</w:t>
        </w:r>
      </w:hyperlink>
      <w:hyperlink r:id="rId106">
        <w:r>
          <w:t xml:space="preserve">, v. 8, n. </w:t>
        </w:r>
        <w:proofErr w:type="spellStart"/>
        <w:r>
          <w:t>noviembre</w:t>
        </w:r>
        <w:proofErr w:type="spellEnd"/>
        <w:r>
          <w:t xml:space="preserve">, p. 78, 30 nov. 2018. </w:t>
        </w:r>
      </w:hyperlink>
    </w:p>
    <w:p w14:paraId="1C914A63" w14:textId="77777777" w:rsidR="00D44BC7" w:rsidRDefault="00D44BC7">
      <w:pPr>
        <w:widowControl w:val="0"/>
        <w:pBdr>
          <w:top w:val="nil"/>
          <w:left w:val="nil"/>
          <w:bottom w:val="nil"/>
          <w:right w:val="nil"/>
          <w:between w:val="nil"/>
        </w:pBdr>
        <w:spacing w:after="240" w:line="240" w:lineRule="auto"/>
        <w:rPr>
          <w:sz w:val="20"/>
          <w:szCs w:val="20"/>
        </w:rPr>
      </w:pPr>
      <w:hyperlink r:id="rId107">
        <w:r>
          <w:t xml:space="preserve">SENADO FEDERAL. </w:t>
        </w:r>
      </w:hyperlink>
      <w:hyperlink r:id="rId108">
        <w:r>
          <w:rPr>
            <w:b/>
          </w:rPr>
          <w:t>Pesquisa DataSenado: Pesquisa Nacional de Violência contra a Mulher</w:t>
        </w:r>
      </w:hyperlink>
      <w:hyperlink r:id="rId109">
        <w:r>
          <w:t>. Brasília, DF: Senado Federal; Observatório da Mulher contra a Violência (OMV), 2023. Disponível em: &lt;https://www12.senado.leg.br/institucional/datasenado/arquivos/pesquisa-nacional-de-violencia-contra-a-mulher-datasenado-2023&gt;. Acesso em: 4 jun. 2025.</w:t>
        </w:r>
      </w:hyperlink>
    </w:p>
    <w:p w14:paraId="1C914A64" w14:textId="77777777" w:rsidR="00D44BC7" w:rsidRDefault="00D44BC7">
      <w:pPr>
        <w:widowControl w:val="0"/>
        <w:pBdr>
          <w:top w:val="nil"/>
          <w:left w:val="nil"/>
          <w:bottom w:val="nil"/>
          <w:right w:val="nil"/>
          <w:between w:val="nil"/>
        </w:pBdr>
        <w:spacing w:after="240" w:line="240" w:lineRule="auto"/>
        <w:rPr>
          <w:sz w:val="20"/>
          <w:szCs w:val="20"/>
        </w:rPr>
      </w:pPr>
      <w:hyperlink r:id="rId110">
        <w:r>
          <w:t xml:space="preserve">STEINMO, </w:t>
        </w:r>
        <w:proofErr w:type="spellStart"/>
        <w:r>
          <w:t>Sven</w:t>
        </w:r>
        <w:proofErr w:type="spellEnd"/>
        <w:r>
          <w:t xml:space="preserve">; THELEN, Kathleen; LONGSTRETH, Frank (ORGS.). </w:t>
        </w:r>
      </w:hyperlink>
      <w:hyperlink r:id="rId111">
        <w:proofErr w:type="spellStart"/>
        <w:r>
          <w:rPr>
            <w:b/>
          </w:rPr>
          <w:t>Structuring</w:t>
        </w:r>
        <w:proofErr w:type="spellEnd"/>
        <w:r>
          <w:rPr>
            <w:b/>
          </w:rPr>
          <w:t xml:space="preserve"> </w:t>
        </w:r>
        <w:proofErr w:type="spellStart"/>
        <w:r>
          <w:rPr>
            <w:b/>
          </w:rPr>
          <w:t>Politics</w:t>
        </w:r>
        <w:proofErr w:type="spellEnd"/>
        <w:r>
          <w:rPr>
            <w:b/>
          </w:rPr>
          <w:t xml:space="preserve">: </w:t>
        </w:r>
        <w:proofErr w:type="spellStart"/>
        <w:r>
          <w:rPr>
            <w:b/>
          </w:rPr>
          <w:t>Historical</w:t>
        </w:r>
        <w:proofErr w:type="spellEnd"/>
        <w:r>
          <w:rPr>
            <w:b/>
          </w:rPr>
          <w:t xml:space="preserve"> </w:t>
        </w:r>
        <w:proofErr w:type="spellStart"/>
        <w:r>
          <w:rPr>
            <w:b/>
          </w:rPr>
          <w:t>Institutionalism</w:t>
        </w:r>
        <w:proofErr w:type="spellEnd"/>
        <w:r>
          <w:rPr>
            <w:b/>
          </w:rPr>
          <w:t xml:space="preserve"> in </w:t>
        </w:r>
        <w:proofErr w:type="spellStart"/>
        <w:r>
          <w:rPr>
            <w:b/>
          </w:rPr>
          <w:t>Comparative</w:t>
        </w:r>
        <w:proofErr w:type="spellEnd"/>
        <w:r>
          <w:rPr>
            <w:b/>
          </w:rPr>
          <w:t xml:space="preserve"> </w:t>
        </w:r>
        <w:proofErr w:type="spellStart"/>
        <w:r>
          <w:rPr>
            <w:b/>
          </w:rPr>
          <w:t>Analysis</w:t>
        </w:r>
        <w:proofErr w:type="spellEnd"/>
      </w:hyperlink>
      <w:hyperlink r:id="rId112">
        <w:r>
          <w:t xml:space="preserve">. 1. ed. </w:t>
        </w:r>
      </w:hyperlink>
      <w:hyperlink r:id="rId113">
        <w:r>
          <w:rPr>
            <w:i/>
          </w:rPr>
          <w:t>[</w:t>
        </w:r>
        <w:proofErr w:type="spellStart"/>
        <w:r>
          <w:rPr>
            <w:i/>
          </w:rPr>
          <w:t>S.l</w:t>
        </w:r>
        <w:proofErr w:type="spellEnd"/>
        <w:r>
          <w:rPr>
            <w:i/>
          </w:rPr>
          <w:t>.]</w:t>
        </w:r>
      </w:hyperlink>
      <w:hyperlink r:id="rId114">
        <w:r>
          <w:t xml:space="preserve">: Cambridge </w:t>
        </w:r>
        <w:proofErr w:type="spellStart"/>
        <w:r>
          <w:t>University</w:t>
        </w:r>
        <w:proofErr w:type="spellEnd"/>
        <w:r>
          <w:t xml:space="preserve"> Press, 1992. </w:t>
        </w:r>
      </w:hyperlink>
    </w:p>
    <w:p w14:paraId="1C914A65" w14:textId="77777777" w:rsidR="00D44BC7" w:rsidRDefault="00D44BC7">
      <w:pPr>
        <w:widowControl w:val="0"/>
        <w:pBdr>
          <w:top w:val="nil"/>
          <w:left w:val="nil"/>
          <w:bottom w:val="nil"/>
          <w:right w:val="nil"/>
          <w:between w:val="nil"/>
        </w:pBdr>
        <w:spacing w:after="240" w:line="240" w:lineRule="auto"/>
        <w:rPr>
          <w:sz w:val="20"/>
          <w:szCs w:val="20"/>
        </w:rPr>
      </w:pPr>
      <w:hyperlink r:id="rId115">
        <w:r>
          <w:t xml:space="preserve">STOCKER, Pâmela Caroline; DALMASO, Silvana </w:t>
        </w:r>
        <w:proofErr w:type="spellStart"/>
        <w:r>
          <w:t>Copetti</w:t>
        </w:r>
        <w:proofErr w:type="spellEnd"/>
        <w:r>
          <w:t xml:space="preserve">. Uma questão de gênero: ofensas de leitores à Dilma Rousseff no Facebook da Folha. </w:t>
        </w:r>
      </w:hyperlink>
      <w:hyperlink r:id="rId116">
        <w:r>
          <w:rPr>
            <w:b/>
          </w:rPr>
          <w:t>Revista Estudos Feministas</w:t>
        </w:r>
      </w:hyperlink>
      <w:hyperlink r:id="rId117">
        <w:r>
          <w:t xml:space="preserve">, v. 24, n. 3, p. 679–690, dez. 2016. </w:t>
        </w:r>
      </w:hyperlink>
    </w:p>
    <w:p w14:paraId="1C914A66" w14:textId="77777777" w:rsidR="00D44BC7" w:rsidRDefault="00D44BC7">
      <w:pPr>
        <w:widowControl w:val="0"/>
        <w:pBdr>
          <w:top w:val="nil"/>
          <w:left w:val="nil"/>
          <w:bottom w:val="nil"/>
          <w:right w:val="nil"/>
          <w:between w:val="nil"/>
        </w:pBdr>
        <w:spacing w:after="240" w:line="240" w:lineRule="auto"/>
        <w:rPr>
          <w:sz w:val="20"/>
          <w:szCs w:val="20"/>
        </w:rPr>
      </w:pPr>
      <w:hyperlink r:id="rId118">
        <w:r>
          <w:t xml:space="preserve">TAVARES, Márcia Santana; ALVES, Amanda. A violência de gênero no (Des)governo Bolsonaro: licença para matar! </w:t>
        </w:r>
      </w:hyperlink>
      <w:hyperlink r:id="rId119">
        <w:r>
          <w:rPr>
            <w:b/>
          </w:rPr>
          <w:t>Revista Brasileira de História</w:t>
        </w:r>
      </w:hyperlink>
      <w:hyperlink r:id="rId120">
        <w:r>
          <w:t xml:space="preserve">, v. 43, n. 94, p. 41–61, dez. 2023. </w:t>
        </w:r>
      </w:hyperlink>
    </w:p>
    <w:p w14:paraId="1C914A67" w14:textId="77777777" w:rsidR="00D44BC7" w:rsidRDefault="00D44BC7">
      <w:pPr>
        <w:spacing w:line="240" w:lineRule="auto"/>
        <w:jc w:val="both"/>
        <w:rPr>
          <w:sz w:val="24"/>
          <w:szCs w:val="24"/>
        </w:rPr>
      </w:pPr>
    </w:p>
    <w:sectPr w:rsidR="00D44BC7">
      <w:type w:val="continuous"/>
      <w:pgSz w:w="11909" w:h="16834"/>
      <w:pgMar w:top="737" w:right="1133" w:bottom="1303" w:left="1700" w:header="340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B5A3C" w14:textId="77777777" w:rsidR="00201651" w:rsidRDefault="00201651">
      <w:pPr>
        <w:spacing w:line="240" w:lineRule="auto"/>
      </w:pPr>
      <w:r>
        <w:separator/>
      </w:r>
    </w:p>
  </w:endnote>
  <w:endnote w:type="continuationSeparator" w:id="0">
    <w:p w14:paraId="55904002" w14:textId="77777777" w:rsidR="00201651" w:rsidRDefault="002016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772D0" w14:textId="77777777" w:rsidR="00201651" w:rsidRDefault="00201651">
      <w:pPr>
        <w:spacing w:line="240" w:lineRule="auto"/>
      </w:pPr>
      <w:r>
        <w:separator/>
      </w:r>
    </w:p>
  </w:footnote>
  <w:footnote w:type="continuationSeparator" w:id="0">
    <w:p w14:paraId="57611AED" w14:textId="77777777" w:rsidR="00201651" w:rsidRDefault="002016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14A68" w14:textId="77777777" w:rsidR="00D44BC7" w:rsidRDefault="00CD402A">
    <w:r>
      <w:rPr>
        <w:noProof/>
      </w:rPr>
      <w:drawing>
        <wp:anchor distT="0" distB="0" distL="0" distR="0" simplePos="0" relativeHeight="251658240" behindDoc="1" locked="0" layoutInCell="1" hidden="0" allowOverlap="1" wp14:anchorId="1C914A69" wp14:editId="1C914A6A">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BC7"/>
    <w:rsid w:val="00125467"/>
    <w:rsid w:val="0014683E"/>
    <w:rsid w:val="00201651"/>
    <w:rsid w:val="004B3D70"/>
    <w:rsid w:val="005407D8"/>
    <w:rsid w:val="005468F0"/>
    <w:rsid w:val="005A4D07"/>
    <w:rsid w:val="00684C22"/>
    <w:rsid w:val="006A495B"/>
    <w:rsid w:val="007210A2"/>
    <w:rsid w:val="00CD402A"/>
    <w:rsid w:val="00D44BC7"/>
    <w:rsid w:val="00EE1B0E"/>
    <w:rsid w:val="00F0233C"/>
    <w:rsid w:val="00F21253"/>
    <w:rsid w:val="00FB667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14A19"/>
  <w15:docId w15:val="{7ABA68DB-F08B-4973-BE79-4B2923416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zotero.org/google-docs/?jEvNfj" TargetMode="External"/><Relationship Id="rId117" Type="http://schemas.openxmlformats.org/officeDocument/2006/relationships/hyperlink" Target="https://www.zotero.org/google-docs/?K4o7lp" TargetMode="External"/><Relationship Id="rId21" Type="http://schemas.openxmlformats.org/officeDocument/2006/relationships/hyperlink" Target="https://www.zotero.org/google-docs/?WvgiKF" TargetMode="External"/><Relationship Id="rId42" Type="http://schemas.openxmlformats.org/officeDocument/2006/relationships/hyperlink" Target="https://www.zotero.org/google-docs/?K4o7lp" TargetMode="External"/><Relationship Id="rId47" Type="http://schemas.openxmlformats.org/officeDocument/2006/relationships/hyperlink" Target="https://www.zotero.org/google-docs/?K4o7lp" TargetMode="External"/><Relationship Id="rId63" Type="http://schemas.openxmlformats.org/officeDocument/2006/relationships/hyperlink" Target="https://www.zotero.org/google-docs/?K4o7lp" TargetMode="External"/><Relationship Id="rId68" Type="http://schemas.openxmlformats.org/officeDocument/2006/relationships/hyperlink" Target="https://www.zotero.org/google-docs/?K4o7lp" TargetMode="External"/><Relationship Id="rId84" Type="http://schemas.openxmlformats.org/officeDocument/2006/relationships/hyperlink" Target="https://www.zotero.org/google-docs/?K4o7lp" TargetMode="External"/><Relationship Id="rId89" Type="http://schemas.openxmlformats.org/officeDocument/2006/relationships/hyperlink" Target="https://www.zotero.org/google-docs/?K4o7lp" TargetMode="External"/><Relationship Id="rId112" Type="http://schemas.openxmlformats.org/officeDocument/2006/relationships/hyperlink" Target="https://www.zotero.org/google-docs/?K4o7lp" TargetMode="External"/><Relationship Id="rId16" Type="http://schemas.openxmlformats.org/officeDocument/2006/relationships/hyperlink" Target="https://www.zotero.org/google-docs/?8ymiE2" TargetMode="External"/><Relationship Id="rId107" Type="http://schemas.openxmlformats.org/officeDocument/2006/relationships/hyperlink" Target="https://www.zotero.org/google-docs/?K4o7lp" TargetMode="External"/><Relationship Id="rId11" Type="http://schemas.openxmlformats.org/officeDocument/2006/relationships/hyperlink" Target="https://www.zotero.org/google-docs/?5BlHwE" TargetMode="External"/><Relationship Id="rId32" Type="http://schemas.openxmlformats.org/officeDocument/2006/relationships/hyperlink" Target="https://www.zotero.org/google-docs/?K4o7lp" TargetMode="External"/><Relationship Id="rId37" Type="http://schemas.openxmlformats.org/officeDocument/2006/relationships/hyperlink" Target="https://www.zotero.org/google-docs/?K4o7lp" TargetMode="External"/><Relationship Id="rId53" Type="http://schemas.openxmlformats.org/officeDocument/2006/relationships/hyperlink" Target="https://www.zotero.org/google-docs/?K4o7lp" TargetMode="External"/><Relationship Id="rId58" Type="http://schemas.openxmlformats.org/officeDocument/2006/relationships/hyperlink" Target="https://www.zotero.org/google-docs/?K4o7lp" TargetMode="External"/><Relationship Id="rId74" Type="http://schemas.openxmlformats.org/officeDocument/2006/relationships/hyperlink" Target="https://www.zotero.org/google-docs/?K4o7lp" TargetMode="External"/><Relationship Id="rId79" Type="http://schemas.openxmlformats.org/officeDocument/2006/relationships/hyperlink" Target="https://www.zotero.org/google-docs/?K4o7lp" TargetMode="External"/><Relationship Id="rId102" Type="http://schemas.openxmlformats.org/officeDocument/2006/relationships/hyperlink" Target="https://www.zotero.org/google-docs/?K4o7lp" TargetMode="External"/><Relationship Id="rId5" Type="http://schemas.openxmlformats.org/officeDocument/2006/relationships/endnotes" Target="endnotes.xml"/><Relationship Id="rId61" Type="http://schemas.openxmlformats.org/officeDocument/2006/relationships/hyperlink" Target="https://www.zotero.org/google-docs/?K4o7lp" TargetMode="External"/><Relationship Id="rId82" Type="http://schemas.openxmlformats.org/officeDocument/2006/relationships/hyperlink" Target="https://www.zotero.org/google-docs/?K4o7lp" TargetMode="External"/><Relationship Id="rId90" Type="http://schemas.openxmlformats.org/officeDocument/2006/relationships/hyperlink" Target="https://www.zotero.org/google-docs/?K4o7lp" TargetMode="External"/><Relationship Id="rId95" Type="http://schemas.openxmlformats.org/officeDocument/2006/relationships/hyperlink" Target="https://www.zotero.org/google-docs/?K4o7lp" TargetMode="External"/><Relationship Id="rId19" Type="http://schemas.openxmlformats.org/officeDocument/2006/relationships/hyperlink" Target="https://www.zotero.org/google-docs/?y6syKX" TargetMode="External"/><Relationship Id="rId14" Type="http://schemas.openxmlformats.org/officeDocument/2006/relationships/hyperlink" Target="https://www.zotero.org/google-docs/?p04JQP" TargetMode="External"/><Relationship Id="rId22" Type="http://schemas.openxmlformats.org/officeDocument/2006/relationships/hyperlink" Target="https://www.zotero.org/google-docs/?BXhWtb" TargetMode="External"/><Relationship Id="rId27" Type="http://schemas.openxmlformats.org/officeDocument/2006/relationships/hyperlink" Target="https://www.zotero.org/google-docs/?K4o7lp" TargetMode="External"/><Relationship Id="rId30" Type="http://schemas.openxmlformats.org/officeDocument/2006/relationships/hyperlink" Target="https://www.zotero.org/google-docs/?K4o7lp" TargetMode="External"/><Relationship Id="rId35" Type="http://schemas.openxmlformats.org/officeDocument/2006/relationships/hyperlink" Target="https://www.zotero.org/google-docs/?K4o7lp" TargetMode="External"/><Relationship Id="rId43" Type="http://schemas.openxmlformats.org/officeDocument/2006/relationships/hyperlink" Target="https://www.zotero.org/google-docs/?K4o7lp" TargetMode="External"/><Relationship Id="rId48" Type="http://schemas.openxmlformats.org/officeDocument/2006/relationships/hyperlink" Target="https://www.zotero.org/google-docs/?K4o7lp" TargetMode="External"/><Relationship Id="rId56" Type="http://schemas.openxmlformats.org/officeDocument/2006/relationships/hyperlink" Target="https://www.zotero.org/google-docs/?K4o7lp" TargetMode="External"/><Relationship Id="rId64" Type="http://schemas.openxmlformats.org/officeDocument/2006/relationships/hyperlink" Target="https://www.zotero.org/google-docs/?K4o7lp" TargetMode="External"/><Relationship Id="rId69" Type="http://schemas.openxmlformats.org/officeDocument/2006/relationships/hyperlink" Target="https://www.zotero.org/google-docs/?K4o7lp" TargetMode="External"/><Relationship Id="rId77" Type="http://schemas.openxmlformats.org/officeDocument/2006/relationships/hyperlink" Target="https://www.zotero.org/google-docs/?K4o7lp" TargetMode="External"/><Relationship Id="rId100" Type="http://schemas.openxmlformats.org/officeDocument/2006/relationships/hyperlink" Target="https://www.zotero.org/google-docs/?K4o7lp" TargetMode="External"/><Relationship Id="rId105" Type="http://schemas.openxmlformats.org/officeDocument/2006/relationships/hyperlink" Target="https://www.zotero.org/google-docs/?K4o7lp" TargetMode="External"/><Relationship Id="rId113" Type="http://schemas.openxmlformats.org/officeDocument/2006/relationships/hyperlink" Target="https://www.zotero.org/google-docs/?K4o7lp" TargetMode="External"/><Relationship Id="rId118" Type="http://schemas.openxmlformats.org/officeDocument/2006/relationships/hyperlink" Target="https://www.zotero.org/google-docs/?K4o7lp" TargetMode="External"/><Relationship Id="rId8" Type="http://schemas.openxmlformats.org/officeDocument/2006/relationships/hyperlink" Target="https://www.zotero.org/google-docs/?6oZujy" TargetMode="External"/><Relationship Id="rId51" Type="http://schemas.openxmlformats.org/officeDocument/2006/relationships/hyperlink" Target="https://www.zotero.org/google-docs/?K4o7lp" TargetMode="External"/><Relationship Id="rId72" Type="http://schemas.openxmlformats.org/officeDocument/2006/relationships/hyperlink" Target="https://www.zotero.org/google-docs/?K4o7lp" TargetMode="External"/><Relationship Id="rId80" Type="http://schemas.openxmlformats.org/officeDocument/2006/relationships/hyperlink" Target="https://www.zotero.org/google-docs/?K4o7lp" TargetMode="External"/><Relationship Id="rId85" Type="http://schemas.openxmlformats.org/officeDocument/2006/relationships/hyperlink" Target="https://www.zotero.org/google-docs/?K4o7lp" TargetMode="External"/><Relationship Id="rId93" Type="http://schemas.openxmlformats.org/officeDocument/2006/relationships/hyperlink" Target="https://www.zotero.org/google-docs/?K4o7lp" TargetMode="External"/><Relationship Id="rId98" Type="http://schemas.openxmlformats.org/officeDocument/2006/relationships/hyperlink" Target="https://www.zotero.org/google-docs/?K4o7lp" TargetMode="External"/><Relationship Id="rId12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www.zotero.org/google-docs/?uQ7Moz" TargetMode="External"/><Relationship Id="rId17" Type="http://schemas.openxmlformats.org/officeDocument/2006/relationships/hyperlink" Target="https://www.zotero.org/google-docs/?h6BBVH" TargetMode="External"/><Relationship Id="rId25" Type="http://schemas.openxmlformats.org/officeDocument/2006/relationships/hyperlink" Target="https://www.zotero.org/google-docs/?aw01f4" TargetMode="External"/><Relationship Id="rId33" Type="http://schemas.openxmlformats.org/officeDocument/2006/relationships/hyperlink" Target="https://www.zotero.org/google-docs/?K4o7lp" TargetMode="External"/><Relationship Id="rId38" Type="http://schemas.openxmlformats.org/officeDocument/2006/relationships/hyperlink" Target="https://www.zotero.org/google-docs/?K4o7lp" TargetMode="External"/><Relationship Id="rId46" Type="http://schemas.openxmlformats.org/officeDocument/2006/relationships/hyperlink" Target="https://www.zotero.org/google-docs/?K4o7lp" TargetMode="External"/><Relationship Id="rId59" Type="http://schemas.openxmlformats.org/officeDocument/2006/relationships/hyperlink" Target="https://www.zotero.org/google-docs/?K4o7lp" TargetMode="External"/><Relationship Id="rId67" Type="http://schemas.openxmlformats.org/officeDocument/2006/relationships/hyperlink" Target="https://www.zotero.org/google-docs/?K4o7lp" TargetMode="External"/><Relationship Id="rId103" Type="http://schemas.openxmlformats.org/officeDocument/2006/relationships/hyperlink" Target="https://www.zotero.org/google-docs/?K4o7lp" TargetMode="External"/><Relationship Id="rId108" Type="http://schemas.openxmlformats.org/officeDocument/2006/relationships/hyperlink" Target="https://www.zotero.org/google-docs/?K4o7lp" TargetMode="External"/><Relationship Id="rId116" Type="http://schemas.openxmlformats.org/officeDocument/2006/relationships/hyperlink" Target="https://www.zotero.org/google-docs/?K4o7lp" TargetMode="External"/><Relationship Id="rId20" Type="http://schemas.openxmlformats.org/officeDocument/2006/relationships/hyperlink" Target="https://www.zotero.org/google-docs/?ICyCTO" TargetMode="External"/><Relationship Id="rId41" Type="http://schemas.openxmlformats.org/officeDocument/2006/relationships/hyperlink" Target="https://www.zotero.org/google-docs/?K4o7lp" TargetMode="External"/><Relationship Id="rId54" Type="http://schemas.openxmlformats.org/officeDocument/2006/relationships/hyperlink" Target="https://www.zotero.org/google-docs/?K4o7lp" TargetMode="External"/><Relationship Id="rId62" Type="http://schemas.openxmlformats.org/officeDocument/2006/relationships/hyperlink" Target="https://www.zotero.org/google-docs/?K4o7lp" TargetMode="External"/><Relationship Id="rId70" Type="http://schemas.openxmlformats.org/officeDocument/2006/relationships/hyperlink" Target="https://www.zotero.org/google-docs/?K4o7lp" TargetMode="External"/><Relationship Id="rId75" Type="http://schemas.openxmlformats.org/officeDocument/2006/relationships/hyperlink" Target="https://www.zotero.org/google-docs/?K4o7lp" TargetMode="External"/><Relationship Id="rId83" Type="http://schemas.openxmlformats.org/officeDocument/2006/relationships/hyperlink" Target="https://www.zotero.org/google-docs/?K4o7lp" TargetMode="External"/><Relationship Id="rId88" Type="http://schemas.openxmlformats.org/officeDocument/2006/relationships/hyperlink" Target="https://www.zotero.org/google-docs/?K4o7lp" TargetMode="External"/><Relationship Id="rId91" Type="http://schemas.openxmlformats.org/officeDocument/2006/relationships/hyperlink" Target="https://www.zotero.org/google-docs/?K4o7lp" TargetMode="External"/><Relationship Id="rId96" Type="http://schemas.openxmlformats.org/officeDocument/2006/relationships/hyperlink" Target="https://www.zotero.org/google-docs/?K4o7lp" TargetMode="External"/><Relationship Id="rId111" Type="http://schemas.openxmlformats.org/officeDocument/2006/relationships/hyperlink" Target="https://www.zotero.org/google-docs/?K4o7lp" TargetMode="Externa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hyperlink" Target="https://www.zotero.org/google-docs/?CDbw7a" TargetMode="External"/><Relationship Id="rId23" Type="http://schemas.openxmlformats.org/officeDocument/2006/relationships/hyperlink" Target="https://www.zotero.org/google-docs/?liFq2V" TargetMode="External"/><Relationship Id="rId28" Type="http://schemas.openxmlformats.org/officeDocument/2006/relationships/hyperlink" Target="https://www.zotero.org/google-docs/?K4o7lp" TargetMode="External"/><Relationship Id="rId36" Type="http://schemas.openxmlformats.org/officeDocument/2006/relationships/hyperlink" Target="https://www.zotero.org/google-docs/?K4o7lp" TargetMode="External"/><Relationship Id="rId49" Type="http://schemas.openxmlformats.org/officeDocument/2006/relationships/hyperlink" Target="https://www.zotero.org/google-docs/?K4o7lp" TargetMode="External"/><Relationship Id="rId57" Type="http://schemas.openxmlformats.org/officeDocument/2006/relationships/hyperlink" Target="https://www.zotero.org/google-docs/?K4o7lp" TargetMode="External"/><Relationship Id="rId106" Type="http://schemas.openxmlformats.org/officeDocument/2006/relationships/hyperlink" Target="https://www.zotero.org/google-docs/?K4o7lp" TargetMode="External"/><Relationship Id="rId114" Type="http://schemas.openxmlformats.org/officeDocument/2006/relationships/hyperlink" Target="https://www.zotero.org/google-docs/?K4o7lp" TargetMode="External"/><Relationship Id="rId119" Type="http://schemas.openxmlformats.org/officeDocument/2006/relationships/hyperlink" Target="https://www.zotero.org/google-docs/?K4o7lp" TargetMode="External"/><Relationship Id="rId10" Type="http://schemas.openxmlformats.org/officeDocument/2006/relationships/hyperlink" Target="https://www.zotero.org/google-docs/?Dbfjkc" TargetMode="External"/><Relationship Id="rId31" Type="http://schemas.openxmlformats.org/officeDocument/2006/relationships/hyperlink" Target="https://www.zotero.org/google-docs/?K4o7lp" TargetMode="External"/><Relationship Id="rId44" Type="http://schemas.openxmlformats.org/officeDocument/2006/relationships/hyperlink" Target="https://www.zotero.org/google-docs/?K4o7lp" TargetMode="External"/><Relationship Id="rId52" Type="http://schemas.openxmlformats.org/officeDocument/2006/relationships/hyperlink" Target="https://www.zotero.org/google-docs/?K4o7lp" TargetMode="External"/><Relationship Id="rId60" Type="http://schemas.openxmlformats.org/officeDocument/2006/relationships/hyperlink" Target="https://www.zotero.org/google-docs/?K4o7lp" TargetMode="External"/><Relationship Id="rId65" Type="http://schemas.openxmlformats.org/officeDocument/2006/relationships/hyperlink" Target="https://www.zotero.org/google-docs/?K4o7lp" TargetMode="External"/><Relationship Id="rId73" Type="http://schemas.openxmlformats.org/officeDocument/2006/relationships/hyperlink" Target="https://www.zotero.org/google-docs/?K4o7lp" TargetMode="External"/><Relationship Id="rId78" Type="http://schemas.openxmlformats.org/officeDocument/2006/relationships/hyperlink" Target="https://www.zotero.org/google-docs/?K4o7lp" TargetMode="External"/><Relationship Id="rId81" Type="http://schemas.openxmlformats.org/officeDocument/2006/relationships/hyperlink" Target="https://www.zotero.org/google-docs/?K4o7lp" TargetMode="External"/><Relationship Id="rId86" Type="http://schemas.openxmlformats.org/officeDocument/2006/relationships/hyperlink" Target="https://www.zotero.org/google-docs/?K4o7lp" TargetMode="External"/><Relationship Id="rId94" Type="http://schemas.openxmlformats.org/officeDocument/2006/relationships/hyperlink" Target="https://www.zotero.org/google-docs/?K4o7lp" TargetMode="External"/><Relationship Id="rId99" Type="http://schemas.openxmlformats.org/officeDocument/2006/relationships/hyperlink" Target="https://www.zotero.org/google-docs/?K4o7lp" TargetMode="External"/><Relationship Id="rId101" Type="http://schemas.openxmlformats.org/officeDocument/2006/relationships/hyperlink" Target="https://www.zotero.org/google-docs/?K4o7lp" TargetMode="External"/><Relationship Id="rId12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zotero.org/google-docs/?0GuSmU" TargetMode="External"/><Relationship Id="rId13" Type="http://schemas.openxmlformats.org/officeDocument/2006/relationships/hyperlink" Target="https://www.zotero.org/google-docs/?FMur6K" TargetMode="External"/><Relationship Id="rId18" Type="http://schemas.openxmlformats.org/officeDocument/2006/relationships/hyperlink" Target="https://www.zotero.org/google-docs/?nIB8iU" TargetMode="External"/><Relationship Id="rId39" Type="http://schemas.openxmlformats.org/officeDocument/2006/relationships/hyperlink" Target="https://www.zotero.org/google-docs/?K4o7lp" TargetMode="External"/><Relationship Id="rId109" Type="http://schemas.openxmlformats.org/officeDocument/2006/relationships/hyperlink" Target="https://www.zotero.org/google-docs/?K4o7lp" TargetMode="External"/><Relationship Id="rId34" Type="http://schemas.openxmlformats.org/officeDocument/2006/relationships/hyperlink" Target="https://www.zotero.org/google-docs/?K4o7lp" TargetMode="External"/><Relationship Id="rId50" Type="http://schemas.openxmlformats.org/officeDocument/2006/relationships/hyperlink" Target="https://www.zotero.org/google-docs/?K4o7lp" TargetMode="External"/><Relationship Id="rId55" Type="http://schemas.openxmlformats.org/officeDocument/2006/relationships/hyperlink" Target="https://www.zotero.org/google-docs/?K4o7lp" TargetMode="External"/><Relationship Id="rId76" Type="http://schemas.openxmlformats.org/officeDocument/2006/relationships/hyperlink" Target="https://www.zotero.org/google-docs/?K4o7lp" TargetMode="External"/><Relationship Id="rId97" Type="http://schemas.openxmlformats.org/officeDocument/2006/relationships/hyperlink" Target="https://www.zotero.org/google-docs/?K4o7lp" TargetMode="External"/><Relationship Id="rId104" Type="http://schemas.openxmlformats.org/officeDocument/2006/relationships/hyperlink" Target="https://www.zotero.org/google-docs/?K4o7lp" TargetMode="External"/><Relationship Id="rId120" Type="http://schemas.openxmlformats.org/officeDocument/2006/relationships/hyperlink" Target="https://www.zotero.org/google-docs/?K4o7lp" TargetMode="External"/><Relationship Id="rId7" Type="http://schemas.openxmlformats.org/officeDocument/2006/relationships/hyperlink" Target="https://www.zotero.org/google-docs/?4kaSnP" TargetMode="External"/><Relationship Id="rId71" Type="http://schemas.openxmlformats.org/officeDocument/2006/relationships/hyperlink" Target="https://www.zotero.org/google-docs/?K4o7lp" TargetMode="External"/><Relationship Id="rId92" Type="http://schemas.openxmlformats.org/officeDocument/2006/relationships/hyperlink" Target="https://www.zotero.org/google-docs/?K4o7lp" TargetMode="External"/><Relationship Id="rId2" Type="http://schemas.openxmlformats.org/officeDocument/2006/relationships/settings" Target="settings.xml"/><Relationship Id="rId29" Type="http://schemas.openxmlformats.org/officeDocument/2006/relationships/hyperlink" Target="https://www.zotero.org/google-docs/?K4o7lp" TargetMode="External"/><Relationship Id="rId24" Type="http://schemas.openxmlformats.org/officeDocument/2006/relationships/hyperlink" Target="https://www.zotero.org/google-docs/?2wzKVy" TargetMode="External"/><Relationship Id="rId40" Type="http://schemas.openxmlformats.org/officeDocument/2006/relationships/hyperlink" Target="https://www.zotero.org/google-docs/?K4o7lp" TargetMode="External"/><Relationship Id="rId45" Type="http://schemas.openxmlformats.org/officeDocument/2006/relationships/hyperlink" Target="https://www.zotero.org/google-docs/?K4o7lp" TargetMode="External"/><Relationship Id="rId66" Type="http://schemas.openxmlformats.org/officeDocument/2006/relationships/hyperlink" Target="https://www.zotero.org/google-docs/?K4o7lp" TargetMode="External"/><Relationship Id="rId87" Type="http://schemas.openxmlformats.org/officeDocument/2006/relationships/hyperlink" Target="https://www.zotero.org/google-docs/?K4o7lp" TargetMode="External"/><Relationship Id="rId110" Type="http://schemas.openxmlformats.org/officeDocument/2006/relationships/hyperlink" Target="https://www.zotero.org/google-docs/?K4o7lp" TargetMode="External"/><Relationship Id="rId115" Type="http://schemas.openxmlformats.org/officeDocument/2006/relationships/hyperlink" Target="https://www.zotero.org/google-docs/?K4o7l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5019</Words>
  <Characters>27104</Characters>
  <Application>Microsoft Office Word</Application>
  <DocSecurity>0</DocSecurity>
  <Lines>225</Lines>
  <Paragraphs>64</Paragraphs>
  <ScaleCrop>false</ScaleCrop>
  <Company/>
  <LinksUpToDate>false</LinksUpToDate>
  <CharactersWithSpaces>32059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Cristiane</dc:creator>
  <cp:lastModifiedBy>cristianerothes@gmail.com</cp:lastModifiedBy>
  <cp:revision>13</cp:revision>
  <cp:lastPrinted>2025-06-30T22:37:00Z</cp:lastPrinted>
  <dcterms:created xsi:type="dcterms:W3CDTF">2025-06-30T22:30:00Z</dcterms:created>
  <dcterms:modified xsi:type="dcterms:W3CDTF">2025-06-30T22:54:00Z</dcterms:modified>
</cp:coreProperties>
</file>