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90C72" w14:textId="1B19FD76" w:rsidR="00E56A13" w:rsidRDefault="00E56A13" w:rsidP="004E6DC9">
      <w:pPr>
        <w:jc w:val="center"/>
        <w:rPr>
          <w:sz w:val="24"/>
          <w:szCs w:val="24"/>
        </w:rPr>
      </w:pPr>
      <w:r w:rsidRPr="00D308A4">
        <w:rPr>
          <w:b/>
          <w:bCs/>
          <w:sz w:val="24"/>
          <w:szCs w:val="24"/>
        </w:rPr>
        <w:t>REFLEXÕES SOBRE AS MUDANÇAS NO PROGRAMA DE HABITAÇÃO DE INTERESSE SOCIAL:</w:t>
      </w:r>
      <w:r w:rsidRPr="00DB6C7B">
        <w:rPr>
          <w:rFonts w:ascii="Times New Roman" w:hAnsi="Times New Roman" w:cs="Times New Roman"/>
          <w:b/>
          <w:bCs/>
          <w:sz w:val="28"/>
          <w:szCs w:val="28"/>
        </w:rPr>
        <w:t xml:space="preserve"> </w:t>
      </w:r>
      <w:r w:rsidRPr="00D308A4">
        <w:rPr>
          <w:sz w:val="24"/>
          <w:szCs w:val="24"/>
        </w:rPr>
        <w:t>do MCMV</w:t>
      </w:r>
      <w:r w:rsidR="004E6DC9">
        <w:rPr>
          <w:sz w:val="24"/>
          <w:szCs w:val="24"/>
        </w:rPr>
        <w:t xml:space="preserve"> –</w:t>
      </w:r>
      <w:r w:rsidR="00DB6C7B" w:rsidRPr="00D308A4">
        <w:rPr>
          <w:sz w:val="24"/>
          <w:szCs w:val="24"/>
        </w:rPr>
        <w:t xml:space="preserve"> </w:t>
      </w:r>
      <w:r w:rsidRPr="00D308A4">
        <w:rPr>
          <w:sz w:val="24"/>
          <w:szCs w:val="24"/>
        </w:rPr>
        <w:t>Faixa 1 ao Trabalho Social</w:t>
      </w:r>
    </w:p>
    <w:p w14:paraId="39D58985" w14:textId="77777777" w:rsidR="00A83ADF" w:rsidRDefault="00A83ADF" w:rsidP="00DB6C7B">
      <w:pPr>
        <w:jc w:val="center"/>
        <w:rPr>
          <w:sz w:val="24"/>
          <w:szCs w:val="24"/>
        </w:rPr>
      </w:pPr>
    </w:p>
    <w:p w14:paraId="178D7F52" w14:textId="4D7511DC" w:rsidR="00A83ADF" w:rsidRPr="00D308A4" w:rsidRDefault="00A83ADF" w:rsidP="00A83ADF">
      <w:pPr>
        <w:jc w:val="right"/>
        <w:rPr>
          <w:sz w:val="24"/>
          <w:szCs w:val="24"/>
        </w:rPr>
      </w:pPr>
      <w:r>
        <w:rPr>
          <w:sz w:val="24"/>
          <w:szCs w:val="24"/>
        </w:rPr>
        <w:t>Daiane da Silva Pacheco Nery</w:t>
      </w:r>
      <w:r>
        <w:rPr>
          <w:rStyle w:val="Refdenotaderodap"/>
          <w:sz w:val="24"/>
          <w:szCs w:val="24"/>
        </w:rPr>
        <w:footnoteReference w:id="1"/>
      </w:r>
    </w:p>
    <w:p w14:paraId="657F37FF" w14:textId="77777777" w:rsidR="004F776F" w:rsidRDefault="004F776F" w:rsidP="004F776F">
      <w:pPr>
        <w:spacing w:line="240" w:lineRule="auto"/>
        <w:ind w:left="2835"/>
        <w:jc w:val="both"/>
        <w:rPr>
          <w:b/>
          <w:sz w:val="20"/>
          <w:szCs w:val="20"/>
        </w:rPr>
      </w:pPr>
    </w:p>
    <w:p w14:paraId="5C940F85" w14:textId="77777777" w:rsidR="005C4655" w:rsidRDefault="005C4655" w:rsidP="004F776F">
      <w:pPr>
        <w:spacing w:line="240" w:lineRule="auto"/>
        <w:ind w:left="2835"/>
        <w:jc w:val="both"/>
        <w:rPr>
          <w:b/>
          <w:sz w:val="20"/>
          <w:szCs w:val="20"/>
        </w:rPr>
      </w:pPr>
    </w:p>
    <w:p w14:paraId="37245202" w14:textId="77777777" w:rsidR="004F776F" w:rsidRDefault="004F776F" w:rsidP="004F776F">
      <w:pPr>
        <w:spacing w:line="240" w:lineRule="auto"/>
        <w:ind w:left="2835"/>
        <w:jc w:val="both"/>
        <w:rPr>
          <w:b/>
          <w:sz w:val="20"/>
          <w:szCs w:val="20"/>
        </w:rPr>
      </w:pPr>
      <w:r>
        <w:rPr>
          <w:b/>
          <w:sz w:val="20"/>
          <w:szCs w:val="20"/>
        </w:rPr>
        <w:t>Resumo</w:t>
      </w:r>
    </w:p>
    <w:p w14:paraId="0EAA2CC3" w14:textId="68ACEDD3" w:rsidR="00DB6C7B" w:rsidRPr="00DB6C7B" w:rsidRDefault="00DB6C7B" w:rsidP="00DB6C7B">
      <w:pPr>
        <w:spacing w:line="240" w:lineRule="auto"/>
        <w:ind w:left="2835"/>
        <w:jc w:val="both"/>
        <w:rPr>
          <w:sz w:val="20"/>
          <w:szCs w:val="20"/>
        </w:rPr>
      </w:pPr>
      <w:r w:rsidRPr="00DB6C7B">
        <w:rPr>
          <w:sz w:val="20"/>
          <w:szCs w:val="20"/>
        </w:rPr>
        <w:t xml:space="preserve">O presente trabalho tem como objetivo </w:t>
      </w:r>
      <w:r w:rsidR="00FE308F">
        <w:rPr>
          <w:sz w:val="20"/>
          <w:szCs w:val="20"/>
        </w:rPr>
        <w:t>refletir</w:t>
      </w:r>
      <w:r w:rsidRPr="00DB6C7B">
        <w:rPr>
          <w:sz w:val="20"/>
          <w:szCs w:val="20"/>
        </w:rPr>
        <w:t>, a partir de uma análise teórica</w:t>
      </w:r>
      <w:r w:rsidR="008445F1">
        <w:rPr>
          <w:sz w:val="20"/>
          <w:szCs w:val="20"/>
        </w:rPr>
        <w:t xml:space="preserve"> e documental</w:t>
      </w:r>
      <w:r w:rsidRPr="00DB6C7B">
        <w:rPr>
          <w:sz w:val="20"/>
          <w:szCs w:val="20"/>
        </w:rPr>
        <w:t xml:space="preserve">, </w:t>
      </w:r>
      <w:r w:rsidR="00FE308F">
        <w:rPr>
          <w:sz w:val="20"/>
          <w:szCs w:val="20"/>
        </w:rPr>
        <w:t>sobre a</w:t>
      </w:r>
      <w:r w:rsidRPr="00DB6C7B">
        <w:rPr>
          <w:sz w:val="20"/>
          <w:szCs w:val="20"/>
        </w:rPr>
        <w:t xml:space="preserve">s principais </w:t>
      </w:r>
      <w:r w:rsidR="00FE308F">
        <w:rPr>
          <w:sz w:val="20"/>
          <w:szCs w:val="20"/>
        </w:rPr>
        <w:t>mudanças</w:t>
      </w:r>
      <w:r w:rsidRPr="00DB6C7B">
        <w:rPr>
          <w:sz w:val="20"/>
          <w:szCs w:val="20"/>
        </w:rPr>
        <w:t xml:space="preserve"> no novo Programa Minha Casa, Minha Vida – Faixa 1 e na nova Portaria do Trabalho Social, relacionados ao público prioritário e ao desenvolvimento urbano integrado. Em 2023, com o retorno de Lula à Presidência, inicia-se um novo ciclo, marcado pela proposta de “reconstrução” e pelo compromisso de enfrentar os antigos gargalos do programa, sem repetir seus erros.</w:t>
      </w:r>
      <w:r>
        <w:rPr>
          <w:sz w:val="20"/>
          <w:szCs w:val="20"/>
        </w:rPr>
        <w:t xml:space="preserve"> </w:t>
      </w:r>
      <w:r w:rsidRPr="00DB6C7B">
        <w:rPr>
          <w:sz w:val="20"/>
          <w:szCs w:val="20"/>
        </w:rPr>
        <w:t>O MCMV, que teve méritos indiscutíveis e inéditos, passou por diversas críticas, além de problemas construtivos e de infraestrutura que busca</w:t>
      </w:r>
      <w:r w:rsidR="00FE308F">
        <w:rPr>
          <w:sz w:val="20"/>
          <w:szCs w:val="20"/>
        </w:rPr>
        <w:t>m ser</w:t>
      </w:r>
      <w:r w:rsidRPr="00DB6C7B">
        <w:rPr>
          <w:sz w:val="20"/>
          <w:szCs w:val="20"/>
        </w:rPr>
        <w:t xml:space="preserve"> soluciona</w:t>
      </w:r>
      <w:r w:rsidR="00FE308F">
        <w:rPr>
          <w:sz w:val="20"/>
          <w:szCs w:val="20"/>
        </w:rPr>
        <w:t>dos</w:t>
      </w:r>
      <w:r w:rsidRPr="00DB6C7B">
        <w:rPr>
          <w:sz w:val="20"/>
          <w:szCs w:val="20"/>
        </w:rPr>
        <w:t xml:space="preserve"> em sua nova edição. O Trabalho Social, como componente obrigatório nos programas e ações do Ministério das Cidades, passa por atualizações, agora sob novas bases, alinhadas </w:t>
      </w:r>
      <w:r>
        <w:rPr>
          <w:sz w:val="20"/>
          <w:szCs w:val="20"/>
        </w:rPr>
        <w:t xml:space="preserve">também </w:t>
      </w:r>
      <w:r w:rsidRPr="00DB6C7B">
        <w:rPr>
          <w:sz w:val="20"/>
          <w:szCs w:val="20"/>
        </w:rPr>
        <w:t>ao novo programa.</w:t>
      </w:r>
      <w:r>
        <w:rPr>
          <w:sz w:val="20"/>
          <w:szCs w:val="20"/>
        </w:rPr>
        <w:t xml:space="preserve"> </w:t>
      </w:r>
      <w:r w:rsidRPr="00DB6C7B">
        <w:rPr>
          <w:sz w:val="20"/>
          <w:szCs w:val="20"/>
        </w:rPr>
        <w:t xml:space="preserve">Nessa perspectiva, o trabalho </w:t>
      </w:r>
      <w:r>
        <w:rPr>
          <w:sz w:val="20"/>
          <w:szCs w:val="20"/>
        </w:rPr>
        <w:t>busca refletir sobre</w:t>
      </w:r>
      <w:r w:rsidRPr="00DB6C7B">
        <w:rPr>
          <w:sz w:val="20"/>
          <w:szCs w:val="20"/>
        </w:rPr>
        <w:t xml:space="preserve"> a relevância </w:t>
      </w:r>
      <w:r>
        <w:rPr>
          <w:sz w:val="20"/>
          <w:szCs w:val="20"/>
        </w:rPr>
        <w:t>do MCMV e do</w:t>
      </w:r>
      <w:r w:rsidRPr="00DB6C7B">
        <w:rPr>
          <w:sz w:val="20"/>
          <w:szCs w:val="20"/>
        </w:rPr>
        <w:t xml:space="preserve"> Trabalho Social,</w:t>
      </w:r>
      <w:r>
        <w:rPr>
          <w:sz w:val="20"/>
          <w:szCs w:val="20"/>
        </w:rPr>
        <w:t xml:space="preserve"> </w:t>
      </w:r>
      <w:r w:rsidRPr="00DB6C7B">
        <w:rPr>
          <w:sz w:val="20"/>
          <w:szCs w:val="20"/>
        </w:rPr>
        <w:t>compreen</w:t>
      </w:r>
      <w:r>
        <w:rPr>
          <w:sz w:val="20"/>
          <w:szCs w:val="20"/>
        </w:rPr>
        <w:t>dendo-os como</w:t>
      </w:r>
      <w:r w:rsidRPr="00DB6C7B">
        <w:rPr>
          <w:sz w:val="20"/>
          <w:szCs w:val="20"/>
        </w:rPr>
        <w:t xml:space="preserve"> etapas</w:t>
      </w:r>
      <w:r>
        <w:rPr>
          <w:sz w:val="20"/>
          <w:szCs w:val="20"/>
        </w:rPr>
        <w:t xml:space="preserve"> </w:t>
      </w:r>
      <w:r w:rsidRPr="00DB6C7B">
        <w:rPr>
          <w:sz w:val="20"/>
          <w:szCs w:val="20"/>
        </w:rPr>
        <w:t>indissociáveis.</w:t>
      </w:r>
    </w:p>
    <w:p w14:paraId="2DAFAFEF" w14:textId="44BAD98F" w:rsidR="004F776F" w:rsidRPr="00DB6C7B" w:rsidRDefault="004F776F" w:rsidP="004F776F">
      <w:pPr>
        <w:spacing w:line="240" w:lineRule="auto"/>
        <w:ind w:left="2835"/>
        <w:jc w:val="both"/>
        <w:rPr>
          <w:sz w:val="20"/>
          <w:szCs w:val="20"/>
        </w:rPr>
      </w:pPr>
      <w:r>
        <w:rPr>
          <w:b/>
          <w:sz w:val="20"/>
          <w:szCs w:val="20"/>
        </w:rPr>
        <w:t>Palavras-chave</w:t>
      </w:r>
      <w:r>
        <w:rPr>
          <w:sz w:val="20"/>
          <w:szCs w:val="20"/>
        </w:rPr>
        <w:t xml:space="preserve">: </w:t>
      </w:r>
      <w:r w:rsidR="00A66B66">
        <w:rPr>
          <w:sz w:val="20"/>
          <w:szCs w:val="20"/>
        </w:rPr>
        <w:t>PMCMV</w:t>
      </w:r>
      <w:r>
        <w:rPr>
          <w:sz w:val="20"/>
          <w:szCs w:val="20"/>
        </w:rPr>
        <w:t xml:space="preserve">; </w:t>
      </w:r>
      <w:r w:rsidR="00A66B66" w:rsidRPr="00DB6C7B">
        <w:rPr>
          <w:sz w:val="20"/>
          <w:szCs w:val="20"/>
        </w:rPr>
        <w:t>Trabalho Social;</w:t>
      </w:r>
      <w:r w:rsidRPr="00DB6C7B">
        <w:rPr>
          <w:sz w:val="20"/>
          <w:szCs w:val="20"/>
        </w:rPr>
        <w:t xml:space="preserve"> </w:t>
      </w:r>
      <w:r w:rsidR="00A66B66" w:rsidRPr="00DB6C7B">
        <w:rPr>
          <w:sz w:val="20"/>
          <w:szCs w:val="20"/>
        </w:rPr>
        <w:t>Direito à moradia digna</w:t>
      </w:r>
      <w:r w:rsidRPr="00DB6C7B">
        <w:rPr>
          <w:sz w:val="20"/>
          <w:szCs w:val="20"/>
        </w:rPr>
        <w:t>.</w:t>
      </w:r>
    </w:p>
    <w:p w14:paraId="47FD313A" w14:textId="77777777" w:rsidR="004F776F" w:rsidRPr="004E6DC9" w:rsidRDefault="004F776F" w:rsidP="004F776F">
      <w:pPr>
        <w:spacing w:line="240" w:lineRule="auto"/>
        <w:ind w:left="2835"/>
        <w:jc w:val="both"/>
        <w:rPr>
          <w:sz w:val="20"/>
          <w:szCs w:val="20"/>
        </w:rPr>
      </w:pPr>
    </w:p>
    <w:p w14:paraId="575649E6"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66201131" w14:textId="51B191BC" w:rsidR="00DB6C7B" w:rsidRPr="00DB6C7B" w:rsidRDefault="00FE308F" w:rsidP="00FE308F">
      <w:pPr>
        <w:spacing w:line="240" w:lineRule="auto"/>
        <w:ind w:left="2835"/>
        <w:jc w:val="both"/>
        <w:rPr>
          <w:sz w:val="20"/>
          <w:szCs w:val="20"/>
          <w:lang w:val="en-US"/>
        </w:rPr>
      </w:pPr>
      <w:r w:rsidRPr="00FE308F">
        <w:rPr>
          <w:sz w:val="20"/>
          <w:szCs w:val="20"/>
          <w:lang w:val="en-US"/>
        </w:rPr>
        <w:t xml:space="preserve">This paper aims to reflect, through a theoretical </w:t>
      </w:r>
      <w:r w:rsidR="008445F1" w:rsidRPr="008445F1">
        <w:rPr>
          <w:sz w:val="20"/>
          <w:szCs w:val="20"/>
          <w:lang w:val="en-US"/>
        </w:rPr>
        <w:t xml:space="preserve">and documentary </w:t>
      </w:r>
      <w:r w:rsidRPr="00FE308F">
        <w:rPr>
          <w:sz w:val="20"/>
          <w:szCs w:val="20"/>
          <w:lang w:val="en-US"/>
        </w:rPr>
        <w:t>analysis, on the main changes in the new Minha Casa, Minha Vida Program – Faixa 1, and in the new Social Work Ordinance, focusing on the priority population and integrated urban development.</w:t>
      </w:r>
      <w:r w:rsidR="00DB6C7B" w:rsidRPr="00DB6C7B">
        <w:rPr>
          <w:sz w:val="20"/>
          <w:szCs w:val="20"/>
          <w:lang w:val="en-US"/>
        </w:rPr>
        <w:t xml:space="preserve"> In 2023, with Lula's return to the presidency, a new cycle began, marked by the proposal of "reconstruction" and the commitment to address the program’s long-standing bottlenecks without repeating past mistakes. </w:t>
      </w:r>
      <w:r w:rsidR="00E42337" w:rsidRPr="00E42337">
        <w:rPr>
          <w:sz w:val="20"/>
          <w:szCs w:val="20"/>
          <w:lang w:val="en-US"/>
        </w:rPr>
        <w:t>The MCMV, which achieved undeniable and unprecedented merits, has faced various criticisms, as well as construction and infrastructure issues that are now being addressed in its new phase.</w:t>
      </w:r>
      <w:r w:rsidR="00DB6C7B" w:rsidRPr="00DB6C7B">
        <w:rPr>
          <w:sz w:val="20"/>
          <w:szCs w:val="20"/>
          <w:lang w:val="en-US"/>
        </w:rPr>
        <w:t xml:space="preserve"> Social Work, as a mandatory component in the programs and actions of the Ministry of Cities, is undergoing updates based on new foundations aligned with the revamped program. From this perspective, the paper seeks to reflect on the relevance of MCMV and Social Work, understanding them as inseparable stages.</w:t>
      </w:r>
    </w:p>
    <w:p w14:paraId="774061A2" w14:textId="77777777" w:rsidR="00DB6C7B" w:rsidRPr="00DB6C7B" w:rsidRDefault="00DB6C7B" w:rsidP="00FE308F">
      <w:pPr>
        <w:spacing w:line="240" w:lineRule="auto"/>
        <w:ind w:left="2835"/>
        <w:jc w:val="both"/>
        <w:rPr>
          <w:sz w:val="20"/>
          <w:szCs w:val="20"/>
          <w:lang w:val="en-US"/>
        </w:rPr>
      </w:pPr>
      <w:r w:rsidRPr="00DB6C7B">
        <w:rPr>
          <w:b/>
          <w:bCs/>
          <w:sz w:val="20"/>
          <w:szCs w:val="20"/>
          <w:lang w:val="en-US"/>
        </w:rPr>
        <w:t>Keywords</w:t>
      </w:r>
      <w:r w:rsidRPr="00DB6C7B">
        <w:rPr>
          <w:sz w:val="20"/>
          <w:szCs w:val="20"/>
          <w:lang w:val="en-US"/>
        </w:rPr>
        <w:t>: PMCMV; Social Work; Right to Adequate Housing.</w:t>
      </w:r>
    </w:p>
    <w:p w14:paraId="77D7653B" w14:textId="77777777" w:rsidR="004F776F" w:rsidRPr="004E6DC9" w:rsidRDefault="004F776F" w:rsidP="004F776F">
      <w:pPr>
        <w:spacing w:line="360" w:lineRule="auto"/>
        <w:jc w:val="both"/>
        <w:rPr>
          <w:sz w:val="24"/>
          <w:szCs w:val="24"/>
          <w:lang w:val="en-US"/>
        </w:rPr>
      </w:pPr>
    </w:p>
    <w:p w14:paraId="4767ADAF" w14:textId="77777777" w:rsidR="00314080" w:rsidRPr="004E6DC9" w:rsidRDefault="00314080" w:rsidP="00F2735F">
      <w:pPr>
        <w:spacing w:line="360" w:lineRule="auto"/>
        <w:rPr>
          <w:b/>
          <w:sz w:val="24"/>
          <w:szCs w:val="24"/>
          <w:lang w:val="en-US"/>
        </w:rPr>
      </w:pPr>
    </w:p>
    <w:p w14:paraId="754B98A4" w14:textId="77777777" w:rsidR="00314080" w:rsidRPr="004E6DC9" w:rsidRDefault="00314080" w:rsidP="00F2735F">
      <w:pPr>
        <w:spacing w:line="360" w:lineRule="auto"/>
        <w:rPr>
          <w:b/>
          <w:sz w:val="24"/>
          <w:szCs w:val="24"/>
          <w:lang w:val="en-US"/>
        </w:rPr>
      </w:pPr>
    </w:p>
    <w:p w14:paraId="4A93911E" w14:textId="6F7EFA0C" w:rsidR="004F776F" w:rsidRDefault="004F776F" w:rsidP="00F2735F">
      <w:pPr>
        <w:spacing w:line="360" w:lineRule="auto"/>
        <w:rPr>
          <w:b/>
          <w:sz w:val="24"/>
          <w:szCs w:val="24"/>
        </w:rPr>
      </w:pPr>
      <w:r>
        <w:rPr>
          <w:b/>
          <w:sz w:val="24"/>
          <w:szCs w:val="24"/>
        </w:rPr>
        <w:t>1</w:t>
      </w:r>
      <w:r>
        <w:rPr>
          <w:b/>
          <w:sz w:val="24"/>
          <w:szCs w:val="24"/>
        </w:rPr>
        <w:tab/>
        <w:t>INTRODUÇÃO</w:t>
      </w:r>
    </w:p>
    <w:p w14:paraId="1A32F9E7" w14:textId="77777777" w:rsidR="004F776F" w:rsidRDefault="004F776F" w:rsidP="00F2735F">
      <w:pPr>
        <w:spacing w:line="360" w:lineRule="auto"/>
        <w:jc w:val="both"/>
        <w:rPr>
          <w:sz w:val="24"/>
          <w:szCs w:val="24"/>
        </w:rPr>
      </w:pPr>
    </w:p>
    <w:p w14:paraId="1EAD36EF" w14:textId="4107DD52" w:rsidR="00D95044" w:rsidRPr="00D95044" w:rsidRDefault="00D95044" w:rsidP="00D95044">
      <w:pPr>
        <w:spacing w:line="360" w:lineRule="auto"/>
        <w:ind w:firstLine="709"/>
        <w:jc w:val="both"/>
        <w:rPr>
          <w:sz w:val="24"/>
          <w:szCs w:val="24"/>
        </w:rPr>
      </w:pPr>
      <w:r w:rsidRPr="00D95044">
        <w:rPr>
          <w:sz w:val="24"/>
          <w:szCs w:val="24"/>
        </w:rPr>
        <w:t>Em 1º de janeiro de 2023, Luiz Inácio Lula da Silva assumiu, pela terceira vez, o cargo de presidente da República, interrompendo um período marcado pela desinformação e pela combinação de neoliberalismo e autoritarismo. Em seu primeiro e segundo mandato, o cenário se apresentava promissor e ecoava significativas mudanças, que ganharam maiores proporções com a criação do Programa de Aceleração do Crescimento (PAC) e do Programa Minha Casa, Minha Vida (PMCMV).</w:t>
      </w:r>
    </w:p>
    <w:p w14:paraId="76212E10" w14:textId="7ACD0F86" w:rsidR="00D95044" w:rsidRPr="00D95044" w:rsidRDefault="00D95044" w:rsidP="00D95044">
      <w:pPr>
        <w:spacing w:line="360" w:lineRule="auto"/>
        <w:ind w:firstLine="709"/>
        <w:jc w:val="both"/>
        <w:rPr>
          <w:sz w:val="24"/>
          <w:szCs w:val="24"/>
        </w:rPr>
      </w:pPr>
      <w:r w:rsidRPr="00D95044">
        <w:rPr>
          <w:sz w:val="24"/>
          <w:szCs w:val="24"/>
        </w:rPr>
        <w:t xml:space="preserve">Embora tenha tido méritos indiscutíveis e inéditos, com mais de 5 milhões de famílias beneficiadas com moradia, geração de empregos e melhorias na economia — feitos alcançados em um cenário de crise </w:t>
      </w:r>
      <w:r>
        <w:rPr>
          <w:sz w:val="24"/>
          <w:szCs w:val="24"/>
        </w:rPr>
        <w:t xml:space="preserve">financeira </w:t>
      </w:r>
      <w:r w:rsidRPr="00D95044">
        <w:rPr>
          <w:sz w:val="24"/>
          <w:szCs w:val="24"/>
        </w:rPr>
        <w:t>mundial — o programa também enfrentou diversas críticas, problemas construtivos e de infraestrutura</w:t>
      </w:r>
      <w:r w:rsidR="008445F1">
        <w:rPr>
          <w:sz w:val="24"/>
          <w:szCs w:val="24"/>
        </w:rPr>
        <w:t xml:space="preserve"> urbana</w:t>
      </w:r>
      <w:r w:rsidRPr="00D95044">
        <w:rPr>
          <w:sz w:val="24"/>
          <w:szCs w:val="24"/>
        </w:rPr>
        <w:t>. Esses efeitos colaterais não foram solucionados e, pelo contrário, contribuíram para acentuar a precarização e a periferização do cotidiano das famílias, mesmo sob novas condições de moradia.</w:t>
      </w:r>
    </w:p>
    <w:p w14:paraId="71F10156" w14:textId="27AF94D7" w:rsidR="00D95044" w:rsidRPr="00D95044" w:rsidRDefault="00D95044" w:rsidP="00D95044">
      <w:pPr>
        <w:spacing w:line="360" w:lineRule="auto"/>
        <w:ind w:firstLine="709"/>
        <w:jc w:val="both"/>
        <w:rPr>
          <w:sz w:val="24"/>
          <w:szCs w:val="24"/>
        </w:rPr>
      </w:pPr>
      <w:r w:rsidRPr="00D95044">
        <w:rPr>
          <w:sz w:val="24"/>
          <w:szCs w:val="24"/>
        </w:rPr>
        <w:t>No mandato atual, a palavra de ordem é “reconstrução” e, apesar do otimismo de múltiplos segmentos sociais, a política e a economia não são mais as mesmas de 20 anos atrás. Da mesma forma, “as bases sobre as quais o programa se estabelece são outras, e as disputas políticas colocadas são distintas, trazendo novos tons, reflexos das mudanças sociais” (B</w:t>
      </w:r>
      <w:r>
        <w:rPr>
          <w:sz w:val="24"/>
          <w:szCs w:val="24"/>
        </w:rPr>
        <w:t>albim</w:t>
      </w:r>
      <w:r w:rsidRPr="00D95044">
        <w:rPr>
          <w:sz w:val="24"/>
          <w:szCs w:val="24"/>
        </w:rPr>
        <w:t>, 2023, p. 22). Contudo, o governo federal tem se mostrado aberto ao diálogo para buscar estratégias de enfrentamento dos problemas evidenciados nas versões anteriores do programa, sem reeditar seus equívocos.</w:t>
      </w:r>
    </w:p>
    <w:p w14:paraId="45CD453D" w14:textId="77777777" w:rsidR="00D95044" w:rsidRDefault="00D95044" w:rsidP="00D95044">
      <w:pPr>
        <w:spacing w:line="360" w:lineRule="auto"/>
        <w:ind w:firstLine="709"/>
        <w:jc w:val="both"/>
        <w:rPr>
          <w:sz w:val="24"/>
          <w:szCs w:val="24"/>
        </w:rPr>
      </w:pPr>
      <w:r w:rsidRPr="00D95044">
        <w:rPr>
          <w:sz w:val="24"/>
          <w:szCs w:val="24"/>
        </w:rPr>
        <w:t xml:space="preserve">Nesse sentido, o presente trabalho busca apresentar, a partir de uma análise teórica e com base em estudos anteriores, algumas inovações importantes conquistadas com o novo PMCMV, sobretudo no tocante aos novos critérios estabelecidos em relação ao público prioritário. Indissociável ao PMCMV, também </w:t>
      </w:r>
      <w:r w:rsidRPr="00D95044">
        <w:rPr>
          <w:sz w:val="24"/>
          <w:szCs w:val="24"/>
        </w:rPr>
        <w:lastRenderedPageBreak/>
        <w:t>são apresentados apontamentos referentes à nova Portaria do Trabalho Social, evidenciando seu alinhamento com o programa, com o objetivo de assegurar o direito à moradia digna e à cidade.</w:t>
      </w:r>
    </w:p>
    <w:p w14:paraId="2C7A6515" w14:textId="77777777" w:rsidR="00D95044" w:rsidRPr="00D95044" w:rsidRDefault="00D95044" w:rsidP="00D95044">
      <w:pPr>
        <w:spacing w:line="360" w:lineRule="auto"/>
        <w:ind w:firstLine="709"/>
        <w:jc w:val="both"/>
        <w:rPr>
          <w:sz w:val="24"/>
          <w:szCs w:val="24"/>
        </w:rPr>
      </w:pPr>
    </w:p>
    <w:p w14:paraId="7EC3CA6B" w14:textId="77777777" w:rsidR="00E56A13" w:rsidRPr="00BA6979" w:rsidRDefault="004F776F" w:rsidP="00E56A13">
      <w:pPr>
        <w:spacing w:line="360" w:lineRule="auto"/>
        <w:jc w:val="both"/>
        <w:rPr>
          <w:b/>
          <w:sz w:val="24"/>
          <w:szCs w:val="24"/>
        </w:rPr>
      </w:pPr>
      <w:r w:rsidRPr="00BA6979">
        <w:rPr>
          <w:b/>
          <w:sz w:val="24"/>
          <w:szCs w:val="24"/>
        </w:rPr>
        <w:t>2</w:t>
      </w:r>
      <w:r w:rsidR="00E56A13" w:rsidRPr="00BA6979">
        <w:rPr>
          <w:b/>
          <w:sz w:val="24"/>
          <w:szCs w:val="24"/>
        </w:rPr>
        <w:t xml:space="preserve"> </w:t>
      </w:r>
      <w:r w:rsidR="00E56A13" w:rsidRPr="00BA6979">
        <w:rPr>
          <w:b/>
          <w:bCs/>
          <w:sz w:val="24"/>
          <w:szCs w:val="24"/>
        </w:rPr>
        <w:t xml:space="preserve">        O NOVO MINHA CASA MINHA VIDA – PRIORIDADES DE ATENDIMENTO </w:t>
      </w:r>
    </w:p>
    <w:p w14:paraId="383977F6" w14:textId="77777777" w:rsidR="00E56A13" w:rsidRPr="00BA6979" w:rsidRDefault="00E56A13" w:rsidP="00E56A13">
      <w:pPr>
        <w:spacing w:line="360" w:lineRule="auto"/>
        <w:ind w:firstLine="567"/>
        <w:jc w:val="both"/>
        <w:rPr>
          <w:sz w:val="24"/>
          <w:szCs w:val="24"/>
        </w:rPr>
      </w:pPr>
    </w:p>
    <w:p w14:paraId="0711B854" w14:textId="77777777" w:rsidR="00D95044" w:rsidRPr="00D95044" w:rsidRDefault="00D95044" w:rsidP="00D95044">
      <w:pPr>
        <w:spacing w:line="360" w:lineRule="auto"/>
        <w:ind w:firstLine="709"/>
        <w:jc w:val="both"/>
        <w:rPr>
          <w:sz w:val="24"/>
          <w:szCs w:val="24"/>
        </w:rPr>
      </w:pPr>
      <w:r w:rsidRPr="00D95044">
        <w:rPr>
          <w:sz w:val="24"/>
          <w:szCs w:val="24"/>
        </w:rPr>
        <w:t>Em 2023, após sete anos de retrocessos no âmbito do PMCMV, com a eleição de Luiz Inácio Lula da Silva, retoma-se uma agenda pactuada com os direitos humanos e sociais. Essa nova agenda apresenta um cenário de saldos positivos com o novo Programa Minha Casa, Minha Vida, recriado por meio da Lei nº 14.620/2023.</w:t>
      </w:r>
    </w:p>
    <w:p w14:paraId="4DD934B9" w14:textId="77777777" w:rsidR="00D95044" w:rsidRPr="00D95044" w:rsidRDefault="00D95044" w:rsidP="00D95044">
      <w:pPr>
        <w:spacing w:line="360" w:lineRule="auto"/>
        <w:ind w:firstLine="709"/>
        <w:jc w:val="both"/>
        <w:rPr>
          <w:sz w:val="24"/>
          <w:szCs w:val="24"/>
        </w:rPr>
      </w:pPr>
      <w:r w:rsidRPr="00D95044">
        <w:rPr>
          <w:sz w:val="24"/>
          <w:szCs w:val="24"/>
        </w:rPr>
        <w:t>O novo Minha Casa, Minha Vida é marcado pelo retorno da provisão habitacional da Faixa 1 — renda bruta mensal de até R$ 2.850,00. Com isso, a população de baixa renda volta a ser o público prioritário de atendimento do programa. Além disso, para as famílias beneficiárias do Bolsa Família ou que tenham membro que receba o Benefício de Prestação Continuada (BPC), foi garantida a isenção do financiamento; ou seja, o imóvel será 100% gratuito.</w:t>
      </w:r>
    </w:p>
    <w:p w14:paraId="20C87E9E" w14:textId="77777777" w:rsidR="00D95044" w:rsidRPr="00D95044" w:rsidRDefault="00D95044" w:rsidP="00D95044">
      <w:pPr>
        <w:spacing w:line="360" w:lineRule="auto"/>
        <w:ind w:firstLine="709"/>
        <w:jc w:val="both"/>
        <w:rPr>
          <w:sz w:val="24"/>
          <w:szCs w:val="24"/>
        </w:rPr>
      </w:pPr>
      <w:r w:rsidRPr="00D95044">
        <w:rPr>
          <w:sz w:val="24"/>
          <w:szCs w:val="24"/>
        </w:rPr>
        <w:t>Como destacado por Balbim (2023), com o novo programa o direito à moradia não será assegurado apenas por meio da produção de novas unidades habitacionais, mas também pela diversificação das estratégias de atendimento, tais como retrofit, requalificação de unidades habitacionais, locação social, melhoria habitacional e provisão de lotes urbanizados. Para o autor, essa inovação supera os marcos anteriores do PMCMV, elevando o programa à condição de política de desenvolvimento urbano do país.</w:t>
      </w:r>
    </w:p>
    <w:p w14:paraId="46AE2BF8" w14:textId="77777777" w:rsidR="00D95044" w:rsidRPr="00D95044" w:rsidRDefault="00D95044" w:rsidP="00D95044">
      <w:pPr>
        <w:spacing w:line="360" w:lineRule="auto"/>
        <w:ind w:firstLine="709"/>
        <w:jc w:val="both"/>
        <w:rPr>
          <w:sz w:val="24"/>
          <w:szCs w:val="24"/>
        </w:rPr>
      </w:pPr>
      <w:r w:rsidRPr="00D95044">
        <w:rPr>
          <w:sz w:val="24"/>
          <w:szCs w:val="24"/>
        </w:rPr>
        <w:t xml:space="preserve">O novo MCMV firma o compromisso de romper com o gargalo de infraestrutura que marcou a produção de moradias nas etapas anteriores, ao promover o planejamento integrado com as políticas de desenvolvimento urbano, habitação, infraestrutura, saneamento, mobilidade, acessibilidade e gestão do território, de forma transversal com as políticas ambiental e climática, de </w:t>
      </w:r>
      <w:r w:rsidRPr="00D95044">
        <w:rPr>
          <w:sz w:val="24"/>
          <w:szCs w:val="24"/>
        </w:rPr>
        <w:lastRenderedPageBreak/>
        <w:t>desenvolvimento econômico e social, de segurança pública, entre outras, com vistas ao desenvolvimento urbano sustentável.</w:t>
      </w:r>
    </w:p>
    <w:p w14:paraId="167CB314" w14:textId="6503B754" w:rsidR="00D95044" w:rsidRPr="00D95044" w:rsidRDefault="00D95044" w:rsidP="00D95044">
      <w:pPr>
        <w:spacing w:line="360" w:lineRule="auto"/>
        <w:ind w:firstLine="709"/>
        <w:jc w:val="both"/>
        <w:rPr>
          <w:sz w:val="24"/>
          <w:szCs w:val="24"/>
        </w:rPr>
      </w:pPr>
      <w:r w:rsidRPr="00D95044">
        <w:rPr>
          <w:sz w:val="24"/>
          <w:szCs w:val="24"/>
        </w:rPr>
        <w:t xml:space="preserve">O gargalo de infraestrutura </w:t>
      </w:r>
      <w:r w:rsidR="008445F1">
        <w:rPr>
          <w:sz w:val="24"/>
          <w:szCs w:val="24"/>
        </w:rPr>
        <w:t xml:space="preserve">urbana </w:t>
      </w:r>
      <w:r w:rsidRPr="00D95044">
        <w:rPr>
          <w:sz w:val="24"/>
          <w:szCs w:val="24"/>
        </w:rPr>
        <w:t>é uma das dimensões “mal equacionadas pelo programa” (Cardoso; Aragão, 2013, p. 44) e um dos efeitos colaterais de erros antigos reeditados</w:t>
      </w:r>
      <w:r w:rsidR="002946A5">
        <w:rPr>
          <w:sz w:val="24"/>
          <w:szCs w:val="24"/>
        </w:rPr>
        <w:t xml:space="preserve">, </w:t>
      </w:r>
      <w:r w:rsidRPr="00D95044">
        <w:rPr>
          <w:sz w:val="24"/>
          <w:szCs w:val="24"/>
        </w:rPr>
        <w:t xml:space="preserve">associado ao processo de periferização dos empreendimentos do PMCMV, devido à sua produção em larga escala em terrenos distantes das áreas centrais e em vazios urbanos, onde a terra é mais barata, à ausência de desenvolvimento urbano integrado e à falta de acesso aos equipamentos públicos básicos. </w:t>
      </w:r>
      <w:r>
        <w:rPr>
          <w:sz w:val="24"/>
          <w:szCs w:val="24"/>
        </w:rPr>
        <w:t>A</w:t>
      </w:r>
      <w:r w:rsidRPr="00D95044">
        <w:rPr>
          <w:sz w:val="24"/>
          <w:szCs w:val="24"/>
        </w:rPr>
        <w:t>pesar da sua importância, o programa estava reduzindo a moradia digna ao acesso apenas à casa, o que configurava uma violação de um direito básico.</w:t>
      </w:r>
      <w:r>
        <w:rPr>
          <w:sz w:val="24"/>
          <w:szCs w:val="24"/>
        </w:rPr>
        <w:t xml:space="preserve"> </w:t>
      </w:r>
      <w:r w:rsidRPr="00D95044">
        <w:rPr>
          <w:sz w:val="24"/>
          <w:szCs w:val="24"/>
        </w:rPr>
        <w:t>Esses pontos reiteraram a precariedade da vida urbana que, segundo Tavares e Helene (2018), impacta diretamente o cotidiano das mulheres que, no caso do PMCMV, são as principais beneficiárias.</w:t>
      </w:r>
    </w:p>
    <w:p w14:paraId="0B274AE1" w14:textId="5439218A" w:rsidR="00D95044" w:rsidRPr="00D95044" w:rsidRDefault="00D95044" w:rsidP="00D95044">
      <w:pPr>
        <w:spacing w:line="360" w:lineRule="auto"/>
        <w:ind w:firstLine="709"/>
        <w:jc w:val="both"/>
        <w:rPr>
          <w:sz w:val="24"/>
          <w:szCs w:val="24"/>
        </w:rPr>
      </w:pPr>
      <w:r w:rsidRPr="00D95044">
        <w:rPr>
          <w:sz w:val="24"/>
          <w:szCs w:val="24"/>
        </w:rPr>
        <w:t>Segundo o IBGE (20</w:t>
      </w:r>
      <w:r w:rsidR="00FE308F">
        <w:rPr>
          <w:sz w:val="24"/>
          <w:szCs w:val="24"/>
        </w:rPr>
        <w:t>24</w:t>
      </w:r>
      <w:r w:rsidRPr="00D95044">
        <w:rPr>
          <w:sz w:val="24"/>
          <w:szCs w:val="24"/>
        </w:rPr>
        <w:t>), as mulheres dedicaram quase o dobro do tempo que os homens aos cuidados de pessoas e/ou aos afazeres domésticos. Por se dedicarem mais tempo a essas tarefas, também são mais afetadas que os homens quando os serviços de infraestrutura e os equipamentos públicos não estão disponíveis ou funcionam de maneira precária.</w:t>
      </w:r>
    </w:p>
    <w:p w14:paraId="7D704172" w14:textId="1BB3C6EE" w:rsidR="00D95044" w:rsidRPr="00D95044" w:rsidRDefault="00D95044" w:rsidP="00D95044">
      <w:pPr>
        <w:spacing w:line="360" w:lineRule="auto"/>
        <w:ind w:firstLine="709"/>
        <w:jc w:val="both"/>
        <w:rPr>
          <w:sz w:val="24"/>
          <w:szCs w:val="24"/>
        </w:rPr>
      </w:pPr>
      <w:r w:rsidRPr="00D95044">
        <w:rPr>
          <w:sz w:val="24"/>
          <w:szCs w:val="24"/>
        </w:rPr>
        <w:t>Historicamente, as mulheres têm pautado a luta pelo direito ao saneamento básico, pela criação de unidades e pela contratação de mais profissionais qualificados para atuar nas escolas, creches e postos de saúde, pela criação e manutenção de áreas de esporte e lazer nas proximidades das unidades habitacionais, bem como pela disponibilidade de serviços de transporte público, limpeza, coleta de lixo, entre outros.</w:t>
      </w:r>
      <w:r w:rsidR="001F74DF">
        <w:rPr>
          <w:sz w:val="24"/>
          <w:szCs w:val="24"/>
        </w:rPr>
        <w:t xml:space="preserve"> </w:t>
      </w:r>
      <w:r w:rsidR="001F74DF" w:rsidRPr="00D95044">
        <w:rPr>
          <w:sz w:val="24"/>
          <w:szCs w:val="24"/>
        </w:rPr>
        <w:t xml:space="preserve">Portanto, o compromisso de romper com o gargalo de infraestrutura </w:t>
      </w:r>
      <w:r w:rsidR="001F74DF">
        <w:rPr>
          <w:sz w:val="24"/>
          <w:szCs w:val="24"/>
        </w:rPr>
        <w:t>n</w:t>
      </w:r>
      <w:r w:rsidR="001F74DF" w:rsidRPr="00D95044">
        <w:rPr>
          <w:sz w:val="24"/>
          <w:szCs w:val="24"/>
        </w:rPr>
        <w:t>o novo PMCMV é uma grande conquista, sobretudo para as mulheres responsáveis pela unidade familiar, público prioritário do programa.</w:t>
      </w:r>
    </w:p>
    <w:p w14:paraId="568BBCF5" w14:textId="77777777" w:rsidR="00D95044" w:rsidRPr="00D95044" w:rsidRDefault="00D95044" w:rsidP="00D95044">
      <w:pPr>
        <w:spacing w:line="360" w:lineRule="auto"/>
        <w:ind w:firstLine="709"/>
        <w:jc w:val="both"/>
        <w:rPr>
          <w:sz w:val="24"/>
          <w:szCs w:val="24"/>
        </w:rPr>
      </w:pPr>
      <w:r w:rsidRPr="00D95044">
        <w:rPr>
          <w:sz w:val="24"/>
          <w:szCs w:val="24"/>
        </w:rPr>
        <w:t xml:space="preserve">Em continuidade às suas inovações na busca de romper com o gargalo de infraestrutura, o programa passará a contar com a exigência de qualificação mínima ou qualificação superior para a produção de novas moradias. Isso significa que as </w:t>
      </w:r>
      <w:r w:rsidRPr="00D95044">
        <w:rPr>
          <w:sz w:val="24"/>
          <w:szCs w:val="24"/>
        </w:rPr>
        <w:lastRenderedPageBreak/>
        <w:t>novas produções habitacionais não serão mais realizadas em vazios urbanos, mas deverão ser construídas em área urbana consolidada ou em área de expansão urbana contígua à área urbana consolidada, com a existência prévia de sistema de infraestrutura urbana, equipamentos públicos e assistência de comércio e serviços.</w:t>
      </w:r>
    </w:p>
    <w:p w14:paraId="0CD62C86" w14:textId="77777777" w:rsidR="00E56A13" w:rsidRPr="00BA6979" w:rsidRDefault="00E56A13" w:rsidP="00D95044">
      <w:pPr>
        <w:spacing w:line="360" w:lineRule="auto"/>
        <w:ind w:firstLine="709"/>
        <w:jc w:val="both"/>
        <w:rPr>
          <w:sz w:val="24"/>
          <w:szCs w:val="24"/>
        </w:rPr>
      </w:pPr>
      <w:r w:rsidRPr="00BA6979">
        <w:rPr>
          <w:sz w:val="24"/>
          <w:szCs w:val="24"/>
        </w:rPr>
        <w:t>Em relação a obrigatoriedade de qualificação mínima, compreende-se:</w:t>
      </w:r>
    </w:p>
    <w:p w14:paraId="0F76D83D" w14:textId="77777777" w:rsidR="00E56A13" w:rsidRPr="00BA6979" w:rsidRDefault="00E56A13" w:rsidP="00E56A13">
      <w:pPr>
        <w:pStyle w:val="PargrafodaLista"/>
        <w:numPr>
          <w:ilvl w:val="0"/>
          <w:numId w:val="2"/>
        </w:numPr>
        <w:spacing w:after="0" w:line="240" w:lineRule="auto"/>
        <w:ind w:left="2625" w:hanging="357"/>
        <w:jc w:val="both"/>
        <w:rPr>
          <w:rFonts w:ascii="Arial" w:hAnsi="Arial" w:cs="Arial"/>
          <w:sz w:val="20"/>
          <w:szCs w:val="20"/>
        </w:rPr>
      </w:pPr>
      <w:r w:rsidRPr="00BA6979">
        <w:rPr>
          <w:rFonts w:ascii="Arial" w:hAnsi="Arial" w:cs="Arial"/>
          <w:sz w:val="20"/>
          <w:szCs w:val="20"/>
        </w:rPr>
        <w:t>Existência prévia de ao menos 1 (um) sistema de infraestrutura urbana;</w:t>
      </w:r>
    </w:p>
    <w:p w14:paraId="5D52618B" w14:textId="77777777" w:rsidR="00E56A13" w:rsidRPr="00BA6979" w:rsidRDefault="00E56A13" w:rsidP="00E56A13">
      <w:pPr>
        <w:pStyle w:val="PargrafodaLista"/>
        <w:numPr>
          <w:ilvl w:val="0"/>
          <w:numId w:val="2"/>
        </w:numPr>
        <w:spacing w:after="0" w:line="240" w:lineRule="auto"/>
        <w:ind w:left="2625" w:hanging="357"/>
        <w:jc w:val="both"/>
        <w:rPr>
          <w:rFonts w:ascii="Arial" w:hAnsi="Arial" w:cs="Arial"/>
          <w:sz w:val="20"/>
          <w:szCs w:val="20"/>
        </w:rPr>
      </w:pPr>
      <w:r w:rsidRPr="00BA6979">
        <w:rPr>
          <w:rFonts w:ascii="Arial" w:hAnsi="Arial" w:cs="Arial"/>
          <w:sz w:val="20"/>
          <w:szCs w:val="20"/>
        </w:rPr>
        <w:t xml:space="preserve">Existência previa de acesso a pelo menos 1 (um) equipamento público de educação;  </w:t>
      </w:r>
    </w:p>
    <w:p w14:paraId="3C74F2FA" w14:textId="77777777" w:rsidR="00E56A13" w:rsidRPr="00BA6979" w:rsidRDefault="00E56A13" w:rsidP="00E56A13">
      <w:pPr>
        <w:pStyle w:val="PargrafodaLista"/>
        <w:numPr>
          <w:ilvl w:val="0"/>
          <w:numId w:val="2"/>
        </w:numPr>
        <w:spacing w:after="0" w:line="240" w:lineRule="auto"/>
        <w:ind w:left="2625" w:hanging="357"/>
        <w:jc w:val="both"/>
        <w:rPr>
          <w:rFonts w:ascii="Arial" w:hAnsi="Arial" w:cs="Arial"/>
          <w:sz w:val="20"/>
          <w:szCs w:val="20"/>
        </w:rPr>
      </w:pPr>
      <w:r w:rsidRPr="00BA6979">
        <w:rPr>
          <w:rFonts w:ascii="Arial" w:hAnsi="Arial" w:cs="Arial"/>
          <w:sz w:val="20"/>
          <w:szCs w:val="20"/>
        </w:rPr>
        <w:t>Existência prévia de acesso a pelo menos 1 (um) estabelecimento de comércio e serviços. (Brasil, 2023)</w:t>
      </w:r>
    </w:p>
    <w:p w14:paraId="6D9A46B8" w14:textId="77777777" w:rsidR="00E56A13" w:rsidRPr="00BA6979" w:rsidRDefault="00E56A13" w:rsidP="00E56A13">
      <w:pPr>
        <w:spacing w:line="240" w:lineRule="auto"/>
        <w:jc w:val="both"/>
        <w:rPr>
          <w:sz w:val="24"/>
          <w:szCs w:val="24"/>
        </w:rPr>
      </w:pPr>
    </w:p>
    <w:p w14:paraId="5298023E" w14:textId="77777777" w:rsidR="00E56A13" w:rsidRPr="00BA6979" w:rsidRDefault="00E56A13" w:rsidP="001F74DF">
      <w:pPr>
        <w:spacing w:line="360" w:lineRule="auto"/>
        <w:ind w:firstLine="709"/>
        <w:jc w:val="both"/>
        <w:rPr>
          <w:sz w:val="24"/>
          <w:szCs w:val="24"/>
        </w:rPr>
      </w:pPr>
      <w:r w:rsidRPr="00BA6979">
        <w:rPr>
          <w:sz w:val="24"/>
          <w:szCs w:val="24"/>
        </w:rPr>
        <w:t>Em relação a obrigatoriedade de qualificação superior, compreende-se:</w:t>
      </w:r>
    </w:p>
    <w:p w14:paraId="2C9AF90A" w14:textId="77777777" w:rsidR="00E56A13" w:rsidRPr="00BA6979" w:rsidRDefault="00E56A13" w:rsidP="00E56A13">
      <w:pPr>
        <w:pStyle w:val="PargrafodaLista"/>
        <w:numPr>
          <w:ilvl w:val="0"/>
          <w:numId w:val="1"/>
        </w:numPr>
        <w:spacing w:after="0" w:line="240" w:lineRule="auto"/>
        <w:ind w:left="2625" w:hanging="357"/>
        <w:jc w:val="both"/>
        <w:rPr>
          <w:rFonts w:ascii="Arial" w:hAnsi="Arial" w:cs="Arial"/>
          <w:sz w:val="20"/>
          <w:szCs w:val="20"/>
        </w:rPr>
      </w:pPr>
      <w:r w:rsidRPr="00BA6979">
        <w:rPr>
          <w:rFonts w:ascii="Arial" w:hAnsi="Arial" w:cs="Arial"/>
          <w:sz w:val="20"/>
          <w:szCs w:val="20"/>
        </w:rPr>
        <w:t>Localização em área urbana consolidada;</w:t>
      </w:r>
    </w:p>
    <w:p w14:paraId="5050B96B" w14:textId="77777777" w:rsidR="00E56A13" w:rsidRPr="00BA6979" w:rsidRDefault="00E56A13" w:rsidP="00E56A13">
      <w:pPr>
        <w:pStyle w:val="PargrafodaLista"/>
        <w:numPr>
          <w:ilvl w:val="0"/>
          <w:numId w:val="1"/>
        </w:numPr>
        <w:spacing w:after="0" w:line="240" w:lineRule="auto"/>
        <w:ind w:left="2625" w:hanging="357"/>
        <w:jc w:val="both"/>
        <w:rPr>
          <w:rFonts w:ascii="Arial" w:hAnsi="Arial" w:cs="Arial"/>
          <w:sz w:val="20"/>
          <w:szCs w:val="20"/>
        </w:rPr>
      </w:pPr>
      <w:r w:rsidRPr="00BA6979">
        <w:rPr>
          <w:rFonts w:ascii="Arial" w:hAnsi="Arial" w:cs="Arial"/>
          <w:sz w:val="20"/>
          <w:szCs w:val="20"/>
        </w:rPr>
        <w:t xml:space="preserve">Existência prévia de ao menos 4 (quatro) sistemas de infraestrutura urbana; </w:t>
      </w:r>
    </w:p>
    <w:p w14:paraId="43E60DF8" w14:textId="77777777" w:rsidR="00E56A13" w:rsidRPr="00BA6979" w:rsidRDefault="00E56A13" w:rsidP="00E56A13">
      <w:pPr>
        <w:pStyle w:val="PargrafodaLista"/>
        <w:numPr>
          <w:ilvl w:val="0"/>
          <w:numId w:val="1"/>
        </w:numPr>
        <w:spacing w:after="0" w:line="240" w:lineRule="auto"/>
        <w:ind w:left="2625" w:hanging="357"/>
        <w:jc w:val="both"/>
        <w:rPr>
          <w:rFonts w:ascii="Arial" w:hAnsi="Arial" w:cs="Arial"/>
          <w:sz w:val="20"/>
          <w:szCs w:val="20"/>
        </w:rPr>
      </w:pPr>
      <w:r w:rsidRPr="00BA6979">
        <w:rPr>
          <w:rFonts w:ascii="Arial" w:hAnsi="Arial" w:cs="Arial"/>
          <w:sz w:val="20"/>
          <w:szCs w:val="20"/>
        </w:rPr>
        <w:t xml:space="preserve">Existência previa de acesso a pelo menos 2 (dois) equipamentos públicos de educação; </w:t>
      </w:r>
    </w:p>
    <w:p w14:paraId="6BB2C399" w14:textId="77777777" w:rsidR="00E56A13" w:rsidRPr="00BA6979" w:rsidRDefault="00E56A13" w:rsidP="00E56A13">
      <w:pPr>
        <w:pStyle w:val="PargrafodaLista"/>
        <w:numPr>
          <w:ilvl w:val="0"/>
          <w:numId w:val="1"/>
        </w:numPr>
        <w:spacing w:after="0" w:line="240" w:lineRule="auto"/>
        <w:ind w:left="2625" w:hanging="357"/>
        <w:jc w:val="both"/>
        <w:rPr>
          <w:rFonts w:ascii="Arial" w:hAnsi="Arial" w:cs="Arial"/>
          <w:sz w:val="20"/>
          <w:szCs w:val="20"/>
        </w:rPr>
      </w:pPr>
      <w:r w:rsidRPr="00BA6979">
        <w:rPr>
          <w:rFonts w:ascii="Arial" w:hAnsi="Arial" w:cs="Arial"/>
          <w:sz w:val="20"/>
          <w:szCs w:val="20"/>
        </w:rPr>
        <w:t xml:space="preserve">Existência previa de acesso a equipamento público comunitário de saúde ou assistência social, quando aplicável; e </w:t>
      </w:r>
    </w:p>
    <w:p w14:paraId="4406C2FC" w14:textId="77777777" w:rsidR="00E56A13" w:rsidRPr="00BA6979" w:rsidRDefault="00E56A13" w:rsidP="00E56A13">
      <w:pPr>
        <w:pStyle w:val="PargrafodaLista"/>
        <w:numPr>
          <w:ilvl w:val="0"/>
          <w:numId w:val="1"/>
        </w:numPr>
        <w:spacing w:after="0" w:line="240" w:lineRule="auto"/>
        <w:ind w:left="2625" w:hanging="357"/>
        <w:jc w:val="both"/>
        <w:rPr>
          <w:rFonts w:ascii="Arial" w:hAnsi="Arial" w:cs="Arial"/>
          <w:sz w:val="20"/>
          <w:szCs w:val="20"/>
        </w:rPr>
      </w:pPr>
      <w:r w:rsidRPr="00BA6979">
        <w:rPr>
          <w:rFonts w:ascii="Arial" w:hAnsi="Arial" w:cs="Arial"/>
          <w:sz w:val="20"/>
          <w:szCs w:val="20"/>
        </w:rPr>
        <w:t>Existência prévia de acesso a pelo menos 2 (dois) estabelecimentos de comércio e serviços. (Brasil, 2023)</w:t>
      </w:r>
    </w:p>
    <w:p w14:paraId="527327DF" w14:textId="77777777" w:rsidR="004810B4" w:rsidRDefault="004810B4" w:rsidP="00E56A13">
      <w:pPr>
        <w:spacing w:line="360" w:lineRule="auto"/>
        <w:ind w:firstLine="567"/>
        <w:jc w:val="both"/>
        <w:rPr>
          <w:sz w:val="24"/>
          <w:szCs w:val="24"/>
        </w:rPr>
      </w:pPr>
    </w:p>
    <w:p w14:paraId="094AED36" w14:textId="77777777" w:rsidR="001F74DF" w:rsidRPr="001F74DF" w:rsidRDefault="001F74DF" w:rsidP="001F74DF">
      <w:pPr>
        <w:spacing w:line="360" w:lineRule="auto"/>
        <w:ind w:firstLine="709"/>
        <w:jc w:val="both"/>
        <w:rPr>
          <w:sz w:val="24"/>
          <w:szCs w:val="24"/>
        </w:rPr>
      </w:pPr>
      <w:r w:rsidRPr="001F74DF">
        <w:rPr>
          <w:sz w:val="24"/>
          <w:szCs w:val="24"/>
        </w:rPr>
        <w:t>Apesar dos avanços importantes nas estratégias para coibir a construção de moradias em áreas sem infraestrutura, para a modalidade de qualificação superior, as construtoras receberão uma bonificação no valor máximo de provisão habitacional, correspondente a 10% do valor total da contratação.</w:t>
      </w:r>
    </w:p>
    <w:p w14:paraId="1A7AD483" w14:textId="77777777" w:rsidR="001F74DF" w:rsidRPr="001F74DF" w:rsidRDefault="001F74DF" w:rsidP="001F74DF">
      <w:pPr>
        <w:spacing w:line="360" w:lineRule="auto"/>
        <w:ind w:firstLine="709"/>
        <w:jc w:val="both"/>
        <w:rPr>
          <w:sz w:val="24"/>
          <w:szCs w:val="24"/>
        </w:rPr>
      </w:pPr>
      <w:r w:rsidRPr="001F74DF">
        <w:rPr>
          <w:sz w:val="24"/>
          <w:szCs w:val="24"/>
        </w:rPr>
        <w:t>Segundo a Portaria do MCID nº 725, de 15 de junho de 2023, a adoção dessa estratégia visa estimular a oferta de áreas urbanas consolidadas para a construção dos empreendimentos, com localização que favoreça o acesso adequado a serviços e equipamentos públicos pelas famílias. Todavia, também reflete uma estratégia de incentivo à participação das construtoras.</w:t>
      </w:r>
    </w:p>
    <w:p w14:paraId="7537594A" w14:textId="77777777" w:rsidR="001F74DF" w:rsidRPr="001F74DF" w:rsidRDefault="001F74DF" w:rsidP="001F74DF">
      <w:pPr>
        <w:spacing w:line="360" w:lineRule="auto"/>
        <w:ind w:firstLine="709"/>
        <w:jc w:val="both"/>
        <w:rPr>
          <w:sz w:val="24"/>
          <w:szCs w:val="24"/>
        </w:rPr>
      </w:pPr>
      <w:r w:rsidRPr="001F74DF">
        <w:rPr>
          <w:sz w:val="24"/>
          <w:szCs w:val="24"/>
        </w:rPr>
        <w:t xml:space="preserve">Contudo, as construtoras serão beneficiadas com um percentual adicional no valor licitado por garantirem uma qualificação superior que, na verdade, deveria ter sido definida como qualificação mínima. Além disso, a depender do total da população já residente na área e macroárea de intervenção, somado às novas </w:t>
      </w:r>
      <w:r w:rsidRPr="001F74DF">
        <w:rPr>
          <w:sz w:val="24"/>
          <w:szCs w:val="24"/>
        </w:rPr>
        <w:lastRenderedPageBreak/>
        <w:t>famílias dos conjuntos habitacionais, os serviços e equipamentos públicos poderão não ser suficientes para atender com qualidade e eficiência a população de baixa renda. Esse foi um dos pontos negligenciados na formulação do novo programa, assim como a questão da “segurança pública”, que é mencionada, mas segue sem propostas efetivas para o enfrentamento da incidência da criminalidade nos territórios de construção das unidades habitacionais.</w:t>
      </w:r>
    </w:p>
    <w:p w14:paraId="67695275" w14:textId="77777777" w:rsidR="001F74DF" w:rsidRPr="001F74DF" w:rsidRDefault="001F74DF" w:rsidP="001F74DF">
      <w:pPr>
        <w:spacing w:line="360" w:lineRule="auto"/>
        <w:ind w:firstLine="709"/>
        <w:jc w:val="both"/>
        <w:rPr>
          <w:sz w:val="24"/>
          <w:szCs w:val="24"/>
        </w:rPr>
      </w:pPr>
      <w:r w:rsidRPr="001F74DF">
        <w:rPr>
          <w:sz w:val="24"/>
          <w:szCs w:val="24"/>
        </w:rPr>
        <w:t>No que se refere ao público prioritário de atendimento no programa, uma das grandes inovações é o atendimento às mulheres em situação de violência doméstica e familiar, via decisão judicial. Essa priorização parte do reconhecimento de reivindicações históricas pautadas pelas mulheres em diferentes instâncias de participação e decisão, bem como do entendimento de que a garantia da moradia para mulheres em situação de violência doméstica e intrafamiliar é fundamental para a promoção da autonomia e para assegurar condições adequadas ao exercício efetivo dos direitos à vida, à moradia e à dignidade.</w:t>
      </w:r>
    </w:p>
    <w:p w14:paraId="7740CF12" w14:textId="75BFE7A3" w:rsidR="00B7731C" w:rsidRPr="00BA6979" w:rsidRDefault="001F74DF" w:rsidP="001F74DF">
      <w:pPr>
        <w:spacing w:line="360" w:lineRule="auto"/>
        <w:ind w:firstLine="709"/>
        <w:jc w:val="both"/>
        <w:rPr>
          <w:sz w:val="24"/>
          <w:szCs w:val="24"/>
        </w:rPr>
      </w:pPr>
      <w:r w:rsidRPr="001F74DF">
        <w:rPr>
          <w:sz w:val="24"/>
          <w:szCs w:val="24"/>
        </w:rPr>
        <w:t>Como inovação, também é importante destacar, no que concerne ao atendimento prioritário, a garantia, de forma complementar, de que deverão ser observadas outras prioridades sociais, como as estabelecidas no Estatuto da Igualdade Racial — Lei nº 12.288/2010, na Seção II – Da Moradia</w:t>
      </w:r>
      <w:r w:rsidR="00B7731C" w:rsidRPr="00BA6979">
        <w:rPr>
          <w:sz w:val="24"/>
          <w:szCs w:val="24"/>
        </w:rPr>
        <w:t>.</w:t>
      </w:r>
    </w:p>
    <w:p w14:paraId="0C54E2E6" w14:textId="77777777" w:rsidR="00B7731C" w:rsidRPr="00FB247C" w:rsidRDefault="00B7731C" w:rsidP="00B7731C">
      <w:pPr>
        <w:spacing w:line="240" w:lineRule="auto"/>
        <w:ind w:left="2268"/>
        <w:jc w:val="both"/>
        <w:rPr>
          <w:sz w:val="20"/>
          <w:szCs w:val="20"/>
        </w:rPr>
      </w:pPr>
      <w:r w:rsidRPr="00FB247C">
        <w:rPr>
          <w:sz w:val="20"/>
          <w:szCs w:val="20"/>
        </w:rPr>
        <w:t xml:space="preserve">Art. 35. O poder público garantirá a implementação de políticas públicas para assegurar o direito à moradia adequada da população negra que vive em favelas, cortiços, áreas urbanas subutilizadas, degradadas ou em processo de degradação, a fim de reintegrá-las à dinâmica urbana e promover melhorias no ambiente e na qualidade de vida. </w:t>
      </w:r>
    </w:p>
    <w:p w14:paraId="2F9140B0" w14:textId="77777777" w:rsidR="00B7731C" w:rsidRPr="00FB247C" w:rsidRDefault="00B7731C" w:rsidP="00B7731C">
      <w:pPr>
        <w:spacing w:line="240" w:lineRule="auto"/>
        <w:ind w:left="2268"/>
        <w:jc w:val="both"/>
        <w:rPr>
          <w:sz w:val="20"/>
          <w:szCs w:val="20"/>
        </w:rPr>
      </w:pPr>
      <w:r w:rsidRPr="00FB247C">
        <w:rPr>
          <w:sz w:val="20"/>
          <w:szCs w:val="20"/>
        </w:rPr>
        <w:t xml:space="preserve">Parágrafo único. O direito à moradia adequada, para os efeitos desta Lei, inclui não apenas o provimento habitacional, mas também a garantia da infraestrutura urbana e dos equipamentos comunitários associados à função habitacional, bem como a assistência técnica e jurídica para a construção, a reforma ou a regularização fundiária da habitação em área urbana. </w:t>
      </w:r>
    </w:p>
    <w:p w14:paraId="726B5D14" w14:textId="77777777" w:rsidR="00B7731C" w:rsidRPr="001F74DF" w:rsidRDefault="00B7731C" w:rsidP="00B7731C">
      <w:pPr>
        <w:spacing w:line="360" w:lineRule="auto"/>
        <w:ind w:firstLine="709"/>
        <w:jc w:val="both"/>
        <w:rPr>
          <w:sz w:val="24"/>
          <w:szCs w:val="24"/>
        </w:rPr>
      </w:pPr>
    </w:p>
    <w:p w14:paraId="56724608" w14:textId="77777777" w:rsidR="001F74DF" w:rsidRPr="001F74DF" w:rsidRDefault="001F74DF" w:rsidP="001F74DF">
      <w:pPr>
        <w:spacing w:line="360" w:lineRule="auto"/>
        <w:ind w:firstLine="709"/>
        <w:jc w:val="both"/>
        <w:rPr>
          <w:sz w:val="24"/>
          <w:szCs w:val="24"/>
        </w:rPr>
      </w:pPr>
      <w:r w:rsidRPr="001F74DF">
        <w:rPr>
          <w:sz w:val="24"/>
          <w:szCs w:val="24"/>
        </w:rPr>
        <w:t xml:space="preserve">Reitera-se que, apesar de a Política Nacional de Habitação (PNH/2004) ter sido inovadora ao levar em conta as diferenciações e desigualdades estruturais no acesso à moradia em termos de gênero, raça e classe, o Programa Minha Casa Minha Vida (MCMV), implementado em 2009, ainda não havia incluído a questão </w:t>
      </w:r>
      <w:r w:rsidRPr="001F74DF">
        <w:rPr>
          <w:sz w:val="24"/>
          <w:szCs w:val="24"/>
        </w:rPr>
        <w:lastRenderedPageBreak/>
        <w:t>racial e étnica como critério de atendimento prioritário. Mesmo com as determinações da Conferência de Durban e do Estatuto da Igualdade Racial, já consolidados antes da primeira e segunda fases do PMCMV, e com as reivindicações feitas na Marcha de Mulheres Negras contra o Racismo e a Violência e pelo Bem Viver, realizada em Brasília, no ano de 2015, ocasião em que foi reconhecida a urgência de considerar a habitação como determinante para garantir uma vida cotidiana adequada às mulheres, essa determinação, via regulamentação jurídica, se concretizou apenas em 2023.</w:t>
      </w:r>
    </w:p>
    <w:p w14:paraId="78F597AA" w14:textId="77777777" w:rsidR="001F74DF" w:rsidRPr="001F74DF" w:rsidRDefault="001F74DF" w:rsidP="001F74DF">
      <w:pPr>
        <w:spacing w:line="360" w:lineRule="auto"/>
        <w:ind w:firstLine="709"/>
        <w:jc w:val="both"/>
        <w:rPr>
          <w:sz w:val="24"/>
          <w:szCs w:val="24"/>
        </w:rPr>
      </w:pPr>
      <w:r w:rsidRPr="001F74DF">
        <w:rPr>
          <w:sz w:val="24"/>
          <w:szCs w:val="24"/>
        </w:rPr>
        <w:t>Dos pressupostos elencados, considera-se que ter esse atendimento prioritário no PMCMV é uma conquista histórica. Sendo assim, há o reconhecimento de que o novo PMCMV, que ascendeu de programa a política habitacional e de desenvolvimento urbano, inova ao se tornar referência e um programa estratégico de enfrentamento às desigualdades nas relações de gênero, raça e classe, bem como à situação de violência doméstica e intrafamiliar. No entanto, há novos e persistentes desafios que precisam ser analisados, discutidos e enfrentados para garantir que os marcos jurídicos estabelecidos sejam de fato implantados.</w:t>
      </w:r>
    </w:p>
    <w:p w14:paraId="4D45F6B3" w14:textId="77777777" w:rsidR="006B1824" w:rsidRPr="00BA6979" w:rsidRDefault="006B1824" w:rsidP="00E56A13">
      <w:pPr>
        <w:spacing w:line="360" w:lineRule="auto"/>
        <w:ind w:firstLine="709"/>
        <w:jc w:val="both"/>
        <w:rPr>
          <w:sz w:val="24"/>
          <w:szCs w:val="24"/>
        </w:rPr>
      </w:pPr>
    </w:p>
    <w:p w14:paraId="1015FEBB" w14:textId="660545BD" w:rsidR="004F776F" w:rsidRDefault="00D308A4" w:rsidP="00F2735F">
      <w:pPr>
        <w:spacing w:line="360" w:lineRule="auto"/>
        <w:jc w:val="both"/>
        <w:rPr>
          <w:b/>
          <w:sz w:val="24"/>
          <w:szCs w:val="24"/>
        </w:rPr>
      </w:pPr>
      <w:r>
        <w:rPr>
          <w:b/>
          <w:sz w:val="24"/>
          <w:szCs w:val="24"/>
        </w:rPr>
        <w:t>3</w:t>
      </w:r>
      <w:r w:rsidR="004F776F">
        <w:rPr>
          <w:b/>
          <w:sz w:val="24"/>
          <w:szCs w:val="24"/>
        </w:rPr>
        <w:tab/>
      </w:r>
      <w:r w:rsidR="00E56A13">
        <w:rPr>
          <w:b/>
          <w:sz w:val="24"/>
          <w:szCs w:val="24"/>
        </w:rPr>
        <w:t xml:space="preserve">TRABALHO SOCIAL </w:t>
      </w:r>
    </w:p>
    <w:p w14:paraId="36DA0D46" w14:textId="77777777" w:rsidR="004F776F" w:rsidRDefault="004F776F" w:rsidP="00F2735F">
      <w:pPr>
        <w:spacing w:line="360" w:lineRule="auto"/>
        <w:jc w:val="both"/>
        <w:rPr>
          <w:sz w:val="24"/>
          <w:szCs w:val="24"/>
        </w:rPr>
      </w:pPr>
    </w:p>
    <w:p w14:paraId="0493E266" w14:textId="00811981" w:rsidR="001F74DF" w:rsidRPr="001F74DF" w:rsidRDefault="001F74DF" w:rsidP="001F74DF">
      <w:pPr>
        <w:spacing w:line="360" w:lineRule="auto"/>
        <w:ind w:firstLine="709"/>
        <w:jc w:val="both"/>
        <w:rPr>
          <w:sz w:val="24"/>
          <w:szCs w:val="24"/>
        </w:rPr>
      </w:pPr>
      <w:r w:rsidRPr="001F74DF">
        <w:rPr>
          <w:sz w:val="24"/>
          <w:szCs w:val="24"/>
        </w:rPr>
        <w:t>A moradia como direito não se reduz apenas ao acesso à unidade habitacional, mas também à garantia de acesso aos serviços urbanos e sociais fundamentais para uma vida e moradia digna. Nesse sentido, em conformidade com a Política Nacional de Habitação (2004), os programas de habitação de interesse social têm buscado promover o acesso à moradia digna a todos os segmentos da população, sobretudo à população de baixa renda, de forma integrada com as demais políticas públicas de desenvolvimento urbano, econômico e social, entre outras.</w:t>
      </w:r>
    </w:p>
    <w:p w14:paraId="38612631" w14:textId="1C063280" w:rsidR="001F74DF" w:rsidRPr="001F74DF" w:rsidRDefault="001F74DF" w:rsidP="001F74DF">
      <w:pPr>
        <w:spacing w:line="360" w:lineRule="auto"/>
        <w:ind w:firstLine="709"/>
        <w:jc w:val="both"/>
        <w:rPr>
          <w:sz w:val="24"/>
          <w:szCs w:val="24"/>
        </w:rPr>
      </w:pPr>
      <w:r w:rsidRPr="001F74DF">
        <w:rPr>
          <w:sz w:val="24"/>
          <w:szCs w:val="24"/>
        </w:rPr>
        <w:t xml:space="preserve">Para que o direito à moradia e à cidade seja garantido às famílias beneficiárias e materializado no território por meio de políticas públicas, uma das </w:t>
      </w:r>
      <w:r w:rsidRPr="001F74DF">
        <w:rPr>
          <w:sz w:val="24"/>
          <w:szCs w:val="24"/>
        </w:rPr>
        <w:lastRenderedPageBreak/>
        <w:t>estratégias foi a instituição do Trabalho Social como componente obrigatório dos programas e ações do Ministério das Cidades, assegurado enquanto um direito das famílias beneficiárias. O Trabalho Social já vinha sendo historicamente implementado em programas habitacionais com recursos do BNH</w:t>
      </w:r>
      <w:r>
        <w:rPr>
          <w:sz w:val="24"/>
          <w:szCs w:val="24"/>
        </w:rPr>
        <w:t xml:space="preserve">, </w:t>
      </w:r>
      <w:r w:rsidRPr="001F74DF">
        <w:rPr>
          <w:sz w:val="24"/>
          <w:szCs w:val="24"/>
        </w:rPr>
        <w:t>do BID</w:t>
      </w:r>
      <w:r>
        <w:rPr>
          <w:sz w:val="24"/>
          <w:szCs w:val="24"/>
        </w:rPr>
        <w:t xml:space="preserve"> e recursos próprios municipais</w:t>
      </w:r>
      <w:r w:rsidRPr="001F74DF">
        <w:rPr>
          <w:sz w:val="24"/>
          <w:szCs w:val="24"/>
        </w:rPr>
        <w:t xml:space="preserve"> e, portanto, os resultados dessas experiências e o reconhecimento jurídico foram fundamentais para a compreensão de que as intervenções físicas e sociais são indissociáveis, além de ter sido uma estratégia importante para a destinação de recursos direcionados à sua execução na composição de investimentos da intervenção. Ou seja, não se libera recurso da obra sem que </w:t>
      </w:r>
      <w:r>
        <w:rPr>
          <w:sz w:val="24"/>
          <w:szCs w:val="24"/>
        </w:rPr>
        <w:t>o Trabalho Social</w:t>
      </w:r>
      <w:r w:rsidRPr="001F74DF">
        <w:rPr>
          <w:sz w:val="24"/>
          <w:szCs w:val="24"/>
        </w:rPr>
        <w:t xml:space="preserve"> conste no projeto.</w:t>
      </w:r>
    </w:p>
    <w:p w14:paraId="0202F60E" w14:textId="2D8F7578" w:rsidR="001F74DF" w:rsidRPr="001F74DF" w:rsidRDefault="001F74DF" w:rsidP="001F74DF">
      <w:pPr>
        <w:spacing w:line="360" w:lineRule="auto"/>
        <w:ind w:firstLine="709"/>
        <w:jc w:val="both"/>
        <w:rPr>
          <w:sz w:val="24"/>
          <w:szCs w:val="24"/>
        </w:rPr>
      </w:pPr>
      <w:r w:rsidRPr="001F74DF">
        <w:rPr>
          <w:sz w:val="24"/>
          <w:szCs w:val="24"/>
        </w:rPr>
        <w:t>Após consecutivas alterações, atualmente o Trabalho Social é regulamentado pela Portaria nº 75/2025. Junto com o estabelecimento de novas determinações jurídicas no âmbito do Programa Minha Casa</w:t>
      </w:r>
      <w:r w:rsidR="007A5D9A">
        <w:rPr>
          <w:sz w:val="24"/>
          <w:szCs w:val="24"/>
        </w:rPr>
        <w:t>,</w:t>
      </w:r>
      <w:r w:rsidRPr="001F74DF">
        <w:rPr>
          <w:sz w:val="24"/>
          <w:szCs w:val="24"/>
        </w:rPr>
        <w:t xml:space="preserve"> Minha Vida, símbolo da política habitacional e, agora, também da política de desenvolvimento urbano, estabelece-se uma nova portaria para o Trabalho Social, reafirmando, sob novas bases, seu objetivo principal, que é o de promover a participação social, a melhoria das condições de vida, a efetivação dos direitos sociais dos beneficiários e a sustentabilidade da intervenção nos bens, equipamentos e serviços implantados.</w:t>
      </w:r>
    </w:p>
    <w:p w14:paraId="46A618CE" w14:textId="77777777" w:rsidR="001F74DF" w:rsidRPr="001F74DF" w:rsidRDefault="001F74DF" w:rsidP="001F74DF">
      <w:pPr>
        <w:spacing w:line="360" w:lineRule="auto"/>
        <w:ind w:firstLine="709"/>
        <w:jc w:val="both"/>
        <w:rPr>
          <w:sz w:val="24"/>
          <w:szCs w:val="24"/>
        </w:rPr>
      </w:pPr>
      <w:r w:rsidRPr="001F74DF">
        <w:rPr>
          <w:sz w:val="24"/>
          <w:szCs w:val="24"/>
        </w:rPr>
        <w:t>O Trabalho Social é previsto em três fases de execução: pré-obras, obras e pós-obras. Apesar das dificuldades, na prática, de essa linearidade ser seguida, nas fases de pré-ocupação (pré-obras e obras), o Trabalho Social é obrigatório, a fim de atuar na seleção e preparação das famílias para morar na unidade habitacional e para planejar as atividades. Ainda nessa fase, é realizado o diagnóstico socioterritorial participativo. Nesse documento, é apresentada uma leitura técnico-comunitária com a caracterização da macroárea e da área de intervenção, bem como o estudo socioeconômico das famílias beneficiárias. Pelo caráter participativo e integrado, constitui-se em um documento primordial para a elaboração do Projeto de Trabalho Social (PTS), sobretudo em relação ao detalhamento metodológico das ações e atividades que serão desenvolvidas com as famílias.</w:t>
      </w:r>
    </w:p>
    <w:p w14:paraId="60F191FE" w14:textId="3F22E48F" w:rsidR="007A5D9A" w:rsidRPr="007A5D9A" w:rsidRDefault="007A5D9A" w:rsidP="007A5D9A">
      <w:pPr>
        <w:spacing w:line="360" w:lineRule="auto"/>
        <w:ind w:firstLine="709"/>
        <w:jc w:val="both"/>
        <w:rPr>
          <w:sz w:val="24"/>
          <w:szCs w:val="24"/>
        </w:rPr>
      </w:pPr>
      <w:r w:rsidRPr="007A5D9A">
        <w:rPr>
          <w:sz w:val="24"/>
          <w:szCs w:val="24"/>
        </w:rPr>
        <w:lastRenderedPageBreak/>
        <w:t>Já na fase pós-obra ou pós-ocupação, o Trabalho Social é requisitado para promover a participação social, o acompanhamento das famílias no novo contexto de moradia, a permanência das famílias, a garantia de direitos por meio da articulação com outras políticas públicas e a sustentabilidade da intervenção. Esta fase é considerada um dos momentos mais desafiadores de atuação para a equipe técnica de Trabalho Social, sobretudo no que se refere à fragilidade do vínculo e do sentimento de pertencimento dos beneficiários com o território e com a vizinhança, à continuidade na moradia devido aos impactos na renda com a formalização dos serviços de energia elétrica, gás, água, entre outros, à precariedade de acesso a serviços básicos de infraestrutura, comércios, transporte</w:t>
      </w:r>
      <w:r w:rsidR="00B155BC">
        <w:rPr>
          <w:sz w:val="24"/>
          <w:szCs w:val="24"/>
        </w:rPr>
        <w:t>,</w:t>
      </w:r>
      <w:r w:rsidRPr="007A5D9A">
        <w:rPr>
          <w:sz w:val="24"/>
          <w:szCs w:val="24"/>
        </w:rPr>
        <w:t xml:space="preserve"> à incidência de criminalidade</w:t>
      </w:r>
      <w:r w:rsidR="00B155BC">
        <w:rPr>
          <w:sz w:val="24"/>
          <w:szCs w:val="24"/>
        </w:rPr>
        <w:t xml:space="preserve"> entre outros</w:t>
      </w:r>
      <w:r w:rsidRPr="007A5D9A">
        <w:rPr>
          <w:sz w:val="24"/>
          <w:szCs w:val="24"/>
        </w:rPr>
        <w:t>.</w:t>
      </w:r>
    </w:p>
    <w:p w14:paraId="2E7AB922" w14:textId="77777777" w:rsidR="007A5D9A" w:rsidRPr="007A5D9A" w:rsidRDefault="007A5D9A" w:rsidP="007A5D9A">
      <w:pPr>
        <w:spacing w:line="360" w:lineRule="auto"/>
        <w:ind w:firstLine="709"/>
        <w:jc w:val="both"/>
        <w:rPr>
          <w:sz w:val="24"/>
          <w:szCs w:val="24"/>
        </w:rPr>
      </w:pPr>
      <w:r w:rsidRPr="007A5D9A">
        <w:rPr>
          <w:sz w:val="24"/>
          <w:szCs w:val="24"/>
        </w:rPr>
        <w:t>Conforme prevê a Portaria nº 75/2025, em todas as fases de execução, o Trabalho Social deve ser planejado e executado em conformidade com os eixos temáticos e seus objetivos específicos, sendo eles:</w:t>
      </w:r>
    </w:p>
    <w:p w14:paraId="63777ECB" w14:textId="77777777" w:rsidR="00E75E66" w:rsidRPr="00E75E66" w:rsidRDefault="00E75E66" w:rsidP="00DC4225">
      <w:pPr>
        <w:spacing w:line="240" w:lineRule="auto"/>
        <w:ind w:left="2268"/>
        <w:jc w:val="both"/>
        <w:rPr>
          <w:sz w:val="20"/>
          <w:szCs w:val="20"/>
        </w:rPr>
      </w:pPr>
      <w:r w:rsidRPr="00E75E66">
        <w:rPr>
          <w:sz w:val="20"/>
          <w:szCs w:val="20"/>
        </w:rPr>
        <w:t>I - Eixo I - Mobilização, comunicação e participação social;</w:t>
      </w:r>
    </w:p>
    <w:p w14:paraId="7A480E21" w14:textId="77777777" w:rsidR="00E75E66" w:rsidRPr="00E75E66" w:rsidRDefault="00E75E66" w:rsidP="00DC4225">
      <w:pPr>
        <w:spacing w:line="240" w:lineRule="auto"/>
        <w:ind w:left="2268"/>
        <w:jc w:val="both"/>
        <w:rPr>
          <w:sz w:val="20"/>
          <w:szCs w:val="20"/>
        </w:rPr>
      </w:pPr>
      <w:r w:rsidRPr="00E75E66">
        <w:rPr>
          <w:sz w:val="20"/>
          <w:szCs w:val="20"/>
        </w:rPr>
        <w:t>II - Eixo II - Sustentabilidade da intervenção ou operação;</w:t>
      </w:r>
    </w:p>
    <w:p w14:paraId="395306C5" w14:textId="77777777" w:rsidR="00E75E66" w:rsidRPr="00E75E66" w:rsidRDefault="00E75E66" w:rsidP="00DC4225">
      <w:pPr>
        <w:spacing w:line="240" w:lineRule="auto"/>
        <w:ind w:left="2268"/>
        <w:jc w:val="both"/>
        <w:rPr>
          <w:sz w:val="20"/>
          <w:szCs w:val="20"/>
        </w:rPr>
      </w:pPr>
      <w:r w:rsidRPr="00E75E66">
        <w:rPr>
          <w:sz w:val="20"/>
          <w:szCs w:val="20"/>
        </w:rPr>
        <w:t>III - Eixo III - Sustentabilidade ambiental, segurança alimentar e promoção da saúde;</w:t>
      </w:r>
    </w:p>
    <w:p w14:paraId="413773EE" w14:textId="77777777" w:rsidR="00E75E66" w:rsidRPr="00E75E66" w:rsidRDefault="00E75E66" w:rsidP="00DC4225">
      <w:pPr>
        <w:spacing w:line="240" w:lineRule="auto"/>
        <w:ind w:left="2268"/>
        <w:jc w:val="both"/>
        <w:rPr>
          <w:sz w:val="20"/>
          <w:szCs w:val="20"/>
        </w:rPr>
      </w:pPr>
      <w:r w:rsidRPr="00E75E66">
        <w:rPr>
          <w:sz w:val="20"/>
          <w:szCs w:val="20"/>
        </w:rPr>
        <w:t>IV - Eixo IV - Desenvolvimento socioeconômico; e</w:t>
      </w:r>
    </w:p>
    <w:p w14:paraId="07674C6D" w14:textId="7C4C3B00" w:rsidR="00E75E66" w:rsidRPr="00E75E66" w:rsidRDefault="00E75E66" w:rsidP="00DC4225">
      <w:pPr>
        <w:spacing w:line="240" w:lineRule="auto"/>
        <w:ind w:left="2268"/>
        <w:jc w:val="both"/>
        <w:rPr>
          <w:sz w:val="20"/>
          <w:szCs w:val="20"/>
        </w:rPr>
      </w:pPr>
      <w:r w:rsidRPr="00E75E66">
        <w:rPr>
          <w:sz w:val="20"/>
          <w:szCs w:val="20"/>
        </w:rPr>
        <w:t>V - Eixo V - Direitos humanos, educação, cidadania e cultura</w:t>
      </w:r>
      <w:r w:rsidR="00FE308F">
        <w:rPr>
          <w:sz w:val="20"/>
          <w:szCs w:val="20"/>
        </w:rPr>
        <w:t>. (Brasil, 2025)</w:t>
      </w:r>
    </w:p>
    <w:p w14:paraId="20EBB8B5" w14:textId="77777777" w:rsidR="00C25791" w:rsidRDefault="00C25791" w:rsidP="00C25791">
      <w:pPr>
        <w:spacing w:line="360" w:lineRule="auto"/>
        <w:ind w:firstLine="709"/>
        <w:jc w:val="both"/>
        <w:rPr>
          <w:sz w:val="24"/>
          <w:szCs w:val="24"/>
        </w:rPr>
      </w:pPr>
    </w:p>
    <w:p w14:paraId="60FBD52C" w14:textId="0DDDC73B" w:rsidR="007A5D9A" w:rsidRPr="007A5D9A" w:rsidRDefault="007A5D9A" w:rsidP="007A5D9A">
      <w:pPr>
        <w:spacing w:line="360" w:lineRule="auto"/>
        <w:ind w:firstLine="709"/>
        <w:jc w:val="both"/>
        <w:rPr>
          <w:sz w:val="24"/>
          <w:szCs w:val="24"/>
        </w:rPr>
      </w:pPr>
      <w:r w:rsidRPr="007A5D9A">
        <w:rPr>
          <w:sz w:val="24"/>
          <w:szCs w:val="24"/>
        </w:rPr>
        <w:t>A nova portaria traz alterações importantes nas temáticas dos eixos, sendo uma das grandes inovações a inclusão do Eixo V – Direitos Humanos, Educação, Cidadania e Cultura, que poderá ser aplicado parcialmente, adaptado ao porte da intervenção. Na análise da portaria, verificam-se esforços para que a execução do Trabalho Social esteja mais alinhada ao perfil das famílias beneficiárias e à leitura técnico-comunitária, com orientações técnicas para que as ações e atividades sigam uma estrutura mínima capaz de assegurar que os objetivos propostos sejam alcançados.</w:t>
      </w:r>
    </w:p>
    <w:p w14:paraId="382DEB2D" w14:textId="2A9B51B9" w:rsidR="007A5D9A" w:rsidRPr="007A5D9A" w:rsidRDefault="007A5D9A" w:rsidP="007A5D9A">
      <w:pPr>
        <w:spacing w:line="360" w:lineRule="auto"/>
        <w:ind w:firstLine="709"/>
        <w:jc w:val="both"/>
        <w:rPr>
          <w:sz w:val="24"/>
          <w:szCs w:val="24"/>
        </w:rPr>
      </w:pPr>
      <w:r w:rsidRPr="007A5D9A">
        <w:rPr>
          <w:sz w:val="24"/>
          <w:szCs w:val="24"/>
        </w:rPr>
        <w:t xml:space="preserve">Em conformidade com a Lei nº 14.620/2023, que dispõe sobre o Programa Minha Casa, Minha Vida – Faixa 1, no que corresponde ao perfil das famílias priorizadas no programa, o eixo “Direitos Humanos, Educação, Cidadania e Cultura” </w:t>
      </w:r>
      <w:r w:rsidRPr="007A5D9A">
        <w:rPr>
          <w:sz w:val="24"/>
          <w:szCs w:val="24"/>
        </w:rPr>
        <w:lastRenderedPageBreak/>
        <w:t>se materializa, por meio de atividades socioeducativas e práticas coletivas, no fortalecimento dessas temáticas no território. Em relação à temática dos direitos humanos, serão promovidas ações e atividades que abordem a prevenção de violações de direitos e fomentem o combate à violência e à discriminação racial, de classe, de gênero, entre outras. Portanto, avalia-se que houve uma preocupação no sentido de que não basta priorizar as famílias em situação de violência no acesso ao PMCMV, mas também é necessário ter ações específicas direcionadas a assegurar as condições para o exercício efetivo de direitos e de uma vida sem violência na fase pós-ocupação.</w:t>
      </w:r>
    </w:p>
    <w:p w14:paraId="54A3F04B" w14:textId="48E6083C" w:rsidR="007A5D9A" w:rsidRPr="007A5D9A" w:rsidRDefault="007A5D9A" w:rsidP="007A5D9A">
      <w:pPr>
        <w:spacing w:line="360" w:lineRule="auto"/>
        <w:ind w:firstLine="709"/>
        <w:jc w:val="both"/>
        <w:rPr>
          <w:sz w:val="24"/>
          <w:szCs w:val="24"/>
        </w:rPr>
      </w:pPr>
      <w:r w:rsidRPr="007A5D9A">
        <w:rPr>
          <w:sz w:val="24"/>
          <w:szCs w:val="24"/>
        </w:rPr>
        <w:t>Esse eixo também se apresenta como uma estratégia de enfrentamento às críticas já tecidas no âmbito do PMCMV, de que a mudança para a nova moradia promoveria o rompimento da cultura das famílias. Portanto, com a nova portaria, as ações do Trabalho Social também estarão direcionadas a promover atividades culturais que fomentem o pertencimento, o fortalecimento, a valorização das práticas</w:t>
      </w:r>
      <w:r>
        <w:rPr>
          <w:sz w:val="24"/>
          <w:szCs w:val="24"/>
        </w:rPr>
        <w:t xml:space="preserve">, </w:t>
      </w:r>
      <w:r w:rsidRPr="007A5D9A">
        <w:rPr>
          <w:sz w:val="24"/>
          <w:szCs w:val="24"/>
        </w:rPr>
        <w:t>a memória e identidades culturais presentes no território. Essas ações deverão ser planejadas e executadas em conformidade com a leitura técnico-comunitária elaborada no diagnóstico socioterritorial participativo.</w:t>
      </w:r>
    </w:p>
    <w:p w14:paraId="30464A02" w14:textId="3BD6BEBD" w:rsidR="007A5D9A" w:rsidRPr="007A5D9A" w:rsidRDefault="007A5D9A" w:rsidP="007A5D9A">
      <w:pPr>
        <w:spacing w:line="360" w:lineRule="auto"/>
        <w:ind w:firstLine="709"/>
        <w:jc w:val="both"/>
        <w:rPr>
          <w:sz w:val="24"/>
          <w:szCs w:val="24"/>
        </w:rPr>
      </w:pPr>
      <w:r w:rsidRPr="007A5D9A">
        <w:rPr>
          <w:sz w:val="24"/>
          <w:szCs w:val="24"/>
        </w:rPr>
        <w:t>Todavia, para todas as ações e atividades realizadas, é de suma importância a articulação com órgãos públicos, organizações ou coletivos presentes no território. Em relação à articulação intersetorial entre as políticas públicas, tanto na portaria que regulamenta o Trabalho Social quanto na lei que regulamenta o PMCMV, essa dimensão está bem definida e reconhecida como fundamental para o enfrentamento das expressões da questão social e urbana. O Trabalho Social é o principal mediador entre a população e o poder público.</w:t>
      </w:r>
    </w:p>
    <w:p w14:paraId="5C5350DE" w14:textId="77777777" w:rsidR="007A5D9A" w:rsidRPr="007A5D9A" w:rsidRDefault="007A5D9A" w:rsidP="007A5D9A">
      <w:pPr>
        <w:spacing w:line="360" w:lineRule="auto"/>
        <w:ind w:firstLine="709"/>
        <w:jc w:val="both"/>
        <w:rPr>
          <w:sz w:val="24"/>
          <w:szCs w:val="24"/>
        </w:rPr>
      </w:pPr>
      <w:r w:rsidRPr="007A5D9A">
        <w:rPr>
          <w:sz w:val="24"/>
          <w:szCs w:val="24"/>
        </w:rPr>
        <w:t xml:space="preserve">No Trabalho Social, para este fim, é obrigatória a criação do Grupo Institucional do Poder Público (GIPP). Este grupo é formado por órgãos públicos que assumem o compromisso com a articulação de políticas públicas no território, visando assegurar as condições adequadas de moradia, incluindo habitação, </w:t>
      </w:r>
      <w:r w:rsidRPr="007A5D9A">
        <w:rPr>
          <w:sz w:val="24"/>
          <w:szCs w:val="24"/>
        </w:rPr>
        <w:lastRenderedPageBreak/>
        <w:t>educação, saúde, assistência social, transporte, geração de trabalho e renda, segurança pública, entre outras.</w:t>
      </w:r>
    </w:p>
    <w:p w14:paraId="035237DC" w14:textId="77777777" w:rsidR="007A5D9A" w:rsidRPr="007A5D9A" w:rsidRDefault="007A5D9A" w:rsidP="007A5D9A">
      <w:pPr>
        <w:spacing w:line="360" w:lineRule="auto"/>
        <w:ind w:firstLine="709"/>
        <w:jc w:val="both"/>
        <w:rPr>
          <w:sz w:val="24"/>
          <w:szCs w:val="24"/>
        </w:rPr>
      </w:pPr>
      <w:r w:rsidRPr="007A5D9A">
        <w:rPr>
          <w:sz w:val="24"/>
          <w:szCs w:val="24"/>
        </w:rPr>
        <w:t>Todavia, apesar dos esforços e determinações jurídicas, a articulação intersetorial de forma sustentável é considerada um gargalo a ser enfrentado pelo Trabalho Social. É importante evidenciar que a construção de objetos e objetivos comuns a médio e longo prazo ainda é um desafio estrutural. As ações conjuntas são realizadas de forma pontual, sem compromissos firmados com sua continuidade, especialmente após a conclusão do Trabalho Social.</w:t>
      </w:r>
    </w:p>
    <w:p w14:paraId="043592EC" w14:textId="1030D996" w:rsidR="007A5D9A" w:rsidRPr="007A5D9A" w:rsidRDefault="007A5D9A" w:rsidP="007A5D9A">
      <w:pPr>
        <w:spacing w:line="360" w:lineRule="auto"/>
        <w:ind w:firstLine="709"/>
        <w:jc w:val="both"/>
        <w:rPr>
          <w:sz w:val="24"/>
          <w:szCs w:val="24"/>
        </w:rPr>
      </w:pPr>
      <w:r w:rsidRPr="007A5D9A">
        <w:rPr>
          <w:sz w:val="24"/>
          <w:szCs w:val="24"/>
        </w:rPr>
        <w:t>Nesse sentido, o MCMV, ao ascender como política de desenvolvimento urbano integrado e o Trabalho Social como componente estratégico para promover e potencializar a continuidade desse desenvolvimento no território, coloca como desafio a importância de criar instâncias de discussão e diálogo constantes entre os entes fiscalizadores e os municípios, a fim de assegurar não apenas a participação dos órgãos públicos no GIPP, mas também a garantia das políticas públicas necessárias ao atendimento das famílias beneficiárias antes, durante e após a execução do Trabalho Social no território.</w:t>
      </w:r>
    </w:p>
    <w:p w14:paraId="2BC08ED2" w14:textId="77777777" w:rsidR="004A68DA" w:rsidRDefault="004A68DA" w:rsidP="009B3ABB">
      <w:pPr>
        <w:spacing w:line="360" w:lineRule="auto"/>
        <w:ind w:firstLine="709"/>
        <w:jc w:val="both"/>
        <w:rPr>
          <w:color w:val="EE0000"/>
          <w:sz w:val="24"/>
          <w:szCs w:val="24"/>
        </w:rPr>
      </w:pPr>
    </w:p>
    <w:p w14:paraId="1533E369"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02A7F3D0" w14:textId="77777777" w:rsidR="004F776F" w:rsidRDefault="004F776F" w:rsidP="004F776F">
      <w:pPr>
        <w:spacing w:line="360" w:lineRule="auto"/>
        <w:jc w:val="both"/>
        <w:rPr>
          <w:sz w:val="24"/>
          <w:szCs w:val="24"/>
        </w:rPr>
      </w:pPr>
    </w:p>
    <w:p w14:paraId="5C565FBA" w14:textId="77777777" w:rsidR="00D95044" w:rsidRPr="00D95044" w:rsidRDefault="00D95044" w:rsidP="00D95044">
      <w:pPr>
        <w:spacing w:line="360" w:lineRule="auto"/>
        <w:ind w:firstLine="720"/>
        <w:jc w:val="both"/>
        <w:rPr>
          <w:sz w:val="24"/>
          <w:szCs w:val="24"/>
        </w:rPr>
      </w:pPr>
      <w:r w:rsidRPr="00D95044">
        <w:rPr>
          <w:sz w:val="24"/>
          <w:szCs w:val="24"/>
        </w:rPr>
        <w:t>O Programa Minha Casa, Minha Vida (MCMV) vem, historicamente, imprimindo outra direção à política habitacional no país. Em sua nova edição, realiza esforços significativos para romper com gargalos que não foram enfrentados ou que foram reeditados no passado, como a ausência de infraestrutura básica, por meio da política de desenvolvimento urbano. Além disso, o compromisso com a garantia do direito à moradia e à cidade é firmado com novas formas e estratégias de diversificar o atendimento, sobretudo para a faixa de renda mais baixa, sem se limitar apenas à produção de novas unidades habitacionais.</w:t>
      </w:r>
    </w:p>
    <w:p w14:paraId="78A35BBA" w14:textId="77777777" w:rsidR="00D95044" w:rsidRPr="00D95044" w:rsidRDefault="00D95044" w:rsidP="00D95044">
      <w:pPr>
        <w:spacing w:line="360" w:lineRule="auto"/>
        <w:ind w:firstLine="720"/>
        <w:jc w:val="both"/>
        <w:rPr>
          <w:sz w:val="24"/>
          <w:szCs w:val="24"/>
        </w:rPr>
      </w:pPr>
      <w:r w:rsidRPr="00D95044">
        <w:rPr>
          <w:sz w:val="24"/>
          <w:szCs w:val="24"/>
        </w:rPr>
        <w:t xml:space="preserve">Em relação ao público prioritário do programa, houve avanços históricos com a priorização das mulheres em situação de violência doméstica e familiar, por </w:t>
      </w:r>
      <w:r w:rsidRPr="00D95044">
        <w:rPr>
          <w:sz w:val="24"/>
          <w:szCs w:val="24"/>
        </w:rPr>
        <w:lastRenderedPageBreak/>
        <w:t>decisão judicial, consolidando-se, dessa forma, como um programa estratégico para coibir, prevenir e enfrentar essa violência. Além disso, incluiu a questão racial e étnica como critério de atendimento prioritário, em conformidade com as prioridades estabelecidas no Estatuto da Igualdade Racial — Lei nº 12.288/2010.</w:t>
      </w:r>
    </w:p>
    <w:p w14:paraId="2E02E3C2" w14:textId="0CDEB3C1" w:rsidR="00D95044" w:rsidRPr="00D95044" w:rsidRDefault="00B155BC" w:rsidP="00D95044">
      <w:pPr>
        <w:spacing w:line="360" w:lineRule="auto"/>
        <w:ind w:firstLine="720"/>
        <w:jc w:val="both"/>
        <w:rPr>
          <w:sz w:val="24"/>
          <w:szCs w:val="24"/>
        </w:rPr>
      </w:pPr>
      <w:r>
        <w:rPr>
          <w:sz w:val="24"/>
          <w:szCs w:val="24"/>
        </w:rPr>
        <w:t xml:space="preserve">Além das mudanças no </w:t>
      </w:r>
      <w:r w:rsidR="00D95044" w:rsidRPr="00D95044">
        <w:rPr>
          <w:sz w:val="24"/>
          <w:szCs w:val="24"/>
        </w:rPr>
        <w:t>novo PMCMV, sob novas bases, foi atualizada a Portaria do Trabalho Social, que apresenta avanços e iniciativas importantes do ponto de vista do enfrentamento e prevenção da violência doméstica e familiar na fase do pós-ocupação, bem como da promoção e fortalecimento da cultura e da memória das famílias, visando sua permanência e o desenvolvimento de competências para a organização e garantia de seus direitos. Além disso, evidencia os esforços em materializar as determinações jurídicas relacionadas à garantia do direito à moradia digna e à cidade, por meio da articulação intersetorial.</w:t>
      </w:r>
    </w:p>
    <w:p w14:paraId="3FE8669D" w14:textId="7819540E" w:rsidR="00D95044" w:rsidRPr="00D95044" w:rsidRDefault="00D95044" w:rsidP="00D95044">
      <w:pPr>
        <w:spacing w:line="360" w:lineRule="auto"/>
        <w:ind w:firstLine="720"/>
        <w:jc w:val="both"/>
        <w:rPr>
          <w:sz w:val="24"/>
          <w:szCs w:val="24"/>
        </w:rPr>
      </w:pPr>
      <w:r w:rsidRPr="00D95044">
        <w:rPr>
          <w:sz w:val="24"/>
          <w:szCs w:val="24"/>
        </w:rPr>
        <w:t>É certo que o Trabalho Social tem seus limites de atuação no território, sobretudo no que se refere à resolução de problemas estruturais. Todavia, é importante ressaltar a relevância que esse trabalho possui antes e após a execução da obra física, assim como a compreensão de que essas etapas são indissociáveis.</w:t>
      </w:r>
    </w:p>
    <w:p w14:paraId="6448F449" w14:textId="77777777" w:rsidR="002B27F1" w:rsidRDefault="002B27F1" w:rsidP="002B27F1">
      <w:pPr>
        <w:spacing w:line="360" w:lineRule="auto"/>
        <w:ind w:firstLine="720"/>
        <w:jc w:val="both"/>
        <w:rPr>
          <w:sz w:val="24"/>
          <w:szCs w:val="24"/>
        </w:rPr>
      </w:pPr>
    </w:p>
    <w:p w14:paraId="0258163E" w14:textId="4EBAD4E4" w:rsidR="004F776F" w:rsidRPr="00CB33DD" w:rsidRDefault="004F776F" w:rsidP="002B27F1">
      <w:pPr>
        <w:spacing w:line="360" w:lineRule="auto"/>
        <w:jc w:val="center"/>
        <w:rPr>
          <w:bCs/>
          <w:sz w:val="24"/>
          <w:szCs w:val="24"/>
        </w:rPr>
      </w:pPr>
      <w:r>
        <w:rPr>
          <w:b/>
          <w:sz w:val="24"/>
          <w:szCs w:val="24"/>
        </w:rPr>
        <w:t>REFERÊNCIAS</w:t>
      </w:r>
    </w:p>
    <w:p w14:paraId="085A0A17" w14:textId="77777777" w:rsidR="004F776F" w:rsidRDefault="004F776F" w:rsidP="004F776F">
      <w:pPr>
        <w:spacing w:line="240" w:lineRule="auto"/>
        <w:jc w:val="both"/>
        <w:rPr>
          <w:sz w:val="24"/>
          <w:szCs w:val="24"/>
        </w:rPr>
      </w:pPr>
    </w:p>
    <w:p w14:paraId="533D4350" w14:textId="06D46A8D" w:rsidR="005C4655" w:rsidRPr="002946A5" w:rsidRDefault="002946A5" w:rsidP="002946A5">
      <w:pPr>
        <w:spacing w:line="240" w:lineRule="auto"/>
        <w:jc w:val="both"/>
        <w:rPr>
          <w:sz w:val="24"/>
          <w:szCs w:val="24"/>
        </w:rPr>
      </w:pPr>
      <w:r w:rsidRPr="002946A5">
        <w:rPr>
          <w:sz w:val="24"/>
          <w:szCs w:val="24"/>
        </w:rPr>
        <w:t>B</w:t>
      </w:r>
      <w:r w:rsidR="007A02D4">
        <w:rPr>
          <w:sz w:val="24"/>
          <w:szCs w:val="24"/>
        </w:rPr>
        <w:t>albim</w:t>
      </w:r>
      <w:r w:rsidRPr="002946A5">
        <w:rPr>
          <w:sz w:val="24"/>
          <w:szCs w:val="24"/>
        </w:rPr>
        <w:t xml:space="preserve">, Renato. </w:t>
      </w:r>
      <w:r w:rsidRPr="002D2174">
        <w:rPr>
          <w:b/>
          <w:bCs/>
          <w:sz w:val="24"/>
          <w:szCs w:val="24"/>
        </w:rPr>
        <w:t>O Minha Casa, Minha Vida voltou:</w:t>
      </w:r>
      <w:r w:rsidRPr="002946A5">
        <w:rPr>
          <w:sz w:val="24"/>
          <w:szCs w:val="24"/>
        </w:rPr>
        <w:t xml:space="preserve"> dos tons de cinza do Casa Verde Amarela ao policromatismo das pautas identitárias – quais revisões e possibilidades a MP e suas 253 emendas anunciam? Brasília: IPEA, 2023, 24p.</w:t>
      </w:r>
    </w:p>
    <w:p w14:paraId="1028E0A3" w14:textId="77777777" w:rsidR="002946A5" w:rsidRPr="002D2174" w:rsidRDefault="002946A5" w:rsidP="002946A5">
      <w:pPr>
        <w:spacing w:line="240" w:lineRule="auto"/>
        <w:jc w:val="both"/>
        <w:rPr>
          <w:sz w:val="16"/>
          <w:szCs w:val="16"/>
        </w:rPr>
      </w:pPr>
    </w:p>
    <w:p w14:paraId="34F56EBE" w14:textId="794EA749" w:rsidR="004F776F" w:rsidRPr="002946A5" w:rsidRDefault="002946A5" w:rsidP="002946A5">
      <w:pPr>
        <w:spacing w:line="240" w:lineRule="auto"/>
        <w:jc w:val="both"/>
        <w:rPr>
          <w:sz w:val="24"/>
          <w:szCs w:val="24"/>
        </w:rPr>
      </w:pPr>
      <w:r w:rsidRPr="002946A5">
        <w:rPr>
          <w:sz w:val="24"/>
          <w:szCs w:val="24"/>
        </w:rPr>
        <w:t>Cardoso, A. L.; Aragão, T. A. (2013). Do fim do BNH ao Programa Minha Casa Minha Vida: 25 anos da política habitacional no Brasil. In A. L. Cardoso (Ed.), </w:t>
      </w:r>
      <w:r w:rsidRPr="002D2174">
        <w:rPr>
          <w:b/>
          <w:bCs/>
          <w:sz w:val="24"/>
          <w:szCs w:val="24"/>
        </w:rPr>
        <w:t>O Programa Minha Casa Minha Vida e seus efeitos territoriais</w:t>
      </w:r>
      <w:r w:rsidRPr="002946A5">
        <w:rPr>
          <w:sz w:val="24"/>
          <w:szCs w:val="24"/>
        </w:rPr>
        <w:t> (1. ed., pp. 17-65). Rio de Janeiro: Letra Capital.</w:t>
      </w:r>
    </w:p>
    <w:p w14:paraId="19418821" w14:textId="77777777" w:rsidR="002946A5" w:rsidRPr="002D2174" w:rsidRDefault="002946A5" w:rsidP="002946A5">
      <w:pPr>
        <w:spacing w:line="240" w:lineRule="auto"/>
        <w:jc w:val="both"/>
        <w:rPr>
          <w:sz w:val="16"/>
          <w:szCs w:val="16"/>
        </w:rPr>
      </w:pPr>
    </w:p>
    <w:p w14:paraId="708BC2E4" w14:textId="08655620" w:rsidR="004F776F" w:rsidRPr="002946A5" w:rsidRDefault="00FE308F" w:rsidP="00FE308F">
      <w:pPr>
        <w:spacing w:line="240" w:lineRule="auto"/>
        <w:jc w:val="both"/>
        <w:rPr>
          <w:sz w:val="24"/>
          <w:szCs w:val="24"/>
        </w:rPr>
      </w:pPr>
      <w:r w:rsidRPr="002946A5">
        <w:rPr>
          <w:sz w:val="24"/>
          <w:szCs w:val="24"/>
        </w:rPr>
        <w:t xml:space="preserve">IBGE. </w:t>
      </w:r>
      <w:r w:rsidRPr="002D2174">
        <w:rPr>
          <w:b/>
          <w:bCs/>
          <w:sz w:val="24"/>
          <w:szCs w:val="24"/>
        </w:rPr>
        <w:t>Estatísticas de Gênero Indicadores sociais das mulheres no Brasil</w:t>
      </w:r>
      <w:r w:rsidRPr="002946A5">
        <w:rPr>
          <w:sz w:val="24"/>
          <w:szCs w:val="24"/>
        </w:rPr>
        <w:t>. Estudos e Pesquisas – Informação Demográfica e Socioeconômica, nº 38, 3ª edição, 2024.</w:t>
      </w:r>
    </w:p>
    <w:p w14:paraId="199C93E8" w14:textId="77777777" w:rsidR="00FE308F" w:rsidRPr="001F625F" w:rsidRDefault="00FE308F" w:rsidP="00FE308F">
      <w:pPr>
        <w:spacing w:line="240" w:lineRule="auto"/>
        <w:jc w:val="both"/>
      </w:pPr>
    </w:p>
    <w:p w14:paraId="43884CAC" w14:textId="1E206510" w:rsidR="004F776F" w:rsidRPr="002946A5" w:rsidRDefault="00FE308F" w:rsidP="00FE308F">
      <w:pPr>
        <w:spacing w:line="240" w:lineRule="auto"/>
        <w:jc w:val="both"/>
        <w:rPr>
          <w:sz w:val="24"/>
          <w:szCs w:val="24"/>
        </w:rPr>
      </w:pPr>
      <w:r w:rsidRPr="002946A5">
        <w:rPr>
          <w:sz w:val="24"/>
          <w:szCs w:val="24"/>
        </w:rPr>
        <w:t>T</w:t>
      </w:r>
      <w:r w:rsidR="007A02D4">
        <w:rPr>
          <w:sz w:val="24"/>
          <w:szCs w:val="24"/>
        </w:rPr>
        <w:t>avares</w:t>
      </w:r>
      <w:r w:rsidRPr="002946A5">
        <w:rPr>
          <w:sz w:val="24"/>
          <w:szCs w:val="24"/>
        </w:rPr>
        <w:t>, Rossana Brandão; H</w:t>
      </w:r>
      <w:r w:rsidR="007A02D4">
        <w:rPr>
          <w:sz w:val="24"/>
          <w:szCs w:val="24"/>
        </w:rPr>
        <w:t>elene</w:t>
      </w:r>
      <w:r w:rsidRPr="002946A5">
        <w:rPr>
          <w:sz w:val="24"/>
          <w:szCs w:val="24"/>
        </w:rPr>
        <w:t>, Diana. </w:t>
      </w:r>
      <w:r w:rsidRPr="002D2174">
        <w:rPr>
          <w:b/>
          <w:bCs/>
          <w:sz w:val="24"/>
          <w:szCs w:val="24"/>
        </w:rPr>
        <w:t>Como os problemas socioambientais nas cidades impactam a vida das mulheres?</w:t>
      </w:r>
      <w:r w:rsidRPr="002946A5">
        <w:rPr>
          <w:sz w:val="24"/>
          <w:szCs w:val="24"/>
        </w:rPr>
        <w:t> Tribuna Rio Por Inteiro, Casa Fluminense, 2018.</w:t>
      </w:r>
    </w:p>
    <w:sectPr w:rsidR="004F776F" w:rsidRPr="002946A5" w:rsidSect="004F776F">
      <w:headerReference w:type="even" r:id="rId8"/>
      <w:headerReference w:type="default" r:id="rId9"/>
      <w:footerReference w:type="even" r:id="rId10"/>
      <w:footerReference w:type="default" r:id="rId11"/>
      <w:headerReference w:type="first" r:id="rId12"/>
      <w:footerReference w:type="first" r:id="rId13"/>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8FBE0" w14:textId="77777777" w:rsidR="009860D2" w:rsidRDefault="009860D2">
      <w:pPr>
        <w:spacing w:line="240" w:lineRule="auto"/>
      </w:pPr>
      <w:r>
        <w:separator/>
      </w:r>
    </w:p>
  </w:endnote>
  <w:endnote w:type="continuationSeparator" w:id="0">
    <w:p w14:paraId="639CE177" w14:textId="77777777" w:rsidR="009860D2" w:rsidRDefault="00986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E80" w14:textId="77777777" w:rsidR="00942E9F" w:rsidRDefault="00942E9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F1D" w14:textId="77777777" w:rsidR="00942E9F" w:rsidRDefault="00942E9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A58C2" w14:textId="77777777" w:rsidR="00942E9F" w:rsidRDefault="00942E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4EFFB" w14:textId="77777777" w:rsidR="009860D2" w:rsidRDefault="009860D2">
      <w:pPr>
        <w:spacing w:line="240" w:lineRule="auto"/>
      </w:pPr>
      <w:r>
        <w:separator/>
      </w:r>
    </w:p>
  </w:footnote>
  <w:footnote w:type="continuationSeparator" w:id="0">
    <w:p w14:paraId="16E92DF9" w14:textId="77777777" w:rsidR="009860D2" w:rsidRDefault="009860D2">
      <w:pPr>
        <w:spacing w:line="240" w:lineRule="auto"/>
      </w:pPr>
      <w:r>
        <w:continuationSeparator/>
      </w:r>
    </w:p>
  </w:footnote>
  <w:footnote w:id="1">
    <w:p w14:paraId="1F3B0CB3" w14:textId="7502FA5F" w:rsidR="00A83ADF" w:rsidRDefault="00A83ADF" w:rsidP="00A83ADF">
      <w:pPr>
        <w:pStyle w:val="Textodenotaderodap"/>
        <w:jc w:val="both"/>
      </w:pPr>
      <w:r>
        <w:rPr>
          <w:rStyle w:val="Refdenotaderodap"/>
        </w:rPr>
        <w:footnoteRef/>
      </w:r>
      <w:r>
        <w:t xml:space="preserve"> Assistente social</w:t>
      </w:r>
      <w:r w:rsidR="00314080">
        <w:t xml:space="preserve"> (UERJ)</w:t>
      </w:r>
      <w:r>
        <w:t>, mestre em Serviço Social</w:t>
      </w:r>
      <w:r w:rsidR="00314080">
        <w:t xml:space="preserve"> (UERJ)</w:t>
      </w:r>
      <w:r>
        <w:t xml:space="preserve"> e doutoranda em Planejamento Urbano e Regional (IPPUR/UFRJ). Atua como coordenadora e responsável técnica de projetos de Trabalho Social em programas habitacionais e de saneamento na Eco-habitat Consultoria Social.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8A49C" w14:textId="77777777" w:rsidR="00942E9F" w:rsidRDefault="00942E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5ACB" w14:textId="77777777" w:rsidR="00FF4348" w:rsidRDefault="00000000">
    <w:r>
      <w:rPr>
        <w:noProof/>
      </w:rPr>
      <w:pict w14:anchorId="1ACC2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7.15pt;width:595.55pt;height:844.7pt;z-index:-1;visibility:visible;mso-wrap-distance-top:9pt;mso-wrap-distance-bottom:9pt;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B57A" w14:textId="77777777" w:rsidR="00942E9F" w:rsidRDefault="00942E9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C116A4"/>
    <w:multiLevelType w:val="hybridMultilevel"/>
    <w:tmpl w:val="6CC40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0DA4AFA"/>
    <w:multiLevelType w:val="hybridMultilevel"/>
    <w:tmpl w:val="3A30C44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num w:numId="1" w16cid:durableId="1300843989">
    <w:abstractNumId w:val="0"/>
  </w:num>
  <w:num w:numId="2" w16cid:durableId="836850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92D6D"/>
    <w:rsid w:val="000977BB"/>
    <w:rsid w:val="000C3D14"/>
    <w:rsid w:val="000D4E42"/>
    <w:rsid w:val="000F63E3"/>
    <w:rsid w:val="0017294D"/>
    <w:rsid w:val="00175DAA"/>
    <w:rsid w:val="001F625F"/>
    <w:rsid w:val="001F74DF"/>
    <w:rsid w:val="00225908"/>
    <w:rsid w:val="00226F3C"/>
    <w:rsid w:val="0022751D"/>
    <w:rsid w:val="00285C61"/>
    <w:rsid w:val="00285E39"/>
    <w:rsid w:val="00292980"/>
    <w:rsid w:val="002946A5"/>
    <w:rsid w:val="002A5AF5"/>
    <w:rsid w:val="002B22E3"/>
    <w:rsid w:val="002B27F1"/>
    <w:rsid w:val="002D2174"/>
    <w:rsid w:val="002D3EA9"/>
    <w:rsid w:val="00314080"/>
    <w:rsid w:val="00326E71"/>
    <w:rsid w:val="00346D2B"/>
    <w:rsid w:val="00370AC7"/>
    <w:rsid w:val="003830E3"/>
    <w:rsid w:val="003A296B"/>
    <w:rsid w:val="003D6DE8"/>
    <w:rsid w:val="00403969"/>
    <w:rsid w:val="00431EE5"/>
    <w:rsid w:val="00454467"/>
    <w:rsid w:val="004810B4"/>
    <w:rsid w:val="004A68DA"/>
    <w:rsid w:val="004A71C8"/>
    <w:rsid w:val="004C7DB5"/>
    <w:rsid w:val="004E4FF7"/>
    <w:rsid w:val="004E6DC9"/>
    <w:rsid w:val="004F776F"/>
    <w:rsid w:val="00536B68"/>
    <w:rsid w:val="00541687"/>
    <w:rsid w:val="005533A1"/>
    <w:rsid w:val="005873F5"/>
    <w:rsid w:val="005962F4"/>
    <w:rsid w:val="005C2273"/>
    <w:rsid w:val="005C4655"/>
    <w:rsid w:val="005D2E39"/>
    <w:rsid w:val="005D56F9"/>
    <w:rsid w:val="005F5C33"/>
    <w:rsid w:val="006201BB"/>
    <w:rsid w:val="006479B5"/>
    <w:rsid w:val="006904A8"/>
    <w:rsid w:val="006B1824"/>
    <w:rsid w:val="006B3D79"/>
    <w:rsid w:val="006D5CD2"/>
    <w:rsid w:val="006E3DDF"/>
    <w:rsid w:val="00711AAD"/>
    <w:rsid w:val="00721D14"/>
    <w:rsid w:val="0073021B"/>
    <w:rsid w:val="00741280"/>
    <w:rsid w:val="00780B15"/>
    <w:rsid w:val="007A02D4"/>
    <w:rsid w:val="007A5D9A"/>
    <w:rsid w:val="00802D9F"/>
    <w:rsid w:val="00806219"/>
    <w:rsid w:val="00820FB6"/>
    <w:rsid w:val="008445F1"/>
    <w:rsid w:val="00855D84"/>
    <w:rsid w:val="0086606A"/>
    <w:rsid w:val="00875198"/>
    <w:rsid w:val="008940C4"/>
    <w:rsid w:val="0089745E"/>
    <w:rsid w:val="008B08E6"/>
    <w:rsid w:val="008B4659"/>
    <w:rsid w:val="008B6129"/>
    <w:rsid w:val="008C5E69"/>
    <w:rsid w:val="008C703C"/>
    <w:rsid w:val="008D6A0F"/>
    <w:rsid w:val="00903418"/>
    <w:rsid w:val="009051B5"/>
    <w:rsid w:val="009175BD"/>
    <w:rsid w:val="009304AE"/>
    <w:rsid w:val="00942E9F"/>
    <w:rsid w:val="00950876"/>
    <w:rsid w:val="009727CC"/>
    <w:rsid w:val="009860D2"/>
    <w:rsid w:val="009A2D23"/>
    <w:rsid w:val="009B3ABB"/>
    <w:rsid w:val="009C291A"/>
    <w:rsid w:val="009F1C36"/>
    <w:rsid w:val="00A203F6"/>
    <w:rsid w:val="00A64A60"/>
    <w:rsid w:val="00A669C2"/>
    <w:rsid w:val="00A66B66"/>
    <w:rsid w:val="00A83ADF"/>
    <w:rsid w:val="00A969A9"/>
    <w:rsid w:val="00AA1D3B"/>
    <w:rsid w:val="00AA7F15"/>
    <w:rsid w:val="00AF1E37"/>
    <w:rsid w:val="00B155BC"/>
    <w:rsid w:val="00B16090"/>
    <w:rsid w:val="00B7731C"/>
    <w:rsid w:val="00B94BE4"/>
    <w:rsid w:val="00BA156D"/>
    <w:rsid w:val="00BA5FC5"/>
    <w:rsid w:val="00BA6979"/>
    <w:rsid w:val="00BB06AC"/>
    <w:rsid w:val="00BC7C70"/>
    <w:rsid w:val="00BD2707"/>
    <w:rsid w:val="00BF32F9"/>
    <w:rsid w:val="00C25791"/>
    <w:rsid w:val="00C26CA8"/>
    <w:rsid w:val="00C55BB5"/>
    <w:rsid w:val="00C969EC"/>
    <w:rsid w:val="00CA48CE"/>
    <w:rsid w:val="00CB0FC1"/>
    <w:rsid w:val="00CF2641"/>
    <w:rsid w:val="00CF2B53"/>
    <w:rsid w:val="00CF4521"/>
    <w:rsid w:val="00CF539D"/>
    <w:rsid w:val="00D21DD5"/>
    <w:rsid w:val="00D308A4"/>
    <w:rsid w:val="00D30938"/>
    <w:rsid w:val="00D51FA7"/>
    <w:rsid w:val="00D62752"/>
    <w:rsid w:val="00D656D1"/>
    <w:rsid w:val="00D95044"/>
    <w:rsid w:val="00DA28FC"/>
    <w:rsid w:val="00DB6C7B"/>
    <w:rsid w:val="00DC4225"/>
    <w:rsid w:val="00DD2313"/>
    <w:rsid w:val="00DE0489"/>
    <w:rsid w:val="00DE20E3"/>
    <w:rsid w:val="00E36FE6"/>
    <w:rsid w:val="00E42337"/>
    <w:rsid w:val="00E54F33"/>
    <w:rsid w:val="00E56A13"/>
    <w:rsid w:val="00E63F12"/>
    <w:rsid w:val="00E64E46"/>
    <w:rsid w:val="00E74E25"/>
    <w:rsid w:val="00E75B29"/>
    <w:rsid w:val="00E75E24"/>
    <w:rsid w:val="00E75E66"/>
    <w:rsid w:val="00E82C56"/>
    <w:rsid w:val="00EB1BFB"/>
    <w:rsid w:val="00EB54AC"/>
    <w:rsid w:val="00EB5D22"/>
    <w:rsid w:val="00EC358B"/>
    <w:rsid w:val="00ED20AD"/>
    <w:rsid w:val="00EF5AED"/>
    <w:rsid w:val="00F0014F"/>
    <w:rsid w:val="00F06421"/>
    <w:rsid w:val="00F11719"/>
    <w:rsid w:val="00F20FB3"/>
    <w:rsid w:val="00F2735F"/>
    <w:rsid w:val="00F7615D"/>
    <w:rsid w:val="00FA2731"/>
    <w:rsid w:val="00FB247C"/>
    <w:rsid w:val="00FD1B57"/>
    <w:rsid w:val="00FE308F"/>
    <w:rsid w:val="00FF29C4"/>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DE39C"/>
  <w15:docId w15:val="{A93606FE-A871-475F-BF7B-6370B170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E56A13"/>
    <w:pPr>
      <w:spacing w:after="160" w:line="259" w:lineRule="auto"/>
      <w:ind w:left="720"/>
      <w:contextualSpacing/>
    </w:pPr>
    <w:rPr>
      <w:rFonts w:ascii="Calibri" w:eastAsia="Calibri" w:hAnsi="Calibri" w:cs="Times New Roman"/>
      <w:kern w:val="2"/>
      <w:lang w:eastAsia="en-US"/>
    </w:rPr>
  </w:style>
  <w:style w:type="paragraph" w:styleId="Textodenotaderodap">
    <w:name w:val="footnote text"/>
    <w:basedOn w:val="Normal"/>
    <w:link w:val="TextodenotaderodapChar"/>
    <w:uiPriority w:val="99"/>
    <w:semiHidden/>
    <w:unhideWhenUsed/>
    <w:rsid w:val="00A83ADF"/>
    <w:rPr>
      <w:sz w:val="20"/>
      <w:szCs w:val="20"/>
    </w:rPr>
  </w:style>
  <w:style w:type="character" w:customStyle="1" w:styleId="TextodenotaderodapChar">
    <w:name w:val="Texto de nota de rodapé Char"/>
    <w:basedOn w:val="Fontepargpadro"/>
    <w:link w:val="Textodenotaderodap"/>
    <w:uiPriority w:val="99"/>
    <w:semiHidden/>
    <w:rsid w:val="00A83ADF"/>
  </w:style>
  <w:style w:type="character" w:styleId="Refdenotaderodap">
    <w:name w:val="footnote reference"/>
    <w:uiPriority w:val="99"/>
    <w:semiHidden/>
    <w:unhideWhenUsed/>
    <w:rsid w:val="00A83A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3989">
      <w:bodyDiv w:val="1"/>
      <w:marLeft w:val="0"/>
      <w:marRight w:val="0"/>
      <w:marTop w:val="0"/>
      <w:marBottom w:val="0"/>
      <w:divBdr>
        <w:top w:val="none" w:sz="0" w:space="0" w:color="auto"/>
        <w:left w:val="none" w:sz="0" w:space="0" w:color="auto"/>
        <w:bottom w:val="none" w:sz="0" w:space="0" w:color="auto"/>
        <w:right w:val="none" w:sz="0" w:space="0" w:color="auto"/>
      </w:divBdr>
    </w:div>
    <w:div w:id="38945461">
      <w:bodyDiv w:val="1"/>
      <w:marLeft w:val="0"/>
      <w:marRight w:val="0"/>
      <w:marTop w:val="0"/>
      <w:marBottom w:val="0"/>
      <w:divBdr>
        <w:top w:val="none" w:sz="0" w:space="0" w:color="auto"/>
        <w:left w:val="none" w:sz="0" w:space="0" w:color="auto"/>
        <w:bottom w:val="none" w:sz="0" w:space="0" w:color="auto"/>
        <w:right w:val="none" w:sz="0" w:space="0" w:color="auto"/>
      </w:divBdr>
    </w:div>
    <w:div w:id="47461457">
      <w:bodyDiv w:val="1"/>
      <w:marLeft w:val="0"/>
      <w:marRight w:val="0"/>
      <w:marTop w:val="0"/>
      <w:marBottom w:val="0"/>
      <w:divBdr>
        <w:top w:val="none" w:sz="0" w:space="0" w:color="auto"/>
        <w:left w:val="none" w:sz="0" w:space="0" w:color="auto"/>
        <w:bottom w:val="none" w:sz="0" w:space="0" w:color="auto"/>
        <w:right w:val="none" w:sz="0" w:space="0" w:color="auto"/>
      </w:divBdr>
    </w:div>
    <w:div w:id="58675222">
      <w:bodyDiv w:val="1"/>
      <w:marLeft w:val="0"/>
      <w:marRight w:val="0"/>
      <w:marTop w:val="0"/>
      <w:marBottom w:val="0"/>
      <w:divBdr>
        <w:top w:val="none" w:sz="0" w:space="0" w:color="auto"/>
        <w:left w:val="none" w:sz="0" w:space="0" w:color="auto"/>
        <w:bottom w:val="none" w:sz="0" w:space="0" w:color="auto"/>
        <w:right w:val="none" w:sz="0" w:space="0" w:color="auto"/>
      </w:divBdr>
    </w:div>
    <w:div w:id="105780611">
      <w:bodyDiv w:val="1"/>
      <w:marLeft w:val="0"/>
      <w:marRight w:val="0"/>
      <w:marTop w:val="0"/>
      <w:marBottom w:val="0"/>
      <w:divBdr>
        <w:top w:val="none" w:sz="0" w:space="0" w:color="auto"/>
        <w:left w:val="none" w:sz="0" w:space="0" w:color="auto"/>
        <w:bottom w:val="none" w:sz="0" w:space="0" w:color="auto"/>
        <w:right w:val="none" w:sz="0" w:space="0" w:color="auto"/>
      </w:divBdr>
    </w:div>
    <w:div w:id="122499674">
      <w:bodyDiv w:val="1"/>
      <w:marLeft w:val="0"/>
      <w:marRight w:val="0"/>
      <w:marTop w:val="0"/>
      <w:marBottom w:val="0"/>
      <w:divBdr>
        <w:top w:val="none" w:sz="0" w:space="0" w:color="auto"/>
        <w:left w:val="none" w:sz="0" w:space="0" w:color="auto"/>
        <w:bottom w:val="none" w:sz="0" w:space="0" w:color="auto"/>
        <w:right w:val="none" w:sz="0" w:space="0" w:color="auto"/>
      </w:divBdr>
    </w:div>
    <w:div w:id="310867364">
      <w:bodyDiv w:val="1"/>
      <w:marLeft w:val="0"/>
      <w:marRight w:val="0"/>
      <w:marTop w:val="0"/>
      <w:marBottom w:val="0"/>
      <w:divBdr>
        <w:top w:val="none" w:sz="0" w:space="0" w:color="auto"/>
        <w:left w:val="none" w:sz="0" w:space="0" w:color="auto"/>
        <w:bottom w:val="none" w:sz="0" w:space="0" w:color="auto"/>
        <w:right w:val="none" w:sz="0" w:space="0" w:color="auto"/>
      </w:divBdr>
    </w:div>
    <w:div w:id="411663866">
      <w:bodyDiv w:val="1"/>
      <w:marLeft w:val="0"/>
      <w:marRight w:val="0"/>
      <w:marTop w:val="0"/>
      <w:marBottom w:val="0"/>
      <w:divBdr>
        <w:top w:val="none" w:sz="0" w:space="0" w:color="auto"/>
        <w:left w:val="none" w:sz="0" w:space="0" w:color="auto"/>
        <w:bottom w:val="none" w:sz="0" w:space="0" w:color="auto"/>
        <w:right w:val="none" w:sz="0" w:space="0" w:color="auto"/>
      </w:divBdr>
    </w:div>
    <w:div w:id="502553740">
      <w:bodyDiv w:val="1"/>
      <w:marLeft w:val="0"/>
      <w:marRight w:val="0"/>
      <w:marTop w:val="0"/>
      <w:marBottom w:val="0"/>
      <w:divBdr>
        <w:top w:val="none" w:sz="0" w:space="0" w:color="auto"/>
        <w:left w:val="none" w:sz="0" w:space="0" w:color="auto"/>
        <w:bottom w:val="none" w:sz="0" w:space="0" w:color="auto"/>
        <w:right w:val="none" w:sz="0" w:space="0" w:color="auto"/>
      </w:divBdr>
    </w:div>
    <w:div w:id="538326758">
      <w:bodyDiv w:val="1"/>
      <w:marLeft w:val="0"/>
      <w:marRight w:val="0"/>
      <w:marTop w:val="0"/>
      <w:marBottom w:val="0"/>
      <w:divBdr>
        <w:top w:val="none" w:sz="0" w:space="0" w:color="auto"/>
        <w:left w:val="none" w:sz="0" w:space="0" w:color="auto"/>
        <w:bottom w:val="none" w:sz="0" w:space="0" w:color="auto"/>
        <w:right w:val="none" w:sz="0" w:space="0" w:color="auto"/>
      </w:divBdr>
    </w:div>
    <w:div w:id="646475695">
      <w:bodyDiv w:val="1"/>
      <w:marLeft w:val="0"/>
      <w:marRight w:val="0"/>
      <w:marTop w:val="0"/>
      <w:marBottom w:val="0"/>
      <w:divBdr>
        <w:top w:val="none" w:sz="0" w:space="0" w:color="auto"/>
        <w:left w:val="none" w:sz="0" w:space="0" w:color="auto"/>
        <w:bottom w:val="none" w:sz="0" w:space="0" w:color="auto"/>
        <w:right w:val="none" w:sz="0" w:space="0" w:color="auto"/>
      </w:divBdr>
    </w:div>
    <w:div w:id="646593081">
      <w:bodyDiv w:val="1"/>
      <w:marLeft w:val="0"/>
      <w:marRight w:val="0"/>
      <w:marTop w:val="0"/>
      <w:marBottom w:val="0"/>
      <w:divBdr>
        <w:top w:val="none" w:sz="0" w:space="0" w:color="auto"/>
        <w:left w:val="none" w:sz="0" w:space="0" w:color="auto"/>
        <w:bottom w:val="none" w:sz="0" w:space="0" w:color="auto"/>
        <w:right w:val="none" w:sz="0" w:space="0" w:color="auto"/>
      </w:divBdr>
    </w:div>
    <w:div w:id="943457748">
      <w:bodyDiv w:val="1"/>
      <w:marLeft w:val="0"/>
      <w:marRight w:val="0"/>
      <w:marTop w:val="0"/>
      <w:marBottom w:val="0"/>
      <w:divBdr>
        <w:top w:val="none" w:sz="0" w:space="0" w:color="auto"/>
        <w:left w:val="none" w:sz="0" w:space="0" w:color="auto"/>
        <w:bottom w:val="none" w:sz="0" w:space="0" w:color="auto"/>
        <w:right w:val="none" w:sz="0" w:space="0" w:color="auto"/>
      </w:divBdr>
    </w:div>
    <w:div w:id="995189517">
      <w:bodyDiv w:val="1"/>
      <w:marLeft w:val="0"/>
      <w:marRight w:val="0"/>
      <w:marTop w:val="0"/>
      <w:marBottom w:val="0"/>
      <w:divBdr>
        <w:top w:val="none" w:sz="0" w:space="0" w:color="auto"/>
        <w:left w:val="none" w:sz="0" w:space="0" w:color="auto"/>
        <w:bottom w:val="none" w:sz="0" w:space="0" w:color="auto"/>
        <w:right w:val="none" w:sz="0" w:space="0" w:color="auto"/>
      </w:divBdr>
    </w:div>
    <w:div w:id="1035078184">
      <w:bodyDiv w:val="1"/>
      <w:marLeft w:val="0"/>
      <w:marRight w:val="0"/>
      <w:marTop w:val="0"/>
      <w:marBottom w:val="0"/>
      <w:divBdr>
        <w:top w:val="none" w:sz="0" w:space="0" w:color="auto"/>
        <w:left w:val="none" w:sz="0" w:space="0" w:color="auto"/>
        <w:bottom w:val="none" w:sz="0" w:space="0" w:color="auto"/>
        <w:right w:val="none" w:sz="0" w:space="0" w:color="auto"/>
      </w:divBdr>
    </w:div>
    <w:div w:id="1176503330">
      <w:bodyDiv w:val="1"/>
      <w:marLeft w:val="0"/>
      <w:marRight w:val="0"/>
      <w:marTop w:val="0"/>
      <w:marBottom w:val="0"/>
      <w:divBdr>
        <w:top w:val="none" w:sz="0" w:space="0" w:color="auto"/>
        <w:left w:val="none" w:sz="0" w:space="0" w:color="auto"/>
        <w:bottom w:val="none" w:sz="0" w:space="0" w:color="auto"/>
        <w:right w:val="none" w:sz="0" w:space="0" w:color="auto"/>
      </w:divBdr>
    </w:div>
    <w:div w:id="1222061103">
      <w:bodyDiv w:val="1"/>
      <w:marLeft w:val="0"/>
      <w:marRight w:val="0"/>
      <w:marTop w:val="0"/>
      <w:marBottom w:val="0"/>
      <w:divBdr>
        <w:top w:val="none" w:sz="0" w:space="0" w:color="auto"/>
        <w:left w:val="none" w:sz="0" w:space="0" w:color="auto"/>
        <w:bottom w:val="none" w:sz="0" w:space="0" w:color="auto"/>
        <w:right w:val="none" w:sz="0" w:space="0" w:color="auto"/>
      </w:divBdr>
    </w:div>
    <w:div w:id="1285574503">
      <w:bodyDiv w:val="1"/>
      <w:marLeft w:val="0"/>
      <w:marRight w:val="0"/>
      <w:marTop w:val="0"/>
      <w:marBottom w:val="0"/>
      <w:divBdr>
        <w:top w:val="none" w:sz="0" w:space="0" w:color="auto"/>
        <w:left w:val="none" w:sz="0" w:space="0" w:color="auto"/>
        <w:bottom w:val="none" w:sz="0" w:space="0" w:color="auto"/>
        <w:right w:val="none" w:sz="0" w:space="0" w:color="auto"/>
      </w:divBdr>
    </w:div>
    <w:div w:id="1304234164">
      <w:bodyDiv w:val="1"/>
      <w:marLeft w:val="0"/>
      <w:marRight w:val="0"/>
      <w:marTop w:val="0"/>
      <w:marBottom w:val="0"/>
      <w:divBdr>
        <w:top w:val="none" w:sz="0" w:space="0" w:color="auto"/>
        <w:left w:val="none" w:sz="0" w:space="0" w:color="auto"/>
        <w:bottom w:val="none" w:sz="0" w:space="0" w:color="auto"/>
        <w:right w:val="none" w:sz="0" w:space="0" w:color="auto"/>
      </w:divBdr>
    </w:div>
    <w:div w:id="1334724006">
      <w:bodyDiv w:val="1"/>
      <w:marLeft w:val="0"/>
      <w:marRight w:val="0"/>
      <w:marTop w:val="0"/>
      <w:marBottom w:val="0"/>
      <w:divBdr>
        <w:top w:val="none" w:sz="0" w:space="0" w:color="auto"/>
        <w:left w:val="none" w:sz="0" w:space="0" w:color="auto"/>
        <w:bottom w:val="none" w:sz="0" w:space="0" w:color="auto"/>
        <w:right w:val="none" w:sz="0" w:space="0" w:color="auto"/>
      </w:divBdr>
    </w:div>
    <w:div w:id="1405488240">
      <w:bodyDiv w:val="1"/>
      <w:marLeft w:val="0"/>
      <w:marRight w:val="0"/>
      <w:marTop w:val="0"/>
      <w:marBottom w:val="0"/>
      <w:divBdr>
        <w:top w:val="none" w:sz="0" w:space="0" w:color="auto"/>
        <w:left w:val="none" w:sz="0" w:space="0" w:color="auto"/>
        <w:bottom w:val="none" w:sz="0" w:space="0" w:color="auto"/>
        <w:right w:val="none" w:sz="0" w:space="0" w:color="auto"/>
      </w:divBdr>
    </w:div>
    <w:div w:id="1437211441">
      <w:bodyDiv w:val="1"/>
      <w:marLeft w:val="0"/>
      <w:marRight w:val="0"/>
      <w:marTop w:val="0"/>
      <w:marBottom w:val="0"/>
      <w:divBdr>
        <w:top w:val="none" w:sz="0" w:space="0" w:color="auto"/>
        <w:left w:val="none" w:sz="0" w:space="0" w:color="auto"/>
        <w:bottom w:val="none" w:sz="0" w:space="0" w:color="auto"/>
        <w:right w:val="none" w:sz="0" w:space="0" w:color="auto"/>
      </w:divBdr>
    </w:div>
    <w:div w:id="1565482849">
      <w:bodyDiv w:val="1"/>
      <w:marLeft w:val="0"/>
      <w:marRight w:val="0"/>
      <w:marTop w:val="0"/>
      <w:marBottom w:val="0"/>
      <w:divBdr>
        <w:top w:val="none" w:sz="0" w:space="0" w:color="auto"/>
        <w:left w:val="none" w:sz="0" w:space="0" w:color="auto"/>
        <w:bottom w:val="none" w:sz="0" w:space="0" w:color="auto"/>
        <w:right w:val="none" w:sz="0" w:space="0" w:color="auto"/>
      </w:divBdr>
    </w:div>
    <w:div w:id="1766923554">
      <w:bodyDiv w:val="1"/>
      <w:marLeft w:val="0"/>
      <w:marRight w:val="0"/>
      <w:marTop w:val="0"/>
      <w:marBottom w:val="0"/>
      <w:divBdr>
        <w:top w:val="none" w:sz="0" w:space="0" w:color="auto"/>
        <w:left w:val="none" w:sz="0" w:space="0" w:color="auto"/>
        <w:bottom w:val="none" w:sz="0" w:space="0" w:color="auto"/>
        <w:right w:val="none" w:sz="0" w:space="0" w:color="auto"/>
      </w:divBdr>
    </w:div>
    <w:div w:id="1767920446">
      <w:bodyDiv w:val="1"/>
      <w:marLeft w:val="0"/>
      <w:marRight w:val="0"/>
      <w:marTop w:val="0"/>
      <w:marBottom w:val="0"/>
      <w:divBdr>
        <w:top w:val="none" w:sz="0" w:space="0" w:color="auto"/>
        <w:left w:val="none" w:sz="0" w:space="0" w:color="auto"/>
        <w:bottom w:val="none" w:sz="0" w:space="0" w:color="auto"/>
        <w:right w:val="none" w:sz="0" w:space="0" w:color="auto"/>
      </w:divBdr>
    </w:div>
    <w:div w:id="1858809079">
      <w:bodyDiv w:val="1"/>
      <w:marLeft w:val="0"/>
      <w:marRight w:val="0"/>
      <w:marTop w:val="0"/>
      <w:marBottom w:val="0"/>
      <w:divBdr>
        <w:top w:val="none" w:sz="0" w:space="0" w:color="auto"/>
        <w:left w:val="none" w:sz="0" w:space="0" w:color="auto"/>
        <w:bottom w:val="none" w:sz="0" w:space="0" w:color="auto"/>
        <w:right w:val="none" w:sz="0" w:space="0" w:color="auto"/>
      </w:divBdr>
    </w:div>
    <w:div w:id="1930043813">
      <w:bodyDiv w:val="1"/>
      <w:marLeft w:val="0"/>
      <w:marRight w:val="0"/>
      <w:marTop w:val="0"/>
      <w:marBottom w:val="0"/>
      <w:divBdr>
        <w:top w:val="none" w:sz="0" w:space="0" w:color="auto"/>
        <w:left w:val="none" w:sz="0" w:space="0" w:color="auto"/>
        <w:bottom w:val="none" w:sz="0" w:space="0" w:color="auto"/>
        <w:right w:val="none" w:sz="0" w:space="0" w:color="auto"/>
      </w:divBdr>
    </w:div>
    <w:div w:id="1944455690">
      <w:bodyDiv w:val="1"/>
      <w:marLeft w:val="0"/>
      <w:marRight w:val="0"/>
      <w:marTop w:val="0"/>
      <w:marBottom w:val="0"/>
      <w:divBdr>
        <w:top w:val="none" w:sz="0" w:space="0" w:color="auto"/>
        <w:left w:val="none" w:sz="0" w:space="0" w:color="auto"/>
        <w:bottom w:val="none" w:sz="0" w:space="0" w:color="auto"/>
        <w:right w:val="none" w:sz="0" w:space="0" w:color="auto"/>
      </w:divBdr>
    </w:div>
    <w:div w:id="2066292054">
      <w:bodyDiv w:val="1"/>
      <w:marLeft w:val="0"/>
      <w:marRight w:val="0"/>
      <w:marTop w:val="0"/>
      <w:marBottom w:val="0"/>
      <w:divBdr>
        <w:top w:val="none" w:sz="0" w:space="0" w:color="auto"/>
        <w:left w:val="none" w:sz="0" w:space="0" w:color="auto"/>
        <w:bottom w:val="none" w:sz="0" w:space="0" w:color="auto"/>
        <w:right w:val="none" w:sz="0" w:space="0" w:color="auto"/>
      </w:divBdr>
    </w:div>
    <w:div w:id="2116750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D1901-BFC2-4391-A20F-8A6D591CF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3890</Words>
  <Characters>21010</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Daiane Pacheco</cp:lastModifiedBy>
  <cp:revision>10</cp:revision>
  <cp:lastPrinted>2025-06-27T22:52:00Z</cp:lastPrinted>
  <dcterms:created xsi:type="dcterms:W3CDTF">2025-06-29T21:12:00Z</dcterms:created>
  <dcterms:modified xsi:type="dcterms:W3CDTF">2025-06-30T16:59:00Z</dcterms:modified>
</cp:coreProperties>
</file>