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5B0E0" w14:textId="77777777" w:rsidR="005834F5" w:rsidRDefault="00000000">
      <w:pPr>
        <w:spacing w:after="35" w:line="259" w:lineRule="auto"/>
        <w:ind w:right="0" w:firstLine="0"/>
        <w:jc w:val="left"/>
      </w:pPr>
      <w:r>
        <w:rPr>
          <w:sz w:val="22"/>
        </w:rPr>
        <w:t xml:space="preserve"> </w:t>
      </w:r>
    </w:p>
    <w:p w14:paraId="6DBF4269" w14:textId="77777777" w:rsidR="005834F5" w:rsidRDefault="00000000">
      <w:pPr>
        <w:pStyle w:val="Ttulo1"/>
        <w:ind w:left="-5"/>
      </w:pPr>
      <w:r>
        <w:t xml:space="preserve">SERVIÇO SOCIAL E O PROJETO ÉTICO-POLÍTICO NA ATUALIDADE: </w:t>
      </w:r>
      <w:r>
        <w:rPr>
          <w:b w:val="0"/>
        </w:rPr>
        <w:t>vivências,</w:t>
      </w:r>
      <w:r>
        <w:t xml:space="preserve"> </w:t>
      </w:r>
    </w:p>
    <w:p w14:paraId="5D63A975" w14:textId="77777777" w:rsidR="005834F5" w:rsidRDefault="00000000">
      <w:pPr>
        <w:spacing w:after="71" w:line="259" w:lineRule="auto"/>
        <w:ind w:firstLine="0"/>
        <w:jc w:val="center"/>
      </w:pPr>
      <w:r>
        <w:t xml:space="preserve">atravessamentos e conjuntura atual </w:t>
      </w:r>
    </w:p>
    <w:p w14:paraId="5368DC52" w14:textId="77777777" w:rsidR="005834F5" w:rsidRDefault="00000000">
      <w:pPr>
        <w:spacing w:after="0" w:line="259" w:lineRule="auto"/>
        <w:ind w:right="4" w:firstLine="0"/>
        <w:jc w:val="right"/>
      </w:pPr>
      <w:proofErr w:type="spellStart"/>
      <w:r>
        <w:rPr>
          <w:sz w:val="20"/>
        </w:rPr>
        <w:t>Gilcélia</w:t>
      </w:r>
      <w:proofErr w:type="spellEnd"/>
      <w:r>
        <w:rPr>
          <w:sz w:val="20"/>
        </w:rPr>
        <w:t xml:space="preserve"> Batista de Góis</w:t>
      </w:r>
      <w:r>
        <w:rPr>
          <w:sz w:val="20"/>
          <w:vertAlign w:val="superscript"/>
        </w:rPr>
        <w:footnoteReference w:id="1"/>
      </w:r>
      <w:r>
        <w:rPr>
          <w:sz w:val="20"/>
        </w:rPr>
        <w:t xml:space="preserve">; </w:t>
      </w:r>
    </w:p>
    <w:p w14:paraId="1EC06CCD" w14:textId="602ACEAC" w:rsidR="00E542D7" w:rsidRDefault="00000000" w:rsidP="00E542D7">
      <w:pPr>
        <w:spacing w:after="5" w:line="244" w:lineRule="auto"/>
        <w:ind w:left="2835" w:right="-3" w:firstLine="2765"/>
        <w:rPr>
          <w:sz w:val="20"/>
        </w:rPr>
      </w:pPr>
      <w:r>
        <w:rPr>
          <w:sz w:val="20"/>
        </w:rPr>
        <w:t>Carlos Alexandre Gomes Pinto Júnior</w:t>
      </w:r>
      <w:r>
        <w:rPr>
          <w:sz w:val="20"/>
          <w:vertAlign w:val="superscript"/>
        </w:rPr>
        <w:footnoteReference w:id="2"/>
      </w:r>
      <w:r>
        <w:rPr>
          <w:sz w:val="20"/>
        </w:rPr>
        <w:t xml:space="preserve">; </w:t>
      </w:r>
      <w:r w:rsidR="00E542D7">
        <w:rPr>
          <w:sz w:val="20"/>
        </w:rPr>
        <w:t xml:space="preserve">                                       </w:t>
      </w:r>
      <w:r>
        <w:rPr>
          <w:sz w:val="20"/>
        </w:rPr>
        <w:t>Maria Fabiana Souto de Queiroz</w:t>
      </w:r>
      <w:r>
        <w:rPr>
          <w:sz w:val="20"/>
          <w:vertAlign w:val="superscript"/>
        </w:rPr>
        <w:footnoteReference w:id="3"/>
      </w:r>
      <w:r>
        <w:rPr>
          <w:sz w:val="20"/>
        </w:rPr>
        <w:t xml:space="preserve">. </w:t>
      </w:r>
    </w:p>
    <w:p w14:paraId="433F553E" w14:textId="571ABA9B" w:rsidR="00E542D7" w:rsidRDefault="00E542D7">
      <w:pPr>
        <w:spacing w:after="5" w:line="244" w:lineRule="auto"/>
        <w:ind w:left="2835" w:right="-3" w:firstLine="2765"/>
        <w:rPr>
          <w:sz w:val="20"/>
        </w:rPr>
      </w:pPr>
    </w:p>
    <w:p w14:paraId="78D9286D" w14:textId="24ED6B6F" w:rsidR="005834F5" w:rsidRDefault="00000000">
      <w:pPr>
        <w:spacing w:after="5" w:line="244" w:lineRule="auto"/>
        <w:ind w:left="2835" w:right="-3" w:firstLine="2765"/>
      </w:pPr>
      <w:r>
        <w:rPr>
          <w:b/>
          <w:sz w:val="20"/>
        </w:rPr>
        <w:t>Resumo</w:t>
      </w:r>
      <w:r>
        <w:rPr>
          <w:sz w:val="20"/>
        </w:rPr>
        <w:t xml:space="preserve"> </w:t>
      </w:r>
    </w:p>
    <w:p w14:paraId="3DF0DA5B" w14:textId="65479292" w:rsidR="005834F5" w:rsidRDefault="00000000">
      <w:pPr>
        <w:spacing w:after="5" w:line="244" w:lineRule="auto"/>
        <w:ind w:left="2845" w:right="-3" w:hanging="10"/>
      </w:pPr>
      <w:r>
        <w:rPr>
          <w:sz w:val="20"/>
        </w:rPr>
        <w:t>Esse trabalho objetiva apresentar como os instrumentais técnicos</w:t>
      </w:r>
      <w:r w:rsidR="00E542D7">
        <w:rPr>
          <w:sz w:val="20"/>
        </w:rPr>
        <w:t xml:space="preserve"> </w:t>
      </w:r>
      <w:r>
        <w:rPr>
          <w:sz w:val="20"/>
        </w:rPr>
        <w:t xml:space="preserve">operativos utilizados pelos assistentes sociais vinculados aos Centros de Referência de Assistência Social (CRAS) de Mossoró/RN são utilizados considerando todas as demandas postas na imediaticidade do cotidiano profissional, igualmente, buscou-se entender a articulação desses instrumentais com o Projeto Ético-Político Profissional constituído pelo Código de Ética da Profissão, Lei nº 8.662/93, as resoluções do Conselho Federal de Serviço Social (CFESS), as diretrizes curriculares da Associação Brasileira de Ensino e Pesquisa em Serviço Social (ABEPSS). A metodologia possui um caráter qualitativo. Sendo assim, o mesmo tem sua relevância explicitada por investigar a dimensão técnico-operativa na viabilização dos direitos sociais fundamentada no Projeto Ético-Político do Serviço Social. Ademais, sua contribuição consiste na visibilização dos instrumentais que são utilizados no cotidiano profissional diante das adversidades e resistências desses profissionais nos CRAS de Mossoró/RN. </w:t>
      </w:r>
      <w:r>
        <w:rPr>
          <w:b/>
          <w:sz w:val="20"/>
        </w:rPr>
        <w:t>Palavras-chave</w:t>
      </w:r>
      <w:r>
        <w:rPr>
          <w:sz w:val="20"/>
        </w:rPr>
        <w:t xml:space="preserve">: Assistência; Projeto Ético-Político; Centros de Referência de Assistência Social. </w:t>
      </w:r>
    </w:p>
    <w:p w14:paraId="5BF5992B" w14:textId="77777777" w:rsidR="005834F5" w:rsidRDefault="00000000">
      <w:pPr>
        <w:spacing w:after="0" w:line="259" w:lineRule="auto"/>
        <w:ind w:left="2835" w:right="0" w:firstLine="0"/>
        <w:jc w:val="left"/>
      </w:pPr>
      <w:r>
        <w:rPr>
          <w:sz w:val="20"/>
        </w:rPr>
        <w:t xml:space="preserve"> </w:t>
      </w:r>
    </w:p>
    <w:p w14:paraId="7801E4BA" w14:textId="77777777" w:rsidR="005834F5" w:rsidRDefault="00000000">
      <w:pPr>
        <w:pStyle w:val="Ttulo2"/>
      </w:pPr>
      <w:r>
        <w:t>Abstract</w:t>
      </w:r>
      <w:r>
        <w:rPr>
          <w:b w:val="0"/>
        </w:rPr>
        <w:t xml:space="preserve"> </w:t>
      </w:r>
    </w:p>
    <w:p w14:paraId="7BB0B92A" w14:textId="77777777" w:rsidR="005834F5" w:rsidRDefault="00000000">
      <w:pPr>
        <w:spacing w:after="5" w:line="244" w:lineRule="auto"/>
        <w:ind w:left="2845" w:right="-3" w:hanging="10"/>
      </w:pPr>
      <w:proofErr w:type="spellStart"/>
      <w:r>
        <w:rPr>
          <w:sz w:val="20"/>
        </w:rPr>
        <w:t>This</w:t>
      </w:r>
      <w:proofErr w:type="spellEnd"/>
      <w:r>
        <w:rPr>
          <w:sz w:val="20"/>
        </w:rPr>
        <w:t xml:space="preserve"> </w:t>
      </w:r>
      <w:proofErr w:type="spellStart"/>
      <w:r>
        <w:rPr>
          <w:sz w:val="20"/>
        </w:rPr>
        <w:t>study</w:t>
      </w:r>
      <w:proofErr w:type="spellEnd"/>
      <w:r>
        <w:rPr>
          <w:sz w:val="20"/>
        </w:rPr>
        <w:t xml:space="preserve"> </w:t>
      </w:r>
      <w:proofErr w:type="spellStart"/>
      <w:r>
        <w:rPr>
          <w:sz w:val="20"/>
        </w:rPr>
        <w:t>aims</w:t>
      </w:r>
      <w:proofErr w:type="spellEnd"/>
      <w:r>
        <w:rPr>
          <w:sz w:val="20"/>
        </w:rPr>
        <w:t xml:space="preserve"> </w:t>
      </w:r>
      <w:proofErr w:type="spellStart"/>
      <w:r>
        <w:rPr>
          <w:sz w:val="20"/>
        </w:rPr>
        <w:t>to</w:t>
      </w:r>
      <w:proofErr w:type="spellEnd"/>
      <w:r>
        <w:rPr>
          <w:sz w:val="20"/>
        </w:rPr>
        <w:t xml:space="preserve"> </w:t>
      </w:r>
      <w:proofErr w:type="spellStart"/>
      <w:r>
        <w:rPr>
          <w:sz w:val="20"/>
        </w:rPr>
        <w:t>present</w:t>
      </w:r>
      <w:proofErr w:type="spellEnd"/>
      <w:r>
        <w:rPr>
          <w:sz w:val="20"/>
        </w:rPr>
        <w:t xml:space="preserve"> </w:t>
      </w:r>
      <w:proofErr w:type="spellStart"/>
      <w:r>
        <w:rPr>
          <w:sz w:val="20"/>
        </w:rPr>
        <w:t>how</w:t>
      </w:r>
      <w:proofErr w:type="spellEnd"/>
      <w:r>
        <w:rPr>
          <w:sz w:val="20"/>
        </w:rPr>
        <w:t xml:space="preserve"> </w:t>
      </w:r>
      <w:proofErr w:type="spellStart"/>
      <w:r>
        <w:rPr>
          <w:sz w:val="20"/>
        </w:rPr>
        <w:t>the</w:t>
      </w:r>
      <w:proofErr w:type="spellEnd"/>
      <w:r>
        <w:rPr>
          <w:sz w:val="20"/>
        </w:rPr>
        <w:t xml:space="preserve"> </w:t>
      </w:r>
      <w:proofErr w:type="spellStart"/>
      <w:r>
        <w:rPr>
          <w:sz w:val="20"/>
        </w:rPr>
        <w:t>technical-operational</w:t>
      </w:r>
      <w:proofErr w:type="spellEnd"/>
      <w:r>
        <w:rPr>
          <w:sz w:val="20"/>
        </w:rPr>
        <w:t xml:space="preserve"> </w:t>
      </w:r>
      <w:proofErr w:type="spellStart"/>
      <w:r>
        <w:rPr>
          <w:sz w:val="20"/>
        </w:rPr>
        <w:t>instruments</w:t>
      </w:r>
      <w:proofErr w:type="spellEnd"/>
      <w:r>
        <w:rPr>
          <w:sz w:val="20"/>
        </w:rPr>
        <w:t xml:space="preserve"> </w:t>
      </w:r>
      <w:proofErr w:type="spellStart"/>
      <w:r>
        <w:rPr>
          <w:sz w:val="20"/>
        </w:rPr>
        <w:t>used</w:t>
      </w:r>
      <w:proofErr w:type="spellEnd"/>
      <w:r>
        <w:rPr>
          <w:sz w:val="20"/>
        </w:rPr>
        <w:t xml:space="preserve"> </w:t>
      </w:r>
      <w:proofErr w:type="spellStart"/>
      <w:r>
        <w:rPr>
          <w:sz w:val="20"/>
        </w:rPr>
        <w:t>by</w:t>
      </w:r>
      <w:proofErr w:type="spellEnd"/>
      <w:r>
        <w:rPr>
          <w:sz w:val="20"/>
        </w:rPr>
        <w:t xml:space="preserve"> social </w:t>
      </w:r>
      <w:proofErr w:type="spellStart"/>
      <w:r>
        <w:rPr>
          <w:sz w:val="20"/>
        </w:rPr>
        <w:t>workers</w:t>
      </w:r>
      <w:proofErr w:type="spellEnd"/>
      <w:r>
        <w:rPr>
          <w:sz w:val="20"/>
        </w:rPr>
        <w:t xml:space="preserve"> </w:t>
      </w:r>
      <w:proofErr w:type="spellStart"/>
      <w:r>
        <w:rPr>
          <w:sz w:val="20"/>
        </w:rPr>
        <w:t>linked</w:t>
      </w:r>
      <w:proofErr w:type="spellEnd"/>
      <w:r>
        <w:rPr>
          <w:sz w:val="20"/>
        </w:rPr>
        <w:t xml:space="preserve"> </w:t>
      </w:r>
      <w:proofErr w:type="spellStart"/>
      <w:r>
        <w:rPr>
          <w:sz w:val="20"/>
        </w:rPr>
        <w:t>to</w:t>
      </w:r>
      <w:proofErr w:type="spellEnd"/>
      <w:r>
        <w:rPr>
          <w:sz w:val="20"/>
        </w:rPr>
        <w:t xml:space="preserve"> </w:t>
      </w:r>
      <w:proofErr w:type="spellStart"/>
      <w:r>
        <w:rPr>
          <w:sz w:val="20"/>
        </w:rPr>
        <w:t>the</w:t>
      </w:r>
      <w:proofErr w:type="spellEnd"/>
      <w:r>
        <w:rPr>
          <w:sz w:val="20"/>
        </w:rPr>
        <w:t xml:space="preserve"> Social </w:t>
      </w:r>
      <w:proofErr w:type="spellStart"/>
      <w:r>
        <w:rPr>
          <w:sz w:val="20"/>
        </w:rPr>
        <w:t>Assistance</w:t>
      </w:r>
      <w:proofErr w:type="spellEnd"/>
      <w:r>
        <w:rPr>
          <w:sz w:val="20"/>
        </w:rPr>
        <w:t xml:space="preserve"> </w:t>
      </w:r>
      <w:proofErr w:type="spellStart"/>
      <w:r>
        <w:rPr>
          <w:sz w:val="20"/>
        </w:rPr>
        <w:t>Reference</w:t>
      </w:r>
      <w:proofErr w:type="spellEnd"/>
      <w:r>
        <w:rPr>
          <w:sz w:val="20"/>
        </w:rPr>
        <w:t xml:space="preserve"> Centers (CRAS) </w:t>
      </w:r>
      <w:proofErr w:type="spellStart"/>
      <w:r>
        <w:rPr>
          <w:sz w:val="20"/>
        </w:rPr>
        <w:t>of</w:t>
      </w:r>
      <w:proofErr w:type="spellEnd"/>
      <w:r>
        <w:rPr>
          <w:sz w:val="20"/>
        </w:rPr>
        <w:t xml:space="preserve"> Mossoró/RN are </w:t>
      </w:r>
      <w:proofErr w:type="spellStart"/>
      <w:r>
        <w:rPr>
          <w:sz w:val="20"/>
        </w:rPr>
        <w:t>used</w:t>
      </w:r>
      <w:proofErr w:type="spellEnd"/>
      <w:r>
        <w:rPr>
          <w:sz w:val="20"/>
        </w:rPr>
        <w:t xml:space="preserve"> </w:t>
      </w:r>
      <w:proofErr w:type="spellStart"/>
      <w:r>
        <w:rPr>
          <w:sz w:val="20"/>
        </w:rPr>
        <w:t>considering</w:t>
      </w:r>
      <w:proofErr w:type="spellEnd"/>
      <w:r>
        <w:rPr>
          <w:sz w:val="20"/>
        </w:rPr>
        <w:t xml:space="preserve"> </w:t>
      </w:r>
      <w:proofErr w:type="spellStart"/>
      <w:r>
        <w:rPr>
          <w:sz w:val="20"/>
        </w:rPr>
        <w:t>all</w:t>
      </w:r>
      <w:proofErr w:type="spellEnd"/>
      <w:r>
        <w:rPr>
          <w:sz w:val="20"/>
        </w:rPr>
        <w:t xml:space="preserve"> </w:t>
      </w:r>
      <w:proofErr w:type="spellStart"/>
      <w:r>
        <w:rPr>
          <w:sz w:val="20"/>
        </w:rPr>
        <w:t>the</w:t>
      </w:r>
      <w:proofErr w:type="spellEnd"/>
      <w:r>
        <w:rPr>
          <w:sz w:val="20"/>
        </w:rPr>
        <w:t xml:space="preserve"> </w:t>
      </w:r>
      <w:proofErr w:type="spellStart"/>
      <w:r>
        <w:rPr>
          <w:sz w:val="20"/>
        </w:rPr>
        <w:t>demands</w:t>
      </w:r>
      <w:proofErr w:type="spellEnd"/>
      <w:r>
        <w:rPr>
          <w:sz w:val="20"/>
        </w:rPr>
        <w:t xml:space="preserve"> </w:t>
      </w:r>
      <w:proofErr w:type="spellStart"/>
      <w:r>
        <w:rPr>
          <w:sz w:val="20"/>
        </w:rPr>
        <w:t>placed</w:t>
      </w:r>
      <w:proofErr w:type="spellEnd"/>
      <w:r>
        <w:rPr>
          <w:sz w:val="20"/>
        </w:rPr>
        <w:t xml:space="preserve"> </w:t>
      </w:r>
      <w:proofErr w:type="spellStart"/>
      <w:r>
        <w:rPr>
          <w:sz w:val="20"/>
        </w:rPr>
        <w:t>on</w:t>
      </w:r>
      <w:proofErr w:type="spellEnd"/>
      <w:r>
        <w:rPr>
          <w:sz w:val="20"/>
        </w:rPr>
        <w:t xml:space="preserve"> </w:t>
      </w:r>
      <w:proofErr w:type="spellStart"/>
      <w:r>
        <w:rPr>
          <w:sz w:val="20"/>
        </w:rPr>
        <w:t>the</w:t>
      </w:r>
      <w:proofErr w:type="spellEnd"/>
      <w:r>
        <w:rPr>
          <w:sz w:val="20"/>
        </w:rPr>
        <w:t xml:space="preserve"> </w:t>
      </w:r>
      <w:proofErr w:type="spellStart"/>
      <w:r>
        <w:rPr>
          <w:sz w:val="20"/>
        </w:rPr>
        <w:t>immediacy</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professional </w:t>
      </w:r>
      <w:proofErr w:type="spellStart"/>
      <w:r>
        <w:rPr>
          <w:sz w:val="20"/>
        </w:rPr>
        <w:t>routine</w:t>
      </w:r>
      <w:proofErr w:type="spellEnd"/>
      <w:r>
        <w:rPr>
          <w:sz w:val="20"/>
        </w:rPr>
        <w:t xml:space="preserve">. It </w:t>
      </w:r>
      <w:proofErr w:type="spellStart"/>
      <w:r>
        <w:rPr>
          <w:sz w:val="20"/>
        </w:rPr>
        <w:t>also</w:t>
      </w:r>
      <w:proofErr w:type="spellEnd"/>
      <w:r>
        <w:rPr>
          <w:sz w:val="20"/>
        </w:rPr>
        <w:t xml:space="preserve"> </w:t>
      </w:r>
      <w:proofErr w:type="spellStart"/>
      <w:r>
        <w:rPr>
          <w:sz w:val="20"/>
        </w:rPr>
        <w:t>sought</w:t>
      </w:r>
      <w:proofErr w:type="spellEnd"/>
      <w:r>
        <w:rPr>
          <w:sz w:val="20"/>
        </w:rPr>
        <w:t xml:space="preserve"> </w:t>
      </w:r>
      <w:proofErr w:type="spellStart"/>
      <w:r>
        <w:rPr>
          <w:sz w:val="20"/>
        </w:rPr>
        <w:t>to</w:t>
      </w:r>
      <w:proofErr w:type="spellEnd"/>
      <w:r>
        <w:rPr>
          <w:sz w:val="20"/>
        </w:rPr>
        <w:t xml:space="preserve"> </w:t>
      </w:r>
      <w:proofErr w:type="spellStart"/>
      <w:r>
        <w:rPr>
          <w:sz w:val="20"/>
        </w:rPr>
        <w:t>understand</w:t>
      </w:r>
      <w:proofErr w:type="spellEnd"/>
      <w:r>
        <w:rPr>
          <w:sz w:val="20"/>
        </w:rPr>
        <w:t xml:space="preserve"> </w:t>
      </w:r>
      <w:proofErr w:type="spellStart"/>
      <w:r>
        <w:rPr>
          <w:sz w:val="20"/>
        </w:rPr>
        <w:t>the</w:t>
      </w:r>
      <w:proofErr w:type="spellEnd"/>
      <w:r>
        <w:rPr>
          <w:sz w:val="20"/>
        </w:rPr>
        <w:t xml:space="preserve"> </w:t>
      </w:r>
      <w:proofErr w:type="spellStart"/>
      <w:r>
        <w:rPr>
          <w:sz w:val="20"/>
        </w:rPr>
        <w:t>articulation</w:t>
      </w:r>
      <w:proofErr w:type="spellEnd"/>
      <w:r>
        <w:rPr>
          <w:sz w:val="20"/>
        </w:rPr>
        <w:t xml:space="preserve"> </w:t>
      </w:r>
      <w:proofErr w:type="spellStart"/>
      <w:r>
        <w:rPr>
          <w:sz w:val="20"/>
        </w:rPr>
        <w:t>of</w:t>
      </w:r>
      <w:proofErr w:type="spellEnd"/>
      <w:r>
        <w:rPr>
          <w:sz w:val="20"/>
        </w:rPr>
        <w:t xml:space="preserve"> </w:t>
      </w:r>
      <w:proofErr w:type="spellStart"/>
      <w:r>
        <w:rPr>
          <w:sz w:val="20"/>
        </w:rPr>
        <w:t>these</w:t>
      </w:r>
      <w:proofErr w:type="spellEnd"/>
      <w:r>
        <w:rPr>
          <w:sz w:val="20"/>
        </w:rPr>
        <w:t xml:space="preserve"> </w:t>
      </w:r>
      <w:proofErr w:type="spellStart"/>
      <w:r>
        <w:rPr>
          <w:sz w:val="20"/>
        </w:rPr>
        <w:t>instruments</w:t>
      </w:r>
      <w:proofErr w:type="spellEnd"/>
      <w:r>
        <w:rPr>
          <w:sz w:val="20"/>
        </w:rPr>
        <w:t xml:space="preserve"> </w:t>
      </w:r>
      <w:proofErr w:type="spellStart"/>
      <w:r>
        <w:rPr>
          <w:sz w:val="20"/>
        </w:rPr>
        <w:t>with</w:t>
      </w:r>
      <w:proofErr w:type="spellEnd"/>
      <w:r>
        <w:rPr>
          <w:sz w:val="20"/>
        </w:rPr>
        <w:t xml:space="preserve"> </w:t>
      </w:r>
      <w:proofErr w:type="spellStart"/>
      <w:r>
        <w:rPr>
          <w:sz w:val="20"/>
        </w:rPr>
        <w:t>the</w:t>
      </w:r>
      <w:proofErr w:type="spellEnd"/>
      <w:r>
        <w:rPr>
          <w:sz w:val="20"/>
        </w:rPr>
        <w:t xml:space="preserve"> Professional </w:t>
      </w:r>
      <w:proofErr w:type="spellStart"/>
      <w:r>
        <w:rPr>
          <w:sz w:val="20"/>
        </w:rPr>
        <w:t>Ethical-Political</w:t>
      </w:r>
      <w:proofErr w:type="spellEnd"/>
      <w:r>
        <w:rPr>
          <w:sz w:val="20"/>
        </w:rPr>
        <w:t xml:space="preserve"> Project </w:t>
      </w:r>
      <w:proofErr w:type="spellStart"/>
      <w:r>
        <w:rPr>
          <w:sz w:val="20"/>
        </w:rPr>
        <w:t>constituted</w:t>
      </w:r>
      <w:proofErr w:type="spellEnd"/>
      <w:r>
        <w:rPr>
          <w:sz w:val="20"/>
        </w:rPr>
        <w:t xml:space="preserve"> </w:t>
      </w:r>
      <w:proofErr w:type="spellStart"/>
      <w:r>
        <w:rPr>
          <w:sz w:val="20"/>
        </w:rPr>
        <w:t>by</w:t>
      </w:r>
      <w:proofErr w:type="spellEnd"/>
      <w:r>
        <w:rPr>
          <w:sz w:val="20"/>
        </w:rPr>
        <w:t xml:space="preserve"> </w:t>
      </w:r>
      <w:proofErr w:type="spellStart"/>
      <w:r>
        <w:rPr>
          <w:sz w:val="20"/>
        </w:rPr>
        <w:t>the</w:t>
      </w:r>
      <w:proofErr w:type="spellEnd"/>
      <w:r>
        <w:rPr>
          <w:sz w:val="20"/>
        </w:rPr>
        <w:t xml:space="preserve"> </w:t>
      </w:r>
      <w:proofErr w:type="spellStart"/>
      <w:r>
        <w:rPr>
          <w:sz w:val="20"/>
        </w:rPr>
        <w:t>Code</w:t>
      </w:r>
      <w:proofErr w:type="spellEnd"/>
      <w:r>
        <w:rPr>
          <w:sz w:val="20"/>
        </w:rPr>
        <w:t xml:space="preserve"> </w:t>
      </w:r>
      <w:proofErr w:type="spellStart"/>
      <w:r>
        <w:rPr>
          <w:sz w:val="20"/>
        </w:rPr>
        <w:t>of</w:t>
      </w:r>
      <w:proofErr w:type="spellEnd"/>
      <w:r>
        <w:rPr>
          <w:sz w:val="20"/>
        </w:rPr>
        <w:t xml:space="preserve"> </w:t>
      </w:r>
      <w:proofErr w:type="spellStart"/>
      <w:r>
        <w:rPr>
          <w:sz w:val="20"/>
        </w:rPr>
        <w:t>Ethics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Profession</w:t>
      </w:r>
      <w:proofErr w:type="spellEnd"/>
      <w:r>
        <w:rPr>
          <w:sz w:val="20"/>
        </w:rPr>
        <w:t xml:space="preserve">, Law No. 8.662/93, </w:t>
      </w:r>
      <w:proofErr w:type="spellStart"/>
      <w:r>
        <w:rPr>
          <w:sz w:val="20"/>
        </w:rPr>
        <w:t>the</w:t>
      </w:r>
      <w:proofErr w:type="spellEnd"/>
      <w:r>
        <w:rPr>
          <w:sz w:val="20"/>
        </w:rPr>
        <w:t xml:space="preserve"> </w:t>
      </w:r>
      <w:proofErr w:type="spellStart"/>
      <w:r>
        <w:rPr>
          <w:sz w:val="20"/>
        </w:rPr>
        <w:t>resolutions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Federal </w:t>
      </w:r>
      <w:proofErr w:type="spellStart"/>
      <w:r>
        <w:rPr>
          <w:sz w:val="20"/>
        </w:rPr>
        <w:t>Council</w:t>
      </w:r>
      <w:proofErr w:type="spellEnd"/>
      <w:r>
        <w:rPr>
          <w:sz w:val="20"/>
        </w:rPr>
        <w:t xml:space="preserve"> </w:t>
      </w:r>
      <w:proofErr w:type="spellStart"/>
      <w:r>
        <w:rPr>
          <w:sz w:val="20"/>
        </w:rPr>
        <w:t>of</w:t>
      </w:r>
      <w:proofErr w:type="spellEnd"/>
      <w:r>
        <w:rPr>
          <w:sz w:val="20"/>
        </w:rPr>
        <w:t xml:space="preserve"> </w:t>
      </w:r>
    </w:p>
    <w:p w14:paraId="45BC7B5D" w14:textId="77777777" w:rsidR="005834F5" w:rsidRDefault="00000000">
      <w:pPr>
        <w:spacing w:after="5" w:line="244" w:lineRule="auto"/>
        <w:ind w:left="2845" w:right="-3" w:hanging="10"/>
      </w:pPr>
      <w:r>
        <w:rPr>
          <w:sz w:val="20"/>
        </w:rPr>
        <w:t xml:space="preserve">Social Service (CFESS), </w:t>
      </w:r>
      <w:proofErr w:type="spellStart"/>
      <w:r>
        <w:rPr>
          <w:sz w:val="20"/>
        </w:rPr>
        <w:t>and</w:t>
      </w:r>
      <w:proofErr w:type="spellEnd"/>
      <w:r>
        <w:rPr>
          <w:sz w:val="20"/>
        </w:rPr>
        <w:t xml:space="preserve"> </w:t>
      </w:r>
      <w:proofErr w:type="spellStart"/>
      <w:r>
        <w:rPr>
          <w:sz w:val="20"/>
        </w:rPr>
        <w:t>the</w:t>
      </w:r>
      <w:proofErr w:type="spellEnd"/>
      <w:r>
        <w:rPr>
          <w:sz w:val="20"/>
        </w:rPr>
        <w:t xml:space="preserve"> curricular </w:t>
      </w:r>
      <w:proofErr w:type="spellStart"/>
      <w:r>
        <w:rPr>
          <w:sz w:val="20"/>
        </w:rPr>
        <w:t>guidelines</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Brazilian</w:t>
      </w:r>
      <w:proofErr w:type="spellEnd"/>
      <w:r>
        <w:rPr>
          <w:sz w:val="20"/>
        </w:rPr>
        <w:t xml:space="preserve"> </w:t>
      </w:r>
      <w:proofErr w:type="spellStart"/>
      <w:r>
        <w:rPr>
          <w:sz w:val="20"/>
        </w:rPr>
        <w:t>Association</w:t>
      </w:r>
      <w:proofErr w:type="spellEnd"/>
      <w:r>
        <w:rPr>
          <w:sz w:val="20"/>
        </w:rPr>
        <w:t xml:space="preserve"> </w:t>
      </w:r>
      <w:proofErr w:type="spellStart"/>
      <w:r>
        <w:rPr>
          <w:sz w:val="20"/>
        </w:rPr>
        <w:t>of</w:t>
      </w:r>
      <w:proofErr w:type="spellEnd"/>
      <w:r>
        <w:rPr>
          <w:sz w:val="20"/>
        </w:rPr>
        <w:t xml:space="preserve"> </w:t>
      </w:r>
      <w:proofErr w:type="spellStart"/>
      <w:r>
        <w:rPr>
          <w:sz w:val="20"/>
        </w:rPr>
        <w:t>Teaching</w:t>
      </w:r>
      <w:proofErr w:type="spellEnd"/>
      <w:r>
        <w:rPr>
          <w:sz w:val="20"/>
        </w:rPr>
        <w:t xml:space="preserve"> </w:t>
      </w:r>
      <w:proofErr w:type="spellStart"/>
      <w:r>
        <w:rPr>
          <w:sz w:val="20"/>
        </w:rPr>
        <w:t>and</w:t>
      </w:r>
      <w:proofErr w:type="spellEnd"/>
      <w:r>
        <w:rPr>
          <w:sz w:val="20"/>
        </w:rPr>
        <w:t xml:space="preserve"> </w:t>
      </w:r>
      <w:proofErr w:type="spellStart"/>
      <w:r>
        <w:rPr>
          <w:sz w:val="20"/>
        </w:rPr>
        <w:t>Research</w:t>
      </w:r>
      <w:proofErr w:type="spellEnd"/>
      <w:r>
        <w:rPr>
          <w:sz w:val="20"/>
        </w:rPr>
        <w:t xml:space="preserve"> in Social Service (ABEPSS). The </w:t>
      </w:r>
      <w:proofErr w:type="spellStart"/>
      <w:r>
        <w:rPr>
          <w:sz w:val="20"/>
        </w:rPr>
        <w:t>methodology</w:t>
      </w:r>
      <w:proofErr w:type="spellEnd"/>
      <w:r>
        <w:rPr>
          <w:sz w:val="20"/>
        </w:rPr>
        <w:t xml:space="preserve"> </w:t>
      </w:r>
      <w:proofErr w:type="spellStart"/>
      <w:r>
        <w:rPr>
          <w:sz w:val="20"/>
        </w:rPr>
        <w:t>has</w:t>
      </w:r>
      <w:proofErr w:type="spellEnd"/>
      <w:r>
        <w:rPr>
          <w:sz w:val="20"/>
        </w:rPr>
        <w:t xml:space="preserve"> a </w:t>
      </w:r>
      <w:proofErr w:type="spellStart"/>
      <w:r>
        <w:rPr>
          <w:sz w:val="20"/>
        </w:rPr>
        <w:t>qualitative</w:t>
      </w:r>
      <w:proofErr w:type="spellEnd"/>
      <w:r>
        <w:rPr>
          <w:sz w:val="20"/>
        </w:rPr>
        <w:t xml:space="preserve"> </w:t>
      </w:r>
      <w:proofErr w:type="spellStart"/>
      <w:r>
        <w:rPr>
          <w:sz w:val="20"/>
        </w:rPr>
        <w:t>character</w:t>
      </w:r>
      <w:proofErr w:type="spellEnd"/>
      <w:r>
        <w:rPr>
          <w:sz w:val="20"/>
        </w:rPr>
        <w:t xml:space="preserve">. </w:t>
      </w:r>
      <w:proofErr w:type="spellStart"/>
      <w:r>
        <w:rPr>
          <w:sz w:val="20"/>
        </w:rPr>
        <w:t>Therefore</w:t>
      </w:r>
      <w:proofErr w:type="spellEnd"/>
      <w:r>
        <w:rPr>
          <w:sz w:val="20"/>
        </w:rPr>
        <w:t xml:space="preserve">, its </w:t>
      </w:r>
      <w:proofErr w:type="spellStart"/>
      <w:r>
        <w:rPr>
          <w:sz w:val="20"/>
        </w:rPr>
        <w:t>relevance</w:t>
      </w:r>
      <w:proofErr w:type="spellEnd"/>
      <w:r>
        <w:rPr>
          <w:sz w:val="20"/>
        </w:rPr>
        <w:t xml:space="preserve"> </w:t>
      </w:r>
      <w:proofErr w:type="spellStart"/>
      <w:r>
        <w:rPr>
          <w:sz w:val="20"/>
        </w:rPr>
        <w:t>is</w:t>
      </w:r>
      <w:proofErr w:type="spellEnd"/>
      <w:r>
        <w:rPr>
          <w:sz w:val="20"/>
        </w:rPr>
        <w:t xml:space="preserve"> </w:t>
      </w:r>
      <w:proofErr w:type="spellStart"/>
      <w:r>
        <w:rPr>
          <w:sz w:val="20"/>
        </w:rPr>
        <w:t>made</w:t>
      </w:r>
      <w:proofErr w:type="spellEnd"/>
      <w:r>
        <w:rPr>
          <w:sz w:val="20"/>
        </w:rPr>
        <w:t xml:space="preserve"> </w:t>
      </w:r>
      <w:proofErr w:type="spellStart"/>
      <w:r>
        <w:rPr>
          <w:sz w:val="20"/>
        </w:rPr>
        <w:t>explicit</w:t>
      </w:r>
      <w:proofErr w:type="spellEnd"/>
      <w:r>
        <w:rPr>
          <w:sz w:val="20"/>
        </w:rPr>
        <w:t xml:space="preserve"> </w:t>
      </w:r>
      <w:proofErr w:type="spellStart"/>
      <w:r>
        <w:rPr>
          <w:sz w:val="20"/>
        </w:rPr>
        <w:t>by</w:t>
      </w:r>
      <w:proofErr w:type="spellEnd"/>
      <w:r>
        <w:rPr>
          <w:sz w:val="20"/>
        </w:rPr>
        <w:t xml:space="preserve"> </w:t>
      </w:r>
      <w:proofErr w:type="spellStart"/>
      <w:r>
        <w:rPr>
          <w:sz w:val="20"/>
        </w:rPr>
        <w:t>investigating</w:t>
      </w:r>
      <w:proofErr w:type="spellEnd"/>
      <w:r>
        <w:rPr>
          <w:sz w:val="20"/>
        </w:rPr>
        <w:t xml:space="preserve"> </w:t>
      </w:r>
      <w:proofErr w:type="spellStart"/>
      <w:r>
        <w:rPr>
          <w:sz w:val="20"/>
        </w:rPr>
        <w:t>the</w:t>
      </w:r>
      <w:proofErr w:type="spellEnd"/>
      <w:r>
        <w:rPr>
          <w:sz w:val="20"/>
        </w:rPr>
        <w:t xml:space="preserve"> </w:t>
      </w:r>
      <w:proofErr w:type="spellStart"/>
      <w:r>
        <w:rPr>
          <w:sz w:val="20"/>
        </w:rPr>
        <w:t>technical-operational</w:t>
      </w:r>
      <w:proofErr w:type="spellEnd"/>
      <w:r>
        <w:rPr>
          <w:sz w:val="20"/>
        </w:rPr>
        <w:t xml:space="preserve"> </w:t>
      </w:r>
      <w:proofErr w:type="spellStart"/>
      <w:r>
        <w:rPr>
          <w:sz w:val="20"/>
        </w:rPr>
        <w:t>dimension</w:t>
      </w:r>
      <w:proofErr w:type="spellEnd"/>
      <w:r>
        <w:rPr>
          <w:sz w:val="20"/>
        </w:rPr>
        <w:t xml:space="preserve"> in </w:t>
      </w:r>
      <w:proofErr w:type="spellStart"/>
      <w:r>
        <w:rPr>
          <w:sz w:val="20"/>
        </w:rPr>
        <w:t>the</w:t>
      </w:r>
      <w:proofErr w:type="spellEnd"/>
      <w:r>
        <w:rPr>
          <w:sz w:val="20"/>
        </w:rPr>
        <w:t xml:space="preserve"> </w:t>
      </w:r>
      <w:proofErr w:type="spellStart"/>
      <w:r>
        <w:rPr>
          <w:sz w:val="20"/>
        </w:rPr>
        <w:t>viability</w:t>
      </w:r>
      <w:proofErr w:type="spellEnd"/>
      <w:r>
        <w:rPr>
          <w:sz w:val="20"/>
        </w:rPr>
        <w:t xml:space="preserve"> </w:t>
      </w:r>
      <w:proofErr w:type="spellStart"/>
      <w:r>
        <w:rPr>
          <w:sz w:val="20"/>
        </w:rPr>
        <w:t>of</w:t>
      </w:r>
      <w:proofErr w:type="spellEnd"/>
      <w:r>
        <w:rPr>
          <w:sz w:val="20"/>
        </w:rPr>
        <w:t xml:space="preserve"> social </w:t>
      </w:r>
      <w:proofErr w:type="spellStart"/>
      <w:r>
        <w:rPr>
          <w:sz w:val="20"/>
        </w:rPr>
        <w:t>rights</w:t>
      </w:r>
      <w:proofErr w:type="spellEnd"/>
      <w:r>
        <w:rPr>
          <w:sz w:val="20"/>
        </w:rPr>
        <w:t xml:space="preserve"> </w:t>
      </w:r>
      <w:proofErr w:type="spellStart"/>
      <w:r>
        <w:rPr>
          <w:sz w:val="20"/>
        </w:rPr>
        <w:t>based</w:t>
      </w:r>
      <w:proofErr w:type="spellEnd"/>
      <w:r>
        <w:rPr>
          <w:sz w:val="20"/>
        </w:rPr>
        <w:t xml:space="preserve"> </w:t>
      </w:r>
      <w:proofErr w:type="spellStart"/>
      <w:r>
        <w:rPr>
          <w:sz w:val="20"/>
        </w:rPr>
        <w:t>on</w:t>
      </w:r>
      <w:proofErr w:type="spellEnd"/>
      <w:r>
        <w:rPr>
          <w:sz w:val="20"/>
        </w:rPr>
        <w:t xml:space="preserve"> </w:t>
      </w:r>
      <w:proofErr w:type="spellStart"/>
      <w:r>
        <w:rPr>
          <w:sz w:val="20"/>
        </w:rPr>
        <w:t>the</w:t>
      </w:r>
      <w:proofErr w:type="spellEnd"/>
      <w:r>
        <w:rPr>
          <w:sz w:val="20"/>
        </w:rPr>
        <w:t xml:space="preserve"> </w:t>
      </w:r>
      <w:proofErr w:type="spellStart"/>
      <w:r>
        <w:rPr>
          <w:sz w:val="20"/>
        </w:rPr>
        <w:t>Ethical-Political</w:t>
      </w:r>
      <w:proofErr w:type="spellEnd"/>
      <w:r>
        <w:rPr>
          <w:sz w:val="20"/>
        </w:rPr>
        <w:t xml:space="preserve"> Project </w:t>
      </w:r>
      <w:proofErr w:type="spellStart"/>
      <w:r>
        <w:rPr>
          <w:sz w:val="20"/>
        </w:rPr>
        <w:t>of</w:t>
      </w:r>
      <w:proofErr w:type="spellEnd"/>
      <w:r>
        <w:rPr>
          <w:sz w:val="20"/>
        </w:rPr>
        <w:t xml:space="preserve"> Social Service. </w:t>
      </w:r>
      <w:proofErr w:type="spellStart"/>
      <w:r>
        <w:rPr>
          <w:sz w:val="20"/>
        </w:rPr>
        <w:t>Furthermore</w:t>
      </w:r>
      <w:proofErr w:type="spellEnd"/>
      <w:r>
        <w:rPr>
          <w:sz w:val="20"/>
        </w:rPr>
        <w:t xml:space="preserve">, its </w:t>
      </w:r>
      <w:proofErr w:type="spellStart"/>
      <w:r>
        <w:rPr>
          <w:sz w:val="20"/>
        </w:rPr>
        <w:t>contribution</w:t>
      </w:r>
      <w:proofErr w:type="spellEnd"/>
      <w:r>
        <w:rPr>
          <w:sz w:val="20"/>
        </w:rPr>
        <w:t xml:space="preserve"> </w:t>
      </w:r>
      <w:proofErr w:type="spellStart"/>
      <w:r>
        <w:rPr>
          <w:sz w:val="20"/>
        </w:rPr>
        <w:t>consists</w:t>
      </w:r>
      <w:proofErr w:type="spellEnd"/>
      <w:r>
        <w:rPr>
          <w:sz w:val="20"/>
        </w:rPr>
        <w:t xml:space="preserve"> in </w:t>
      </w:r>
      <w:proofErr w:type="spellStart"/>
      <w:r>
        <w:rPr>
          <w:sz w:val="20"/>
        </w:rPr>
        <w:t>the</w:t>
      </w:r>
      <w:proofErr w:type="spellEnd"/>
      <w:r>
        <w:rPr>
          <w:sz w:val="20"/>
        </w:rPr>
        <w:t xml:space="preserve"> </w:t>
      </w:r>
      <w:proofErr w:type="spellStart"/>
      <w:r>
        <w:rPr>
          <w:sz w:val="20"/>
        </w:rPr>
        <w:t>visibility</w:t>
      </w:r>
      <w:proofErr w:type="spellEnd"/>
      <w:r>
        <w:rPr>
          <w:sz w:val="20"/>
        </w:rPr>
        <w:t xml:space="preserv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instruments</w:t>
      </w:r>
      <w:proofErr w:type="spellEnd"/>
      <w:r>
        <w:rPr>
          <w:sz w:val="20"/>
        </w:rPr>
        <w:t xml:space="preserve"> </w:t>
      </w:r>
      <w:proofErr w:type="spellStart"/>
      <w:r>
        <w:rPr>
          <w:sz w:val="20"/>
        </w:rPr>
        <w:t>that</w:t>
      </w:r>
      <w:proofErr w:type="spellEnd"/>
      <w:r>
        <w:rPr>
          <w:sz w:val="20"/>
        </w:rPr>
        <w:t xml:space="preserve"> are </w:t>
      </w:r>
      <w:proofErr w:type="spellStart"/>
      <w:r>
        <w:rPr>
          <w:sz w:val="20"/>
        </w:rPr>
        <w:t>used</w:t>
      </w:r>
      <w:proofErr w:type="spellEnd"/>
      <w:r>
        <w:rPr>
          <w:sz w:val="20"/>
        </w:rPr>
        <w:t xml:space="preserve"> in </w:t>
      </w:r>
      <w:proofErr w:type="spellStart"/>
      <w:r>
        <w:rPr>
          <w:sz w:val="20"/>
        </w:rPr>
        <w:t>the</w:t>
      </w:r>
      <w:proofErr w:type="spellEnd"/>
      <w:r>
        <w:rPr>
          <w:sz w:val="20"/>
        </w:rPr>
        <w:t xml:space="preserve"> professional </w:t>
      </w:r>
      <w:proofErr w:type="spellStart"/>
      <w:r>
        <w:rPr>
          <w:sz w:val="20"/>
        </w:rPr>
        <w:t>routine</w:t>
      </w:r>
      <w:proofErr w:type="spellEnd"/>
      <w:r>
        <w:rPr>
          <w:sz w:val="20"/>
        </w:rPr>
        <w:t xml:space="preserve"> in </w:t>
      </w:r>
      <w:proofErr w:type="spellStart"/>
      <w:r>
        <w:rPr>
          <w:sz w:val="20"/>
        </w:rPr>
        <w:t>the</w:t>
      </w:r>
      <w:proofErr w:type="spellEnd"/>
      <w:r>
        <w:rPr>
          <w:sz w:val="20"/>
        </w:rPr>
        <w:t xml:space="preserve"> face </w:t>
      </w:r>
      <w:proofErr w:type="spellStart"/>
      <w:r>
        <w:rPr>
          <w:sz w:val="20"/>
        </w:rPr>
        <w:t>of</w:t>
      </w:r>
      <w:proofErr w:type="spellEnd"/>
      <w:r>
        <w:rPr>
          <w:sz w:val="20"/>
        </w:rPr>
        <w:t xml:space="preserve"> </w:t>
      </w:r>
      <w:proofErr w:type="spellStart"/>
      <w:r>
        <w:rPr>
          <w:sz w:val="20"/>
        </w:rPr>
        <w:t>the</w:t>
      </w:r>
      <w:proofErr w:type="spellEnd"/>
      <w:r>
        <w:rPr>
          <w:sz w:val="20"/>
        </w:rPr>
        <w:t xml:space="preserve"> </w:t>
      </w:r>
      <w:proofErr w:type="spellStart"/>
      <w:r>
        <w:rPr>
          <w:sz w:val="20"/>
        </w:rPr>
        <w:t>adversities</w:t>
      </w:r>
      <w:proofErr w:type="spellEnd"/>
      <w:r>
        <w:rPr>
          <w:sz w:val="20"/>
        </w:rPr>
        <w:t xml:space="preserve"> </w:t>
      </w:r>
      <w:proofErr w:type="spellStart"/>
      <w:r>
        <w:rPr>
          <w:sz w:val="20"/>
        </w:rPr>
        <w:t>and</w:t>
      </w:r>
      <w:proofErr w:type="spellEnd"/>
      <w:r>
        <w:rPr>
          <w:sz w:val="20"/>
        </w:rPr>
        <w:t xml:space="preserve"> </w:t>
      </w:r>
      <w:proofErr w:type="spellStart"/>
      <w:r>
        <w:rPr>
          <w:sz w:val="20"/>
        </w:rPr>
        <w:t>resistance</w:t>
      </w:r>
      <w:proofErr w:type="spellEnd"/>
      <w:r>
        <w:rPr>
          <w:sz w:val="20"/>
        </w:rPr>
        <w:t xml:space="preserve"> </w:t>
      </w:r>
      <w:proofErr w:type="spellStart"/>
      <w:r>
        <w:rPr>
          <w:sz w:val="20"/>
        </w:rPr>
        <w:t>of</w:t>
      </w:r>
      <w:proofErr w:type="spellEnd"/>
      <w:r>
        <w:rPr>
          <w:sz w:val="20"/>
        </w:rPr>
        <w:t xml:space="preserve"> </w:t>
      </w:r>
      <w:proofErr w:type="spellStart"/>
      <w:r>
        <w:rPr>
          <w:sz w:val="20"/>
        </w:rPr>
        <w:t>these</w:t>
      </w:r>
      <w:proofErr w:type="spellEnd"/>
      <w:r>
        <w:rPr>
          <w:sz w:val="20"/>
        </w:rPr>
        <w:t xml:space="preserve"> </w:t>
      </w:r>
      <w:proofErr w:type="spellStart"/>
      <w:r>
        <w:rPr>
          <w:sz w:val="20"/>
        </w:rPr>
        <w:t>professionals</w:t>
      </w:r>
      <w:proofErr w:type="spellEnd"/>
      <w:r>
        <w:rPr>
          <w:sz w:val="20"/>
        </w:rPr>
        <w:t xml:space="preserve"> in </w:t>
      </w:r>
      <w:proofErr w:type="spellStart"/>
      <w:r>
        <w:rPr>
          <w:sz w:val="20"/>
        </w:rPr>
        <w:t>the</w:t>
      </w:r>
      <w:proofErr w:type="spellEnd"/>
      <w:r>
        <w:rPr>
          <w:sz w:val="20"/>
        </w:rPr>
        <w:t xml:space="preserve"> CRAS </w:t>
      </w:r>
      <w:proofErr w:type="spellStart"/>
      <w:r>
        <w:rPr>
          <w:sz w:val="20"/>
        </w:rPr>
        <w:t>of</w:t>
      </w:r>
      <w:proofErr w:type="spellEnd"/>
      <w:r>
        <w:rPr>
          <w:sz w:val="20"/>
        </w:rPr>
        <w:t xml:space="preserve"> Mossoró/RN. </w:t>
      </w:r>
    </w:p>
    <w:p w14:paraId="6AD58968" w14:textId="77777777" w:rsidR="005834F5" w:rsidRDefault="00000000">
      <w:pPr>
        <w:spacing w:after="351" w:line="259" w:lineRule="auto"/>
        <w:ind w:left="2835" w:right="0" w:firstLine="0"/>
        <w:jc w:val="left"/>
      </w:pPr>
      <w:r>
        <w:rPr>
          <w:sz w:val="20"/>
        </w:rPr>
        <w:lastRenderedPageBreak/>
        <w:t xml:space="preserve"> </w:t>
      </w:r>
    </w:p>
    <w:p w14:paraId="1D0546D5" w14:textId="77777777" w:rsidR="005834F5" w:rsidRDefault="00000000">
      <w:pPr>
        <w:spacing w:after="0" w:line="259" w:lineRule="auto"/>
        <w:ind w:right="0" w:firstLine="0"/>
        <w:jc w:val="left"/>
      </w:pPr>
      <w:r>
        <w:rPr>
          <w:rFonts w:ascii="Calibri" w:eastAsia="Calibri" w:hAnsi="Calibri" w:cs="Calibri"/>
          <w:noProof/>
          <w:sz w:val="22"/>
        </w:rPr>
        <mc:AlternateContent>
          <mc:Choice Requires="wpg">
            <w:drawing>
              <wp:inline distT="0" distB="0" distL="0" distR="0" wp14:anchorId="1D511105" wp14:editId="4A069C19">
                <wp:extent cx="1829054" cy="7620"/>
                <wp:effectExtent l="0" t="0" r="0" b="0"/>
                <wp:docPr id="7067" name="Group 706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554" name="Shape 85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67" style="width:144.02pt;height:0.599976pt;mso-position-horizontal-relative:char;mso-position-vertical-relative:line" coordsize="18290,76">
                <v:shape id="Shape 85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22"/>
        </w:rPr>
        <w:t xml:space="preserve"> </w:t>
      </w:r>
    </w:p>
    <w:p w14:paraId="6E7B0A28" w14:textId="77777777" w:rsidR="005834F5" w:rsidRDefault="00000000">
      <w:pPr>
        <w:spacing w:after="0" w:line="259" w:lineRule="auto"/>
        <w:ind w:right="0" w:firstLine="0"/>
        <w:jc w:val="left"/>
      </w:pPr>
      <w:r>
        <w:rPr>
          <w:sz w:val="22"/>
        </w:rPr>
        <w:t xml:space="preserve"> </w:t>
      </w:r>
    </w:p>
    <w:p w14:paraId="014183E4" w14:textId="77777777" w:rsidR="005834F5" w:rsidRDefault="00000000">
      <w:pPr>
        <w:spacing w:after="5" w:line="244" w:lineRule="auto"/>
        <w:ind w:left="2845" w:right="-3" w:hanging="10"/>
      </w:pPr>
      <w:r>
        <w:rPr>
          <w:b/>
          <w:sz w:val="20"/>
        </w:rPr>
        <w:t>Keywords</w:t>
      </w:r>
      <w:r>
        <w:rPr>
          <w:sz w:val="20"/>
        </w:rPr>
        <w:t xml:space="preserve">: </w:t>
      </w:r>
      <w:proofErr w:type="spellStart"/>
      <w:r>
        <w:rPr>
          <w:sz w:val="20"/>
        </w:rPr>
        <w:t>Assistance</w:t>
      </w:r>
      <w:proofErr w:type="spellEnd"/>
      <w:r>
        <w:rPr>
          <w:sz w:val="20"/>
        </w:rPr>
        <w:t xml:space="preserve">; </w:t>
      </w:r>
      <w:proofErr w:type="spellStart"/>
      <w:r>
        <w:rPr>
          <w:sz w:val="20"/>
        </w:rPr>
        <w:t>Ethical-Political</w:t>
      </w:r>
      <w:proofErr w:type="spellEnd"/>
      <w:r>
        <w:rPr>
          <w:sz w:val="20"/>
        </w:rPr>
        <w:t xml:space="preserve"> Project; Social </w:t>
      </w:r>
      <w:proofErr w:type="spellStart"/>
      <w:r>
        <w:rPr>
          <w:sz w:val="20"/>
        </w:rPr>
        <w:t>Assistance</w:t>
      </w:r>
      <w:proofErr w:type="spellEnd"/>
      <w:r>
        <w:rPr>
          <w:sz w:val="20"/>
        </w:rPr>
        <w:t xml:space="preserve"> </w:t>
      </w:r>
      <w:proofErr w:type="spellStart"/>
      <w:r>
        <w:rPr>
          <w:sz w:val="20"/>
        </w:rPr>
        <w:t>Reference</w:t>
      </w:r>
      <w:proofErr w:type="spellEnd"/>
      <w:r>
        <w:rPr>
          <w:sz w:val="20"/>
        </w:rPr>
        <w:t xml:space="preserve"> Centers.</w:t>
      </w:r>
      <w:r>
        <w:rPr>
          <w:sz w:val="22"/>
        </w:rPr>
        <w:t xml:space="preserve"> </w:t>
      </w:r>
    </w:p>
    <w:p w14:paraId="496D6FE9" w14:textId="77777777" w:rsidR="005834F5" w:rsidRDefault="00000000">
      <w:pPr>
        <w:spacing w:after="0" w:line="259" w:lineRule="auto"/>
        <w:ind w:right="0" w:firstLine="0"/>
        <w:jc w:val="left"/>
      </w:pPr>
      <w:r>
        <w:rPr>
          <w:b/>
        </w:rPr>
        <w:t xml:space="preserve"> </w:t>
      </w:r>
    </w:p>
    <w:p w14:paraId="066B0C53" w14:textId="77777777" w:rsidR="005834F5" w:rsidRDefault="00000000">
      <w:pPr>
        <w:pStyle w:val="Ttulo1"/>
        <w:tabs>
          <w:tab w:val="center" w:pos="1533"/>
        </w:tabs>
        <w:spacing w:after="0"/>
        <w:ind w:left="-15" w:firstLine="0"/>
      </w:pPr>
      <w:r>
        <w:t xml:space="preserve">1 </w:t>
      </w:r>
      <w:r>
        <w:tab/>
        <w:t>INTRODUÇÃO</w:t>
      </w:r>
      <w:r>
        <w:rPr>
          <w:b w:val="0"/>
          <w:sz w:val="22"/>
        </w:rPr>
        <w:t xml:space="preserve"> </w:t>
      </w:r>
    </w:p>
    <w:p w14:paraId="53C48074" w14:textId="77777777" w:rsidR="005834F5" w:rsidRDefault="00000000">
      <w:pPr>
        <w:spacing w:after="115" w:line="259" w:lineRule="auto"/>
        <w:ind w:right="0" w:firstLine="0"/>
        <w:jc w:val="left"/>
      </w:pPr>
      <w:r>
        <w:t xml:space="preserve"> </w:t>
      </w:r>
    </w:p>
    <w:p w14:paraId="3480B3BD" w14:textId="77777777" w:rsidR="005834F5" w:rsidRDefault="00000000">
      <w:pPr>
        <w:ind w:left="-15" w:right="0" w:firstLine="0"/>
      </w:pPr>
      <w:r>
        <w:t xml:space="preserve"> O presente artigo objetivou fazer uma análise do uso dos instrumentais técnicos-operativos pelos assistentes sociais que trabalham nos Centros de Referência de Assistência Social (CRAS) da cidade de Mossoró/RN, a fim de saber se a relação desses instrumentos está em concordância com o Projeto Ético-Político da profissão. A base do Projeto Ético-Político é sustentada por grandes e importantes marcos regulatórios, como o Código de Ética da profissão de 1993 (Lei nº 8.662/93), a resolução do Conselho Federal de Serviço Social (CFESS) e as Diretrizes Curriculares da Associação Brasileira de Ensino e Pesquisa em Serviço Social (ABEPSS). </w:t>
      </w:r>
    </w:p>
    <w:p w14:paraId="487C2C15" w14:textId="77777777" w:rsidR="005834F5" w:rsidRDefault="00000000">
      <w:pPr>
        <w:ind w:left="-15" w:right="0"/>
      </w:pPr>
      <w:r>
        <w:t xml:space="preserve">Para elaboração e construção deste trabalho foi usado como base norteadora o que vem sendo trabalhado no Programa Institucional de Bolsas de Iniciação Científica (PIBIC), no qual, tem-se uma abordagem de viés qualitativo, sendo essa pesquisa sustentada pelo materialismo histórico dialético, além disso, foi feito uso de pesquisa bibliográfica como importante instrumento para fundamentar o que vem sendo discutido e alguns resultados da pesquisa feita com 07 (sete) das 14 (quatorze) assistentes sociais vinculadas aos CRAS da cidade de Mossoró-RN, em suma, o presente trabalho objetivou compreender como a atuação cotidiana das profissionais é atravessada por múltiplas contradições e desafios impostos pela realidade socioeconômica, política e institucional brasileira. </w:t>
      </w:r>
    </w:p>
    <w:p w14:paraId="5EB3F3F9" w14:textId="77777777" w:rsidR="005834F5" w:rsidRDefault="00000000">
      <w:pPr>
        <w:ind w:left="-15" w:right="0" w:firstLine="0"/>
      </w:pPr>
      <w:r>
        <w:t xml:space="preserve"> O artigo destaca a relevância e primordialidade dos CRAS, como um espaço privilegiado de intervenção social, onde pode-se ver nitidamente a materialização das expressões da questão social. Ademais, o Serviço Social, enquanto uma categoria comprometida com a defesa dos direitos sociais, luta e atua voltada à superação do </w:t>
      </w:r>
      <w:r>
        <w:lastRenderedPageBreak/>
        <w:t xml:space="preserve">assistencialismo histórico, torna-se fundamental dentro dos espaços </w:t>
      </w:r>
      <w:proofErr w:type="spellStart"/>
      <w:r>
        <w:t>socioocupacionais</w:t>
      </w:r>
      <w:proofErr w:type="spellEnd"/>
      <w:r>
        <w:t xml:space="preserve"> destes equipamentos sociais.  </w:t>
      </w:r>
    </w:p>
    <w:p w14:paraId="38A38933" w14:textId="77777777" w:rsidR="005834F5" w:rsidRDefault="00000000">
      <w:pPr>
        <w:spacing w:after="35" w:line="259" w:lineRule="auto"/>
        <w:ind w:right="0" w:firstLine="0"/>
        <w:jc w:val="left"/>
      </w:pPr>
      <w:r>
        <w:rPr>
          <w:sz w:val="22"/>
        </w:rPr>
        <w:t xml:space="preserve"> </w:t>
      </w:r>
    </w:p>
    <w:p w14:paraId="74D33906" w14:textId="77777777" w:rsidR="005834F5" w:rsidRDefault="00000000">
      <w:pPr>
        <w:ind w:left="-15" w:right="0"/>
      </w:pPr>
      <w:r>
        <w:t xml:space="preserve">Por conseguinte, evidencia-se os obstáculos que essas profissionais enfrentam no seu cotidiano, a exemplo, da precarização das condições de trabalho, desconhecimento do Sistema Único de Assistência Social (SUAS) por parte dos demais profissionais da instituição, a quase impossibilidade de formação continuada, gerada pela própria dinâmica exaustiva do trabalho, dentre outros atravessamentos. Sendo assim temos o comprometimento parcialmente falando e a plena efetivação do PEP. </w:t>
      </w:r>
    </w:p>
    <w:p w14:paraId="663F90AA" w14:textId="77777777" w:rsidR="005834F5" w:rsidRDefault="00000000">
      <w:pPr>
        <w:ind w:left="-15" w:right="0"/>
      </w:pPr>
      <w:r>
        <w:t xml:space="preserve">Ainda, é apresentado nesse artigo o esforço constante das assistentes sociais para manter a coerência ética, diante de todas as limitações que lhe são postas, o uso dos instrumentais como um importante meio para efetivação de uma prática ética, crítica e que seja comprometida com os/as usuários/as. Para além disso, pode-se dizer que o uso consciente e estratégico dos instrumentais técnico-operativos, quando estão em concordância com o PEP, fortalece a identidade profissional e o compromisso com a transformação social. </w:t>
      </w:r>
    </w:p>
    <w:p w14:paraId="2F9DC2C5" w14:textId="77777777" w:rsidR="005834F5" w:rsidRDefault="00000000">
      <w:pPr>
        <w:spacing w:after="138" w:line="259" w:lineRule="auto"/>
        <w:ind w:right="0" w:firstLine="0"/>
        <w:jc w:val="left"/>
      </w:pPr>
      <w:r>
        <w:t xml:space="preserve"> </w:t>
      </w:r>
    </w:p>
    <w:p w14:paraId="5245C074" w14:textId="77777777" w:rsidR="005834F5" w:rsidRDefault="00000000">
      <w:pPr>
        <w:pStyle w:val="Ttulo1"/>
        <w:ind w:left="-5"/>
      </w:pPr>
      <w:r>
        <w:t xml:space="preserve">2 </w:t>
      </w:r>
      <w:r>
        <w:tab/>
        <w:t xml:space="preserve">CONJUNTURA </w:t>
      </w:r>
      <w:r>
        <w:tab/>
        <w:t xml:space="preserve">E </w:t>
      </w:r>
      <w:r>
        <w:tab/>
        <w:t xml:space="preserve">COMPROMISSO </w:t>
      </w:r>
      <w:r>
        <w:tab/>
        <w:t xml:space="preserve">ÉTICO: </w:t>
      </w:r>
      <w:r>
        <w:tab/>
        <w:t>INTERFACES CONTEMPORÂNEAS DO SERVIÇO SOCIAL</w:t>
      </w:r>
      <w:r>
        <w:rPr>
          <w:b w:val="0"/>
        </w:rPr>
        <w:t xml:space="preserve"> </w:t>
      </w:r>
    </w:p>
    <w:p w14:paraId="58F50784" w14:textId="77777777" w:rsidR="005834F5" w:rsidRDefault="00000000">
      <w:pPr>
        <w:spacing w:after="115" w:line="259" w:lineRule="auto"/>
        <w:ind w:right="0" w:firstLine="0"/>
        <w:jc w:val="left"/>
      </w:pPr>
      <w:r>
        <w:t xml:space="preserve"> </w:t>
      </w:r>
    </w:p>
    <w:p w14:paraId="4B2E49F0" w14:textId="77777777" w:rsidR="005834F5" w:rsidRDefault="00000000">
      <w:pPr>
        <w:ind w:left="-15" w:right="0"/>
      </w:pPr>
      <w:r>
        <w:t xml:space="preserve">Conforme </w:t>
      </w:r>
      <w:proofErr w:type="spellStart"/>
      <w:r>
        <w:t>Iamamoto</w:t>
      </w:r>
      <w:proofErr w:type="spellEnd"/>
      <w:r>
        <w:t xml:space="preserve"> (1998), um dos grandes desafios na atualidade é transitar da bagagem teórica acumulada ao enraizamento da profissão na realidade, atribuindo, ao mesmo tempo, uma atenção maior às estratégias, táticas e técnicas do trabalho profissional, em função das particularidades das expressões da questão social que são objeto de estudo e ação da/o assistente social. Este entendimento apresenta-se como ponto de partida para discutirmos, conhecer e avaliar </w:t>
      </w:r>
      <w:proofErr w:type="gramStart"/>
      <w:r>
        <w:t>se  a</w:t>
      </w:r>
      <w:proofErr w:type="gramEnd"/>
      <w:r>
        <w:t xml:space="preserve"> dimensão </w:t>
      </w:r>
      <w:proofErr w:type="spellStart"/>
      <w:r>
        <w:t>técnicooperativa</w:t>
      </w:r>
      <w:proofErr w:type="spellEnd"/>
      <w:r>
        <w:t xml:space="preserve"> das/os assistentes sociais que na atualidade estão nos diversos espaços sócio-ocupacionais, considerando como componente/fundamento norteador o Projeto Ético-Político profissional.  </w:t>
      </w:r>
    </w:p>
    <w:p w14:paraId="49D7671C" w14:textId="77777777" w:rsidR="005834F5" w:rsidRDefault="00000000">
      <w:pPr>
        <w:spacing w:after="117" w:line="259" w:lineRule="auto"/>
        <w:ind w:left="708" w:right="0" w:firstLine="0"/>
      </w:pPr>
      <w:r>
        <w:lastRenderedPageBreak/>
        <w:t xml:space="preserve">De acordo com Silva (2010): </w:t>
      </w:r>
    </w:p>
    <w:p w14:paraId="679B7EBA" w14:textId="77777777" w:rsidR="005834F5" w:rsidRDefault="00000000">
      <w:pPr>
        <w:spacing w:after="0" w:line="259" w:lineRule="auto"/>
        <w:ind w:left="708" w:right="0" w:firstLine="0"/>
        <w:jc w:val="left"/>
      </w:pPr>
      <w:r>
        <w:t xml:space="preserve"> </w:t>
      </w:r>
    </w:p>
    <w:p w14:paraId="53599271" w14:textId="77777777" w:rsidR="005834F5" w:rsidRDefault="00000000">
      <w:pPr>
        <w:spacing w:after="0" w:line="259" w:lineRule="auto"/>
        <w:ind w:right="0" w:firstLine="0"/>
        <w:jc w:val="left"/>
      </w:pPr>
      <w:r>
        <w:rPr>
          <w:sz w:val="22"/>
        </w:rPr>
        <w:t xml:space="preserve"> </w:t>
      </w:r>
    </w:p>
    <w:p w14:paraId="2E53CFF8" w14:textId="77777777" w:rsidR="005834F5" w:rsidRDefault="00000000">
      <w:pPr>
        <w:spacing w:after="36" w:line="244" w:lineRule="auto"/>
        <w:ind w:left="2264" w:right="-3" w:hanging="10"/>
      </w:pPr>
      <w:r>
        <w:rPr>
          <w:sz w:val="20"/>
        </w:rPr>
        <w:t xml:space="preserve">Os fundamentos ontológicos do atual projeto ético-político profissional, como parte da renovação operada na profissão e expressos no código de ética de 1993, realiza um movimento de romper com o tradicionalismo existente nas décadas anteriores e ocorre no calor das movimentações da década de 1980 em favor da redemocratização da sociedade brasileira. (Silva, 2010, p. 422) </w:t>
      </w:r>
    </w:p>
    <w:p w14:paraId="605E2B8B" w14:textId="77777777" w:rsidR="005834F5" w:rsidRDefault="00000000">
      <w:pPr>
        <w:spacing w:after="117" w:line="259" w:lineRule="auto"/>
        <w:ind w:right="0" w:firstLine="0"/>
        <w:jc w:val="left"/>
      </w:pPr>
      <w:r>
        <w:t xml:space="preserve"> </w:t>
      </w:r>
    </w:p>
    <w:p w14:paraId="17B95428" w14:textId="77777777" w:rsidR="005834F5" w:rsidRDefault="00000000">
      <w:pPr>
        <w:ind w:left="-15" w:right="0"/>
      </w:pPr>
      <w:r>
        <w:t xml:space="preserve">Em sendo assim, a partir dos instrumentais técnicos-operativos utilizados por assistentes sociais graduadas </w:t>
      </w:r>
      <w:proofErr w:type="spellStart"/>
      <w:r>
        <w:t>pós-anos</w:t>
      </w:r>
      <w:proofErr w:type="spellEnd"/>
      <w:r>
        <w:t xml:space="preserve"> de 1990 nos Centros de Referência de Assistência Social (CRAS) da cidade de Mossoró/RN, a possível interlocução destes com o Projeto Ético-Político Profissional na viabilização dos direitos na política de assistência social. </w:t>
      </w:r>
    </w:p>
    <w:p w14:paraId="3BDE4225" w14:textId="77777777" w:rsidR="005834F5" w:rsidRDefault="00000000">
      <w:pPr>
        <w:ind w:left="-15" w:right="0"/>
      </w:pPr>
      <w:r>
        <w:t xml:space="preserve">Vale frisar que o projeto hegemônico do Serviço Social se propõe a uma nova perspectiva de realidade em que a viabilização dos direitos sociais dos sujeitos é condição </w:t>
      </w:r>
      <w:proofErr w:type="spellStart"/>
      <w:r>
        <w:rPr>
          <w:i/>
        </w:rPr>
        <w:t>sine</w:t>
      </w:r>
      <w:proofErr w:type="spellEnd"/>
      <w:r>
        <w:rPr>
          <w:i/>
        </w:rPr>
        <w:t xml:space="preserve"> </w:t>
      </w:r>
      <w:proofErr w:type="spellStart"/>
      <w:r>
        <w:rPr>
          <w:i/>
        </w:rPr>
        <w:t>qua</w:t>
      </w:r>
      <w:proofErr w:type="spellEnd"/>
      <w:r>
        <w:rPr>
          <w:i/>
        </w:rPr>
        <w:t xml:space="preserve"> non</w:t>
      </w:r>
      <w:r>
        <w:t xml:space="preserve"> para afirmativa e materialidade do projeto acima citado. Diante do explicitado, corroboramos com o que diz Santos (2012, p.11) ao afirmar que “[...] pode se dizer que são incipientes ainda a produção acadêmica e a organização de fóruns de debates da profissão voltados para as reflexões sobre a dimensão </w:t>
      </w:r>
      <w:proofErr w:type="spellStart"/>
      <w:r>
        <w:t>técnicooperativa</w:t>
      </w:r>
      <w:proofErr w:type="spellEnd"/>
      <w:r>
        <w:t xml:space="preserve">”.  </w:t>
      </w:r>
    </w:p>
    <w:p w14:paraId="589C6772" w14:textId="77777777" w:rsidR="005834F5" w:rsidRDefault="00000000">
      <w:pPr>
        <w:ind w:left="-15" w:right="0"/>
      </w:pPr>
      <w:r>
        <w:t xml:space="preserve">Por conseguinte, a política de assistência social é perpassada por contradições e características que resgatam o passado histórico da prestação de assistência aos sujeitos em situação de vulnerabilidade socioeconômica. Características estas que persistem após a promulgação da Lei Orgânica de Assistência Social (LOAS/1993), tais como o clientelismo, o assistencialismo e o paternalismo. Contudo, a sistematização da oferta da assistência social enquanto política pública requisitou a criação do Sistema Único de Assistência Social (SUAS/2011) tendo os CRAS como entidades organizativas </w:t>
      </w:r>
      <w:proofErr w:type="spellStart"/>
      <w:r>
        <w:t>territorializadas</w:t>
      </w:r>
      <w:proofErr w:type="spellEnd"/>
      <w:r>
        <w:t xml:space="preserve"> com:  </w:t>
      </w:r>
    </w:p>
    <w:p w14:paraId="033970BC" w14:textId="77777777" w:rsidR="005834F5" w:rsidRDefault="00000000">
      <w:pPr>
        <w:spacing w:after="77" w:line="259" w:lineRule="auto"/>
        <w:ind w:right="0" w:firstLine="0"/>
        <w:jc w:val="left"/>
      </w:pPr>
      <w:r>
        <w:t xml:space="preserve"> </w:t>
      </w:r>
    </w:p>
    <w:p w14:paraId="4DA69A7D" w14:textId="77777777" w:rsidR="005834F5" w:rsidRDefault="00000000">
      <w:pPr>
        <w:spacing w:after="136" w:line="244" w:lineRule="auto"/>
        <w:ind w:left="2264" w:right="-3" w:hanging="10"/>
      </w:pPr>
      <w:r>
        <w:rPr>
          <w:sz w:val="20"/>
        </w:rPr>
        <w:t xml:space="preserve">[...] foco no desenvolvimento de atividades que contribuam no processo de envelhecimento saudável, no desenvolvimento da autonomia e de sociabilidades, no fortalecimento dos vínculos familiares e do convívio comunitário e na prevenção de situações de risco social. A intervenção social </w:t>
      </w:r>
      <w:r>
        <w:rPr>
          <w:sz w:val="20"/>
        </w:rPr>
        <w:lastRenderedPageBreak/>
        <w:t xml:space="preserve">deve estar pautada nas características, interesses e demandas e considerar que a vivência em grupo, as experimentações artísticas, culturais, esportivas [...] e de lazer se constituem formas privilegiadas de expressão, interação e proteção social. Devem incluir vivências que valorizam suas experiências e que estimulem e potencialize a condição de escolher e decidir (CNAS, 2009, p. 18). </w:t>
      </w:r>
      <w:r>
        <w:t xml:space="preserve"> </w:t>
      </w:r>
    </w:p>
    <w:p w14:paraId="0B817E1D" w14:textId="77777777" w:rsidR="005834F5" w:rsidRDefault="00000000">
      <w:pPr>
        <w:ind w:left="-15" w:right="0"/>
      </w:pPr>
      <w:r>
        <w:t xml:space="preserve">Os CRAS constituem espaço de atuação das/os assistentes sociais possibilitando aproximação com o cotidiano da população a qual vivencia as múltiplas e multifacetadas expressões da questão social. Destarte, se </w:t>
      </w:r>
      <w:proofErr w:type="gramStart"/>
      <w:r>
        <w:t>faz  necessário</w:t>
      </w:r>
      <w:proofErr w:type="gramEnd"/>
      <w:r>
        <w:t xml:space="preserve"> rememorar que o Serviço Social enquanto profissão atrelada ao capital nos seus diversos estágios, passou ao longo dos tempos por redefinições, sendo estas, tanto na dimensão teórico-metodológica, ético e política.  </w:t>
      </w:r>
    </w:p>
    <w:p w14:paraId="01CFDAB5" w14:textId="77777777" w:rsidR="005834F5" w:rsidRDefault="00000000">
      <w:pPr>
        <w:ind w:left="-15" w:right="0"/>
      </w:pPr>
      <w:r>
        <w:t xml:space="preserve">Não faz muito tempo em que o Serviço Social era tratado como de caso, grupo e comunidade, logo num lapso temporal de quase 30 anos debatemos sobre o serviço social pós-Movimento de Reconceituação, assim, indiscutivelmente, tratamos também das bases teóricas, fundamentos teórico-metodológicos e ético-políticos, com o intuito de saber a serviço de que e de quem está direcionada a prática profissional das/os assistentes sociais nos CRAS e como ocorre a interlocução com o Projeto </w:t>
      </w:r>
      <w:proofErr w:type="spellStart"/>
      <w:r>
        <w:t>ÉticoPolítico</w:t>
      </w:r>
      <w:proofErr w:type="spellEnd"/>
      <w:r>
        <w:t xml:space="preserve"> na imediaticidade do seu fazer profissional. </w:t>
      </w:r>
    </w:p>
    <w:p w14:paraId="1E05FFC3" w14:textId="77777777" w:rsidR="005834F5" w:rsidRDefault="00000000">
      <w:pPr>
        <w:ind w:left="-15" w:right="0"/>
      </w:pPr>
      <w:r>
        <w:t>Não temos respostas concretas para tais perguntas, mas sabemos que o atual estágio de desenvolvimento local, mundial, nacional e suas diversas nuances provocam mudanças bruscas em nosso cotidiano e, por esta razão, o Serviço Social redimensiona-se constantemente, ressignificando-se, ou seja, uma profissão que luta constantemente contra a hegemonia burguesa e que (</w:t>
      </w:r>
      <w:proofErr w:type="spellStart"/>
      <w:r>
        <w:t>re</w:t>
      </w:r>
      <w:proofErr w:type="spellEnd"/>
      <w:r>
        <w:t xml:space="preserve">)define estratégias para a retirada e desmonte dos direitos sociais.  </w:t>
      </w:r>
    </w:p>
    <w:p w14:paraId="6731A38C" w14:textId="77777777" w:rsidR="005834F5" w:rsidRDefault="00000000">
      <w:pPr>
        <w:spacing w:after="79" w:line="259" w:lineRule="auto"/>
        <w:ind w:left="720" w:right="0" w:firstLine="0"/>
        <w:jc w:val="left"/>
      </w:pPr>
      <w:r>
        <w:t xml:space="preserve"> </w:t>
      </w:r>
    </w:p>
    <w:p w14:paraId="765C1C2E" w14:textId="77777777" w:rsidR="005834F5" w:rsidRDefault="00000000">
      <w:pPr>
        <w:spacing w:after="5" w:line="244" w:lineRule="auto"/>
        <w:ind w:left="2264" w:right="-3" w:hanging="10"/>
      </w:pPr>
      <w:r>
        <w:rPr>
          <w:sz w:val="20"/>
        </w:rPr>
        <w:t xml:space="preserve">Consolidar os avanços já conquistados pela profissão em relação à produção de conhecimento requer que o conhecimento produzido extrapole os muros da academia. E o caminho para isso está na própria prática profissional, e nas necessidades de dar ao seu projeto ético-político materialidade sócio histórica. Ou seja, precisamos ter uma política de formação que articule graduação, pós-graduação e processos de capacitação e atualização permanentes. Neste conjunto, o eixo de sustentação deve assentar-se nas demandas e nos impasses vivenciados pelos profissionais no contexto do exercício da profissão, considerando as determinações sociais, econômicas, </w:t>
      </w:r>
      <w:r>
        <w:rPr>
          <w:sz w:val="20"/>
        </w:rPr>
        <w:lastRenderedPageBreak/>
        <w:t xml:space="preserve">políticas e culturais que expressam a realidade contemporânea e o projeto ético-político profissional (Bourguignon, 2007, p. 53).  </w:t>
      </w:r>
    </w:p>
    <w:p w14:paraId="46B2073F" w14:textId="77777777" w:rsidR="005834F5" w:rsidRDefault="00000000">
      <w:pPr>
        <w:spacing w:after="35" w:line="259" w:lineRule="auto"/>
        <w:ind w:right="0" w:firstLine="0"/>
        <w:jc w:val="left"/>
      </w:pPr>
      <w:r>
        <w:rPr>
          <w:sz w:val="22"/>
        </w:rPr>
        <w:t xml:space="preserve"> </w:t>
      </w:r>
    </w:p>
    <w:p w14:paraId="36CCE383" w14:textId="77777777" w:rsidR="005834F5" w:rsidRDefault="00000000">
      <w:pPr>
        <w:spacing w:after="117" w:line="259" w:lineRule="auto"/>
        <w:ind w:left="720" w:right="0" w:firstLine="0"/>
        <w:jc w:val="left"/>
      </w:pPr>
      <w:r>
        <w:t xml:space="preserve"> </w:t>
      </w:r>
    </w:p>
    <w:p w14:paraId="6D40FA72" w14:textId="77777777" w:rsidR="005834F5" w:rsidRDefault="00000000">
      <w:pPr>
        <w:ind w:left="-15" w:right="0"/>
      </w:pPr>
      <w:r>
        <w:t xml:space="preserve">Ao analisarmos afirmativa supracitada, constata se </w:t>
      </w:r>
      <w:r>
        <w:rPr>
          <w:i/>
        </w:rPr>
        <w:t xml:space="preserve">a priori </w:t>
      </w:r>
      <w:r>
        <w:t xml:space="preserve">que diante das mudanças e fortalecimento do Modo de Produção e suas complexas inflexões para aqueles/as trabalhadores que sobrevivem com um salário mínimo e outros/as que vivem sem nenhuma renda, se faz necessário nos preparar, ressignificar também o nosso fazer profissional, tanto do ponto de vista teórico, metodológico e interventivo, buscando dar respostas às demandas até antes desconhecidas por nós profissionais da academia bem como aqueles/as que estão cotidianamente nos equipamentos sociais. </w:t>
      </w:r>
    </w:p>
    <w:p w14:paraId="70D4C9CB" w14:textId="77777777" w:rsidR="005834F5" w:rsidRDefault="00000000">
      <w:pPr>
        <w:spacing w:after="136" w:line="259" w:lineRule="auto"/>
        <w:ind w:right="0" w:firstLine="0"/>
        <w:jc w:val="left"/>
      </w:pPr>
      <w:r>
        <w:t xml:space="preserve"> </w:t>
      </w:r>
    </w:p>
    <w:p w14:paraId="2E4E5D9E" w14:textId="77777777" w:rsidR="005834F5" w:rsidRDefault="00000000">
      <w:pPr>
        <w:tabs>
          <w:tab w:val="center" w:pos="1894"/>
          <w:tab w:val="center" w:pos="3574"/>
          <w:tab w:val="center" w:pos="4862"/>
          <w:tab w:val="center" w:pos="6158"/>
          <w:tab w:val="center" w:pos="7212"/>
          <w:tab w:val="right" w:pos="9081"/>
        </w:tabs>
        <w:spacing w:after="120" w:line="259" w:lineRule="auto"/>
        <w:ind w:left="-15" w:right="0" w:firstLine="0"/>
        <w:jc w:val="left"/>
      </w:pPr>
      <w:r>
        <w:rPr>
          <w:b/>
        </w:rPr>
        <w:t xml:space="preserve">3 </w:t>
      </w:r>
      <w:r>
        <w:rPr>
          <w:b/>
        </w:rPr>
        <w:tab/>
        <w:t xml:space="preserve">ATRAVESSAMENTO </w:t>
      </w:r>
      <w:r>
        <w:rPr>
          <w:b/>
        </w:rPr>
        <w:tab/>
        <w:t xml:space="preserve">DA </w:t>
      </w:r>
      <w:r>
        <w:rPr>
          <w:b/>
        </w:rPr>
        <w:tab/>
        <w:t xml:space="preserve">ATUALIDADE </w:t>
      </w:r>
      <w:r>
        <w:rPr>
          <w:b/>
        </w:rPr>
        <w:tab/>
        <w:t xml:space="preserve">NO </w:t>
      </w:r>
      <w:r>
        <w:rPr>
          <w:b/>
        </w:rPr>
        <w:tab/>
        <w:t xml:space="preserve">SERVIÇO </w:t>
      </w:r>
      <w:r>
        <w:rPr>
          <w:b/>
        </w:rPr>
        <w:tab/>
        <w:t xml:space="preserve">SOCIAL: </w:t>
      </w:r>
    </w:p>
    <w:p w14:paraId="0F6A4D65" w14:textId="77777777" w:rsidR="005834F5" w:rsidRDefault="00000000">
      <w:pPr>
        <w:pStyle w:val="Ttulo1"/>
        <w:ind w:left="-5"/>
      </w:pPr>
      <w:r>
        <w:t>PERSPECTIVAS ÉTICAS E EXPERIÊNCIAS PROFISSIONAIS</w:t>
      </w:r>
      <w:r>
        <w:rPr>
          <w:b w:val="0"/>
        </w:rPr>
        <w:t xml:space="preserve"> </w:t>
      </w:r>
    </w:p>
    <w:p w14:paraId="7C27CABE" w14:textId="77777777" w:rsidR="005834F5" w:rsidRDefault="00000000">
      <w:pPr>
        <w:spacing w:after="117" w:line="259" w:lineRule="auto"/>
        <w:ind w:left="708" w:right="0" w:firstLine="0"/>
        <w:jc w:val="left"/>
      </w:pPr>
      <w:r>
        <w:t xml:space="preserve"> </w:t>
      </w:r>
    </w:p>
    <w:p w14:paraId="1D99DDED" w14:textId="77777777" w:rsidR="005834F5" w:rsidRDefault="00000000">
      <w:pPr>
        <w:ind w:left="-15" w:right="0"/>
      </w:pPr>
      <w:r>
        <w:t xml:space="preserve">O avanço do conservadorismo e neoliberalismo constitui-se como problema concreto para a Política de Assistência Social brasileira e a materialização dos princípios Ético-Políticos do Serviço Social desde o ano de 2016. A lógica da vulnerabilização social e da precarização das condições de vida somadas à herança histórica do assistencialismo, paternalismo e cultura do favor tornam-se a mola propulsora da hegemonia do sistema capitalista no Brasil. </w:t>
      </w:r>
    </w:p>
    <w:p w14:paraId="32E38D2A" w14:textId="77777777" w:rsidR="005834F5" w:rsidRDefault="00000000">
      <w:pPr>
        <w:ind w:left="-15" w:right="0"/>
      </w:pPr>
      <w:r>
        <w:t xml:space="preserve">O SUAS se coloca sob a visão que contempla a lógica supracitada e atua para a democratização e equidade de acesso a políticas, programa, serviço, etc., que proporcionem aos sujeitos vítimas das contradições do capital condições mínimas para subsistência, e ainda como já disse Mota (2008): </w:t>
      </w:r>
    </w:p>
    <w:p w14:paraId="5EAB4359" w14:textId="77777777" w:rsidR="005834F5" w:rsidRDefault="00000000">
      <w:pPr>
        <w:spacing w:after="79" w:line="259" w:lineRule="auto"/>
        <w:ind w:right="0" w:firstLine="0"/>
        <w:jc w:val="left"/>
      </w:pPr>
      <w:r>
        <w:t xml:space="preserve"> </w:t>
      </w:r>
    </w:p>
    <w:p w14:paraId="6B4384EC" w14:textId="77777777" w:rsidR="005834F5" w:rsidRDefault="00000000">
      <w:pPr>
        <w:spacing w:after="36" w:line="244" w:lineRule="auto"/>
        <w:ind w:left="2264" w:right="-3" w:hanging="10"/>
      </w:pPr>
      <w:r>
        <w:rPr>
          <w:sz w:val="20"/>
        </w:rPr>
        <w:t xml:space="preserve">[...] a possibilidade de superar a histórica cultura assistencialista brasileira, levada a efeito pelo patrimonialismo da classe dominante, cujos traços principais são a ideologia do favor, da ajuda, da dádiva, aliados à superação da ideologia da caridade e do </w:t>
      </w:r>
      <w:r>
        <w:rPr>
          <w:i/>
          <w:sz w:val="20"/>
        </w:rPr>
        <w:t>primeiro-</w:t>
      </w:r>
      <w:proofErr w:type="spellStart"/>
      <w:r>
        <w:rPr>
          <w:i/>
          <w:sz w:val="20"/>
        </w:rPr>
        <w:t>damismo</w:t>
      </w:r>
      <w:proofErr w:type="spellEnd"/>
      <w:r>
        <w:rPr>
          <w:i/>
          <w:sz w:val="20"/>
        </w:rPr>
        <w:t xml:space="preserve"> </w:t>
      </w:r>
      <w:r>
        <w:rPr>
          <w:sz w:val="20"/>
        </w:rPr>
        <w:t xml:space="preserve">através da criação de parâmetros técnicos e da profissionalização da execução da Assistência </w:t>
      </w:r>
      <w:r>
        <w:rPr>
          <w:sz w:val="20"/>
        </w:rPr>
        <w:lastRenderedPageBreak/>
        <w:t xml:space="preserve">Social, como dão indícios as competências requeridas para a implementação da proposta. (Mota, 2008, p. 190-191). </w:t>
      </w:r>
    </w:p>
    <w:p w14:paraId="184F388A" w14:textId="77777777" w:rsidR="005834F5" w:rsidRDefault="00000000">
      <w:pPr>
        <w:spacing w:after="0" w:line="259" w:lineRule="auto"/>
        <w:ind w:right="0" w:firstLine="0"/>
        <w:jc w:val="left"/>
      </w:pPr>
      <w:r>
        <w:t xml:space="preserve"> </w:t>
      </w:r>
    </w:p>
    <w:p w14:paraId="3238C1B4" w14:textId="77777777" w:rsidR="005834F5" w:rsidRDefault="00000000">
      <w:pPr>
        <w:spacing w:after="35" w:line="259" w:lineRule="auto"/>
        <w:ind w:right="0" w:firstLine="0"/>
        <w:jc w:val="left"/>
      </w:pPr>
      <w:r>
        <w:rPr>
          <w:sz w:val="22"/>
        </w:rPr>
        <w:t xml:space="preserve"> </w:t>
      </w:r>
    </w:p>
    <w:p w14:paraId="466BD960" w14:textId="77777777" w:rsidR="005834F5" w:rsidRDefault="00000000">
      <w:pPr>
        <w:ind w:left="-15" w:right="0"/>
      </w:pPr>
      <w:r>
        <w:t xml:space="preserve">E, como escreveu Santos e Castro (2018, p. 67) “[...] a política de assistência social, bem como, outras ações estatais surgem como alternativa suplementar, porém muitas vezes, como única opção da população sujeita às implicações oriundas do sistema capitalista”.  </w:t>
      </w:r>
    </w:p>
    <w:p w14:paraId="327F208D" w14:textId="77777777" w:rsidR="005834F5" w:rsidRDefault="00000000">
      <w:pPr>
        <w:ind w:left="-15" w:right="0"/>
      </w:pPr>
      <w:r>
        <w:t xml:space="preserve">Outrossim, nos relatos das assistentes sociais aos questionários da pesquisa, encontramos que a disseminação, informação sobre os direitos sociais pode desempenhar um papel indispensável para romper com o exposto por Mota (2008). </w:t>
      </w:r>
    </w:p>
    <w:p w14:paraId="5210918C" w14:textId="77777777" w:rsidR="005834F5" w:rsidRDefault="00000000">
      <w:pPr>
        <w:ind w:left="-15" w:right="0" w:firstLine="0"/>
      </w:pPr>
      <w:r>
        <w:t xml:space="preserve">Sobre a não divulgação de informações aos usuários, a NOB-RH/SUAS Anotada e Comentada (2011, p. 19) nos diz que “[...] Isso ocorre porque muitas vezes a transparência das informações leva ao maior controle por parte do cidadão, deixando mais evidentes as responsabilidades, ações e omissões dos agentes públicos”. A Assistente Social n°5 diz que: </w:t>
      </w:r>
    </w:p>
    <w:p w14:paraId="60AC76E8" w14:textId="77777777" w:rsidR="005834F5" w:rsidRDefault="00000000">
      <w:pPr>
        <w:spacing w:after="76" w:line="259" w:lineRule="auto"/>
        <w:ind w:right="0" w:firstLine="0"/>
        <w:jc w:val="left"/>
      </w:pPr>
      <w:r>
        <w:t xml:space="preserve"> </w:t>
      </w:r>
    </w:p>
    <w:p w14:paraId="535A9452" w14:textId="77777777" w:rsidR="005834F5" w:rsidRDefault="00000000">
      <w:pPr>
        <w:spacing w:after="37" w:line="244" w:lineRule="auto"/>
        <w:ind w:left="2264" w:right="-3" w:hanging="10"/>
      </w:pPr>
      <w:r>
        <w:rPr>
          <w:sz w:val="20"/>
        </w:rPr>
        <w:t xml:space="preserve">No dia a dia e mesmo diante das limitações dentro da política de assistência social, buscamos sobretudo informar a população usuária sobre seus direitos e os meios de acessá-los. Nos atendimentos e visitas, buscamos informar aos usuários sobre o sigilo das informações repassadas por estes e informarmos que eles têm autonomia para participar dos grupos de famílias e/ou SCFV. todas as ações são pensadas para que consigamos estabelecer vínculos com a comunidade e entendemos os estudos sociais como instrumentos de garantias de direitos. </w:t>
      </w:r>
    </w:p>
    <w:p w14:paraId="54F8F929" w14:textId="77777777" w:rsidR="005834F5" w:rsidRDefault="00000000">
      <w:pPr>
        <w:spacing w:after="117" w:line="259" w:lineRule="auto"/>
        <w:ind w:right="0" w:firstLine="0"/>
        <w:jc w:val="left"/>
      </w:pPr>
      <w:r>
        <w:t xml:space="preserve"> </w:t>
      </w:r>
    </w:p>
    <w:p w14:paraId="6E7B7EE5" w14:textId="77777777" w:rsidR="005834F5" w:rsidRDefault="00000000">
      <w:pPr>
        <w:ind w:left="-15" w:right="0"/>
      </w:pPr>
      <w:r>
        <w:t xml:space="preserve">Pontuando as dificuldades, nota-se que a redução do teto de gastos com a assistência social na esfera nacional, a fragilização e subordinação dos vínculos de trabalho das/os profissionais impõem-se cotidianamente ao fazer profissional das assistentes sociais nos Centros de Referências de Assistência Social (CRAS) em Mossoró, acaba deixando o trabalho dos profissionais desta área em uma situação precarizada, pois </w:t>
      </w:r>
      <w:proofErr w:type="gramStart"/>
      <w:r>
        <w:t>o exercício profissional por diversas vezes ficam</w:t>
      </w:r>
      <w:proofErr w:type="gramEnd"/>
      <w:r>
        <w:t xml:space="preserve"> limitados. </w:t>
      </w:r>
    </w:p>
    <w:p w14:paraId="12C011B4" w14:textId="77777777" w:rsidR="005834F5" w:rsidRDefault="00000000">
      <w:pPr>
        <w:ind w:left="-15" w:right="0"/>
      </w:pPr>
      <w:r>
        <w:lastRenderedPageBreak/>
        <w:t xml:space="preserve">Na primeira fase da nossa pesquisa encontramos a materialização dessa realidade explicitamente na fala da Assistente Social n°5 sobre haver desafios na concretização do Código de Ética, a profissional respondeu da seguinte forma:  </w:t>
      </w:r>
    </w:p>
    <w:p w14:paraId="6D73D944" w14:textId="77777777" w:rsidR="005834F5" w:rsidRDefault="00000000">
      <w:pPr>
        <w:spacing w:after="0" w:line="259" w:lineRule="auto"/>
        <w:ind w:left="720" w:right="0" w:firstLine="0"/>
        <w:jc w:val="left"/>
      </w:pPr>
      <w:r>
        <w:t xml:space="preserve"> </w:t>
      </w:r>
    </w:p>
    <w:p w14:paraId="1062EC5C" w14:textId="77777777" w:rsidR="005834F5" w:rsidRDefault="00000000">
      <w:pPr>
        <w:spacing w:after="0" w:line="259" w:lineRule="auto"/>
        <w:ind w:right="0" w:firstLine="0"/>
        <w:jc w:val="left"/>
      </w:pPr>
      <w:r>
        <w:rPr>
          <w:sz w:val="22"/>
        </w:rPr>
        <w:t xml:space="preserve"> </w:t>
      </w:r>
    </w:p>
    <w:p w14:paraId="3E123334" w14:textId="77777777" w:rsidR="005834F5" w:rsidRDefault="00000000">
      <w:pPr>
        <w:spacing w:after="36" w:line="244" w:lineRule="auto"/>
        <w:ind w:left="2264" w:right="-3" w:hanging="10"/>
      </w:pPr>
      <w:r>
        <w:rPr>
          <w:sz w:val="20"/>
        </w:rPr>
        <w:t xml:space="preserve">Sim, principalmente quando temos chefia imediata que não conheceu, de fato, o SUAS, e que solicita e/ou impõe demandas que não são atribuições das profissionais. Os desafios são vários, que vão desde a estrutura precária dos equipamentos que não garantem sequer o sigilo no atendimento aos usuários, a falta de recursos na política de assistência social (escassez de carro para as visitas e acompanhamentos; paralisação dos benefícios eventuais-cesta básica) que fragiliza as ações profissionais e os vínculos com os usuários que não têm suas demandas atendidas. </w:t>
      </w:r>
    </w:p>
    <w:p w14:paraId="5B432B0E" w14:textId="77777777" w:rsidR="005834F5" w:rsidRDefault="00000000">
      <w:pPr>
        <w:spacing w:after="115" w:line="259" w:lineRule="auto"/>
        <w:ind w:right="0" w:firstLine="0"/>
        <w:jc w:val="left"/>
      </w:pPr>
      <w:r>
        <w:t xml:space="preserve"> </w:t>
      </w:r>
    </w:p>
    <w:p w14:paraId="3AD797C5" w14:textId="77777777" w:rsidR="005834F5" w:rsidRDefault="00000000">
      <w:pPr>
        <w:ind w:left="-15" w:right="0"/>
      </w:pPr>
      <w:r>
        <w:t xml:space="preserve">Destacamos aqui a NOB/SUAS afirmando que alguns dos princípios éticos que orientam o trabalho do assistente social é justamente a defesa intransigente dos direitos socioassistenciais de cada usuário, como também o compromisso na viabilização de serviços, programas, projetos e benefícios que garantam ao usuário o fortalecimento de laços sociais e também familiares (NOB-RH/SUAS anotada e comentada, 2011, p. 19-20). Todavia, para que as/os profissionais consigam efetuar esses princípios é preciso que seja propiciado pela esfera municipal e federal na organização dos espaços socioinstitucionais meios e condições para tal.  </w:t>
      </w:r>
    </w:p>
    <w:p w14:paraId="7BE638AE" w14:textId="77777777" w:rsidR="005834F5" w:rsidRDefault="00000000">
      <w:pPr>
        <w:ind w:left="-15" w:right="0"/>
      </w:pPr>
      <w:r>
        <w:t xml:space="preserve">Corroborando com isso, o uso dos instrumentais no fazer profissional são demasiadamente importantes, além de que, o mesmo contribui para o fortalecimento do Projeto Ético-Político Profissional. Nesse sentido, pode-se dizer que </w:t>
      </w:r>
      <w:proofErr w:type="gramStart"/>
      <w:r>
        <w:t>o uso dos instrumentos no exercício profissional pelas assistentes sociais são</w:t>
      </w:r>
      <w:proofErr w:type="gramEnd"/>
      <w:r>
        <w:t xml:space="preserve"> vistos como indispensáveis nas mediações das demandas que chegam até a instituição, buscando uma melhor e mais qualificada maneira de efetivar e viabilizar os direitos da população usuária ali presente nos espaços socioinstitucionais.  </w:t>
      </w:r>
    </w:p>
    <w:p w14:paraId="4A195C6D" w14:textId="77777777" w:rsidR="005834F5" w:rsidRDefault="00000000">
      <w:pPr>
        <w:ind w:left="-15" w:right="0"/>
      </w:pPr>
      <w:r>
        <w:t xml:space="preserve">Consonante a isso, Guerra (2014) afirma que </w:t>
      </w:r>
      <w:proofErr w:type="gramStart"/>
      <w:r>
        <w:t>os instrumentos e a instrumentalidade pode</w:t>
      </w:r>
      <w:proofErr w:type="gramEnd"/>
      <w:r>
        <w:t xml:space="preserve"> ser enriquecida quando: </w:t>
      </w:r>
    </w:p>
    <w:p w14:paraId="49FBAD1F" w14:textId="77777777" w:rsidR="005834F5" w:rsidRDefault="00000000">
      <w:pPr>
        <w:spacing w:after="76" w:line="259" w:lineRule="auto"/>
        <w:ind w:left="720" w:right="0" w:firstLine="0"/>
        <w:jc w:val="left"/>
      </w:pPr>
      <w:r>
        <w:t xml:space="preserve"> </w:t>
      </w:r>
    </w:p>
    <w:p w14:paraId="572D4AD6" w14:textId="77777777" w:rsidR="005834F5" w:rsidRDefault="00000000">
      <w:pPr>
        <w:spacing w:after="5" w:line="244" w:lineRule="auto"/>
        <w:ind w:left="2264" w:right="-3" w:hanging="10"/>
      </w:pPr>
      <w:r>
        <w:rPr>
          <w:sz w:val="20"/>
        </w:rPr>
        <w:t xml:space="preserve">Quando lutamos contra a individualização dos problemas, enfrentamos os processos que levam a culpabilização e responsabilização dos usuários das </w:t>
      </w:r>
      <w:r>
        <w:rPr>
          <w:sz w:val="20"/>
        </w:rPr>
        <w:lastRenderedPageBreak/>
        <w:t>políticas sociais por aquilo que a ordem burguesa considera “seu problema”. [...] nos articulamos com os movimentos sociais e sindicais para arregimentar forças, quando estamos orientados pelo nosso projeto profissional afirmando os princípios do Código de Ética, observando as atribuições e competências da Lei de Regulamentação, honrando um determinado perfil profissional, explicitado nas diretrizes da formação profissional. (Guerra, 2014, p. 40-41)</w:t>
      </w:r>
      <w:r>
        <w:t xml:space="preserve"> </w:t>
      </w:r>
    </w:p>
    <w:p w14:paraId="7F9CE601" w14:textId="77777777" w:rsidR="005834F5" w:rsidRDefault="00000000">
      <w:pPr>
        <w:spacing w:after="0" w:line="259" w:lineRule="auto"/>
        <w:ind w:right="0" w:firstLine="0"/>
        <w:jc w:val="left"/>
      </w:pPr>
      <w:r>
        <w:t xml:space="preserve"> </w:t>
      </w:r>
    </w:p>
    <w:p w14:paraId="4130B4A4" w14:textId="77777777" w:rsidR="005834F5" w:rsidRDefault="00000000">
      <w:pPr>
        <w:spacing w:after="35" w:line="259" w:lineRule="auto"/>
        <w:ind w:right="0" w:firstLine="0"/>
        <w:jc w:val="left"/>
      </w:pPr>
      <w:r>
        <w:rPr>
          <w:sz w:val="22"/>
        </w:rPr>
        <w:t xml:space="preserve"> </w:t>
      </w:r>
    </w:p>
    <w:p w14:paraId="048ED039" w14:textId="77777777" w:rsidR="005834F5" w:rsidRDefault="00000000">
      <w:pPr>
        <w:ind w:left="-15" w:right="0"/>
      </w:pPr>
      <w:r>
        <w:t xml:space="preserve">Importante mencionar que nessa primeira etapa da pesquisa com as Assistentes Sociais nos CRAS em Mossoró-RN(2023-2024), foi possível contactar todos os 14 (quatorze) Centros e seus respectivos profissionais, contudo, 02 (dois) desses foram realocados para a secretaria Municipal de Saúde, o que dificultou de certa forma a realização da pesquisa devido a impossibilidade de ter o contato com os mesmos/as. Do total supracitado, recebemos respostas favoráveis à contribuição com a pesquisa de 07 (sete) instituições e afirmamos que as negativas recebidas das demais profissionais também teve uma contribuição, à sua maneira, com a pesquisa. </w:t>
      </w:r>
    </w:p>
    <w:p w14:paraId="75D6C99C" w14:textId="77777777" w:rsidR="005834F5" w:rsidRDefault="00000000">
      <w:pPr>
        <w:ind w:left="-15" w:right="0"/>
      </w:pPr>
      <w:r>
        <w:t xml:space="preserve">Sendo assim, as respostas acerca do uso dos instrumentais na realização do seu exercício profissional, todas afirmam fazer uso cotidiano destes </w:t>
      </w:r>
      <w:proofErr w:type="gramStart"/>
      <w:r>
        <w:t>instrumentais .</w:t>
      </w:r>
      <w:proofErr w:type="gramEnd"/>
      <w:r>
        <w:t xml:space="preserve"> No decorrer da pesquisa de campo, as assistentes sociais relataram fazer uso de instrumentos como prontuários, visitas domiciliares, atendimentos particularizados, escuta qualificada, entrevistas sociais, relatórios sociais, estudos sociais, observação, encaminhamentos, articulação com outras políticas sociais, indispensavelmente.  </w:t>
      </w:r>
    </w:p>
    <w:p w14:paraId="4C015AA2" w14:textId="77777777" w:rsidR="005834F5" w:rsidRDefault="00000000">
      <w:pPr>
        <w:ind w:left="-15" w:right="0"/>
      </w:pPr>
      <w:r>
        <w:t xml:space="preserve">Entretanto, destaca-se a necessidade e importância da formação continuada, ao longo da pesquisa encontramos percalços envolvendo uma maior dificuldade por parte das profissionais no que se refere à interpretação e o profundamente de questões mais densas e de cunho acadêmico, bem como estabelecimento de uma articulação fidedigna entre a teoria e a realidade vivenciada dentro das instituições  e ao mesmo tempo  termos a compreensão que os instrumentais utilizados não são meras técnicas, as mesmas trazem implicitamente juízos de valores, concepções políticas, interesses escusos por aqueles/as que elaboram estes instrumentais. Nesta direção podemos reafirmar que a ciência não é neutra, consequentemente os manuais, o desenho das políticas públicas, programas e projetos implementados por nós vem já com estes elementos, valores acima mencionados. </w:t>
      </w:r>
    </w:p>
    <w:p w14:paraId="6AFEE785" w14:textId="77777777" w:rsidR="005834F5" w:rsidRDefault="00000000">
      <w:pPr>
        <w:spacing w:after="136" w:line="259" w:lineRule="auto"/>
        <w:ind w:right="0" w:firstLine="0"/>
        <w:jc w:val="left"/>
      </w:pPr>
      <w:r>
        <w:rPr>
          <w:b/>
        </w:rPr>
        <w:lastRenderedPageBreak/>
        <w:t xml:space="preserve"> </w:t>
      </w:r>
    </w:p>
    <w:p w14:paraId="5004BE05" w14:textId="77777777" w:rsidR="005834F5" w:rsidRDefault="00000000">
      <w:pPr>
        <w:pStyle w:val="Ttulo1"/>
        <w:tabs>
          <w:tab w:val="center" w:pos="1493"/>
        </w:tabs>
        <w:ind w:left="-15" w:firstLine="0"/>
      </w:pPr>
      <w:r>
        <w:t xml:space="preserve">4 </w:t>
      </w:r>
      <w:r>
        <w:tab/>
        <w:t>CONCLUSÃO</w:t>
      </w:r>
      <w:r>
        <w:rPr>
          <w:b w:val="0"/>
        </w:rPr>
        <w:t xml:space="preserve"> </w:t>
      </w:r>
    </w:p>
    <w:p w14:paraId="60FAA473" w14:textId="77777777" w:rsidR="005834F5" w:rsidRDefault="00000000">
      <w:pPr>
        <w:spacing w:after="0" w:line="259" w:lineRule="auto"/>
        <w:ind w:right="0" w:firstLine="0"/>
        <w:jc w:val="left"/>
      </w:pPr>
      <w:r>
        <w:t xml:space="preserve"> </w:t>
      </w:r>
    </w:p>
    <w:p w14:paraId="0A83B96E" w14:textId="77777777" w:rsidR="005834F5" w:rsidRDefault="00000000">
      <w:pPr>
        <w:spacing w:after="35" w:line="259" w:lineRule="auto"/>
        <w:ind w:right="0" w:firstLine="0"/>
        <w:jc w:val="left"/>
      </w:pPr>
      <w:r>
        <w:rPr>
          <w:sz w:val="22"/>
        </w:rPr>
        <w:t xml:space="preserve"> </w:t>
      </w:r>
    </w:p>
    <w:p w14:paraId="7A6D68C7" w14:textId="77777777" w:rsidR="005834F5" w:rsidRDefault="00000000">
      <w:pPr>
        <w:ind w:left="-15" w:right="0"/>
      </w:pPr>
      <w:r>
        <w:t xml:space="preserve">As afirmativas até então mencionadas, apresentam os diversos atravessamentos e desafios vivenciados pelos/as profissionais hodiernamente, os quais preconizam inicialmente mudanças estruturais e que neste quesito nos levam a afirmar, fundamentados nas falas e narrativas das pesquisadas, que os mesmos tem acompanhado um </w:t>
      </w:r>
      <w:proofErr w:type="spellStart"/>
      <w:r>
        <w:t>agudizamento</w:t>
      </w:r>
      <w:proofErr w:type="spellEnd"/>
      <w:r>
        <w:t xml:space="preserve"> do capital na sua fase atual, ainda, o fortalecendo cada vez maior em todas as suas dimensões. Numa linguagem mais acessível afirmamos “Cotidianamente lutamos contra o Modo de produção capitalista que se fortalece e as implicações diversas para nós, pois no nosso dia-a-dia queremos, desejamos fundamentados/as no P.E.P uma nova possibilidade de sociabilidade”, aqui reside um dentre outros desafios para nossa profissão.  </w:t>
      </w:r>
    </w:p>
    <w:p w14:paraId="5259A6DC" w14:textId="77777777" w:rsidR="005834F5" w:rsidRDefault="00000000">
      <w:pPr>
        <w:ind w:left="-15" w:right="0"/>
      </w:pPr>
      <w:r>
        <w:t xml:space="preserve">Em se tratando das adversidades é possível afirmar que mesmo que o Serviço Social tenha superado vários desafios, o mesmo ainda vivencia </w:t>
      </w:r>
      <w:proofErr w:type="gramStart"/>
      <w:r>
        <w:t>situações  no</w:t>
      </w:r>
      <w:proofErr w:type="gramEnd"/>
      <w:r>
        <w:t xml:space="preserve"> cotidiano </w:t>
      </w:r>
      <w:proofErr w:type="gramStart"/>
      <w:r>
        <w:t>profissional  que</w:t>
      </w:r>
      <w:proofErr w:type="gramEnd"/>
      <w:r>
        <w:t xml:space="preserve"> limitam o seu fazer profissional dentro dos espaços sócio ocupacionais. Nesse cenário, os assistentes sociais atuantes dos CRAS de Mossoró/RN buscam por meio dos instrumentos técnico-operativos, realizar uma intervenção que está comprometida com os princípios éticos da profissão articulando com o Projeto Ético-Político da profissão.  </w:t>
      </w:r>
    </w:p>
    <w:p w14:paraId="54631678" w14:textId="77777777" w:rsidR="005834F5" w:rsidRDefault="00000000">
      <w:pPr>
        <w:ind w:left="-15" w:right="0"/>
      </w:pPr>
      <w:r>
        <w:t xml:space="preserve">O Projeto Ético-Político representa um marco no processo de profissionalização do Serviço Social brasileiro, promovendo uma prática comprometida com os direitos sociais, com a liberdade e com a transformação social. No entanto, sua efetivação está condicionada ao enfrentamento de diversos desafios, sobretudo em contextos de crise e retrocessos democráticos.  </w:t>
      </w:r>
    </w:p>
    <w:p w14:paraId="7861DD8C" w14:textId="77777777" w:rsidR="005834F5" w:rsidRDefault="00000000">
      <w:pPr>
        <w:ind w:left="-15" w:right="0"/>
      </w:pPr>
      <w:r>
        <w:t xml:space="preserve">Cabe aos/às assistentes sociais, enquanto sujeitos políticos, fortalecimento profissional alinhando nosso Projeto Ético-Político com outras categorias profissionais, aprofundando o compromisso ético-político da profissão e contribuindo ativamente na luta por uma sociedade mais justa e igualitária. </w:t>
      </w:r>
    </w:p>
    <w:p w14:paraId="5D7D2989" w14:textId="77777777" w:rsidR="005834F5" w:rsidRDefault="00000000">
      <w:pPr>
        <w:ind w:left="-15" w:right="0"/>
      </w:pPr>
      <w:r>
        <w:lastRenderedPageBreak/>
        <w:t xml:space="preserve">Em suma, pensar nosso fazer </w:t>
      </w:r>
      <w:proofErr w:type="gramStart"/>
      <w:r>
        <w:t>profissional  como</w:t>
      </w:r>
      <w:proofErr w:type="gramEnd"/>
      <w:r>
        <w:t xml:space="preserve"> um processo continuado e permanente é imprescindível para que se possa fortalecer a identidade crítica do </w:t>
      </w:r>
    </w:p>
    <w:p w14:paraId="25AF5958" w14:textId="77777777" w:rsidR="005834F5" w:rsidRDefault="00000000">
      <w:pPr>
        <w:ind w:left="-15" w:right="0" w:firstLine="0"/>
      </w:pPr>
      <w:r>
        <w:t xml:space="preserve">Serviço Social. No tocante ainda a alguns resultados da pesquisa, no qual, afirma-se que a pesquisa não contribui apenas para dar visibilidade às práticas desenvolvidas pelas/os profissionais assistentes sociais nos CRAS, como também reforça a urgência em fortalecer o Projeto Ético-Político, sabendo que é por meio deste que o Serviço Social, afirma-se como uma profissão que está comprometida com a defesa dos direitos, com a justiça social e com a consolidação de uma sociedade mais justa, igualitária e sem preconceitos. </w:t>
      </w:r>
    </w:p>
    <w:p w14:paraId="53034003" w14:textId="77777777" w:rsidR="005834F5" w:rsidRDefault="00000000">
      <w:pPr>
        <w:spacing w:after="117" w:line="259" w:lineRule="auto"/>
        <w:ind w:right="0" w:firstLine="0"/>
        <w:jc w:val="left"/>
      </w:pPr>
      <w:r>
        <w:t xml:space="preserve"> </w:t>
      </w:r>
    </w:p>
    <w:p w14:paraId="3EBB9206" w14:textId="77777777" w:rsidR="005834F5" w:rsidRDefault="00000000">
      <w:pPr>
        <w:spacing w:after="115" w:line="259" w:lineRule="auto"/>
        <w:ind w:firstLine="0"/>
        <w:jc w:val="center"/>
      </w:pPr>
      <w:r>
        <w:rPr>
          <w:b/>
        </w:rPr>
        <w:t>REFERÊNCIAS</w:t>
      </w:r>
      <w:r>
        <w:t xml:space="preserve"> </w:t>
      </w:r>
    </w:p>
    <w:p w14:paraId="3CDDCF57" w14:textId="77777777" w:rsidR="005834F5" w:rsidRDefault="00000000">
      <w:pPr>
        <w:spacing w:after="0" w:line="259" w:lineRule="auto"/>
        <w:ind w:right="0" w:firstLine="0"/>
        <w:jc w:val="left"/>
      </w:pPr>
      <w:r>
        <w:t xml:space="preserve"> </w:t>
      </w:r>
    </w:p>
    <w:p w14:paraId="24680A4F" w14:textId="77777777" w:rsidR="005834F5" w:rsidRDefault="00000000">
      <w:pPr>
        <w:spacing w:line="240" w:lineRule="auto"/>
        <w:ind w:left="-15" w:right="0" w:firstLine="0"/>
      </w:pPr>
      <w:r>
        <w:t xml:space="preserve">BOURGUIGNON, J. A. A particularidade histórica da pesquisa no Serviço Social. </w:t>
      </w:r>
      <w:proofErr w:type="spellStart"/>
      <w:r>
        <w:rPr>
          <w:b/>
        </w:rPr>
        <w:t>Katálysis</w:t>
      </w:r>
      <w:proofErr w:type="spellEnd"/>
      <w:r>
        <w:t xml:space="preserve">, Florianópolis, v. 10, n. esp. p. 46-54, 2007. </w:t>
      </w:r>
    </w:p>
    <w:p w14:paraId="46603A09" w14:textId="77777777" w:rsidR="005834F5" w:rsidRDefault="00000000">
      <w:pPr>
        <w:spacing w:line="259" w:lineRule="auto"/>
        <w:ind w:left="-15" w:right="0" w:firstLine="0"/>
      </w:pPr>
      <w:r>
        <w:t xml:space="preserve">CNAS. CONSELHO NACIONAL DE ASSISTÊNCIA SOCIAL. </w:t>
      </w:r>
      <w:r>
        <w:rPr>
          <w:b/>
        </w:rPr>
        <w:t>Resolução nº 109</w:t>
      </w:r>
      <w:r>
        <w:t xml:space="preserve">, de </w:t>
      </w:r>
    </w:p>
    <w:p w14:paraId="749F5417" w14:textId="77777777" w:rsidR="005834F5" w:rsidRDefault="00000000">
      <w:pPr>
        <w:spacing w:line="259" w:lineRule="auto"/>
        <w:ind w:left="-15" w:right="0" w:firstLine="0"/>
      </w:pPr>
      <w:r>
        <w:t xml:space="preserve">11 de novembro de 2009. Aprova a Tipificação Nacional de Serviços </w:t>
      </w:r>
    </w:p>
    <w:p w14:paraId="1F69FAFB" w14:textId="77777777" w:rsidR="005834F5" w:rsidRDefault="00000000">
      <w:pPr>
        <w:spacing w:line="259" w:lineRule="auto"/>
        <w:ind w:left="-15" w:right="0" w:firstLine="0"/>
      </w:pPr>
      <w:r>
        <w:t xml:space="preserve">Socioassistenciais. Brasileira, 2009.  </w:t>
      </w:r>
    </w:p>
    <w:p w14:paraId="3FCE3624" w14:textId="77777777" w:rsidR="005834F5" w:rsidRDefault="00000000">
      <w:pPr>
        <w:spacing w:after="0" w:line="259" w:lineRule="auto"/>
        <w:ind w:right="0" w:firstLine="0"/>
        <w:jc w:val="left"/>
      </w:pPr>
      <w:r>
        <w:t xml:space="preserve"> </w:t>
      </w:r>
    </w:p>
    <w:p w14:paraId="64FFDD71" w14:textId="77777777" w:rsidR="005834F5" w:rsidRDefault="00000000">
      <w:pPr>
        <w:spacing w:line="240" w:lineRule="auto"/>
        <w:ind w:left="-15" w:right="0" w:firstLine="0"/>
      </w:pPr>
      <w:r>
        <w:t>FERREIRA, Stela da silva.</w:t>
      </w:r>
      <w:r>
        <w:rPr>
          <w:b/>
        </w:rPr>
        <w:t xml:space="preserve"> NOB-RH Anotado e Comentada</w:t>
      </w:r>
      <w:r>
        <w:t xml:space="preserve"> - Brasília, DF: MDS; Secretaria Nacional de Assistência Social, 2011.  </w:t>
      </w:r>
    </w:p>
    <w:p w14:paraId="46DF1423" w14:textId="77777777" w:rsidR="005834F5" w:rsidRDefault="00000000">
      <w:pPr>
        <w:spacing w:after="0" w:line="259" w:lineRule="auto"/>
        <w:ind w:right="0" w:firstLine="0"/>
        <w:jc w:val="left"/>
      </w:pPr>
      <w:r>
        <w:t xml:space="preserve"> </w:t>
      </w:r>
    </w:p>
    <w:p w14:paraId="7714659E" w14:textId="77777777" w:rsidR="005834F5" w:rsidRDefault="00000000">
      <w:pPr>
        <w:spacing w:line="240" w:lineRule="auto"/>
        <w:ind w:left="-15" w:right="0" w:firstLine="0"/>
      </w:pPr>
      <w:r>
        <w:t xml:space="preserve">GUERRA, Yolanda. </w:t>
      </w:r>
      <w:r>
        <w:rPr>
          <w:b/>
        </w:rPr>
        <w:t>A instrumentalidade do Serviço Social</w:t>
      </w:r>
      <w:r>
        <w:t xml:space="preserve">. 10 ed. São Paulo: Cortez, 2014. </w:t>
      </w:r>
    </w:p>
    <w:p w14:paraId="648B559C" w14:textId="77777777" w:rsidR="005834F5" w:rsidRDefault="00000000">
      <w:pPr>
        <w:spacing w:after="0" w:line="259" w:lineRule="auto"/>
        <w:ind w:right="0" w:firstLine="0"/>
        <w:jc w:val="left"/>
      </w:pPr>
      <w:r>
        <w:t xml:space="preserve"> </w:t>
      </w:r>
    </w:p>
    <w:p w14:paraId="50601B36" w14:textId="77777777" w:rsidR="005834F5" w:rsidRDefault="00000000">
      <w:pPr>
        <w:spacing w:line="241" w:lineRule="auto"/>
        <w:ind w:left="-15" w:right="0" w:firstLine="0"/>
      </w:pPr>
      <w:r>
        <w:t xml:space="preserve">IAMAMOTO, M. V. </w:t>
      </w:r>
      <w:r>
        <w:rPr>
          <w:b/>
        </w:rPr>
        <w:t>O serviço social na contemporaneidade</w:t>
      </w:r>
      <w:r>
        <w:t xml:space="preserve">: trabalho e formação profissional. 10º ed. São Paulo: Cortez, 1998. </w:t>
      </w:r>
    </w:p>
    <w:p w14:paraId="1200C2C8" w14:textId="77777777" w:rsidR="005834F5" w:rsidRDefault="00000000">
      <w:pPr>
        <w:spacing w:after="0" w:line="259" w:lineRule="auto"/>
        <w:ind w:right="0" w:firstLine="0"/>
        <w:jc w:val="left"/>
      </w:pPr>
      <w:r>
        <w:t xml:space="preserve"> </w:t>
      </w:r>
    </w:p>
    <w:p w14:paraId="423D362B" w14:textId="77777777" w:rsidR="005834F5" w:rsidRDefault="00000000">
      <w:pPr>
        <w:spacing w:line="240" w:lineRule="auto"/>
        <w:ind w:left="-15" w:right="0" w:firstLine="0"/>
      </w:pPr>
      <w:r>
        <w:t xml:space="preserve">MOTA, Ana Elizabete. Questão Social e Serviço Social: um debate necessário. In: MOTA, Ana Elizabete (Org). </w:t>
      </w:r>
      <w:r>
        <w:rPr>
          <w:b/>
        </w:rPr>
        <w:t>O Mito da Assistência Social - Ensaios sobre Estado, política e sociedade</w:t>
      </w:r>
      <w:r>
        <w:t xml:space="preserve">. 3. ed. São Paulo: Cortez, 2008.  </w:t>
      </w:r>
    </w:p>
    <w:p w14:paraId="4153DC59" w14:textId="77777777" w:rsidR="005834F5" w:rsidRDefault="00000000">
      <w:pPr>
        <w:spacing w:after="0" w:line="259" w:lineRule="auto"/>
        <w:ind w:right="0" w:firstLine="0"/>
        <w:jc w:val="left"/>
      </w:pPr>
      <w:r>
        <w:t xml:space="preserve"> </w:t>
      </w:r>
    </w:p>
    <w:p w14:paraId="49391C2C" w14:textId="77777777" w:rsidR="005834F5" w:rsidRDefault="00000000">
      <w:pPr>
        <w:spacing w:line="259" w:lineRule="auto"/>
        <w:ind w:left="-15" w:right="0" w:firstLine="0"/>
      </w:pPr>
      <w:r>
        <w:t xml:space="preserve">SANTOS, Mara Betânia Jales dos; CASTRO, Márcia da Silva Pereira. Política de </w:t>
      </w:r>
    </w:p>
    <w:p w14:paraId="2EFA95A8" w14:textId="77777777" w:rsidR="005834F5" w:rsidRDefault="00000000">
      <w:pPr>
        <w:spacing w:line="240" w:lineRule="auto"/>
        <w:ind w:left="-15" w:right="0" w:firstLine="0"/>
      </w:pPr>
      <w:r>
        <w:t xml:space="preserve">Assistência Social em Movimento: Avanços e Retrocessos em Tempos de Crise, </w:t>
      </w:r>
      <w:r>
        <w:rPr>
          <w:b/>
        </w:rPr>
        <w:t>Direitos sociais e políticas públicas: questões contemporâneas</w:t>
      </w:r>
      <w:r>
        <w:t xml:space="preserve">/ </w:t>
      </w:r>
      <w:proofErr w:type="spellStart"/>
      <w:r>
        <w:t>Suzaneide</w:t>
      </w:r>
      <w:proofErr w:type="spellEnd"/>
      <w:r>
        <w:t xml:space="preserve"> Ferreira da Silva, et al (</w:t>
      </w:r>
      <w:proofErr w:type="spellStart"/>
      <w:r>
        <w:t>orgs</w:t>
      </w:r>
      <w:proofErr w:type="spellEnd"/>
      <w:r>
        <w:t xml:space="preserve">) - Mossoró - RN: EDUERN, 2018.  </w:t>
      </w:r>
    </w:p>
    <w:p w14:paraId="5E4C276B" w14:textId="77777777" w:rsidR="005834F5" w:rsidRDefault="00000000">
      <w:pPr>
        <w:spacing w:after="0" w:line="259" w:lineRule="auto"/>
        <w:ind w:right="0" w:firstLine="0"/>
        <w:jc w:val="left"/>
      </w:pPr>
      <w:r>
        <w:t xml:space="preserve"> </w:t>
      </w:r>
    </w:p>
    <w:p w14:paraId="2A912876" w14:textId="77777777" w:rsidR="005834F5" w:rsidRDefault="00000000">
      <w:pPr>
        <w:spacing w:line="240" w:lineRule="auto"/>
        <w:ind w:left="-15" w:right="0" w:firstLine="0"/>
      </w:pPr>
      <w:r>
        <w:lastRenderedPageBreak/>
        <w:t xml:space="preserve">SANTOS, Cláudia Mônica dos. A dimensão técnico-operativa do serviço social: questões para reflexão. In: SANTOS, Cláudia Mônica dos. Et al. </w:t>
      </w:r>
      <w:r>
        <w:rPr>
          <w:b/>
        </w:rPr>
        <w:t xml:space="preserve">A dimensão </w:t>
      </w:r>
      <w:proofErr w:type="spellStart"/>
      <w:r>
        <w:rPr>
          <w:b/>
        </w:rPr>
        <w:t>técnicooperativa</w:t>
      </w:r>
      <w:proofErr w:type="spellEnd"/>
      <w:r>
        <w:rPr>
          <w:b/>
        </w:rPr>
        <w:t xml:space="preserve"> no serviço social</w:t>
      </w:r>
      <w:r>
        <w:t xml:space="preserve">: desafios contemporâneos. Juiz de Fora: </w:t>
      </w:r>
      <w:proofErr w:type="spellStart"/>
      <w:r>
        <w:t>EdUFRJ</w:t>
      </w:r>
      <w:proofErr w:type="spellEnd"/>
      <w:r>
        <w:t xml:space="preserve">, 2012. </w:t>
      </w:r>
    </w:p>
    <w:p w14:paraId="1DCA029F" w14:textId="77777777" w:rsidR="005834F5" w:rsidRDefault="00000000">
      <w:pPr>
        <w:spacing w:after="0" w:line="259" w:lineRule="auto"/>
        <w:ind w:right="0" w:firstLine="0"/>
        <w:jc w:val="left"/>
      </w:pPr>
      <w:r>
        <w:t xml:space="preserve"> </w:t>
      </w:r>
    </w:p>
    <w:p w14:paraId="69D359BD" w14:textId="77777777" w:rsidR="005834F5" w:rsidRDefault="00000000">
      <w:pPr>
        <w:spacing w:after="35" w:line="259" w:lineRule="auto"/>
        <w:ind w:right="0" w:firstLine="0"/>
        <w:jc w:val="left"/>
      </w:pPr>
      <w:r>
        <w:rPr>
          <w:sz w:val="22"/>
        </w:rPr>
        <w:t xml:space="preserve"> </w:t>
      </w:r>
    </w:p>
    <w:p w14:paraId="6C26888A" w14:textId="77777777" w:rsidR="005834F5" w:rsidRDefault="00000000">
      <w:pPr>
        <w:spacing w:line="240" w:lineRule="auto"/>
        <w:ind w:left="-15" w:right="0" w:firstLine="0"/>
      </w:pPr>
      <w:r>
        <w:t xml:space="preserve">SILVA, Ricardo Silvestre da. A formação profissional crítica em Serviço Social inserida na ordem do capital monopolista. </w:t>
      </w:r>
      <w:r>
        <w:rPr>
          <w:b/>
        </w:rPr>
        <w:t>Serviço Social &amp; Sociedade</w:t>
      </w:r>
      <w:r>
        <w:t xml:space="preserve">, São Paulo, n. 103, p. 405-432, jul./set. 2010. </w:t>
      </w:r>
    </w:p>
    <w:sectPr w:rsidR="005834F5">
      <w:headerReference w:type="even" r:id="rId6"/>
      <w:headerReference w:type="default" r:id="rId7"/>
      <w:headerReference w:type="first" r:id="rId8"/>
      <w:footnotePr>
        <w:numRestart w:val="eachPage"/>
      </w:footnotePr>
      <w:pgSz w:w="11909" w:h="16834"/>
      <w:pgMar w:top="3447" w:right="1126" w:bottom="1131"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DB9A2" w14:textId="77777777" w:rsidR="00E53691" w:rsidRDefault="00E53691">
      <w:pPr>
        <w:spacing w:after="0" w:line="240" w:lineRule="auto"/>
      </w:pPr>
      <w:r>
        <w:separator/>
      </w:r>
    </w:p>
  </w:endnote>
  <w:endnote w:type="continuationSeparator" w:id="0">
    <w:p w14:paraId="3CB70530" w14:textId="77777777" w:rsidR="00E53691" w:rsidRDefault="00E5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B4759" w14:textId="77777777" w:rsidR="00E53691" w:rsidRDefault="00E53691">
      <w:pPr>
        <w:spacing w:after="0" w:line="263" w:lineRule="auto"/>
        <w:ind w:right="0" w:firstLine="0"/>
      </w:pPr>
      <w:r>
        <w:separator/>
      </w:r>
    </w:p>
  </w:footnote>
  <w:footnote w:type="continuationSeparator" w:id="0">
    <w:p w14:paraId="250331F3" w14:textId="77777777" w:rsidR="00E53691" w:rsidRDefault="00E53691">
      <w:pPr>
        <w:spacing w:after="0" w:line="263" w:lineRule="auto"/>
        <w:ind w:right="0" w:firstLine="0"/>
      </w:pPr>
      <w:r>
        <w:continuationSeparator/>
      </w:r>
    </w:p>
  </w:footnote>
  <w:footnote w:id="1">
    <w:p w14:paraId="4EFEFD67" w14:textId="77777777" w:rsidR="005834F5" w:rsidRDefault="00000000">
      <w:pPr>
        <w:pStyle w:val="footnotedescription"/>
        <w:spacing w:line="263" w:lineRule="auto"/>
        <w:jc w:val="both"/>
      </w:pPr>
      <w:r>
        <w:rPr>
          <w:rStyle w:val="footnotemark"/>
        </w:rPr>
        <w:footnoteRef/>
      </w:r>
      <w:r>
        <w:t xml:space="preserve"> Docente do Curso de Serviço Social na UERN. Doutora em Ciências Sociais. Orientadora de Projeto PIBIC. E-mail: </w:t>
      </w:r>
      <w:r>
        <w:rPr>
          <w:color w:val="0000FF"/>
          <w:u w:val="single" w:color="0000FF"/>
        </w:rPr>
        <w:t>gilceliagois@uern.br</w:t>
      </w:r>
      <w:r>
        <w:t xml:space="preserve">  </w:t>
      </w:r>
    </w:p>
  </w:footnote>
  <w:footnote w:id="2">
    <w:p w14:paraId="274C2585" w14:textId="77777777" w:rsidR="005834F5" w:rsidRDefault="00000000">
      <w:pPr>
        <w:pStyle w:val="footnotedescription"/>
      </w:pPr>
      <w:r>
        <w:rPr>
          <w:rStyle w:val="footnotemark"/>
        </w:rPr>
        <w:footnoteRef/>
      </w:r>
      <w:r>
        <w:t xml:space="preserve"> Graduando em Serviço Social na UERN. Bolsista PIBIC. E-mail: </w:t>
      </w:r>
      <w:r>
        <w:rPr>
          <w:color w:val="0000FF"/>
          <w:u w:val="single" w:color="0000FF"/>
        </w:rPr>
        <w:t>gomesjunior@alu.uern.br</w:t>
      </w:r>
      <w:r>
        <w:t xml:space="preserve"> </w:t>
      </w:r>
    </w:p>
  </w:footnote>
  <w:footnote w:id="3">
    <w:p w14:paraId="003E6B49" w14:textId="77777777" w:rsidR="005834F5" w:rsidRDefault="00000000">
      <w:pPr>
        <w:pStyle w:val="footnotedescription"/>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468D" w14:textId="77777777" w:rsidR="005834F5"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80A324E" wp14:editId="1A38AEC8">
              <wp:simplePos x="0" y="0"/>
              <wp:positionH relativeFrom="page">
                <wp:posOffset>0</wp:posOffset>
              </wp:positionH>
              <wp:positionV relativeFrom="page">
                <wp:posOffset>6986</wp:posOffset>
              </wp:positionV>
              <wp:extent cx="7562088" cy="10682346"/>
              <wp:effectExtent l="0" t="0" r="0" b="0"/>
              <wp:wrapNone/>
              <wp:docPr id="8421" name="Group 8421"/>
              <wp:cNvGraphicFramePr/>
              <a:graphic xmlns:a="http://schemas.openxmlformats.org/drawingml/2006/main">
                <a:graphicData uri="http://schemas.microsoft.com/office/word/2010/wordprocessingGroup">
                  <wpg:wgp>
                    <wpg:cNvGrpSpPr/>
                    <wpg:grpSpPr>
                      <a:xfrm>
                        <a:off x="0" y="0"/>
                        <a:ext cx="7562088" cy="10682346"/>
                        <a:chOff x="0" y="0"/>
                        <a:chExt cx="7562088" cy="10682346"/>
                      </a:xfrm>
                    </wpg:grpSpPr>
                    <pic:pic xmlns:pic="http://schemas.openxmlformats.org/drawingml/2006/picture">
                      <pic:nvPicPr>
                        <pic:cNvPr id="8422" name="Picture 8422"/>
                        <pic:cNvPicPr/>
                      </pic:nvPicPr>
                      <pic:blipFill>
                        <a:blip r:embed="rId1"/>
                        <a:stretch>
                          <a:fillRect/>
                        </a:stretch>
                      </pic:blipFill>
                      <pic:spPr>
                        <a:xfrm>
                          <a:off x="0" y="-3937"/>
                          <a:ext cx="7543800" cy="10661904"/>
                        </a:xfrm>
                        <a:prstGeom prst="rect">
                          <a:avLst/>
                        </a:prstGeom>
                      </pic:spPr>
                    </pic:pic>
                  </wpg:wgp>
                </a:graphicData>
              </a:graphic>
            </wp:anchor>
          </w:drawing>
        </mc:Choice>
        <mc:Fallback xmlns:a="http://schemas.openxmlformats.org/drawingml/2006/main">
          <w:pict>
            <v:group id="Group 8421" style="width:595.44pt;height:841.13pt;position:absolute;z-index:-2147483648;mso-position-horizontal-relative:page;mso-position-horizontal:absolute;margin-left:8.874e-06pt;mso-position-vertical-relative:page;margin-top:0.55011pt;" coordsize="75620,106823">
              <v:shape id="Picture 8422" style="position:absolute;width:75438;height:106619;left:0;top:-39;"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4697" w14:textId="77777777" w:rsidR="005834F5"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B95FD56" wp14:editId="14247515">
              <wp:simplePos x="0" y="0"/>
              <wp:positionH relativeFrom="page">
                <wp:posOffset>0</wp:posOffset>
              </wp:positionH>
              <wp:positionV relativeFrom="page">
                <wp:posOffset>6986</wp:posOffset>
              </wp:positionV>
              <wp:extent cx="7562088" cy="10682346"/>
              <wp:effectExtent l="0" t="0" r="0" b="0"/>
              <wp:wrapNone/>
              <wp:docPr id="8418" name="Group 8418"/>
              <wp:cNvGraphicFramePr/>
              <a:graphic xmlns:a="http://schemas.openxmlformats.org/drawingml/2006/main">
                <a:graphicData uri="http://schemas.microsoft.com/office/word/2010/wordprocessingGroup">
                  <wpg:wgp>
                    <wpg:cNvGrpSpPr/>
                    <wpg:grpSpPr>
                      <a:xfrm>
                        <a:off x="0" y="0"/>
                        <a:ext cx="7562088" cy="10682346"/>
                        <a:chOff x="0" y="0"/>
                        <a:chExt cx="7562088" cy="10682346"/>
                      </a:xfrm>
                    </wpg:grpSpPr>
                    <pic:pic xmlns:pic="http://schemas.openxmlformats.org/drawingml/2006/picture">
                      <pic:nvPicPr>
                        <pic:cNvPr id="8419" name="Picture 8419"/>
                        <pic:cNvPicPr/>
                      </pic:nvPicPr>
                      <pic:blipFill>
                        <a:blip r:embed="rId1"/>
                        <a:stretch>
                          <a:fillRect/>
                        </a:stretch>
                      </pic:blipFill>
                      <pic:spPr>
                        <a:xfrm>
                          <a:off x="0" y="-3937"/>
                          <a:ext cx="7543800" cy="10661904"/>
                        </a:xfrm>
                        <a:prstGeom prst="rect">
                          <a:avLst/>
                        </a:prstGeom>
                      </pic:spPr>
                    </pic:pic>
                  </wpg:wgp>
                </a:graphicData>
              </a:graphic>
            </wp:anchor>
          </w:drawing>
        </mc:Choice>
        <mc:Fallback xmlns:a="http://schemas.openxmlformats.org/drawingml/2006/main">
          <w:pict>
            <v:group id="Group 8418" style="width:595.44pt;height:841.13pt;position:absolute;z-index:-2147483648;mso-position-horizontal-relative:page;mso-position-horizontal:absolute;margin-left:8.874e-06pt;mso-position-vertical-relative:page;margin-top:0.55011pt;" coordsize="75620,106823">
              <v:shape id="Picture 8419" style="position:absolute;width:75438;height:106619;left:0;top:-39;" filled="f">
                <v:imagedata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44BB" w14:textId="77777777" w:rsidR="005834F5"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5AC59E1" wp14:editId="5000EFDE">
              <wp:simplePos x="0" y="0"/>
              <wp:positionH relativeFrom="page">
                <wp:posOffset>0</wp:posOffset>
              </wp:positionH>
              <wp:positionV relativeFrom="page">
                <wp:posOffset>6986</wp:posOffset>
              </wp:positionV>
              <wp:extent cx="7562088" cy="10682346"/>
              <wp:effectExtent l="0" t="0" r="0" b="0"/>
              <wp:wrapNone/>
              <wp:docPr id="8415" name="Group 8415"/>
              <wp:cNvGraphicFramePr/>
              <a:graphic xmlns:a="http://schemas.openxmlformats.org/drawingml/2006/main">
                <a:graphicData uri="http://schemas.microsoft.com/office/word/2010/wordprocessingGroup">
                  <wpg:wgp>
                    <wpg:cNvGrpSpPr/>
                    <wpg:grpSpPr>
                      <a:xfrm>
                        <a:off x="0" y="0"/>
                        <a:ext cx="7562088" cy="10682346"/>
                        <a:chOff x="0" y="0"/>
                        <a:chExt cx="7562088" cy="10682346"/>
                      </a:xfrm>
                    </wpg:grpSpPr>
                    <pic:pic xmlns:pic="http://schemas.openxmlformats.org/drawingml/2006/picture">
                      <pic:nvPicPr>
                        <pic:cNvPr id="8416" name="Picture 8416"/>
                        <pic:cNvPicPr/>
                      </pic:nvPicPr>
                      <pic:blipFill>
                        <a:blip r:embed="rId1"/>
                        <a:stretch>
                          <a:fillRect/>
                        </a:stretch>
                      </pic:blipFill>
                      <pic:spPr>
                        <a:xfrm>
                          <a:off x="0" y="-3937"/>
                          <a:ext cx="7543800" cy="10661904"/>
                        </a:xfrm>
                        <a:prstGeom prst="rect">
                          <a:avLst/>
                        </a:prstGeom>
                      </pic:spPr>
                    </pic:pic>
                  </wpg:wgp>
                </a:graphicData>
              </a:graphic>
            </wp:anchor>
          </w:drawing>
        </mc:Choice>
        <mc:Fallback xmlns:a="http://schemas.openxmlformats.org/drawingml/2006/main">
          <w:pict>
            <v:group id="Group 8415" style="width:595.44pt;height:841.13pt;position:absolute;z-index:-2147483648;mso-position-horizontal-relative:page;mso-position-horizontal:absolute;margin-left:8.874e-06pt;mso-position-vertical-relative:page;margin-top:0.55011pt;" coordsize="75620,106823">
              <v:shape id="Picture 8416" style="position:absolute;width:75438;height:106619;left:0;top:-39;" filled="f">
                <v:imagedata r:id="rId7"/>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4F5"/>
    <w:rsid w:val="0028567F"/>
    <w:rsid w:val="005834F5"/>
    <w:rsid w:val="00E53691"/>
    <w:rsid w:val="00E542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2947A"/>
  <w15:docId w15:val="{7E18B243-83BE-4145-BC7F-F70B1788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0" w:lineRule="auto"/>
      <w:ind w:right="6" w:firstLine="710"/>
      <w:jc w:val="both"/>
    </w:pPr>
    <w:rPr>
      <w:rFonts w:ascii="Arial" w:eastAsia="Arial" w:hAnsi="Arial" w:cs="Arial"/>
      <w:color w:val="000000"/>
    </w:rPr>
  </w:style>
  <w:style w:type="paragraph" w:styleId="Ttulo1">
    <w:name w:val="heading 1"/>
    <w:next w:val="Normal"/>
    <w:link w:val="Ttulo1Char"/>
    <w:uiPriority w:val="9"/>
    <w:qFormat/>
    <w:pPr>
      <w:keepNext/>
      <w:keepLines/>
      <w:spacing w:after="120" w:line="259" w:lineRule="auto"/>
      <w:ind w:left="46" w:hanging="10"/>
      <w:outlineLvl w:val="0"/>
    </w:pPr>
    <w:rPr>
      <w:rFonts w:ascii="Arial" w:eastAsia="Arial" w:hAnsi="Arial" w:cs="Arial"/>
      <w:b/>
      <w:color w:val="000000"/>
    </w:rPr>
  </w:style>
  <w:style w:type="paragraph" w:styleId="Ttulo2">
    <w:name w:val="heading 2"/>
    <w:next w:val="Normal"/>
    <w:link w:val="Ttulo2Char"/>
    <w:uiPriority w:val="9"/>
    <w:unhideWhenUsed/>
    <w:qFormat/>
    <w:pPr>
      <w:keepNext/>
      <w:keepLines/>
      <w:spacing w:after="0" w:line="259" w:lineRule="auto"/>
      <w:ind w:left="2835"/>
      <w:outlineLvl w:val="1"/>
    </w:pPr>
    <w:rPr>
      <w:rFonts w:ascii="Arial" w:eastAsia="Arial" w:hAnsi="Arial" w:cs="Arial"/>
      <w:b/>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0"/>
    </w:rPr>
  </w:style>
  <w:style w:type="paragraph" w:customStyle="1" w:styleId="footnotedescription">
    <w:name w:val="footnote description"/>
    <w:next w:val="Normal"/>
    <w:link w:val="footnotedescriptionChar"/>
    <w:hidden/>
    <w:pPr>
      <w:spacing w:after="0" w:line="259"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1Char">
    <w:name w:val="Título 1 Char"/>
    <w:link w:val="Ttulo1"/>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3705</Words>
  <Characters>20009</Characters>
  <Application>Microsoft Office Word</Application>
  <DocSecurity>0</DocSecurity>
  <Lines>166</Lines>
  <Paragraphs>47</Paragraphs>
  <ScaleCrop>false</ScaleCrop>
  <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Gilcelia Batista de gois</dc:creator>
  <cp:keywords/>
  <cp:lastModifiedBy>Gilcelia Batista de gois</cp:lastModifiedBy>
  <cp:revision>2</cp:revision>
  <dcterms:created xsi:type="dcterms:W3CDTF">2025-06-30T17:24:00Z</dcterms:created>
  <dcterms:modified xsi:type="dcterms:W3CDTF">2025-06-30T17:24:00Z</dcterms:modified>
</cp:coreProperties>
</file>