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56481" w14:textId="77777777" w:rsidR="00813E43" w:rsidRDefault="00813E43" w:rsidP="00757CE0">
      <w:pPr>
        <w:pStyle w:val="SemEspaamento"/>
        <w:spacing w:line="360" w:lineRule="auto"/>
        <w:jc w:val="center"/>
        <w:rPr>
          <w:rFonts w:ascii="Arial" w:hAnsi="Arial" w:cs="Arial"/>
          <w:b/>
          <w:bCs/>
        </w:rPr>
      </w:pPr>
      <w:bookmarkStart w:id="0" w:name="_Hlk199086567"/>
      <w:bookmarkEnd w:id="0"/>
      <w:r w:rsidRPr="00813E43">
        <w:rPr>
          <w:rFonts w:ascii="Arial" w:hAnsi="Arial" w:cs="Arial"/>
          <w:b/>
          <w:bCs/>
        </w:rPr>
        <w:t>REFORMAS NEOLIBERAIS NO BRASIL NO ÂMBITO DO TRABALHO E DA PREVIDÊNCIA SOCIAL</w:t>
      </w:r>
      <w:r w:rsidR="001E6DBB">
        <w:rPr>
          <w:rStyle w:val="Refdenotadefim"/>
          <w:rFonts w:ascii="Arial" w:hAnsi="Arial" w:cs="Arial"/>
          <w:b/>
          <w:bCs/>
        </w:rPr>
        <w:endnoteReference w:id="1"/>
      </w:r>
    </w:p>
    <w:p w14:paraId="76FD96A1" w14:textId="77777777" w:rsidR="001E6DBB" w:rsidRDefault="001E6DBB" w:rsidP="001E6DBB">
      <w:pPr>
        <w:pStyle w:val="SemEspaamento"/>
        <w:spacing w:line="360" w:lineRule="auto"/>
        <w:jc w:val="right"/>
        <w:rPr>
          <w:rFonts w:ascii="Arial" w:hAnsi="Arial" w:cs="Arial"/>
          <w:b/>
          <w:bCs/>
        </w:rPr>
      </w:pPr>
      <w:r w:rsidRPr="00813E43">
        <w:rPr>
          <w:rFonts w:ascii="Arial" w:hAnsi="Arial" w:cs="Arial"/>
          <w:b/>
          <w:bCs/>
        </w:rPr>
        <w:t>Mateus Santiago dos Santos</w:t>
      </w:r>
      <w:r>
        <w:rPr>
          <w:rStyle w:val="Refdenotadefim"/>
          <w:rFonts w:ascii="Arial" w:hAnsi="Arial" w:cs="Arial"/>
          <w:b/>
          <w:bCs/>
        </w:rPr>
        <w:endnoteReference w:id="2"/>
      </w:r>
    </w:p>
    <w:p w14:paraId="7988A2A9" w14:textId="77777777" w:rsidR="001E6DBB" w:rsidRPr="00813E43" w:rsidRDefault="001E6DBB" w:rsidP="001E6DBB">
      <w:pPr>
        <w:pStyle w:val="SemEspaamento"/>
        <w:spacing w:line="360" w:lineRule="auto"/>
        <w:jc w:val="right"/>
        <w:rPr>
          <w:rFonts w:ascii="Arial" w:hAnsi="Arial" w:cs="Arial"/>
          <w:b/>
          <w:bCs/>
        </w:rPr>
      </w:pPr>
      <w:r w:rsidRPr="00813E43">
        <w:rPr>
          <w:rFonts w:ascii="Arial" w:hAnsi="Arial" w:cs="Arial"/>
          <w:b/>
          <w:bCs/>
        </w:rPr>
        <w:t>Reginaldo Ghiraldelli</w:t>
      </w:r>
      <w:r>
        <w:rPr>
          <w:rStyle w:val="Refdenotadefim"/>
          <w:rFonts w:ascii="Arial" w:hAnsi="Arial" w:cs="Arial"/>
          <w:b/>
          <w:bCs/>
        </w:rPr>
        <w:endnoteReference w:id="3"/>
      </w:r>
    </w:p>
    <w:p w14:paraId="09D5171F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</w:rPr>
      </w:pPr>
    </w:p>
    <w:p w14:paraId="4EE4BF20" w14:textId="77777777" w:rsidR="00813E43" w:rsidRPr="00813E43" w:rsidRDefault="00813E43" w:rsidP="00813E43">
      <w:pPr>
        <w:pStyle w:val="SemEspaamento"/>
        <w:ind w:left="2835"/>
        <w:jc w:val="both"/>
        <w:rPr>
          <w:rFonts w:ascii="Arial" w:hAnsi="Arial" w:cs="Arial"/>
          <w:sz w:val="20"/>
          <w:szCs w:val="20"/>
        </w:rPr>
      </w:pPr>
      <w:r w:rsidRPr="00813E43">
        <w:rPr>
          <w:rFonts w:ascii="Arial" w:hAnsi="Arial" w:cs="Arial"/>
          <w:b/>
          <w:bCs/>
          <w:sz w:val="20"/>
          <w:szCs w:val="20"/>
        </w:rPr>
        <w:t>Resumo:</w:t>
      </w:r>
      <w:r w:rsidRPr="00813E43">
        <w:rPr>
          <w:rFonts w:ascii="Arial" w:hAnsi="Arial" w:cs="Arial"/>
          <w:sz w:val="20"/>
          <w:szCs w:val="20"/>
        </w:rPr>
        <w:t xml:space="preserve"> A seguridade social tem sido alvo de sucessivas reformas, com efeitos nocivos aos direitos sociais da classe trabalhadora, especialmente a partir da ofensiva neoliberal. O texto aborda as reformas neoliberais no âmbito do trabalho e da previdência, sustentadas por falácias como a crise fiscal do Estado, a necessidade de ajuste das contas públicas e o controle da inflação. A aprovação das reformas trabalhista e da previdência resultou na regressão de direitos sociais, na precarização do trabalho e no aprofundamento das desigualdades. A pesquisa, de natureza qualitativa, baseou-se em análise bibliográfica, documental, legislativa e utilização de dados secundários. Buscou-se compreender os processos de desregulamentação da proteção social e seus impactos sobre o acesso aos direitos trabalhistas e previdenciários. Conclui-se que as reformas neoliberais implementadas no Brasil desde os anos 1990 subordinaram a seguridade social à lógica da financeirização, representando retrocessos em relação aos avanços inscritos na Constituição Federal de 1988. </w:t>
      </w:r>
    </w:p>
    <w:p w14:paraId="388517AD" w14:textId="397D333D" w:rsidR="00813E43" w:rsidRPr="00813E43" w:rsidRDefault="00813E43" w:rsidP="00813E43">
      <w:pPr>
        <w:pStyle w:val="SemEspaamento"/>
        <w:ind w:left="2835"/>
        <w:jc w:val="both"/>
        <w:rPr>
          <w:rFonts w:ascii="Arial" w:hAnsi="Arial" w:cs="Arial"/>
          <w:sz w:val="20"/>
          <w:szCs w:val="20"/>
        </w:rPr>
      </w:pPr>
      <w:r w:rsidRPr="00813E43">
        <w:rPr>
          <w:rFonts w:ascii="Arial" w:hAnsi="Arial" w:cs="Arial"/>
          <w:b/>
          <w:bCs/>
          <w:sz w:val="20"/>
          <w:szCs w:val="20"/>
        </w:rPr>
        <w:t>Palavras-chave:</w:t>
      </w:r>
      <w:r w:rsidRPr="00813E43">
        <w:rPr>
          <w:rFonts w:ascii="Arial" w:hAnsi="Arial" w:cs="Arial"/>
          <w:sz w:val="20"/>
          <w:szCs w:val="20"/>
        </w:rPr>
        <w:t xml:space="preserve"> Reformas; Trabalho; Previdência Social. </w:t>
      </w:r>
    </w:p>
    <w:p w14:paraId="64EA14A6" w14:textId="77777777" w:rsidR="00813E43" w:rsidRPr="00813E43" w:rsidRDefault="00813E43" w:rsidP="00813E43">
      <w:pPr>
        <w:pStyle w:val="SemEspaamento"/>
        <w:jc w:val="both"/>
        <w:rPr>
          <w:rFonts w:ascii="Arial" w:hAnsi="Arial" w:cs="Arial"/>
          <w:sz w:val="20"/>
          <w:szCs w:val="20"/>
        </w:rPr>
      </w:pPr>
    </w:p>
    <w:p w14:paraId="0327051E" w14:textId="77777777" w:rsidR="00813E43" w:rsidRPr="00813E43" w:rsidRDefault="00813E43" w:rsidP="00813E43">
      <w:pPr>
        <w:pStyle w:val="SemEspaamento"/>
        <w:ind w:left="2835"/>
        <w:jc w:val="both"/>
        <w:rPr>
          <w:rFonts w:ascii="Arial" w:hAnsi="Arial" w:cs="Arial"/>
          <w:sz w:val="20"/>
          <w:szCs w:val="20"/>
        </w:rPr>
      </w:pPr>
      <w:r w:rsidRPr="00813E43">
        <w:rPr>
          <w:rFonts w:ascii="Arial" w:hAnsi="Arial" w:cs="Arial"/>
          <w:b/>
          <w:bCs/>
          <w:sz w:val="20"/>
          <w:szCs w:val="20"/>
        </w:rPr>
        <w:t>Abstract:</w:t>
      </w:r>
      <w:r w:rsidRPr="00813E43">
        <w:rPr>
          <w:rFonts w:ascii="Arial" w:hAnsi="Arial" w:cs="Arial"/>
          <w:sz w:val="20"/>
          <w:szCs w:val="20"/>
        </w:rPr>
        <w:t xml:space="preserve"> Social </w:t>
      </w:r>
      <w:proofErr w:type="spellStart"/>
      <w:r w:rsidRPr="00813E43">
        <w:rPr>
          <w:rFonts w:ascii="Arial" w:hAnsi="Arial" w:cs="Arial"/>
          <w:sz w:val="20"/>
          <w:szCs w:val="20"/>
        </w:rPr>
        <w:t>security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has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been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target </w:t>
      </w:r>
      <w:proofErr w:type="spellStart"/>
      <w:r w:rsidRPr="00813E43">
        <w:rPr>
          <w:rFonts w:ascii="Arial" w:hAnsi="Arial" w:cs="Arial"/>
          <w:sz w:val="20"/>
          <w:szCs w:val="20"/>
        </w:rPr>
        <w:t>of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successive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reforms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13E43">
        <w:rPr>
          <w:rFonts w:ascii="Arial" w:hAnsi="Arial" w:cs="Arial"/>
          <w:sz w:val="20"/>
          <w:szCs w:val="20"/>
        </w:rPr>
        <w:t>with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harmful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effects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on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social </w:t>
      </w:r>
      <w:proofErr w:type="spellStart"/>
      <w:r w:rsidRPr="00813E43">
        <w:rPr>
          <w:rFonts w:ascii="Arial" w:hAnsi="Arial" w:cs="Arial"/>
          <w:sz w:val="20"/>
          <w:szCs w:val="20"/>
        </w:rPr>
        <w:t>rights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of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working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class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13E43">
        <w:rPr>
          <w:rFonts w:ascii="Arial" w:hAnsi="Arial" w:cs="Arial"/>
          <w:sz w:val="20"/>
          <w:szCs w:val="20"/>
        </w:rPr>
        <w:t>especially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since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neoliberal </w:t>
      </w:r>
      <w:proofErr w:type="spellStart"/>
      <w:r w:rsidRPr="00813E43">
        <w:rPr>
          <w:rFonts w:ascii="Arial" w:hAnsi="Arial" w:cs="Arial"/>
          <w:sz w:val="20"/>
          <w:szCs w:val="20"/>
        </w:rPr>
        <w:t>offensive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813E43">
        <w:rPr>
          <w:rFonts w:ascii="Arial" w:hAnsi="Arial" w:cs="Arial"/>
          <w:sz w:val="20"/>
          <w:szCs w:val="20"/>
        </w:rPr>
        <w:t>text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addresses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neoliberal </w:t>
      </w:r>
      <w:proofErr w:type="spellStart"/>
      <w:r w:rsidRPr="00813E43">
        <w:rPr>
          <w:rFonts w:ascii="Arial" w:hAnsi="Arial" w:cs="Arial"/>
          <w:sz w:val="20"/>
          <w:szCs w:val="20"/>
        </w:rPr>
        <w:t>reforms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areas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of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labor </w:t>
      </w:r>
      <w:proofErr w:type="spellStart"/>
      <w:r w:rsidRPr="00813E43">
        <w:rPr>
          <w:rFonts w:ascii="Arial" w:hAnsi="Arial" w:cs="Arial"/>
          <w:sz w:val="20"/>
          <w:szCs w:val="20"/>
        </w:rPr>
        <w:t>and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social </w:t>
      </w:r>
      <w:proofErr w:type="spellStart"/>
      <w:r w:rsidRPr="00813E43">
        <w:rPr>
          <w:rFonts w:ascii="Arial" w:hAnsi="Arial" w:cs="Arial"/>
          <w:sz w:val="20"/>
          <w:szCs w:val="20"/>
        </w:rPr>
        <w:t>security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13E43">
        <w:rPr>
          <w:rFonts w:ascii="Arial" w:hAnsi="Arial" w:cs="Arial"/>
          <w:sz w:val="20"/>
          <w:szCs w:val="20"/>
        </w:rPr>
        <w:t>supported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by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fallacies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such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as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fiscal </w:t>
      </w:r>
      <w:proofErr w:type="spellStart"/>
      <w:r w:rsidRPr="00813E43">
        <w:rPr>
          <w:rFonts w:ascii="Arial" w:hAnsi="Arial" w:cs="Arial"/>
          <w:sz w:val="20"/>
          <w:szCs w:val="20"/>
        </w:rPr>
        <w:t>crisis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of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State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need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to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adjust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public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accounts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and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control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inflation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813E43">
        <w:rPr>
          <w:rFonts w:ascii="Arial" w:hAnsi="Arial" w:cs="Arial"/>
          <w:sz w:val="20"/>
          <w:szCs w:val="20"/>
        </w:rPr>
        <w:t>approval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of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labor </w:t>
      </w:r>
      <w:proofErr w:type="spellStart"/>
      <w:r w:rsidRPr="00813E43">
        <w:rPr>
          <w:rFonts w:ascii="Arial" w:hAnsi="Arial" w:cs="Arial"/>
          <w:sz w:val="20"/>
          <w:szCs w:val="20"/>
        </w:rPr>
        <w:t>and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social </w:t>
      </w:r>
      <w:proofErr w:type="spellStart"/>
      <w:r w:rsidRPr="00813E43">
        <w:rPr>
          <w:rFonts w:ascii="Arial" w:hAnsi="Arial" w:cs="Arial"/>
          <w:sz w:val="20"/>
          <w:szCs w:val="20"/>
        </w:rPr>
        <w:t>security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reforms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resulted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regression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of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social </w:t>
      </w:r>
      <w:proofErr w:type="spellStart"/>
      <w:r w:rsidRPr="00813E43">
        <w:rPr>
          <w:rFonts w:ascii="Arial" w:hAnsi="Arial" w:cs="Arial"/>
          <w:sz w:val="20"/>
          <w:szCs w:val="20"/>
        </w:rPr>
        <w:t>rights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precariousness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of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work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and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deepening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of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inequalities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813E43">
        <w:rPr>
          <w:rFonts w:ascii="Arial" w:hAnsi="Arial" w:cs="Arial"/>
          <w:sz w:val="20"/>
          <w:szCs w:val="20"/>
        </w:rPr>
        <w:t>research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13E43">
        <w:rPr>
          <w:rFonts w:ascii="Arial" w:hAnsi="Arial" w:cs="Arial"/>
          <w:sz w:val="20"/>
          <w:szCs w:val="20"/>
        </w:rPr>
        <w:t>of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813E43">
        <w:rPr>
          <w:rFonts w:ascii="Arial" w:hAnsi="Arial" w:cs="Arial"/>
          <w:sz w:val="20"/>
          <w:szCs w:val="20"/>
        </w:rPr>
        <w:t>qualitative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nature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13E43">
        <w:rPr>
          <w:rFonts w:ascii="Arial" w:hAnsi="Arial" w:cs="Arial"/>
          <w:sz w:val="20"/>
          <w:szCs w:val="20"/>
        </w:rPr>
        <w:t>was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based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on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bibliographic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13E43">
        <w:rPr>
          <w:rFonts w:ascii="Arial" w:hAnsi="Arial" w:cs="Arial"/>
          <w:sz w:val="20"/>
          <w:szCs w:val="20"/>
        </w:rPr>
        <w:t>documentary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and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legislative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analysis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and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use </w:t>
      </w:r>
      <w:proofErr w:type="spellStart"/>
      <w:r w:rsidRPr="00813E43">
        <w:rPr>
          <w:rFonts w:ascii="Arial" w:hAnsi="Arial" w:cs="Arial"/>
          <w:sz w:val="20"/>
          <w:szCs w:val="20"/>
        </w:rPr>
        <w:t>of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secondary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data. The </w:t>
      </w:r>
      <w:proofErr w:type="spellStart"/>
      <w:r w:rsidRPr="00813E43">
        <w:rPr>
          <w:rFonts w:ascii="Arial" w:hAnsi="Arial" w:cs="Arial"/>
          <w:sz w:val="20"/>
          <w:szCs w:val="20"/>
        </w:rPr>
        <w:t>aim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was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to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understand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processes </w:t>
      </w:r>
      <w:proofErr w:type="spellStart"/>
      <w:r w:rsidRPr="00813E43">
        <w:rPr>
          <w:rFonts w:ascii="Arial" w:hAnsi="Arial" w:cs="Arial"/>
          <w:sz w:val="20"/>
          <w:szCs w:val="20"/>
        </w:rPr>
        <w:t>of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deregulation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of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social </w:t>
      </w:r>
      <w:proofErr w:type="spellStart"/>
      <w:r w:rsidRPr="00813E43">
        <w:rPr>
          <w:rFonts w:ascii="Arial" w:hAnsi="Arial" w:cs="Arial"/>
          <w:sz w:val="20"/>
          <w:szCs w:val="20"/>
        </w:rPr>
        <w:t>protection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and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its </w:t>
      </w:r>
      <w:proofErr w:type="spellStart"/>
      <w:r w:rsidRPr="00813E43">
        <w:rPr>
          <w:rFonts w:ascii="Arial" w:hAnsi="Arial" w:cs="Arial"/>
          <w:sz w:val="20"/>
          <w:szCs w:val="20"/>
        </w:rPr>
        <w:t>impacts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on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access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to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labor </w:t>
      </w:r>
      <w:proofErr w:type="spellStart"/>
      <w:r w:rsidRPr="00813E43">
        <w:rPr>
          <w:rFonts w:ascii="Arial" w:hAnsi="Arial" w:cs="Arial"/>
          <w:sz w:val="20"/>
          <w:szCs w:val="20"/>
        </w:rPr>
        <w:t>and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social </w:t>
      </w:r>
      <w:proofErr w:type="spellStart"/>
      <w:r w:rsidRPr="00813E43">
        <w:rPr>
          <w:rFonts w:ascii="Arial" w:hAnsi="Arial" w:cs="Arial"/>
          <w:sz w:val="20"/>
          <w:szCs w:val="20"/>
        </w:rPr>
        <w:t>security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rights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. It </w:t>
      </w:r>
      <w:proofErr w:type="spellStart"/>
      <w:r w:rsidRPr="00813E43">
        <w:rPr>
          <w:rFonts w:ascii="Arial" w:hAnsi="Arial" w:cs="Arial"/>
          <w:sz w:val="20"/>
          <w:szCs w:val="20"/>
        </w:rPr>
        <w:t>is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concluded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that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neoliberal </w:t>
      </w:r>
      <w:proofErr w:type="spellStart"/>
      <w:r w:rsidRPr="00813E43">
        <w:rPr>
          <w:rFonts w:ascii="Arial" w:hAnsi="Arial" w:cs="Arial"/>
          <w:sz w:val="20"/>
          <w:szCs w:val="20"/>
        </w:rPr>
        <w:t>reforms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implemented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813E43">
        <w:rPr>
          <w:rFonts w:ascii="Arial" w:hAnsi="Arial" w:cs="Arial"/>
          <w:sz w:val="20"/>
          <w:szCs w:val="20"/>
        </w:rPr>
        <w:t>Brazil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since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1990s </w:t>
      </w:r>
      <w:proofErr w:type="spellStart"/>
      <w:r w:rsidRPr="00813E43">
        <w:rPr>
          <w:rFonts w:ascii="Arial" w:hAnsi="Arial" w:cs="Arial"/>
          <w:sz w:val="20"/>
          <w:szCs w:val="20"/>
        </w:rPr>
        <w:t>have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subordinated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social </w:t>
      </w:r>
      <w:proofErr w:type="spellStart"/>
      <w:r w:rsidRPr="00813E43">
        <w:rPr>
          <w:rFonts w:ascii="Arial" w:hAnsi="Arial" w:cs="Arial"/>
          <w:sz w:val="20"/>
          <w:szCs w:val="20"/>
        </w:rPr>
        <w:t>security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to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logic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of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financialization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13E43">
        <w:rPr>
          <w:rFonts w:ascii="Arial" w:hAnsi="Arial" w:cs="Arial"/>
          <w:sz w:val="20"/>
          <w:szCs w:val="20"/>
        </w:rPr>
        <w:t>representing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setbacks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813E43">
        <w:rPr>
          <w:rFonts w:ascii="Arial" w:hAnsi="Arial" w:cs="Arial"/>
          <w:sz w:val="20"/>
          <w:szCs w:val="20"/>
        </w:rPr>
        <w:t>relation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to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advances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enshrined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813E43">
        <w:rPr>
          <w:rFonts w:ascii="Arial" w:hAnsi="Arial" w:cs="Arial"/>
          <w:sz w:val="20"/>
          <w:szCs w:val="20"/>
        </w:rPr>
        <w:t>the</w:t>
      </w:r>
      <w:proofErr w:type="spellEnd"/>
      <w:r w:rsidRPr="00813E43">
        <w:rPr>
          <w:rFonts w:ascii="Arial" w:hAnsi="Arial" w:cs="Arial"/>
          <w:sz w:val="20"/>
          <w:szCs w:val="20"/>
        </w:rPr>
        <w:t xml:space="preserve"> 1988 Federal </w:t>
      </w:r>
      <w:proofErr w:type="spellStart"/>
      <w:r w:rsidRPr="00813E43">
        <w:rPr>
          <w:rFonts w:ascii="Arial" w:hAnsi="Arial" w:cs="Arial"/>
          <w:sz w:val="20"/>
          <w:szCs w:val="20"/>
        </w:rPr>
        <w:t>Constitution</w:t>
      </w:r>
      <w:proofErr w:type="spellEnd"/>
      <w:r w:rsidRPr="00813E43">
        <w:rPr>
          <w:rFonts w:ascii="Arial" w:hAnsi="Arial" w:cs="Arial"/>
          <w:sz w:val="20"/>
          <w:szCs w:val="20"/>
        </w:rPr>
        <w:t>.</w:t>
      </w:r>
    </w:p>
    <w:p w14:paraId="0AFBF717" w14:textId="4D596BF6" w:rsidR="00813E43" w:rsidRPr="00813E43" w:rsidRDefault="00813E43" w:rsidP="00813E43">
      <w:pPr>
        <w:pStyle w:val="SemEspaamento"/>
        <w:ind w:left="2835"/>
        <w:jc w:val="both"/>
        <w:rPr>
          <w:rFonts w:ascii="Arial" w:hAnsi="Arial" w:cs="Arial"/>
          <w:sz w:val="20"/>
          <w:szCs w:val="20"/>
        </w:rPr>
      </w:pPr>
      <w:r w:rsidRPr="00813E43">
        <w:rPr>
          <w:rFonts w:ascii="Arial" w:hAnsi="Arial" w:cs="Arial"/>
          <w:b/>
          <w:bCs/>
          <w:sz w:val="20"/>
          <w:szCs w:val="20"/>
        </w:rPr>
        <w:t>Keywords:</w:t>
      </w:r>
      <w:r w:rsidRPr="00813E4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3E43">
        <w:rPr>
          <w:rFonts w:ascii="Arial" w:hAnsi="Arial" w:cs="Arial"/>
          <w:sz w:val="20"/>
          <w:szCs w:val="20"/>
        </w:rPr>
        <w:t>Reforms</w:t>
      </w:r>
      <w:proofErr w:type="spellEnd"/>
      <w:r w:rsidRPr="00813E43">
        <w:rPr>
          <w:rFonts w:ascii="Arial" w:hAnsi="Arial" w:cs="Arial"/>
          <w:sz w:val="20"/>
          <w:szCs w:val="20"/>
        </w:rPr>
        <w:t>; Labor; Social Security.</w:t>
      </w:r>
    </w:p>
    <w:p w14:paraId="102C70FC" w14:textId="77777777" w:rsidR="00BC6C8D" w:rsidRDefault="00BC6C8D" w:rsidP="00502263">
      <w:pPr>
        <w:pStyle w:val="SemEspaamento"/>
        <w:jc w:val="both"/>
        <w:rPr>
          <w:rFonts w:ascii="Arial" w:hAnsi="Arial" w:cs="Arial"/>
        </w:rPr>
      </w:pPr>
    </w:p>
    <w:p w14:paraId="13F71EC9" w14:textId="77777777" w:rsidR="00BC6C8D" w:rsidRPr="00813E43" w:rsidRDefault="00BC6C8D" w:rsidP="00813E43">
      <w:pPr>
        <w:pStyle w:val="SemEspaamento"/>
        <w:ind w:left="2835"/>
        <w:jc w:val="both"/>
        <w:rPr>
          <w:rFonts w:ascii="Arial" w:hAnsi="Arial" w:cs="Arial"/>
        </w:rPr>
      </w:pPr>
    </w:p>
    <w:p w14:paraId="0A64B115" w14:textId="77777777" w:rsidR="00813E43" w:rsidRPr="00813E43" w:rsidRDefault="00813E43" w:rsidP="00813E43">
      <w:pPr>
        <w:pStyle w:val="SemEspaament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</w:rPr>
      </w:pPr>
      <w:r w:rsidRPr="00813E43">
        <w:rPr>
          <w:rFonts w:ascii="Arial" w:hAnsi="Arial" w:cs="Arial"/>
          <w:b/>
          <w:bCs/>
        </w:rPr>
        <w:t xml:space="preserve">INTRODUÇÃO </w:t>
      </w:r>
    </w:p>
    <w:p w14:paraId="53EA1E9C" w14:textId="77777777" w:rsidR="00265A7A" w:rsidRDefault="00265A7A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</w:p>
    <w:p w14:paraId="57A53869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lastRenderedPageBreak/>
        <w:t>A promulgação da Constituição Federal de 1988 inaugura, dentro dos limites e dos embates político-partidários, socioeconômicos e conjunturais</w:t>
      </w:r>
      <w:r w:rsidR="00045620">
        <w:rPr>
          <w:rFonts w:ascii="Arial" w:hAnsi="Arial" w:cs="Arial"/>
        </w:rPr>
        <w:t xml:space="preserve"> </w:t>
      </w:r>
      <w:r w:rsidRPr="00813E43">
        <w:rPr>
          <w:rFonts w:ascii="Arial" w:hAnsi="Arial" w:cs="Arial"/>
        </w:rPr>
        <w:t xml:space="preserve">da época, o processo de construção de políticas e direitos sociais no Brasil. A Carta Magna </w:t>
      </w:r>
      <w:r w:rsidR="00265A7A">
        <w:rPr>
          <w:rFonts w:ascii="Arial" w:hAnsi="Arial" w:cs="Arial"/>
        </w:rPr>
        <w:t>de</w:t>
      </w:r>
      <w:r w:rsidRPr="00813E43">
        <w:rPr>
          <w:rFonts w:ascii="Arial" w:hAnsi="Arial" w:cs="Arial"/>
        </w:rPr>
        <w:t xml:space="preserve">marca o avanço da agenda dos direitos sociais para a classe trabalhadora, apresentando para o Estado </w:t>
      </w:r>
      <w:r w:rsidR="00265A7A">
        <w:rPr>
          <w:rFonts w:ascii="Arial" w:hAnsi="Arial" w:cs="Arial"/>
        </w:rPr>
        <w:t>capitalista</w:t>
      </w:r>
      <w:r w:rsidRPr="00813E43">
        <w:rPr>
          <w:rFonts w:ascii="Arial" w:hAnsi="Arial" w:cs="Arial"/>
        </w:rPr>
        <w:t>, alternativas de intervenção nas diferentes esferas sociais e econômicas, por intermédio das políticas sociais, em especial, pelo conjunto integrado de políticas sociais que compõem a Seguridade Social (Boschetti, 2003).</w:t>
      </w:r>
    </w:p>
    <w:p w14:paraId="78720A01" w14:textId="77777777" w:rsidR="00813E43" w:rsidRPr="00813E43" w:rsidRDefault="00045620" w:rsidP="00045620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As</w:t>
      </w:r>
      <w:r w:rsidR="00813E43" w:rsidRPr="00813E43">
        <w:rPr>
          <w:rFonts w:ascii="Arial" w:hAnsi="Arial" w:cs="Arial"/>
        </w:rPr>
        <w:t xml:space="preserve"> políticas sociais emergem </w:t>
      </w:r>
      <w:r w:rsidR="00265A7A">
        <w:rPr>
          <w:rFonts w:ascii="Arial" w:hAnsi="Arial" w:cs="Arial"/>
        </w:rPr>
        <w:t>como</w:t>
      </w:r>
      <w:r w:rsidR="00813E43" w:rsidRPr="00813E43">
        <w:rPr>
          <w:rFonts w:ascii="Arial" w:hAnsi="Arial" w:cs="Arial"/>
        </w:rPr>
        <w:t xml:space="preserve"> provisão do Estado capitalista para atender as necessidades sociais que são produzidas pela sociedade capitalista.</w:t>
      </w:r>
      <w:r>
        <w:rPr>
          <w:rFonts w:ascii="Arial" w:hAnsi="Arial" w:cs="Arial"/>
        </w:rPr>
        <w:t xml:space="preserve"> </w:t>
      </w:r>
      <w:r w:rsidR="00813E43" w:rsidRPr="00813E43">
        <w:rPr>
          <w:rFonts w:ascii="Arial" w:hAnsi="Arial" w:cs="Arial"/>
        </w:rPr>
        <w:t>Para a classe trabalhadora, as políticas sociais se configuram meios pelos quais há uma previsibilidade, na legislação, de atendimento das necessidades sociais individuais e dos interesses coletivos. Por outro lado, as políticas sociais constituem-se instrumentos utilizados pelo Estado para tensionar o controle e o apaziguamento das pressões populares e, nesse caso, dos movimentos sociais. Sendo assim, a política social assume um caráter contraditório, precisamente existente na relação capital-trabalho, transitando entre garantias sociais e controle</w:t>
      </w:r>
      <w:r w:rsidR="00265A7A">
        <w:rPr>
          <w:rFonts w:ascii="Arial" w:hAnsi="Arial" w:cs="Arial"/>
        </w:rPr>
        <w:t xml:space="preserve">. </w:t>
      </w:r>
    </w:p>
    <w:p w14:paraId="49F6BDDA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No caso da Constituição Federal de 1988, observam-se avanços na consolidação de direitos sociais, porém, sem questionar os fundamentos da sociabilidade capitalista (Behring e Boschetti, 2011). Além disso, a diversidade entre as políticas da seguridade social (saúde, assistência e previdência) com abrangência e prerrogativas distintas, preconiza um horizonte de cidadania, mesmo diante dos limites de uma sociedade capitalista. </w:t>
      </w:r>
    </w:p>
    <w:p w14:paraId="19DE26D8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Este texto aborda o contexto brasileiro após os anos de 1990, considerando o advento da ofensiva neoliberal e as reformas </w:t>
      </w:r>
      <w:r w:rsidR="00265A7A">
        <w:rPr>
          <w:rFonts w:ascii="Arial" w:hAnsi="Arial" w:cs="Arial"/>
        </w:rPr>
        <w:t>regressivas de direitos</w:t>
      </w:r>
      <w:r w:rsidRPr="00813E43">
        <w:rPr>
          <w:rFonts w:ascii="Arial" w:hAnsi="Arial" w:cs="Arial"/>
        </w:rPr>
        <w:t xml:space="preserve"> em curso, com destaque para </w:t>
      </w:r>
      <w:r w:rsidR="00797F99">
        <w:rPr>
          <w:rFonts w:ascii="Arial" w:hAnsi="Arial" w:cs="Arial"/>
        </w:rPr>
        <w:t xml:space="preserve">o trabalho e </w:t>
      </w:r>
      <w:r w:rsidRPr="00813E43">
        <w:rPr>
          <w:rFonts w:ascii="Arial" w:hAnsi="Arial" w:cs="Arial"/>
        </w:rPr>
        <w:t>a previdência social. A implementação de reformas neoliberais transporta a seguridade social para um Estado de exceção</w:t>
      </w:r>
      <w:r w:rsidR="00BC6C8D" w:rsidRPr="00813E43">
        <w:rPr>
          <w:rStyle w:val="Refdenotadefim"/>
          <w:rFonts w:ascii="Arial" w:hAnsi="Arial" w:cs="Arial"/>
        </w:rPr>
        <w:endnoteReference w:id="4"/>
      </w:r>
      <w:r w:rsidR="00BC6C8D" w:rsidRPr="00813E43">
        <w:rPr>
          <w:rFonts w:ascii="Arial" w:hAnsi="Arial" w:cs="Arial"/>
        </w:rPr>
        <w:t>,</w:t>
      </w:r>
      <w:r w:rsidRPr="00813E43">
        <w:rPr>
          <w:rFonts w:ascii="Arial" w:hAnsi="Arial" w:cs="Arial"/>
        </w:rPr>
        <w:t xml:space="preserve"> no qual e, sob a égide neoliberal, as demandas sociais passaram a ser compreendidas como </w:t>
      </w:r>
      <w:r w:rsidRPr="00813E43">
        <w:rPr>
          <w:rFonts w:ascii="Arial" w:hAnsi="Arial" w:cs="Arial"/>
        </w:rPr>
        <w:lastRenderedPageBreak/>
        <w:t>instrumento</w:t>
      </w:r>
      <w:r w:rsidR="00265A7A">
        <w:rPr>
          <w:rFonts w:ascii="Arial" w:hAnsi="Arial" w:cs="Arial"/>
        </w:rPr>
        <w:t>s</w:t>
      </w:r>
      <w:r w:rsidRPr="00813E43">
        <w:rPr>
          <w:rFonts w:ascii="Arial" w:hAnsi="Arial" w:cs="Arial"/>
        </w:rPr>
        <w:t xml:space="preserve"> que possibilita</w:t>
      </w:r>
      <w:r w:rsidR="00265A7A">
        <w:rPr>
          <w:rFonts w:ascii="Arial" w:hAnsi="Arial" w:cs="Arial"/>
        </w:rPr>
        <w:t>m</w:t>
      </w:r>
      <w:r w:rsidRPr="00813E43">
        <w:rPr>
          <w:rFonts w:ascii="Arial" w:hAnsi="Arial" w:cs="Arial"/>
        </w:rPr>
        <w:t xml:space="preserve"> a financeirização não só da política social, mas das necessidades sociais relacionadas ao mundo do trabalho. </w:t>
      </w:r>
    </w:p>
    <w:p w14:paraId="7A84ED5A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O texto discorre sobre a relação entre as reformas neoliberais (ou contrarreformas, tendo em vista a sua natureza de regressão de direitos), o avanço do neoliberalismo e a implementação de políticas de austeridade e ajuste fiscal, com destaque para </w:t>
      </w:r>
      <w:r w:rsidR="00797F99">
        <w:rPr>
          <w:rFonts w:ascii="Arial" w:hAnsi="Arial" w:cs="Arial"/>
        </w:rPr>
        <w:t xml:space="preserve">o trabalho e </w:t>
      </w:r>
      <w:r w:rsidRPr="00813E43">
        <w:rPr>
          <w:rFonts w:ascii="Arial" w:hAnsi="Arial" w:cs="Arial"/>
        </w:rPr>
        <w:t xml:space="preserve">a previdência social. Aborda alterações ocorridas na legislação desde a década de 1990 e suas implicações para os direitos da classe trabalhadora. Conclui-se que, em um contexto de disputa pelo fundo público, as reformas neoliberais em curso servem para atender aos interesses do capital e legitimar um cenário de descrença no Estado e na “esfera pública”. </w:t>
      </w:r>
    </w:p>
    <w:p w14:paraId="5892A16F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</w:p>
    <w:p w14:paraId="0C481664" w14:textId="77777777" w:rsidR="00813E43" w:rsidRPr="00813E43" w:rsidRDefault="00813E43" w:rsidP="00813E43">
      <w:pPr>
        <w:pStyle w:val="SemEspaamento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</w:rPr>
      </w:pPr>
      <w:r w:rsidRPr="00813E43">
        <w:rPr>
          <w:rFonts w:ascii="Arial" w:hAnsi="Arial" w:cs="Arial"/>
          <w:b/>
          <w:bCs/>
        </w:rPr>
        <w:t>REFORMAS</w:t>
      </w:r>
      <w:r>
        <w:rPr>
          <w:rFonts w:ascii="Arial" w:hAnsi="Arial" w:cs="Arial"/>
          <w:b/>
          <w:bCs/>
        </w:rPr>
        <w:t xml:space="preserve"> NEOLIBERAIS</w:t>
      </w:r>
      <w:r w:rsidR="00757CE0">
        <w:rPr>
          <w:rFonts w:ascii="Arial" w:hAnsi="Arial" w:cs="Arial"/>
          <w:b/>
          <w:bCs/>
        </w:rPr>
        <w:t xml:space="preserve"> E SEUS EFEITOS SOBRE O </w:t>
      </w:r>
      <w:r>
        <w:rPr>
          <w:rFonts w:ascii="Arial" w:hAnsi="Arial" w:cs="Arial"/>
          <w:b/>
          <w:bCs/>
        </w:rPr>
        <w:t xml:space="preserve">TRABALHO </w:t>
      </w:r>
      <w:r w:rsidRPr="00813E43">
        <w:rPr>
          <w:rFonts w:ascii="Arial" w:hAnsi="Arial" w:cs="Arial"/>
          <w:b/>
          <w:bCs/>
        </w:rPr>
        <w:t>E A PREVIDÊNCIA SOCIAL NO BRASIL</w:t>
      </w:r>
    </w:p>
    <w:p w14:paraId="448F9F7E" w14:textId="77777777" w:rsidR="00813E43" w:rsidRPr="00813E43" w:rsidRDefault="00813E43" w:rsidP="00813E43">
      <w:pPr>
        <w:pStyle w:val="SemEspaamento"/>
        <w:spacing w:line="360" w:lineRule="auto"/>
        <w:rPr>
          <w:rFonts w:ascii="Arial" w:hAnsi="Arial" w:cs="Arial"/>
          <w:b/>
          <w:bCs/>
        </w:rPr>
      </w:pPr>
    </w:p>
    <w:p w14:paraId="54E68235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>O avanço da ofensiva neoliberal, a partir da década de 1990, foi uma das principais causas do desmonte dos direitos sociais, conquistados pela classe trabalhadora por meio da luta de classes (Behring e Boschetti, 2011). A combinação entre projeto neoliberal, a falácia de crise fiscal do Estado, a necessidade de diminuição das taxas de inflação e ajuste nas contas públicas, constituíram-se solo fértil para que fossem implementadas medidas de regressão das políticas que integram a seguridade social, especialmente, as políticas de saúde e previdência social (Mota, 2008, p. 42).</w:t>
      </w:r>
    </w:p>
    <w:p w14:paraId="2A1E1880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As diversas reformas neoliberais (contrarreformas) que foram implementadas após a Constituição Federal de 1988, ao contrário da suposta e falaciosa “modernização”, estabeleceram-se como regressão de todos os avanços nos direitos sociais, conquistados até então (Behring e Boschetti, 2011). É importante ressaltar que essas medidas foram propostas e implementadas tanto por governos progressistas e de esquerda, como por governos conservadores e de direita, precisamente, defensores dos ideários neoliberais e do mercado financeiro. Em </w:t>
      </w:r>
      <w:r w:rsidRPr="00813E43">
        <w:rPr>
          <w:rFonts w:ascii="Arial" w:hAnsi="Arial" w:cs="Arial"/>
        </w:rPr>
        <w:lastRenderedPageBreak/>
        <w:t>síntese, o Brasil experimenta atualmente os efeitos da aprovação de Propostas de Emendas à Constituição – PEC, Emendas Constitucionais – EC, Projetos de Leis – PL, Lei Complementar – LC, além de Decretos que concretizam a retração dos direitos sociais e o acirramento das desigualdades sociais no país (Silva, 2004).</w:t>
      </w:r>
    </w:p>
    <w:p w14:paraId="5F9EB9E5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>Esse cenário de dilapidação dos direitos sociais é marcado pela aprovação de um conjunto de medidas legislativas, nos diferentes tipos de governos, que se tornaram meio</w:t>
      </w:r>
      <w:r w:rsidR="00045620">
        <w:rPr>
          <w:rFonts w:ascii="Arial" w:hAnsi="Arial" w:cs="Arial"/>
        </w:rPr>
        <w:t>s</w:t>
      </w:r>
      <w:r w:rsidRPr="00813E43">
        <w:rPr>
          <w:rFonts w:ascii="Arial" w:hAnsi="Arial" w:cs="Arial"/>
        </w:rPr>
        <w:t xml:space="preserve"> para fragilizar as políticas sociais, além de favorecer e fortalecer a privatização dos serviços públicos. No governo de Fernando Henrique Cardoso – FHC (1995-200</w:t>
      </w:r>
      <w:r w:rsidR="00395CDA">
        <w:rPr>
          <w:rFonts w:ascii="Arial" w:hAnsi="Arial" w:cs="Arial"/>
        </w:rPr>
        <w:t>2</w:t>
      </w:r>
      <w:r w:rsidRPr="00813E43">
        <w:rPr>
          <w:rFonts w:ascii="Arial" w:hAnsi="Arial" w:cs="Arial"/>
        </w:rPr>
        <w:t>) foi aprovada a EC nº 20, de 1998. Em seguida, no primeiro mandato de governo do presidente Luiz Inácio Lula da Silva (2003-2010), as EC nº 41, de 2003 e nº 47, de 2005. Na administração de Dilma Rousseff (2011-2016), a sanção das Leis nº 12.618 de 2012, nº 13.135 de 2015, nº 13.183 de 2015 além da EC nº 88 de 2015. Após o golpe midiático-parlamentar-judiciário contra Dilma em 2016, sob a gestão de seu vice Michel Temer (2016-2018), ocorreu a aprovação da PEC nº 95</w:t>
      </w:r>
      <w:r w:rsidR="00395CDA">
        <w:rPr>
          <w:rFonts w:ascii="Arial" w:hAnsi="Arial" w:cs="Arial"/>
        </w:rPr>
        <w:t xml:space="preserve"> de</w:t>
      </w:r>
      <w:r w:rsidRPr="00813E43">
        <w:rPr>
          <w:rFonts w:ascii="Arial" w:hAnsi="Arial" w:cs="Arial"/>
        </w:rPr>
        <w:t xml:space="preserve"> 2016 que tratava do Teto dos Gastos Públicos e da Lei nº 13.467 de 2017, referente à Reforma Trabalhista. No governo de Jair Messias Bolsonaro (2019-2022), destaca-se a EC nº 103 de 2019 que trata da Reforma da Previdência e que expressa um dos marcos mais recentes relacionados ao atrofiamento da seguridade social brasileira. </w:t>
      </w:r>
    </w:p>
    <w:p w14:paraId="674E6666" w14:textId="77777777" w:rsidR="00813E43" w:rsidRPr="00813E43" w:rsidRDefault="00813E43" w:rsidP="00045620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Como aponta Faleiros (2009), as reformas neoliberais se fundam numa perspectiva de privatização e seus objetivos são o desmantelamento da estrutura do Estado social, visando a redução da intervenção estatal na esfera social, além da redução dos direitos sociais. Por esse motivo, </w:t>
      </w:r>
      <w:r w:rsidR="00797F99">
        <w:rPr>
          <w:rFonts w:ascii="Arial" w:hAnsi="Arial" w:cs="Arial"/>
        </w:rPr>
        <w:t>as</w:t>
      </w:r>
      <w:r w:rsidRPr="00813E43">
        <w:rPr>
          <w:rFonts w:ascii="Arial" w:hAnsi="Arial" w:cs="Arial"/>
        </w:rPr>
        <w:t xml:space="preserve"> reforma</w:t>
      </w:r>
      <w:r w:rsidR="00797F99">
        <w:rPr>
          <w:rFonts w:ascii="Arial" w:hAnsi="Arial" w:cs="Arial"/>
        </w:rPr>
        <w:t>s</w:t>
      </w:r>
      <w:r w:rsidR="00395CDA">
        <w:rPr>
          <w:rFonts w:ascii="Arial" w:hAnsi="Arial" w:cs="Arial"/>
        </w:rPr>
        <w:t xml:space="preserve"> neolibera</w:t>
      </w:r>
      <w:r w:rsidR="00797F99">
        <w:rPr>
          <w:rFonts w:ascii="Arial" w:hAnsi="Arial" w:cs="Arial"/>
        </w:rPr>
        <w:t>is</w:t>
      </w:r>
      <w:r w:rsidRPr="00813E43">
        <w:rPr>
          <w:rFonts w:ascii="Arial" w:hAnsi="Arial" w:cs="Arial"/>
        </w:rPr>
        <w:t>, independente dos distintos governos, pode</w:t>
      </w:r>
      <w:r w:rsidR="00797F99">
        <w:rPr>
          <w:rFonts w:ascii="Arial" w:hAnsi="Arial" w:cs="Arial"/>
        </w:rPr>
        <w:t>m</w:t>
      </w:r>
      <w:r w:rsidRPr="00813E43">
        <w:rPr>
          <w:rFonts w:ascii="Arial" w:hAnsi="Arial" w:cs="Arial"/>
        </w:rPr>
        <w:t xml:space="preserve"> ser interpretadas como meios pelos quais se legitimou a acumulação de capital e, ao mesmo tempo, validou o aumento da precarização das condições de vida da população, diante dos cortes e perda de direitos sociais.</w:t>
      </w:r>
      <w:r w:rsidR="00045620">
        <w:rPr>
          <w:rFonts w:ascii="Arial" w:hAnsi="Arial" w:cs="Arial"/>
        </w:rPr>
        <w:t xml:space="preserve"> </w:t>
      </w:r>
      <w:r w:rsidRPr="00813E43">
        <w:rPr>
          <w:rFonts w:ascii="Arial" w:hAnsi="Arial" w:cs="Arial"/>
        </w:rPr>
        <w:t xml:space="preserve">Cabe salientar que essas reformas e mudanças em curso expressam projetos políticos e societários em disputa, evidenciando a luta de classes no interior da sociabilidade capitalista. Sendo assim, toda essa movimentação não ocorre de modo linear e sem as tensões dos movimentos e lutas da classe trabalhadora. </w:t>
      </w:r>
    </w:p>
    <w:p w14:paraId="45BB3996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lastRenderedPageBreak/>
        <w:t>Além do mais, esses processos e transformações devem ser analisados, não só, mas também, de acordo com Mota (2008), como produtos de uma “cultura da crise”</w:t>
      </w:r>
      <w:r w:rsidR="00BC6C8D" w:rsidRPr="00813E43">
        <w:rPr>
          <w:rStyle w:val="Refdenotadefim"/>
          <w:rFonts w:ascii="Arial" w:hAnsi="Arial" w:cs="Arial"/>
        </w:rPr>
        <w:endnoteReference w:id="5"/>
      </w:r>
      <w:r w:rsidR="00BC6C8D" w:rsidRPr="00813E43">
        <w:rPr>
          <w:rStyle w:val="Refdenotadefim"/>
          <w:rFonts w:ascii="Arial" w:hAnsi="Arial" w:cs="Arial"/>
        </w:rPr>
        <w:t xml:space="preserve"> </w:t>
      </w:r>
      <w:r w:rsidR="00BC6C8D" w:rsidRPr="00813E43">
        <w:rPr>
          <w:rFonts w:ascii="Arial" w:hAnsi="Arial" w:cs="Arial"/>
        </w:rPr>
        <w:t>com o objetivo capitalista de “refuncionalizar a seguridade social”. Por esse motivo, são tendências utilizadas pelo Estado que resultam no processo de reestruturação da hegemonia do grande capital, seguindo as orientações neoliberais do Banco Mundial e do Fundo Monetário Internacional – FMI</w:t>
      </w:r>
      <w:r w:rsidR="00BC6C8D" w:rsidRPr="00813E43">
        <w:rPr>
          <w:rStyle w:val="Refdenotadefim"/>
          <w:rFonts w:ascii="Arial" w:hAnsi="Arial" w:cs="Arial"/>
        </w:rPr>
        <w:endnoteReference w:id="6"/>
      </w:r>
      <w:r w:rsidR="00BC6C8D" w:rsidRPr="00813E43">
        <w:rPr>
          <w:rFonts w:ascii="Arial" w:hAnsi="Arial" w:cs="Arial"/>
        </w:rPr>
        <w:t>,</w:t>
      </w:r>
      <w:r w:rsidRPr="00813E43">
        <w:rPr>
          <w:rFonts w:ascii="Arial" w:hAnsi="Arial" w:cs="Arial"/>
        </w:rPr>
        <w:t xml:space="preserve"> desconsiderando as perdas dos direitos sociais, mas focando na criação de um cidadão-consumidor (Mota, 2008). </w:t>
      </w:r>
    </w:p>
    <w:p w14:paraId="3A9D03DD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  <w:color w:val="222222"/>
          <w:shd w:val="clear" w:color="auto" w:fill="FFFFFF"/>
        </w:rPr>
      </w:pPr>
      <w:r w:rsidRPr="00813E43">
        <w:rPr>
          <w:rFonts w:ascii="Arial" w:hAnsi="Arial" w:cs="Arial"/>
        </w:rPr>
        <w:t xml:space="preserve">Da mesma forma, convém apresentar as consequências nefastas dessas medidas como instrumento de intensificação do </w:t>
      </w:r>
      <w:r w:rsidRPr="00813E43">
        <w:rPr>
          <w:rFonts w:ascii="Arial" w:hAnsi="Arial" w:cs="Arial"/>
          <w:i/>
          <w:iCs/>
        </w:rPr>
        <w:t>apartheid</w:t>
      </w:r>
      <w:r w:rsidRPr="00813E43">
        <w:rPr>
          <w:rFonts w:ascii="Arial" w:hAnsi="Arial" w:cs="Arial"/>
        </w:rPr>
        <w:t xml:space="preserve"> social, por meio da desregulamentação sistemática da legislação. Seguindo essa lógica, </w:t>
      </w:r>
      <w:r w:rsidRPr="00813E43">
        <w:rPr>
          <w:rFonts w:ascii="Arial" w:hAnsi="Arial" w:cs="Arial"/>
          <w:color w:val="222222"/>
          <w:shd w:val="clear" w:color="auto" w:fill="FFFFFF"/>
        </w:rPr>
        <w:t>Dias (2008, p. 15) apresenta esse fluxo como a dinâmica através da qual se manifesta “a quebra, a redução ao mínimo da legislação de proteção ao trabalho, abrindo caminho para o pleno domínio do mercado”</w:t>
      </w:r>
      <w:r w:rsidRPr="00813E43">
        <w:rPr>
          <w:rFonts w:ascii="Arial" w:hAnsi="Arial" w:cs="Arial"/>
        </w:rPr>
        <w:t xml:space="preserve">. </w:t>
      </w:r>
    </w:p>
    <w:p w14:paraId="34A9FCFE" w14:textId="77777777" w:rsidR="00045620" w:rsidRDefault="00395CDA" w:rsidP="00045620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813E43" w:rsidRPr="00813E43">
        <w:rPr>
          <w:rFonts w:ascii="Arial" w:hAnsi="Arial" w:cs="Arial"/>
        </w:rPr>
        <w:t>m 15 de dezembro de 1998, durante o governo de FHC e, através da EC nº 20/1998, foi aprovada a primeira Reforma da Previdência Social brasileira, afetando o sistema previdenciário tanto dos trabalhadores do Regime Geral da Previdência Social (RGPS) como os do Regime Próprio da Previdência Social (RPPS)</w:t>
      </w:r>
      <w:r w:rsidR="00BC6C8D" w:rsidRPr="00813E43">
        <w:rPr>
          <w:rStyle w:val="Refdenotadefim"/>
          <w:rFonts w:ascii="Arial" w:hAnsi="Arial" w:cs="Arial"/>
        </w:rPr>
        <w:endnoteReference w:id="7"/>
      </w:r>
      <w:r w:rsidR="00BC6C8D" w:rsidRPr="00813E43">
        <w:rPr>
          <w:rFonts w:ascii="Arial" w:hAnsi="Arial" w:cs="Arial"/>
        </w:rPr>
        <w:t>.</w:t>
      </w:r>
      <w:r w:rsidR="00813E43" w:rsidRPr="00813E43">
        <w:rPr>
          <w:rFonts w:ascii="Arial" w:hAnsi="Arial" w:cs="Arial"/>
        </w:rPr>
        <w:t xml:space="preserve"> Essa mudança na legislação concretizou a extinção da aposentadoria proporcional e por tempo de serviço; dificultou as condições para o acesso à aposentadoria especial; desconstitucionalizou a regra de cálculo sobre o valor dos benefícios e estabeleceu uma nova regra, por meio da Lei nº 9.876, de 29 de novembro de 1999, introduzindo o fator previdenciário aos segurados (Cechin, 2002, p.17). </w:t>
      </w:r>
    </w:p>
    <w:p w14:paraId="785B6F97" w14:textId="77777777" w:rsidR="00813E43" w:rsidRPr="00813E43" w:rsidRDefault="00045620" w:rsidP="00045620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 com</w:t>
      </w:r>
      <w:r w:rsidR="00813E43" w:rsidRPr="00813E43">
        <w:rPr>
          <w:rFonts w:ascii="Arial" w:hAnsi="Arial" w:cs="Arial"/>
        </w:rPr>
        <w:t xml:space="preserve"> Cechin</w:t>
      </w:r>
      <w:r w:rsidR="00395CDA">
        <w:rPr>
          <w:rFonts w:ascii="Arial" w:hAnsi="Arial" w:cs="Arial"/>
        </w:rPr>
        <w:t xml:space="preserve"> (</w:t>
      </w:r>
      <w:r w:rsidR="00813E43" w:rsidRPr="00813E43">
        <w:rPr>
          <w:rFonts w:ascii="Arial" w:hAnsi="Arial" w:cs="Arial"/>
        </w:rPr>
        <w:t>2002), essa primeira reforma buscou</w:t>
      </w:r>
      <w:r w:rsidR="00395CDA">
        <w:rPr>
          <w:rFonts w:ascii="Arial" w:hAnsi="Arial" w:cs="Arial"/>
        </w:rPr>
        <w:t xml:space="preserve"> </w:t>
      </w:r>
      <w:r w:rsidR="00813E43" w:rsidRPr="00813E43">
        <w:rPr>
          <w:rFonts w:ascii="Arial" w:hAnsi="Arial" w:cs="Arial"/>
        </w:rPr>
        <w:t xml:space="preserve">equiparar o tempo de contribuição e o tempo de usufruto dos direitos previdenciários, o que é uma perspectiva nefasta por parte do Estado, justamente porque ao implementar a aposentadoria por tempo de contribuição, extinguindo a aposentadoria por tempo de serviço, o Estado reduziu o valor do salário de benefício dos trabalhadores por considerar a expectativa de vida da população um problema a ser enfrentado. </w:t>
      </w:r>
    </w:p>
    <w:p w14:paraId="66D4F375" w14:textId="77777777" w:rsidR="00813E43" w:rsidRPr="00797F99" w:rsidRDefault="00813E43" w:rsidP="00797F99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lastRenderedPageBreak/>
        <w:t>O Estado compreendia que para a classe trabalhadora acessar a aposentadoria, seria necessário promover a capitalização de suas contribuições durante o período laboral, o que pode ser interpretado como meio utilizado de deslegitimar a previdência pública. A aprovação da Reforma da Previdência em 1998 buscou apresentar uma ideia de que as aposentadorias e pensões afetam o crescimento do PIB e provocam o déficit nas contas públicas. A regra de cálculo do fator previdenciário, conforme apresentado pela legislação (Brasil, 1999), passou a considerar o tempo de contribuição, a expectativa de vida, a alíquota e a idade mínima do segurado</w:t>
      </w:r>
      <w:r w:rsidR="00F339AF">
        <w:rPr>
          <w:rFonts w:ascii="Arial" w:hAnsi="Arial" w:cs="Arial"/>
        </w:rPr>
        <w:t xml:space="preserve"> </w:t>
      </w:r>
      <w:r w:rsidRPr="00813E43">
        <w:rPr>
          <w:rFonts w:ascii="Arial" w:hAnsi="Arial" w:cs="Arial"/>
        </w:rPr>
        <w:t>no momento da aposentadoria.</w:t>
      </w:r>
    </w:p>
    <w:p w14:paraId="128CB63C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A dilapidação dos direitos sociais não se restringe aos anos de 1990, pois </w:t>
      </w:r>
      <w:r w:rsidR="00797F99">
        <w:rPr>
          <w:rFonts w:ascii="Arial" w:hAnsi="Arial" w:cs="Arial"/>
        </w:rPr>
        <w:t>a</w:t>
      </w:r>
      <w:r w:rsidRPr="00813E43">
        <w:rPr>
          <w:rFonts w:ascii="Arial" w:hAnsi="Arial" w:cs="Arial"/>
        </w:rPr>
        <w:t xml:space="preserve"> </w:t>
      </w:r>
      <w:r w:rsidR="00797F99">
        <w:rPr>
          <w:rFonts w:ascii="Arial" w:hAnsi="Arial" w:cs="Arial"/>
        </w:rPr>
        <w:t>ofensiva</w:t>
      </w:r>
      <w:r w:rsidRPr="00813E43">
        <w:rPr>
          <w:rFonts w:ascii="Arial" w:hAnsi="Arial" w:cs="Arial"/>
        </w:rPr>
        <w:t xml:space="preserve"> neolibera</w:t>
      </w:r>
      <w:r w:rsidR="00797F99">
        <w:rPr>
          <w:rFonts w:ascii="Arial" w:hAnsi="Arial" w:cs="Arial"/>
        </w:rPr>
        <w:t>l</w:t>
      </w:r>
      <w:r w:rsidRPr="00813E43">
        <w:rPr>
          <w:rFonts w:ascii="Arial" w:hAnsi="Arial" w:cs="Arial"/>
        </w:rPr>
        <w:t xml:space="preserve"> persiste na atualidade e tem avançado de modo sistemático, deixando marcas de privatização e enxugamento das políticas de proteção social, transferindo para a inciativa privada a intervenção </w:t>
      </w:r>
      <w:r w:rsidR="00797F99">
        <w:rPr>
          <w:rFonts w:ascii="Arial" w:hAnsi="Arial" w:cs="Arial"/>
        </w:rPr>
        <w:t>em</w:t>
      </w:r>
      <w:r w:rsidRPr="00813E43">
        <w:rPr>
          <w:rFonts w:ascii="Arial" w:hAnsi="Arial" w:cs="Arial"/>
        </w:rPr>
        <w:t xml:space="preserve"> demandas </w:t>
      </w:r>
      <w:r w:rsidR="00797F99">
        <w:rPr>
          <w:rFonts w:ascii="Arial" w:hAnsi="Arial" w:cs="Arial"/>
        </w:rPr>
        <w:t xml:space="preserve">sociais </w:t>
      </w:r>
      <w:r w:rsidRPr="00813E43">
        <w:rPr>
          <w:rFonts w:ascii="Arial" w:hAnsi="Arial" w:cs="Arial"/>
        </w:rPr>
        <w:t xml:space="preserve">que deveriam ser </w:t>
      </w:r>
      <w:r w:rsidR="00797F99">
        <w:rPr>
          <w:rFonts w:ascii="Arial" w:hAnsi="Arial" w:cs="Arial"/>
        </w:rPr>
        <w:t xml:space="preserve">de responsabilidade </w:t>
      </w:r>
      <w:r w:rsidRPr="00813E43">
        <w:rPr>
          <w:rFonts w:ascii="Arial" w:hAnsi="Arial" w:cs="Arial"/>
        </w:rPr>
        <w:t xml:space="preserve">do Estado e do poder público. </w:t>
      </w:r>
    </w:p>
    <w:p w14:paraId="3B37D066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Para </w:t>
      </w:r>
      <w:r w:rsidR="00F339AF">
        <w:rPr>
          <w:rFonts w:ascii="Arial" w:hAnsi="Arial" w:cs="Arial"/>
        </w:rPr>
        <w:t>a aprovação e implementação das propostas reformistas,</w:t>
      </w:r>
      <w:r w:rsidRPr="00813E43">
        <w:rPr>
          <w:rFonts w:ascii="Arial" w:hAnsi="Arial" w:cs="Arial"/>
        </w:rPr>
        <w:t xml:space="preserve"> era necessário construir um argumento </w:t>
      </w:r>
      <w:proofErr w:type="spellStart"/>
      <w:r w:rsidRPr="00813E43">
        <w:rPr>
          <w:rFonts w:ascii="Arial" w:hAnsi="Arial" w:cs="Arial"/>
        </w:rPr>
        <w:t>ideopolítico</w:t>
      </w:r>
      <w:proofErr w:type="spellEnd"/>
      <w:r w:rsidRPr="00813E43">
        <w:rPr>
          <w:rFonts w:ascii="Arial" w:hAnsi="Arial" w:cs="Arial"/>
        </w:rPr>
        <w:t xml:space="preserve"> de ineficácia do Estado em gerir a política de previdência. Nesse sentido, devido a sua suposta ineficácia, gerava-se um déficit nas contas públicas (Faleiros, 2009).</w:t>
      </w:r>
    </w:p>
    <w:p w14:paraId="6742A029" w14:textId="77777777" w:rsidR="00797F99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>A partir de 2003, o cenário da política no Brasil assume novos contornos, precisamente, após o lançamento da Carta ao Povo Brasileiro</w:t>
      </w:r>
      <w:r w:rsidR="00BC6C8D" w:rsidRPr="00813E43">
        <w:rPr>
          <w:rStyle w:val="Refdenotadefim"/>
          <w:rFonts w:ascii="Arial" w:hAnsi="Arial" w:cs="Arial"/>
        </w:rPr>
        <w:endnoteReference w:id="8"/>
      </w:r>
      <w:r w:rsidR="00BC6C8D" w:rsidRPr="00813E43">
        <w:rPr>
          <w:rFonts w:ascii="Arial" w:hAnsi="Arial" w:cs="Arial"/>
        </w:rPr>
        <w:t>.</w:t>
      </w:r>
      <w:r w:rsidRPr="00813E43">
        <w:rPr>
          <w:rFonts w:ascii="Arial" w:hAnsi="Arial" w:cs="Arial"/>
        </w:rPr>
        <w:t xml:space="preserve"> Lula</w:t>
      </w:r>
      <w:r w:rsidR="00565A27">
        <w:rPr>
          <w:rFonts w:ascii="Arial" w:hAnsi="Arial" w:cs="Arial"/>
        </w:rPr>
        <w:t>,</w:t>
      </w:r>
      <w:r w:rsidRPr="00813E43">
        <w:rPr>
          <w:rFonts w:ascii="Arial" w:hAnsi="Arial" w:cs="Arial"/>
        </w:rPr>
        <w:t xml:space="preserve"> candidato do Partido dos Trabalhadores </w:t>
      </w:r>
      <w:r w:rsidR="00565A27">
        <w:rPr>
          <w:rFonts w:ascii="Arial" w:hAnsi="Arial" w:cs="Arial"/>
        </w:rPr>
        <w:t>(</w:t>
      </w:r>
      <w:r w:rsidRPr="00813E43">
        <w:rPr>
          <w:rFonts w:ascii="Arial" w:hAnsi="Arial" w:cs="Arial"/>
        </w:rPr>
        <w:t>PT</w:t>
      </w:r>
      <w:r w:rsidR="00565A27">
        <w:rPr>
          <w:rFonts w:ascii="Arial" w:hAnsi="Arial" w:cs="Arial"/>
        </w:rPr>
        <w:t>)</w:t>
      </w:r>
      <w:r w:rsidRPr="00813E43">
        <w:rPr>
          <w:rFonts w:ascii="Arial" w:hAnsi="Arial" w:cs="Arial"/>
        </w:rPr>
        <w:t xml:space="preserve">, vence as eleições presidenciais, tendo como vice o empresário do Partido Liberal </w:t>
      </w:r>
      <w:r w:rsidR="00565A27">
        <w:rPr>
          <w:rFonts w:ascii="Arial" w:hAnsi="Arial" w:cs="Arial"/>
        </w:rPr>
        <w:t>(</w:t>
      </w:r>
      <w:r w:rsidRPr="00813E43">
        <w:rPr>
          <w:rFonts w:ascii="Arial" w:hAnsi="Arial" w:cs="Arial"/>
        </w:rPr>
        <w:t>PL</w:t>
      </w:r>
      <w:r w:rsidR="00565A27">
        <w:rPr>
          <w:rFonts w:ascii="Arial" w:hAnsi="Arial" w:cs="Arial"/>
        </w:rPr>
        <w:t>),</w:t>
      </w:r>
      <w:r w:rsidRPr="00813E43">
        <w:rPr>
          <w:rFonts w:ascii="Arial" w:hAnsi="Arial" w:cs="Arial"/>
        </w:rPr>
        <w:t xml:space="preserve"> José Alencar. </w:t>
      </w:r>
    </w:p>
    <w:p w14:paraId="02072D33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>O governo Lula começa a apresentar seus limites, especialmente a partir da implementação da EC nº 41, de 19 de dezembro de 2003</w:t>
      </w:r>
      <w:r w:rsidR="00F339AF">
        <w:rPr>
          <w:rFonts w:ascii="Arial" w:hAnsi="Arial" w:cs="Arial"/>
        </w:rPr>
        <w:t>,</w:t>
      </w:r>
      <w:r w:rsidRPr="00813E43">
        <w:rPr>
          <w:rFonts w:ascii="Arial" w:hAnsi="Arial" w:cs="Arial"/>
        </w:rPr>
        <w:t xml:space="preserve"> </w:t>
      </w:r>
      <w:r w:rsidR="00F339AF">
        <w:rPr>
          <w:rFonts w:ascii="Arial" w:hAnsi="Arial" w:cs="Arial"/>
        </w:rPr>
        <w:t>o</w:t>
      </w:r>
      <w:r w:rsidRPr="00813E43">
        <w:rPr>
          <w:rFonts w:ascii="Arial" w:hAnsi="Arial" w:cs="Arial"/>
        </w:rPr>
        <w:t xml:space="preserve">u seja, uma nova Reforma da Previdência é aprovada, estabelecendo o nivelamento do teto dos benefícios previdenciários do RGPS e do RPPS (Brasil, 2003). As consequências dessas medidas afetaram especialmente os servidores públicos, pois decretou o fim da aposentadoria integral; aumentou a idade mínima para a concessão de aposentadorias; estabeleceu um teto sobre o valor dos benefícios previdenciários; </w:t>
      </w:r>
      <w:r w:rsidRPr="00813E43">
        <w:rPr>
          <w:rFonts w:ascii="Arial" w:hAnsi="Arial" w:cs="Arial"/>
        </w:rPr>
        <w:lastRenderedPageBreak/>
        <w:t>exigiu contribuição compulsória dos aposentados, exigiu a taxação de trabalhadores inativos e, no caso de servidores ativos a taxação foi em 11%, caso os vencimentos excedessem o teto sobre o valor das aposentadorias e pensões</w:t>
      </w:r>
      <w:r w:rsidR="00BC6C8D" w:rsidRPr="00813E43">
        <w:rPr>
          <w:rStyle w:val="Refdenotadefim"/>
          <w:rFonts w:ascii="Arial" w:hAnsi="Arial" w:cs="Arial"/>
        </w:rPr>
        <w:endnoteReference w:id="9"/>
      </w:r>
      <w:r w:rsidR="00BC6C8D" w:rsidRPr="00813E43">
        <w:rPr>
          <w:rFonts w:ascii="Arial" w:hAnsi="Arial" w:cs="Arial"/>
        </w:rPr>
        <w:t xml:space="preserve"> </w:t>
      </w:r>
      <w:r w:rsidRPr="00813E43">
        <w:rPr>
          <w:rFonts w:ascii="Arial" w:hAnsi="Arial" w:cs="Arial"/>
        </w:rPr>
        <w:t xml:space="preserve">do RGPS (Lavinas e Araújo, 2017). </w:t>
      </w:r>
    </w:p>
    <w:p w14:paraId="685DAB02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>Ainda no primeiro mandato do governo Lula, a aprovação da EC nº 47 de 2005, configurou-se, também, como mais uma medida regressiva de direitos dos trabalhadores estatais. A legislação foi utilizada para definir regras de transição aos servidores públicos que ingressaram no serviço público até dezembro de 1998 (Brasil, 2005). Considerando que a primeira Reforma da Previdência foi em 1998, é como se a ordem do capital financeiro estivesse corrigindo os “erros do passado”</w:t>
      </w:r>
      <w:r w:rsidR="00565A27">
        <w:rPr>
          <w:rFonts w:ascii="Arial" w:hAnsi="Arial" w:cs="Arial"/>
        </w:rPr>
        <w:t xml:space="preserve"> e </w:t>
      </w:r>
      <w:r w:rsidRPr="00813E43">
        <w:rPr>
          <w:rFonts w:ascii="Arial" w:hAnsi="Arial" w:cs="Arial"/>
        </w:rPr>
        <w:t>impondo condicionalidades aos segurados do RPPS parecidas com as dos segurados do RGPS. O objetivo era reduzir os direitos dos trabalhadores a qualquer custo, mesmo que isso significasse a degradação das condições de vida e subsistência daqueles que vivem e sobrevivem do trabalho.</w:t>
      </w:r>
    </w:p>
    <w:p w14:paraId="6C764F62" w14:textId="77777777" w:rsidR="00672BEB" w:rsidRDefault="00813E43" w:rsidP="00F339AF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Essa EC extinguiu a aposentadoria integral para os servidores públicos (Brasil, 2005) e, pela via formal, o Estado passou a esgotar gradualmente o sistema previdenciário impondo exigências que caminhavam numa lógica de restrição ao máximo de cidadania e transferência de suas responsabilidades para o sistema privado/financeiro, ou seja, os direitos passam a ser considerados serviços a serem comprados no mercado. </w:t>
      </w:r>
    </w:p>
    <w:p w14:paraId="11D04369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>Em 2011, Dilma Rousseff (PT) é eleita</w:t>
      </w:r>
      <w:r w:rsidR="00F339AF">
        <w:rPr>
          <w:rFonts w:ascii="Arial" w:hAnsi="Arial" w:cs="Arial"/>
        </w:rPr>
        <w:t>, sendo</w:t>
      </w:r>
      <w:r w:rsidRPr="00813E43">
        <w:rPr>
          <w:rFonts w:ascii="Arial" w:hAnsi="Arial" w:cs="Arial"/>
        </w:rPr>
        <w:t xml:space="preserve"> a primeira mulher a assumir o cargo de chefe de Estado. Seu primeiro mandato (2011-2014) emerge com um projeto político estruturado em políticas desenvolvimentistas, numa tentativa de remediar e/ou resolver os problemas decorrentes das sequelas que restaram da crise financeira instaurada em 2008 e, nesse caso, deixadas pelo governo Lula (Salomão; Almeida, 2023). </w:t>
      </w:r>
    </w:p>
    <w:p w14:paraId="7DB6E0B1" w14:textId="77777777" w:rsidR="00813E43" w:rsidRPr="00813E43" w:rsidRDefault="00F339AF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Após</w:t>
      </w:r>
      <w:r w:rsidR="00813E43" w:rsidRPr="00813E43">
        <w:rPr>
          <w:rFonts w:ascii="Arial" w:hAnsi="Arial" w:cs="Arial"/>
        </w:rPr>
        <w:t xml:space="preserve"> assumir a presidência da República, Dilma se depara com um Congresso Nacional reacionário e conservador, que pression</w:t>
      </w:r>
      <w:r w:rsidR="00672BEB">
        <w:rPr>
          <w:rFonts w:ascii="Arial" w:hAnsi="Arial" w:cs="Arial"/>
        </w:rPr>
        <w:t>a</w:t>
      </w:r>
      <w:r w:rsidR="00813E43" w:rsidRPr="00813E43">
        <w:rPr>
          <w:rFonts w:ascii="Arial" w:hAnsi="Arial" w:cs="Arial"/>
        </w:rPr>
        <w:t xml:space="preserve"> a colocar em pauta e votação o PL nº 1.992 de 2007, que estava </w:t>
      </w:r>
      <w:r w:rsidR="00E64A80">
        <w:rPr>
          <w:rFonts w:ascii="Arial" w:hAnsi="Arial" w:cs="Arial"/>
        </w:rPr>
        <w:t>“</w:t>
      </w:r>
      <w:r w:rsidR="00813E43" w:rsidRPr="00813E43">
        <w:rPr>
          <w:rFonts w:ascii="Arial" w:hAnsi="Arial" w:cs="Arial"/>
        </w:rPr>
        <w:t>engavetado</w:t>
      </w:r>
      <w:r w:rsidR="00E64A80">
        <w:rPr>
          <w:rFonts w:ascii="Arial" w:hAnsi="Arial" w:cs="Arial"/>
        </w:rPr>
        <w:t>”</w:t>
      </w:r>
      <w:r w:rsidR="00813E43" w:rsidRPr="00813E43">
        <w:rPr>
          <w:rFonts w:ascii="Arial" w:hAnsi="Arial" w:cs="Arial"/>
        </w:rPr>
        <w:t xml:space="preserve"> desde o governo Lula (Caramuru, 2021), </w:t>
      </w:r>
      <w:r w:rsidR="00813E43" w:rsidRPr="00813E43">
        <w:rPr>
          <w:rFonts w:ascii="Arial" w:hAnsi="Arial" w:cs="Arial"/>
        </w:rPr>
        <w:lastRenderedPageBreak/>
        <w:t>acentuando então</w:t>
      </w:r>
      <w:r w:rsidR="00672BEB">
        <w:rPr>
          <w:rFonts w:ascii="Arial" w:hAnsi="Arial" w:cs="Arial"/>
        </w:rPr>
        <w:t xml:space="preserve"> </w:t>
      </w:r>
      <w:r w:rsidR="00813E43" w:rsidRPr="00813E43">
        <w:rPr>
          <w:rFonts w:ascii="Arial" w:hAnsi="Arial" w:cs="Arial"/>
        </w:rPr>
        <w:t xml:space="preserve">os limites e as contradições políticas, econômicas e sociais que são enfrentadas pelos governos progressistas e de esquerda no Brasil. </w:t>
      </w:r>
    </w:p>
    <w:p w14:paraId="6BD6E66D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Por conseguinte, em 30 de abril de 2012 é aprovada a </w:t>
      </w:r>
      <w:bookmarkStart w:id="1" w:name="OLE_LINK2"/>
      <w:r w:rsidRPr="00813E43">
        <w:rPr>
          <w:rFonts w:ascii="Arial" w:hAnsi="Arial" w:cs="Arial"/>
        </w:rPr>
        <w:t>Lei nº 12.618</w:t>
      </w:r>
      <w:bookmarkEnd w:id="1"/>
      <w:r w:rsidRPr="00813E43">
        <w:rPr>
          <w:rFonts w:ascii="Arial" w:hAnsi="Arial" w:cs="Arial"/>
        </w:rPr>
        <w:t>, que regulamenta os fundos privados de pensão e, em 20 de setembro de 2012 é aprovado o Decreto nº 7.808 que cria a Fundação de Previdência Complementar do Servidor Público Federal do Poder Executivo</w:t>
      </w:r>
      <w:r w:rsidR="00F339AF">
        <w:rPr>
          <w:rFonts w:ascii="Arial" w:hAnsi="Arial" w:cs="Arial"/>
        </w:rPr>
        <w:t xml:space="preserve"> (FUNPRESP)</w:t>
      </w:r>
      <w:r w:rsidRPr="00813E43">
        <w:rPr>
          <w:rFonts w:ascii="Arial" w:hAnsi="Arial" w:cs="Arial"/>
        </w:rPr>
        <w:t>, estabelecendo regras que insere a previdência pública dos servidores públicos no âmbito da privatização e, ao mesmo tempo, no terreno dos ajustes neoliberais, restringindo o significado de direito para impor uma proteção social que dependerá, necessariamente, da rentabilidade dos fundos empresariais.</w:t>
      </w:r>
    </w:p>
    <w:p w14:paraId="2E52D4D1" w14:textId="77777777" w:rsidR="002771A1" w:rsidRPr="00813E43" w:rsidRDefault="00672BEB" w:rsidP="004E37DA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813E43" w:rsidRPr="00813E43">
        <w:rPr>
          <w:rFonts w:ascii="Arial" w:hAnsi="Arial" w:cs="Arial"/>
        </w:rPr>
        <w:t xml:space="preserve">mbora se apresente como uma nova legislação, a Lei nº 12.618 de 2012 retoma os elementos centrais da EC nº 20 de 1998, pois não só regulamenta a privatização da previdência dos servidores públicos, como também dá continuidade às prerrogativas existentes na primeira Reforma da Previdência, </w:t>
      </w:r>
      <w:r w:rsidR="00E64A80">
        <w:rPr>
          <w:rFonts w:ascii="Arial" w:hAnsi="Arial" w:cs="Arial"/>
        </w:rPr>
        <w:t xml:space="preserve">implementada </w:t>
      </w:r>
      <w:r w:rsidR="00813E43" w:rsidRPr="00813E43">
        <w:rPr>
          <w:rFonts w:ascii="Arial" w:hAnsi="Arial" w:cs="Arial"/>
        </w:rPr>
        <w:t xml:space="preserve">durante o governo de FHC. </w:t>
      </w:r>
      <w:r>
        <w:rPr>
          <w:rFonts w:ascii="Arial" w:hAnsi="Arial" w:cs="Arial"/>
        </w:rPr>
        <w:t>E</w:t>
      </w:r>
      <w:r w:rsidR="00813E43" w:rsidRPr="00813E43">
        <w:rPr>
          <w:rFonts w:ascii="Arial" w:hAnsi="Arial" w:cs="Arial"/>
        </w:rPr>
        <w:t xml:space="preserve">mbora as reformas neoliberais caminhem </w:t>
      </w:r>
      <w:r>
        <w:rPr>
          <w:rFonts w:ascii="Arial" w:hAnsi="Arial" w:cs="Arial"/>
        </w:rPr>
        <w:t>n</w:t>
      </w:r>
      <w:r w:rsidR="00813E43" w:rsidRPr="00813E43">
        <w:rPr>
          <w:rFonts w:ascii="Arial" w:hAnsi="Arial" w:cs="Arial"/>
        </w:rPr>
        <w:t>a perspectiva de atrofiamento ao máximo dos direitos e garantias sociais, o § 2º do artigo 201 da EC nº 20 de 1998 garantiu que nenhum direito previdenciário tivesse o valor mensal inferior ao salário-mínimo</w:t>
      </w:r>
      <w:r w:rsidR="00BC6C8D" w:rsidRPr="00813E43">
        <w:rPr>
          <w:rStyle w:val="Refdenotadefim"/>
          <w:rFonts w:ascii="Arial" w:hAnsi="Arial" w:cs="Arial"/>
        </w:rPr>
        <w:endnoteReference w:id="10"/>
      </w:r>
      <w:r w:rsidR="00BC6C8D" w:rsidRPr="00813E43">
        <w:rPr>
          <w:rFonts w:ascii="Arial" w:hAnsi="Arial" w:cs="Arial"/>
        </w:rPr>
        <w:t xml:space="preserve"> </w:t>
      </w:r>
      <w:r w:rsidR="00813E43" w:rsidRPr="00813E43">
        <w:rPr>
          <w:rFonts w:ascii="Arial" w:hAnsi="Arial" w:cs="Arial"/>
        </w:rPr>
        <w:t>(Brasil, 1998). Sendo assim, apesar dos limites e das correlações de forças postas no decorrer do governo Dilma, uma das estratégias utilizadas pelo governo, para atender aos anseios dos trabalhadores, foi a implementação da política de valorização do salário-mínimo em longo prazo por meio da Lei nº 12.382, de 25 de fevereiro de 2011, que, mesmo diante de um terreno permeado por disputas político-econômicas, abriu margem para que os reajustes anuais no valor do salário-mínimo nominal compreendesse</w:t>
      </w:r>
      <w:r>
        <w:rPr>
          <w:rFonts w:ascii="Arial" w:hAnsi="Arial" w:cs="Arial"/>
        </w:rPr>
        <w:t>m</w:t>
      </w:r>
      <w:r w:rsidR="00813E43" w:rsidRPr="00813E43">
        <w:rPr>
          <w:rFonts w:ascii="Arial" w:hAnsi="Arial" w:cs="Arial"/>
        </w:rPr>
        <w:t xml:space="preserve"> o poder de compra dos trabalhadores, mesmo com seus valores ínfimos ao longo da história. A política de valorização do salário-mínimo, apesar dos limites e contradições, contribuiu para que o valor do salário e dos direitos previdenciários alcan</w:t>
      </w:r>
      <w:r w:rsidR="00E64A80">
        <w:rPr>
          <w:rFonts w:ascii="Arial" w:hAnsi="Arial" w:cs="Arial"/>
        </w:rPr>
        <w:t>ce</w:t>
      </w:r>
      <w:r w:rsidR="00813E43" w:rsidRPr="00813E43">
        <w:rPr>
          <w:rFonts w:ascii="Arial" w:hAnsi="Arial" w:cs="Arial"/>
        </w:rPr>
        <w:t xml:space="preserve"> um aumento que ultrapasse os índices inflacionários e, para além disso, considere o poder de compra e atenda as necessidades objetivas de sobrevivência da classe trabalhadora. </w:t>
      </w:r>
    </w:p>
    <w:p w14:paraId="3ABB1B16" w14:textId="77777777" w:rsidR="00813E43" w:rsidRDefault="00E64A80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Logo após, o</w:t>
      </w:r>
      <w:r w:rsidR="00672BEB">
        <w:rPr>
          <w:rFonts w:ascii="Arial" w:hAnsi="Arial" w:cs="Arial"/>
        </w:rPr>
        <w:t xml:space="preserve"> Brasil </w:t>
      </w:r>
      <w:r>
        <w:rPr>
          <w:rFonts w:ascii="Arial" w:hAnsi="Arial" w:cs="Arial"/>
        </w:rPr>
        <w:t>atravessa</w:t>
      </w:r>
      <w:r w:rsidR="00672BEB">
        <w:rPr>
          <w:rFonts w:ascii="Arial" w:hAnsi="Arial" w:cs="Arial"/>
        </w:rPr>
        <w:t xml:space="preserve"> uma</w:t>
      </w:r>
      <w:r w:rsidR="00813E43" w:rsidRPr="00813E43">
        <w:rPr>
          <w:rFonts w:ascii="Arial" w:hAnsi="Arial" w:cs="Arial"/>
        </w:rPr>
        <w:t xml:space="preserve"> conjuntura </w:t>
      </w:r>
      <w:r>
        <w:rPr>
          <w:rFonts w:ascii="Arial" w:hAnsi="Arial" w:cs="Arial"/>
        </w:rPr>
        <w:t xml:space="preserve">de crise </w:t>
      </w:r>
      <w:r w:rsidR="00813E43" w:rsidRPr="00813E43">
        <w:rPr>
          <w:rFonts w:ascii="Arial" w:hAnsi="Arial" w:cs="Arial"/>
        </w:rPr>
        <w:t xml:space="preserve">política </w:t>
      </w:r>
      <w:r>
        <w:rPr>
          <w:rFonts w:ascii="Arial" w:hAnsi="Arial" w:cs="Arial"/>
        </w:rPr>
        <w:t xml:space="preserve">e radicalização </w:t>
      </w:r>
      <w:r w:rsidR="00813E43" w:rsidRPr="00813E43">
        <w:rPr>
          <w:rFonts w:ascii="Arial" w:hAnsi="Arial" w:cs="Arial"/>
        </w:rPr>
        <w:t>neoliberal</w:t>
      </w:r>
      <w:r>
        <w:rPr>
          <w:rFonts w:ascii="Arial" w:hAnsi="Arial" w:cs="Arial"/>
        </w:rPr>
        <w:t>, aprofundada</w:t>
      </w:r>
      <w:r w:rsidR="00813E43" w:rsidRPr="00813E43">
        <w:rPr>
          <w:rFonts w:ascii="Arial" w:hAnsi="Arial" w:cs="Arial"/>
        </w:rPr>
        <w:t xml:space="preserve"> após o golpe de Dilma em 2016</w:t>
      </w:r>
      <w:r w:rsidR="00672BEB">
        <w:rPr>
          <w:rFonts w:ascii="Arial" w:hAnsi="Arial" w:cs="Arial"/>
        </w:rPr>
        <w:t xml:space="preserve"> e</w:t>
      </w:r>
      <w:r w:rsidR="00813E43" w:rsidRPr="00813E43">
        <w:rPr>
          <w:rFonts w:ascii="Arial" w:hAnsi="Arial" w:cs="Arial"/>
        </w:rPr>
        <w:t xml:space="preserve"> seguida </w:t>
      </w:r>
      <w:r>
        <w:rPr>
          <w:rFonts w:ascii="Arial" w:hAnsi="Arial" w:cs="Arial"/>
        </w:rPr>
        <w:t>pela</w:t>
      </w:r>
      <w:r w:rsidR="00813E43" w:rsidRPr="00813E43">
        <w:rPr>
          <w:rFonts w:ascii="Arial" w:hAnsi="Arial" w:cs="Arial"/>
        </w:rPr>
        <w:t xml:space="preserve"> ascensão de </w:t>
      </w:r>
      <w:r w:rsidR="00672BEB">
        <w:rPr>
          <w:rFonts w:ascii="Arial" w:hAnsi="Arial" w:cs="Arial"/>
        </w:rPr>
        <w:t xml:space="preserve">Michel </w:t>
      </w:r>
      <w:r w:rsidR="00813E43" w:rsidRPr="00813E43">
        <w:rPr>
          <w:rFonts w:ascii="Arial" w:hAnsi="Arial" w:cs="Arial"/>
        </w:rPr>
        <w:t>Temer à Presidência da República</w:t>
      </w:r>
      <w:r>
        <w:rPr>
          <w:rFonts w:ascii="Arial" w:hAnsi="Arial" w:cs="Arial"/>
        </w:rPr>
        <w:t>. Com Temer,</w:t>
      </w:r>
      <w:r w:rsidR="00672BEB">
        <w:rPr>
          <w:rFonts w:ascii="Arial" w:hAnsi="Arial" w:cs="Arial"/>
        </w:rPr>
        <w:t xml:space="preserve"> aprova</w:t>
      </w:r>
      <w:r>
        <w:rPr>
          <w:rFonts w:ascii="Arial" w:hAnsi="Arial" w:cs="Arial"/>
        </w:rPr>
        <w:t>-se</w:t>
      </w:r>
      <w:r w:rsidR="00672BEB">
        <w:rPr>
          <w:rFonts w:ascii="Arial" w:hAnsi="Arial" w:cs="Arial"/>
        </w:rPr>
        <w:t xml:space="preserve"> a </w:t>
      </w:r>
      <w:r w:rsidR="00813E43" w:rsidRPr="00813E43">
        <w:rPr>
          <w:rFonts w:ascii="Arial" w:hAnsi="Arial" w:cs="Arial"/>
        </w:rPr>
        <w:t>EC nº 95 de 2016</w:t>
      </w:r>
      <w:r>
        <w:rPr>
          <w:rFonts w:ascii="Arial" w:hAnsi="Arial" w:cs="Arial"/>
        </w:rPr>
        <w:t>,</w:t>
      </w:r>
      <w:r w:rsidR="00813E43" w:rsidRPr="00813E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estabelecendo um limite de gastos públicos com as políticas sociais, em que se prioriza as necessidades do mercado em detrimento das necessidades sociais da população. </w:t>
      </w:r>
      <w:r w:rsidR="00DC4C73">
        <w:rPr>
          <w:rFonts w:ascii="Arial" w:hAnsi="Arial" w:cs="Arial"/>
        </w:rPr>
        <w:t>E</w:t>
      </w:r>
      <w:r>
        <w:rPr>
          <w:rFonts w:ascii="Arial" w:hAnsi="Arial" w:cs="Arial"/>
        </w:rPr>
        <w:t>m 2017, aprova-se</w:t>
      </w:r>
      <w:r w:rsidR="00813E43" w:rsidRPr="00813E43">
        <w:rPr>
          <w:rFonts w:ascii="Arial" w:hAnsi="Arial" w:cs="Arial"/>
        </w:rPr>
        <w:t xml:space="preserve"> </w:t>
      </w:r>
      <w:r w:rsidR="00672BEB">
        <w:rPr>
          <w:rFonts w:ascii="Arial" w:hAnsi="Arial" w:cs="Arial"/>
        </w:rPr>
        <w:t>a</w:t>
      </w:r>
      <w:r w:rsidR="00813E43" w:rsidRPr="00813E43">
        <w:rPr>
          <w:rFonts w:ascii="Arial" w:hAnsi="Arial" w:cs="Arial"/>
        </w:rPr>
        <w:t xml:space="preserve"> Reforma Trabalhista</w:t>
      </w:r>
      <w:r>
        <w:rPr>
          <w:rFonts w:ascii="Arial" w:hAnsi="Arial" w:cs="Arial"/>
        </w:rPr>
        <w:t>, alterando um conjunto de direitos previstos na Consolidação das Leis Trabalhistas (CLT) de 1943 e que representou um</w:t>
      </w:r>
      <w:r w:rsidR="00DC4C73">
        <w:rPr>
          <w:rFonts w:ascii="Arial" w:hAnsi="Arial" w:cs="Arial"/>
        </w:rPr>
        <w:t xml:space="preserve"> profundo</w:t>
      </w:r>
      <w:r>
        <w:rPr>
          <w:rFonts w:ascii="Arial" w:hAnsi="Arial" w:cs="Arial"/>
        </w:rPr>
        <w:t xml:space="preserve"> ataque aos direitos atinentes ao trabalho e retrocessos sociais</w:t>
      </w:r>
      <w:r w:rsidR="00DC4C73">
        <w:rPr>
          <w:rFonts w:ascii="Arial" w:hAnsi="Arial" w:cs="Arial"/>
        </w:rPr>
        <w:t xml:space="preserve"> para a classe trabalhadora</w:t>
      </w:r>
      <w:r>
        <w:rPr>
          <w:rFonts w:ascii="Arial" w:hAnsi="Arial" w:cs="Arial"/>
        </w:rPr>
        <w:t>. A</w:t>
      </w:r>
      <w:r w:rsidR="00DC4C73">
        <w:rPr>
          <w:rFonts w:ascii="Arial" w:hAnsi="Arial" w:cs="Arial"/>
        </w:rPr>
        <w:t>lém disso, a</w:t>
      </w:r>
      <w:r>
        <w:rPr>
          <w:rFonts w:ascii="Arial" w:hAnsi="Arial" w:cs="Arial"/>
        </w:rPr>
        <w:t xml:space="preserve"> Reforma Trabalhista contribuiu para a ampliação de modalidades precárias de trabalho. </w:t>
      </w:r>
    </w:p>
    <w:p w14:paraId="370AE792" w14:textId="77777777" w:rsidR="00DC4C73" w:rsidRPr="00813E43" w:rsidRDefault="00DC4C73" w:rsidP="00DC4C7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No governo de Jair Messias Bolsonaro (2019-2022), destaca-se a </w:t>
      </w:r>
      <w:r>
        <w:rPr>
          <w:rFonts w:ascii="Arial" w:hAnsi="Arial" w:cs="Arial"/>
        </w:rPr>
        <w:t xml:space="preserve">aprovação da </w:t>
      </w:r>
      <w:r w:rsidRPr="00813E43">
        <w:rPr>
          <w:rFonts w:ascii="Arial" w:hAnsi="Arial" w:cs="Arial"/>
        </w:rPr>
        <w:t xml:space="preserve">EC nº 103 de 2019 que trata da Reforma da Previdência e que expressa um dos marcos mais recentes relacionados ao atrofiamento da seguridade social brasileira. </w:t>
      </w:r>
      <w:r>
        <w:rPr>
          <w:rFonts w:ascii="Arial" w:hAnsi="Arial" w:cs="Arial"/>
        </w:rPr>
        <w:t xml:space="preserve">Durante o seu governo emerge a pandemia do coronavírus, que afetou drasticamente o conjunto da vida social em todos os âmbitos e dimensões globais. </w:t>
      </w:r>
    </w:p>
    <w:p w14:paraId="386297F1" w14:textId="77777777" w:rsidR="002771A1" w:rsidRDefault="002771A1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</w:p>
    <w:p w14:paraId="396BD277" w14:textId="77777777" w:rsidR="00813E43" w:rsidRDefault="00757CE0" w:rsidP="00757CE0">
      <w:pPr>
        <w:pStyle w:val="SemEspaament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CONCLUSÃO</w:t>
      </w:r>
    </w:p>
    <w:p w14:paraId="7875F7DE" w14:textId="77777777" w:rsidR="002C1415" w:rsidRDefault="002C1415" w:rsidP="00813E43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</w:p>
    <w:p w14:paraId="60B2FB47" w14:textId="77777777" w:rsidR="002771A1" w:rsidRPr="00813E43" w:rsidRDefault="002771A1" w:rsidP="00757CE0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>As</w:t>
      </w:r>
      <w:r w:rsidR="00DC4C73">
        <w:rPr>
          <w:rFonts w:ascii="Arial" w:hAnsi="Arial" w:cs="Arial"/>
        </w:rPr>
        <w:t xml:space="preserve"> breves reflexões apresentadas no presente texto objetivaram retratar algumas das reformas neoliberais em curso no Brasil a partir dos anos 1990, com destaque para o trabalho e a previdência social. Observa-se que, no contexto de ofensiva neoliberal, o propósito é reduzir as responsabilidades do Estado para com as políticas públicas e sociais, transferindo-as para a iniciativa privada. Com isso, ocorre um amplo processo de privatização das políticas e dos serviços sociais públicos. O que até então era direito assegurado passa a ser um serviço, uma mercadoria a ser adquirida, comprada e negociada no mercado. Cabe destacar que toda essa movimentação não acontece de forma inerte e sem reação social. Pelo contrário, no interior dos antagonismos de classe, é importante considerar que as lutas e resistências coletivas da classe trabalhadora permanecem vivas e atentas aos </w:t>
      </w:r>
      <w:r w:rsidR="00DC4C73">
        <w:rPr>
          <w:rFonts w:ascii="Arial" w:hAnsi="Arial" w:cs="Arial"/>
        </w:rPr>
        <w:lastRenderedPageBreak/>
        <w:t xml:space="preserve">interesses e demandas da população. Na disputa pelo fundo público, observa-se que as tensões são cada vez mais evidentes e cabe </w:t>
      </w:r>
      <w:r w:rsidR="00757CE0">
        <w:rPr>
          <w:rFonts w:ascii="Arial" w:hAnsi="Arial" w:cs="Arial"/>
        </w:rPr>
        <w:t xml:space="preserve">à classe trabalhadora se organizar coletivamente de modo a estabelecer limites aos anseios do capital. </w:t>
      </w:r>
    </w:p>
    <w:p w14:paraId="4D5EC7E8" w14:textId="77777777" w:rsidR="00813E43" w:rsidRPr="00813E43" w:rsidRDefault="00813E43" w:rsidP="00813E43">
      <w:pPr>
        <w:pStyle w:val="SemEspaamento"/>
        <w:spacing w:line="360" w:lineRule="auto"/>
        <w:ind w:firstLine="709"/>
        <w:jc w:val="both"/>
        <w:rPr>
          <w:rFonts w:ascii="Arial" w:hAnsi="Arial" w:cs="Arial"/>
        </w:rPr>
      </w:pPr>
    </w:p>
    <w:p w14:paraId="4827E573" w14:textId="77777777" w:rsid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  <w:r w:rsidRPr="00813E43">
        <w:rPr>
          <w:rFonts w:ascii="Arial" w:hAnsi="Arial" w:cs="Arial"/>
          <w:b/>
          <w:bCs/>
        </w:rPr>
        <w:t xml:space="preserve">Referências </w:t>
      </w:r>
    </w:p>
    <w:p w14:paraId="3D9A4245" w14:textId="77777777" w:rsidR="00757CE0" w:rsidRPr="00813E43" w:rsidRDefault="00757CE0" w:rsidP="00813E43">
      <w:pPr>
        <w:pStyle w:val="SemEspaamento"/>
        <w:spacing w:line="360" w:lineRule="auto"/>
        <w:jc w:val="both"/>
        <w:rPr>
          <w:rFonts w:ascii="Arial" w:hAnsi="Arial" w:cs="Arial"/>
          <w:b/>
          <w:bCs/>
        </w:rPr>
      </w:pPr>
    </w:p>
    <w:p w14:paraId="61ED3492" w14:textId="77777777" w:rsidR="004E37DA" w:rsidRDefault="00813E43" w:rsidP="00813E43">
      <w:pPr>
        <w:pStyle w:val="SemEspaamento"/>
        <w:spacing w:line="360" w:lineRule="auto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>BEHRING, El</w:t>
      </w:r>
      <w:r w:rsidR="004E37DA">
        <w:rPr>
          <w:rFonts w:ascii="Arial" w:hAnsi="Arial" w:cs="Arial"/>
        </w:rPr>
        <w:t>a</w:t>
      </w:r>
      <w:r w:rsidRPr="00813E43">
        <w:rPr>
          <w:rFonts w:ascii="Arial" w:hAnsi="Arial" w:cs="Arial"/>
        </w:rPr>
        <w:t>ine Rossetti; BOSCHETTI, Ivanete. </w:t>
      </w:r>
      <w:r w:rsidRPr="00813E43">
        <w:rPr>
          <w:rFonts w:ascii="Arial" w:hAnsi="Arial" w:cs="Arial"/>
          <w:b/>
          <w:bCs/>
        </w:rPr>
        <w:t>Política Social</w:t>
      </w:r>
      <w:r w:rsidRPr="00813E43">
        <w:rPr>
          <w:rFonts w:ascii="Arial" w:hAnsi="Arial" w:cs="Arial"/>
        </w:rPr>
        <w:t xml:space="preserve">: fundamentos e história. 9. ed. São Paulo: Cortez, 2011. </w:t>
      </w:r>
    </w:p>
    <w:p w14:paraId="6406A745" w14:textId="77777777" w:rsidR="00813E43" w:rsidRPr="00813E43" w:rsidRDefault="00813E43" w:rsidP="004E37DA">
      <w:pPr>
        <w:pStyle w:val="SemEspaamento"/>
        <w:spacing w:line="360" w:lineRule="auto"/>
        <w:jc w:val="both"/>
        <w:rPr>
          <w:rFonts w:ascii="Arial" w:hAnsi="Arial" w:cs="Arial"/>
          <w:color w:val="000000"/>
        </w:rPr>
      </w:pPr>
      <w:r w:rsidRPr="00813E43">
        <w:rPr>
          <w:rFonts w:ascii="Arial" w:hAnsi="Arial" w:cs="Arial"/>
        </w:rPr>
        <w:t>BOSCHETTI, Ivanete. Implicações da reforma da previdência na seguridade social brasileira. </w:t>
      </w:r>
      <w:r w:rsidRPr="00813E43">
        <w:rPr>
          <w:rFonts w:ascii="Arial" w:hAnsi="Arial" w:cs="Arial"/>
          <w:b/>
          <w:bCs/>
        </w:rPr>
        <w:t>Psicologia &amp; Sociedade</w:t>
      </w:r>
      <w:r w:rsidRPr="00813E43">
        <w:rPr>
          <w:rFonts w:ascii="Arial" w:hAnsi="Arial" w:cs="Arial"/>
        </w:rPr>
        <w:t xml:space="preserve">, [S.L.], v. 15, n. 1, p. 57-96, jan. 2003. </w:t>
      </w:r>
    </w:p>
    <w:p w14:paraId="6E4BE0EC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BRASIL. </w:t>
      </w:r>
      <w:r w:rsidRPr="00813E43">
        <w:rPr>
          <w:rFonts w:ascii="Arial" w:hAnsi="Arial" w:cs="Arial"/>
          <w:b/>
          <w:bCs/>
        </w:rPr>
        <w:t>Emenda Constitucional nº 20, de 15 de dezembro de 1998</w:t>
      </w:r>
      <w:r w:rsidRPr="00813E43">
        <w:rPr>
          <w:rFonts w:ascii="Arial" w:hAnsi="Arial" w:cs="Arial"/>
        </w:rPr>
        <w:t>. DF, Brasília.</w:t>
      </w:r>
    </w:p>
    <w:p w14:paraId="7000BC49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BRASIL. </w:t>
      </w:r>
      <w:r w:rsidRPr="00813E43">
        <w:rPr>
          <w:rFonts w:ascii="Arial" w:hAnsi="Arial" w:cs="Arial"/>
          <w:b/>
          <w:bCs/>
        </w:rPr>
        <w:t>Emenda Constitucional nº 41, de 19 de dezembro de 2003</w:t>
      </w:r>
      <w:r w:rsidRPr="00813E43">
        <w:rPr>
          <w:rFonts w:ascii="Arial" w:hAnsi="Arial" w:cs="Arial"/>
        </w:rPr>
        <w:t>. DF, Brasília.</w:t>
      </w:r>
    </w:p>
    <w:p w14:paraId="674434C7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BRASIL. </w:t>
      </w:r>
      <w:r w:rsidRPr="00813E43">
        <w:rPr>
          <w:rFonts w:ascii="Arial" w:hAnsi="Arial" w:cs="Arial"/>
          <w:b/>
          <w:bCs/>
        </w:rPr>
        <w:t>Emenda Constitucional nº 47, de 05 de julho de 2005</w:t>
      </w:r>
      <w:r w:rsidRPr="00813E43">
        <w:rPr>
          <w:rFonts w:ascii="Arial" w:hAnsi="Arial" w:cs="Arial"/>
        </w:rPr>
        <w:t>. Brasília, DF.</w:t>
      </w:r>
    </w:p>
    <w:p w14:paraId="3EA9A4AA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BRASIL. </w:t>
      </w:r>
      <w:r w:rsidRPr="00813E43">
        <w:rPr>
          <w:rFonts w:ascii="Arial" w:hAnsi="Arial" w:cs="Arial"/>
          <w:b/>
          <w:bCs/>
        </w:rPr>
        <w:t>Emenda Constitucional nº 88, de 07 de maio de 2015</w:t>
      </w:r>
      <w:r w:rsidRPr="00813E43">
        <w:rPr>
          <w:rFonts w:ascii="Arial" w:hAnsi="Arial" w:cs="Arial"/>
        </w:rPr>
        <w:t>. Brasília, DF.</w:t>
      </w:r>
    </w:p>
    <w:p w14:paraId="0D1ED697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BRASIL. </w:t>
      </w:r>
      <w:r w:rsidRPr="00813E43">
        <w:rPr>
          <w:rFonts w:ascii="Arial" w:hAnsi="Arial" w:cs="Arial"/>
          <w:b/>
          <w:bCs/>
        </w:rPr>
        <w:t>Emenda Constitucional nº 95, de 15 de dezembro de 2016</w:t>
      </w:r>
      <w:r w:rsidRPr="00813E43">
        <w:rPr>
          <w:rFonts w:ascii="Arial" w:hAnsi="Arial" w:cs="Arial"/>
        </w:rPr>
        <w:t>. Brasília, DF.</w:t>
      </w:r>
    </w:p>
    <w:p w14:paraId="731B279C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BRASIL. </w:t>
      </w:r>
      <w:r w:rsidRPr="00813E43">
        <w:rPr>
          <w:rFonts w:ascii="Arial" w:hAnsi="Arial" w:cs="Arial"/>
          <w:b/>
          <w:bCs/>
        </w:rPr>
        <w:t>Emenda Constitucional nº 103, de 12 de novembro de 2019</w:t>
      </w:r>
      <w:r w:rsidRPr="00813E43">
        <w:rPr>
          <w:rFonts w:ascii="Arial" w:hAnsi="Arial" w:cs="Arial"/>
        </w:rPr>
        <w:t>. Brasília.</w:t>
      </w:r>
    </w:p>
    <w:p w14:paraId="73CB73D2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BRASIL. </w:t>
      </w:r>
      <w:r w:rsidRPr="00813E43">
        <w:rPr>
          <w:rFonts w:ascii="Arial" w:hAnsi="Arial" w:cs="Arial"/>
          <w:b/>
          <w:bCs/>
        </w:rPr>
        <w:t>Lei nº 8.212, de 24 de julho de 1991</w:t>
      </w:r>
      <w:r w:rsidRPr="00813E43">
        <w:rPr>
          <w:rFonts w:ascii="Arial" w:hAnsi="Arial" w:cs="Arial"/>
        </w:rPr>
        <w:t>. Brasília</w:t>
      </w:r>
      <w:r w:rsidR="002C1415">
        <w:rPr>
          <w:rFonts w:ascii="Arial" w:hAnsi="Arial" w:cs="Arial"/>
        </w:rPr>
        <w:t>-</w:t>
      </w:r>
      <w:r w:rsidRPr="00813E43">
        <w:rPr>
          <w:rFonts w:ascii="Arial" w:hAnsi="Arial" w:cs="Arial"/>
        </w:rPr>
        <w:t>DF.</w:t>
      </w:r>
    </w:p>
    <w:p w14:paraId="5F272BB5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BRASIL. </w:t>
      </w:r>
      <w:r w:rsidRPr="00813E43">
        <w:rPr>
          <w:rFonts w:ascii="Arial" w:hAnsi="Arial" w:cs="Arial"/>
          <w:b/>
          <w:bCs/>
        </w:rPr>
        <w:t>Lei nº 9.876, de 26 de novembro de 1999</w:t>
      </w:r>
      <w:r w:rsidRPr="00813E43">
        <w:rPr>
          <w:rFonts w:ascii="Arial" w:hAnsi="Arial" w:cs="Arial"/>
        </w:rPr>
        <w:t>. Brasília</w:t>
      </w:r>
      <w:r w:rsidR="002C1415">
        <w:rPr>
          <w:rFonts w:ascii="Arial" w:hAnsi="Arial" w:cs="Arial"/>
        </w:rPr>
        <w:t>-</w:t>
      </w:r>
      <w:r w:rsidRPr="00813E43">
        <w:rPr>
          <w:rFonts w:ascii="Arial" w:hAnsi="Arial" w:cs="Arial"/>
        </w:rPr>
        <w:t>DF.</w:t>
      </w:r>
    </w:p>
    <w:p w14:paraId="7CC4B8A9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CARAMURU, Thais Soares. Capitalização no capitalismo mundializado: notas críticas aos fundos de pensão para servidores públicos federais no </w:t>
      </w:r>
      <w:r w:rsidR="004E37DA">
        <w:rPr>
          <w:rFonts w:ascii="Arial" w:hAnsi="Arial" w:cs="Arial"/>
        </w:rPr>
        <w:t>B</w:t>
      </w:r>
      <w:r w:rsidRPr="00813E43">
        <w:rPr>
          <w:rFonts w:ascii="Arial" w:hAnsi="Arial" w:cs="Arial"/>
        </w:rPr>
        <w:t>rasil. In: SILVA, Maria Lucia Lopes da. </w:t>
      </w:r>
      <w:r w:rsidRPr="00813E43">
        <w:rPr>
          <w:rFonts w:ascii="Arial" w:hAnsi="Arial" w:cs="Arial"/>
          <w:b/>
          <w:bCs/>
        </w:rPr>
        <w:t>A contrarreforma da previdência social no Brasil</w:t>
      </w:r>
      <w:r w:rsidRPr="00813E43">
        <w:rPr>
          <w:rFonts w:ascii="Arial" w:hAnsi="Arial" w:cs="Arial"/>
        </w:rPr>
        <w:t xml:space="preserve">: uma análise marxista. Campinas: Papel Social, 2021. p. 65-91. </w:t>
      </w:r>
    </w:p>
    <w:p w14:paraId="21ED198B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CECHIN, José. A previdência social reavaliada II. Brasília: </w:t>
      </w:r>
      <w:r w:rsidRPr="00813E43">
        <w:rPr>
          <w:rFonts w:ascii="Arial" w:hAnsi="Arial" w:cs="Arial"/>
          <w:b/>
          <w:bCs/>
        </w:rPr>
        <w:t>Conjuntura Social,</w:t>
      </w:r>
      <w:r w:rsidRPr="00813E43">
        <w:rPr>
          <w:rFonts w:ascii="Arial" w:hAnsi="Arial" w:cs="Arial"/>
        </w:rPr>
        <w:t xml:space="preserve"> 2002. Ministro da Previdência e Assistência Social. Disponível em: https://www.nescon.medicina.ufmg.br/biblioteca/registro/referencia/0000002828. Acesso em: 28 abr. 2025.</w:t>
      </w:r>
    </w:p>
    <w:p w14:paraId="1FF99D93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eastAsia="Times New Roman" w:hAnsi="Arial" w:cs="Arial"/>
          <w:color w:val="222222"/>
        </w:rPr>
      </w:pPr>
      <w:r w:rsidRPr="00813E43">
        <w:rPr>
          <w:rFonts w:ascii="Arial" w:eastAsia="Times New Roman" w:hAnsi="Arial" w:cs="Arial"/>
          <w:color w:val="222222"/>
        </w:rPr>
        <w:t>DIAS, Edmundo Fernandes. Prefácio. In: MOTA, Ana Elizabete. </w:t>
      </w:r>
      <w:r w:rsidRPr="00813E43">
        <w:rPr>
          <w:rFonts w:ascii="Arial" w:eastAsia="Times New Roman" w:hAnsi="Arial" w:cs="Arial"/>
          <w:b/>
          <w:bCs/>
          <w:color w:val="222222"/>
        </w:rPr>
        <w:t>Cultura de crise e Seguridade Social</w:t>
      </w:r>
      <w:r w:rsidRPr="00813E43">
        <w:rPr>
          <w:rFonts w:ascii="Arial" w:eastAsia="Times New Roman" w:hAnsi="Arial" w:cs="Arial"/>
          <w:color w:val="222222"/>
        </w:rPr>
        <w:t xml:space="preserve">: um estudo sobre as tendências da previdência social e da assistência social brasileira nos anos 80 e 90. 5. ed. São Paulo: Cortez, 2008. </w:t>
      </w:r>
      <w:r w:rsidRPr="00813E43">
        <w:rPr>
          <w:rFonts w:ascii="Arial" w:eastAsia="Times New Roman" w:hAnsi="Arial" w:cs="Arial"/>
          <w:color w:val="222222"/>
        </w:rPr>
        <w:lastRenderedPageBreak/>
        <w:t>DIEESE, Departamento Intersindical de Estatística e Estudos Socioeconômicos. </w:t>
      </w:r>
      <w:r w:rsidRPr="00813E43">
        <w:rPr>
          <w:rFonts w:ascii="Arial" w:eastAsia="Times New Roman" w:hAnsi="Arial" w:cs="Arial"/>
          <w:b/>
          <w:bCs/>
          <w:color w:val="222222"/>
        </w:rPr>
        <w:t xml:space="preserve">Pesquisa </w:t>
      </w:r>
      <w:r w:rsidR="004E37DA">
        <w:rPr>
          <w:rFonts w:ascii="Arial" w:eastAsia="Times New Roman" w:hAnsi="Arial" w:cs="Arial"/>
          <w:b/>
          <w:bCs/>
          <w:color w:val="222222"/>
        </w:rPr>
        <w:t>N</w:t>
      </w:r>
      <w:r w:rsidRPr="00813E43">
        <w:rPr>
          <w:rFonts w:ascii="Arial" w:eastAsia="Times New Roman" w:hAnsi="Arial" w:cs="Arial"/>
          <w:b/>
          <w:bCs/>
          <w:color w:val="222222"/>
        </w:rPr>
        <w:t>acional da Cesta Básica de Alimentos</w:t>
      </w:r>
      <w:r w:rsidRPr="00813E43">
        <w:rPr>
          <w:rFonts w:ascii="Arial" w:eastAsia="Times New Roman" w:hAnsi="Arial" w:cs="Arial"/>
          <w:color w:val="222222"/>
        </w:rPr>
        <w:t>. 2012.</w:t>
      </w:r>
    </w:p>
    <w:p w14:paraId="461ECD18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>FALEIROS, Vicente de Paula. </w:t>
      </w:r>
      <w:r w:rsidRPr="00813E43">
        <w:rPr>
          <w:rFonts w:ascii="Arial" w:hAnsi="Arial" w:cs="Arial"/>
          <w:b/>
          <w:bCs/>
        </w:rPr>
        <w:t>A política social do Estado capitalista</w:t>
      </w:r>
      <w:r w:rsidRPr="00813E43">
        <w:rPr>
          <w:rFonts w:ascii="Arial" w:hAnsi="Arial" w:cs="Arial"/>
        </w:rPr>
        <w:t>. 12. ed. São Paulo: Cortez, 2009.</w:t>
      </w:r>
    </w:p>
    <w:p w14:paraId="26AEF081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  <w:color w:val="000000"/>
        </w:rPr>
      </w:pPr>
      <w:r w:rsidRPr="00813E43">
        <w:rPr>
          <w:rFonts w:ascii="Arial" w:hAnsi="Arial" w:cs="Arial"/>
          <w:color w:val="000000"/>
        </w:rPr>
        <w:t>LAVINAS, Lena; ARAÚJO, Eliane de. Reforma da previdência e regime complementar*. </w:t>
      </w:r>
      <w:r w:rsidRPr="00813E43">
        <w:rPr>
          <w:rFonts w:ascii="Arial" w:hAnsi="Arial" w:cs="Arial"/>
          <w:b/>
          <w:bCs/>
          <w:color w:val="000000"/>
        </w:rPr>
        <w:t>Brazilian Journal Of Political Economy</w:t>
      </w:r>
      <w:r w:rsidRPr="00813E43">
        <w:rPr>
          <w:rFonts w:ascii="Arial" w:hAnsi="Arial" w:cs="Arial"/>
          <w:color w:val="000000"/>
        </w:rPr>
        <w:t xml:space="preserve">, [S.L.], v. 37, n. 3, p. 615-635, jul. 2017. </w:t>
      </w:r>
      <w:proofErr w:type="spellStart"/>
      <w:r w:rsidRPr="00813E43">
        <w:rPr>
          <w:rFonts w:ascii="Arial" w:hAnsi="Arial" w:cs="Arial"/>
          <w:color w:val="000000"/>
        </w:rPr>
        <w:t>FapUNIFESP</w:t>
      </w:r>
      <w:proofErr w:type="spellEnd"/>
      <w:r w:rsidRPr="00813E43">
        <w:rPr>
          <w:rFonts w:ascii="Arial" w:hAnsi="Arial" w:cs="Arial"/>
          <w:color w:val="000000"/>
        </w:rPr>
        <w:t>.</w:t>
      </w:r>
    </w:p>
    <w:p w14:paraId="204D5616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  <w:color w:val="000000"/>
        </w:rPr>
      </w:pPr>
      <w:r w:rsidRPr="00813E43">
        <w:rPr>
          <w:rFonts w:ascii="Arial" w:hAnsi="Arial" w:cs="Arial"/>
          <w:color w:val="000000"/>
        </w:rPr>
        <w:t>MOTA, Ana Elizabete. </w:t>
      </w:r>
      <w:r w:rsidRPr="00813E43">
        <w:rPr>
          <w:rFonts w:ascii="Arial" w:hAnsi="Arial" w:cs="Arial"/>
          <w:b/>
          <w:bCs/>
          <w:color w:val="000000"/>
        </w:rPr>
        <w:t>Cultura da crise e seguridade social</w:t>
      </w:r>
      <w:r w:rsidRPr="00813E43">
        <w:rPr>
          <w:rFonts w:ascii="Arial" w:hAnsi="Arial" w:cs="Arial"/>
          <w:color w:val="000000"/>
        </w:rPr>
        <w:t>: um estudo sobre as tendências da previdência e da assistência social brasileira nos anos 80 e 90. 5. ed. São Paulo: Cortez, 2008.</w:t>
      </w:r>
    </w:p>
    <w:p w14:paraId="51EC5FEF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</w:rPr>
      </w:pPr>
      <w:r w:rsidRPr="00813E43">
        <w:rPr>
          <w:rFonts w:ascii="Arial" w:hAnsi="Arial" w:cs="Arial"/>
        </w:rPr>
        <w:t xml:space="preserve">SALOMÃO, Ivan </w:t>
      </w:r>
      <w:proofErr w:type="spellStart"/>
      <w:r w:rsidRPr="00813E43">
        <w:rPr>
          <w:rFonts w:ascii="Arial" w:hAnsi="Arial" w:cs="Arial"/>
        </w:rPr>
        <w:t>Colangelo</w:t>
      </w:r>
      <w:proofErr w:type="spellEnd"/>
      <w:r w:rsidRPr="00813E43">
        <w:rPr>
          <w:rFonts w:ascii="Arial" w:hAnsi="Arial" w:cs="Arial"/>
        </w:rPr>
        <w:t xml:space="preserve">; ALMEIDA, </w:t>
      </w:r>
      <w:proofErr w:type="spellStart"/>
      <w:r w:rsidRPr="00813E43">
        <w:rPr>
          <w:rFonts w:ascii="Arial" w:hAnsi="Arial" w:cs="Arial"/>
        </w:rPr>
        <w:t>Beliza</w:t>
      </w:r>
      <w:proofErr w:type="spellEnd"/>
      <w:r w:rsidRPr="00813E43">
        <w:rPr>
          <w:rFonts w:ascii="Arial" w:hAnsi="Arial" w:cs="Arial"/>
        </w:rPr>
        <w:t xml:space="preserve"> Borba de. O governo Rousseff e o populismo econômico: uma interpretação. </w:t>
      </w:r>
      <w:r w:rsidRPr="00813E43">
        <w:rPr>
          <w:rFonts w:ascii="Arial" w:hAnsi="Arial" w:cs="Arial"/>
          <w:b/>
          <w:bCs/>
        </w:rPr>
        <w:t>Brazilian Journal Of Political Economy</w:t>
      </w:r>
      <w:r w:rsidRPr="00813E43">
        <w:rPr>
          <w:rFonts w:ascii="Arial" w:hAnsi="Arial" w:cs="Arial"/>
        </w:rPr>
        <w:t xml:space="preserve">, [S.L.], v. 43, n. 1, p. 145-164, mar. 2023. </w:t>
      </w:r>
      <w:proofErr w:type="spellStart"/>
      <w:r w:rsidRPr="00813E43">
        <w:rPr>
          <w:rFonts w:ascii="Arial" w:hAnsi="Arial" w:cs="Arial"/>
        </w:rPr>
        <w:t>FapUNIFESP</w:t>
      </w:r>
      <w:proofErr w:type="spellEnd"/>
      <w:r w:rsidRPr="00813E43">
        <w:rPr>
          <w:rFonts w:ascii="Arial" w:hAnsi="Arial" w:cs="Arial"/>
        </w:rPr>
        <w:t xml:space="preserve"> (SciELO). </w:t>
      </w:r>
    </w:p>
    <w:p w14:paraId="74293AC6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  <w:color w:val="000000"/>
        </w:rPr>
      </w:pPr>
      <w:r w:rsidRPr="00813E43">
        <w:rPr>
          <w:rFonts w:ascii="Arial" w:hAnsi="Arial" w:cs="Arial"/>
          <w:color w:val="000000"/>
        </w:rPr>
        <w:t>SILVA, Ademir Alves da. A reforma da previdência social brasileira: entre o direito social e o mercado. </w:t>
      </w:r>
      <w:r w:rsidRPr="00813E43">
        <w:rPr>
          <w:rFonts w:ascii="Arial" w:hAnsi="Arial" w:cs="Arial"/>
          <w:b/>
          <w:bCs/>
          <w:color w:val="000000"/>
        </w:rPr>
        <w:t>São Paulo em Perspectiva</w:t>
      </w:r>
      <w:r w:rsidRPr="00813E43">
        <w:rPr>
          <w:rFonts w:ascii="Arial" w:hAnsi="Arial" w:cs="Arial"/>
          <w:color w:val="000000"/>
        </w:rPr>
        <w:t>, [S.L.], v. 18, n. 3, p. 16-32, set. 2004.</w:t>
      </w:r>
    </w:p>
    <w:p w14:paraId="6CC0ADCC" w14:textId="77777777" w:rsidR="00813E43" w:rsidRPr="00813E43" w:rsidRDefault="00813E43" w:rsidP="00813E43">
      <w:pPr>
        <w:pStyle w:val="SemEspaamento"/>
        <w:spacing w:line="360" w:lineRule="auto"/>
        <w:jc w:val="both"/>
        <w:rPr>
          <w:rFonts w:ascii="Arial" w:hAnsi="Arial" w:cs="Arial"/>
          <w:color w:val="000000"/>
        </w:rPr>
      </w:pPr>
      <w:r w:rsidRPr="00813E43">
        <w:rPr>
          <w:rFonts w:ascii="Arial" w:hAnsi="Arial" w:cs="Arial"/>
          <w:color w:val="000000"/>
        </w:rPr>
        <w:t>VALIM, Rafael. </w:t>
      </w:r>
      <w:r w:rsidRPr="00813E43">
        <w:rPr>
          <w:rFonts w:ascii="Arial" w:hAnsi="Arial" w:cs="Arial"/>
          <w:b/>
          <w:bCs/>
          <w:color w:val="000000"/>
        </w:rPr>
        <w:t>Estado de Exceção</w:t>
      </w:r>
      <w:r w:rsidRPr="00813E43">
        <w:rPr>
          <w:rFonts w:ascii="Arial" w:hAnsi="Arial" w:cs="Arial"/>
          <w:color w:val="000000"/>
        </w:rPr>
        <w:t xml:space="preserve">: a forma jurídica do neoliberalismo. São Paulo: Contracorrente, 2018. </w:t>
      </w:r>
    </w:p>
    <w:p w14:paraId="64E1B03A" w14:textId="77777777" w:rsidR="00502263" w:rsidRDefault="00502263" w:rsidP="00813E43"/>
    <w:p w14:paraId="36D84C4B" w14:textId="46CD8296" w:rsidR="00502263" w:rsidRPr="00502263" w:rsidRDefault="00502263" w:rsidP="00813E43">
      <w:pPr>
        <w:rPr>
          <w:b/>
          <w:bCs/>
        </w:rPr>
        <w:sectPr w:rsidR="00502263" w:rsidRPr="00502263" w:rsidSect="004F776F">
          <w:headerReference w:type="default" r:id="rId8"/>
          <w:endnotePr>
            <w:numFmt w:val="decimal"/>
          </w:endnotePr>
          <w:pgSz w:w="11909" w:h="16834"/>
          <w:pgMar w:top="1701" w:right="1134" w:bottom="1134" w:left="1701" w:header="3401" w:footer="720" w:gutter="0"/>
          <w:pgNumType w:start="1"/>
          <w:cols w:space="720"/>
          <w:docGrid w:linePitch="299"/>
        </w:sectPr>
      </w:pPr>
      <w:r w:rsidRPr="00502263">
        <w:rPr>
          <w:b/>
          <w:bCs/>
        </w:rPr>
        <w:t>Notas</w:t>
      </w:r>
    </w:p>
    <w:p w14:paraId="22F3A35A" w14:textId="77777777" w:rsidR="00FF4348" w:rsidRPr="00813E43" w:rsidRDefault="00FF4348" w:rsidP="00813E43"/>
    <w:sectPr w:rsidR="00FF4348" w:rsidRPr="00813E43" w:rsidSect="00283308">
      <w:type w:val="continuous"/>
      <w:pgSz w:w="11909" w:h="16834"/>
      <w:pgMar w:top="1701" w:right="1134" w:bottom="1134" w:left="1701" w:header="340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FE5D0" w14:textId="77777777" w:rsidR="00141AB5" w:rsidRDefault="00141AB5">
      <w:pPr>
        <w:spacing w:line="240" w:lineRule="auto"/>
      </w:pPr>
      <w:r>
        <w:separator/>
      </w:r>
    </w:p>
  </w:endnote>
  <w:endnote w:type="continuationSeparator" w:id="0">
    <w:p w14:paraId="7F33AD80" w14:textId="77777777" w:rsidR="00141AB5" w:rsidRDefault="00141AB5">
      <w:pPr>
        <w:spacing w:line="240" w:lineRule="auto"/>
      </w:pPr>
      <w:r>
        <w:continuationSeparator/>
      </w:r>
    </w:p>
  </w:endnote>
  <w:endnote w:id="1">
    <w:p w14:paraId="6F7940CB" w14:textId="77777777" w:rsidR="001E6DBB" w:rsidRDefault="001E6DBB" w:rsidP="001E6DBB">
      <w:pPr>
        <w:pStyle w:val="Textodenotadefim"/>
        <w:jc w:val="both"/>
      </w:pPr>
      <w:r>
        <w:rPr>
          <w:rStyle w:val="Refdenotadefim"/>
        </w:rPr>
        <w:endnoteRef/>
      </w:r>
      <w:r>
        <w:t xml:space="preserve"> </w:t>
      </w:r>
      <w:r w:rsidRPr="00265A7A">
        <w:t>Pesquisa financiada pela Fundação de Apoio à Pesquisa do Distrito Federal (FAP-DF).</w:t>
      </w:r>
    </w:p>
  </w:endnote>
  <w:endnote w:id="2">
    <w:p w14:paraId="19B7ABA7" w14:textId="77777777" w:rsidR="001E6DBB" w:rsidRDefault="001E6DBB" w:rsidP="001E6DBB">
      <w:pPr>
        <w:pStyle w:val="Textodenotadefim"/>
        <w:jc w:val="both"/>
      </w:pPr>
      <w:r>
        <w:rPr>
          <w:rStyle w:val="Refdenotadefim"/>
        </w:rPr>
        <w:endnoteRef/>
      </w:r>
      <w:r>
        <w:t xml:space="preserve"> </w:t>
      </w:r>
      <w:r w:rsidRPr="00265A7A">
        <w:t>Graduação em Serviço Social pela Universidade de Brasília (UnB). Bolsista de Iniciação Científica (FAP-DF). Integrante do Grupo de Estudos e Pesquisas sobre Trabalho, Sociabilidade e Serviço Social (TRASSO). E-mail: mateus.santos.1@aluno.unb.br</w:t>
      </w:r>
    </w:p>
  </w:endnote>
  <w:endnote w:id="3">
    <w:p w14:paraId="3640DB8B" w14:textId="77777777" w:rsidR="001E6DBB" w:rsidRDefault="001E6DBB" w:rsidP="001E6DBB">
      <w:pPr>
        <w:pStyle w:val="Textodenotadefim"/>
        <w:jc w:val="both"/>
      </w:pPr>
      <w:r>
        <w:rPr>
          <w:rStyle w:val="Refdenotadefim"/>
        </w:rPr>
        <w:endnoteRef/>
      </w:r>
      <w:r>
        <w:t xml:space="preserve"> </w:t>
      </w:r>
      <w:r w:rsidRPr="00265A7A">
        <w:t>Docente do Departamento de Serviço Social e do Programa de Pós-Graduação em Política Social da Universidade de Brasília (UnB). Coordena o Grupo de Estudos e Pesquisas sobre Trabalho,</w:t>
      </w:r>
      <w:r>
        <w:t xml:space="preserve"> </w:t>
      </w:r>
      <w:r w:rsidRPr="00265A7A">
        <w:t xml:space="preserve">Sociabilidade e Serviço Social (TRASSO). Bolsista de Produtividade em Pesquisa do CNPq. E-mail: </w:t>
      </w:r>
      <w:hyperlink r:id="rId1" w:history="1">
        <w:r w:rsidRPr="00265A7A">
          <w:rPr>
            <w:rStyle w:val="Hyperlink"/>
          </w:rPr>
          <w:t>rghiraldelli@unb.br</w:t>
        </w:r>
      </w:hyperlink>
    </w:p>
  </w:endnote>
  <w:endnote w:id="4">
    <w:p w14:paraId="71332DF9" w14:textId="77777777" w:rsidR="00BC6C8D" w:rsidRPr="00265A7A" w:rsidRDefault="00BC6C8D" w:rsidP="00265A7A">
      <w:pPr>
        <w:pStyle w:val="Textodenotadefim"/>
        <w:jc w:val="both"/>
      </w:pPr>
      <w:r w:rsidRPr="00265A7A">
        <w:rPr>
          <w:rStyle w:val="Refdenotadefim"/>
        </w:rPr>
        <w:endnoteRef/>
      </w:r>
      <w:r w:rsidRPr="00265A7A">
        <w:t xml:space="preserve"> Para Valim (2018), a concepção de Estado de Exceção diz respeito ao entendimento de que as contrarreformas do Estado (ou reformas de caráter neoliberal) são uma forma jurídica do neoliberalismo para, a partir de decisões arbitrárias, extinguirem direitos e garantias sociais, atingindo as prerrogativas do Estado Democrático de Direito. A relação entre trabalho, previdência social e Estado de Exceção se vincula quando as legislações regressivas são implementadas para atacar as conquistas sociais. </w:t>
      </w:r>
    </w:p>
  </w:endnote>
  <w:endnote w:id="5">
    <w:p w14:paraId="5377986D" w14:textId="3D57A4A0" w:rsidR="00BC6C8D" w:rsidRPr="00265A7A" w:rsidRDefault="00BC6C8D" w:rsidP="00265A7A">
      <w:pPr>
        <w:pStyle w:val="Textodenotadefim"/>
        <w:jc w:val="both"/>
      </w:pPr>
      <w:r w:rsidRPr="00265A7A">
        <w:rPr>
          <w:rStyle w:val="Refdenotadefim"/>
        </w:rPr>
        <w:endnoteRef/>
      </w:r>
      <w:r w:rsidRPr="00265A7A">
        <w:t xml:space="preserve"> A cultura d</w:t>
      </w:r>
      <w:r>
        <w:t>a</w:t>
      </w:r>
      <w:r w:rsidRPr="00265A7A">
        <w:t xml:space="preserve"> crise é explicada por Mota</w:t>
      </w:r>
      <w:r>
        <w:t xml:space="preserve"> (</w:t>
      </w:r>
      <w:r w:rsidRPr="00265A7A">
        <w:t>2008) como sendo o movimento de resgate das contratendências hegemônicas do grande capital. Com a queda nas taxas de lucro, além das contradições intrínsecas do processo de acumulação capitalista, a hegemonia forma uma cultura política que objetiva “[...] reduzir a intervenção estatal e constituir um “cidadão-consumidor” (p.24). É uma cultura política cujo interesse reside na valorização do capital, sustentada pela exploração.</w:t>
      </w:r>
    </w:p>
  </w:endnote>
  <w:endnote w:id="6">
    <w:p w14:paraId="2E1F67E3" w14:textId="11F84FB9" w:rsidR="00BC6C8D" w:rsidRPr="00265A7A" w:rsidRDefault="00BC6C8D" w:rsidP="00265A7A">
      <w:pPr>
        <w:pStyle w:val="Textodenotadefim"/>
        <w:jc w:val="both"/>
      </w:pPr>
      <w:r w:rsidRPr="00265A7A">
        <w:rPr>
          <w:rStyle w:val="Refdenotadefim"/>
        </w:rPr>
        <w:endnoteRef/>
      </w:r>
      <w:r w:rsidRPr="00265A7A">
        <w:t xml:space="preserve"> A partir do Consenso de Washington (1989), o Banco Mundial e o FMI foram instituições responsáveis por recomendar políticas neoliberais de ajuste financeiro para os países latino-americanos. Essas duas instituições representam a hegemonia neoliberal estadunidense. As políticas monetaristas adotadas tiveram como objetivo reduzir o papel do Estado, especificamente, os gastos públicos com a proteção social</w:t>
      </w:r>
      <w:r w:rsidR="00502263">
        <w:t xml:space="preserve"> </w:t>
      </w:r>
      <w:r>
        <w:t>(</w:t>
      </w:r>
      <w:r w:rsidRPr="00265A7A">
        <w:t xml:space="preserve">Faleiros, 2009; Mota, 2008; Behring e Boschetti, 2011). </w:t>
      </w:r>
    </w:p>
  </w:endnote>
  <w:endnote w:id="7">
    <w:p w14:paraId="05E14496" w14:textId="77777777" w:rsidR="00BC6C8D" w:rsidRPr="00265A7A" w:rsidRDefault="00BC6C8D" w:rsidP="00265A7A">
      <w:pPr>
        <w:pStyle w:val="Textodenotadefim"/>
        <w:jc w:val="both"/>
      </w:pPr>
      <w:r w:rsidRPr="00265A7A">
        <w:rPr>
          <w:rStyle w:val="Refdenotadefim"/>
        </w:rPr>
        <w:endnoteRef/>
      </w:r>
      <w:r w:rsidRPr="00265A7A">
        <w:t xml:space="preserve"> RGPS diz respeito aos trabalhadores da iniciativa privada e servidores públicos não concursados. O RPPS está relacionado aos trabalhadores servidores públicos efetivos/concursados em toda a federação (União, Estados e municípios). </w:t>
      </w:r>
    </w:p>
  </w:endnote>
  <w:endnote w:id="8">
    <w:p w14:paraId="2E10EF28" w14:textId="2D51A678" w:rsidR="00BC6C8D" w:rsidRPr="00265A7A" w:rsidRDefault="00BC6C8D" w:rsidP="00265A7A">
      <w:pPr>
        <w:pStyle w:val="Textodenotadefim"/>
        <w:jc w:val="both"/>
      </w:pPr>
      <w:r w:rsidRPr="00265A7A">
        <w:rPr>
          <w:rStyle w:val="Refdenotadefim"/>
        </w:rPr>
        <w:endnoteRef/>
      </w:r>
      <w:r w:rsidRPr="00265A7A">
        <w:t xml:space="preserve"> A Carta ao Povo Brasileiro continha o projeto político do candidato do PT e</w:t>
      </w:r>
      <w:r>
        <w:t xml:space="preserve"> </w:t>
      </w:r>
      <w:r w:rsidRPr="00265A7A">
        <w:t xml:space="preserve">serviu de base para a transformação da imagem do sindicalista agressivo para o político conciliador de classes. A carta teve como objetivo manifestar que o ordenamento político de Lula seria de coalizão e que atenderia tanto aos interesses dos trabalhadores como </w:t>
      </w:r>
      <w:r>
        <w:t>a</w:t>
      </w:r>
      <w:r w:rsidRPr="00265A7A">
        <w:t>os interesses do empresariado (Ramalho, 2021)</w:t>
      </w:r>
      <w:r>
        <w:t xml:space="preserve">. </w:t>
      </w:r>
    </w:p>
  </w:endnote>
  <w:endnote w:id="9">
    <w:p w14:paraId="5AB3A201" w14:textId="5A01A69C" w:rsidR="00BC6C8D" w:rsidRPr="00265A7A" w:rsidRDefault="00BC6C8D" w:rsidP="00265A7A">
      <w:pPr>
        <w:pStyle w:val="Textodenotadefim"/>
        <w:jc w:val="both"/>
      </w:pPr>
      <w:r w:rsidRPr="00265A7A">
        <w:rPr>
          <w:rStyle w:val="Refdenotadefim"/>
        </w:rPr>
        <w:endnoteRef/>
      </w:r>
      <w:r w:rsidRPr="00265A7A">
        <w:t xml:space="preserve"> No que se refere à taxação dos servidores ativos em 11%, o art. 4 da Lei nº 10.887, de 18 de junho de 2004 dispõe essa medida regressiva como uma “contribuição social”, mas que ao mesmo tempo impõe a obrigatoriedade da contribuição para a “manutenção do respectivo regime”. Essa legislação representa o instrumento de aplicação das prerrogativas propostas pela EC nº 41/2003. </w:t>
      </w:r>
      <w:r w:rsidR="00502263">
        <w:t>Essa</w:t>
      </w:r>
      <w:r w:rsidRPr="00265A7A">
        <w:t xml:space="preserve"> medida </w:t>
      </w:r>
      <w:r w:rsidR="00502263">
        <w:t>entra em vigor com</w:t>
      </w:r>
      <w:r w:rsidRPr="00265A7A">
        <w:t xml:space="preserve"> </w:t>
      </w:r>
      <w:r w:rsidRPr="00265A7A">
        <w:t xml:space="preserve">a Lei nº 12.618/2012, aprovada durante o governo de Dilma. </w:t>
      </w:r>
    </w:p>
  </w:endnote>
  <w:endnote w:id="10">
    <w:p w14:paraId="385ADD5A" w14:textId="77777777" w:rsidR="00BC6C8D" w:rsidRDefault="00BC6C8D" w:rsidP="00265A7A">
      <w:pPr>
        <w:pStyle w:val="Textodenotadefim"/>
        <w:jc w:val="both"/>
      </w:pPr>
      <w:r w:rsidRPr="00265A7A">
        <w:rPr>
          <w:rStyle w:val="Refdenotadefim"/>
        </w:rPr>
        <w:endnoteRef/>
      </w:r>
      <w:r w:rsidRPr="00265A7A">
        <w:t xml:space="preserve"> Conforme o Decreto nº 7.655, de 23 de dezembro de 2011, o salário-mínimo no Brasil, em 2012, correspondia a R$ 622,00 (Brasil, 2011). Entretanto, a Pesquisa Nacional da Cesta básica de Alimentos do DIEESE aponta que o salário-mínimo necessário, em dezembro de 2012, deveria ser de R$ 2.561,47 (DIEESE, 2012). Isso demonstra os limites dessa política, que está muito aquém das reais necessidades sociais de vida e sobrevivência da classe trabalhadora brasileira. </w:t>
      </w:r>
    </w:p>
    <w:p w14:paraId="10EA8922" w14:textId="77777777" w:rsidR="00BC6C8D" w:rsidRPr="00265A7A" w:rsidRDefault="00BC6C8D" w:rsidP="00265A7A">
      <w:pPr>
        <w:pStyle w:val="Textodenotadefim"/>
        <w:jc w:val="both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F4948" w14:textId="77777777" w:rsidR="00141AB5" w:rsidRDefault="00141AB5">
      <w:pPr>
        <w:spacing w:line="240" w:lineRule="auto"/>
      </w:pPr>
      <w:r>
        <w:separator/>
      </w:r>
    </w:p>
  </w:footnote>
  <w:footnote w:type="continuationSeparator" w:id="0">
    <w:p w14:paraId="4A852161" w14:textId="77777777" w:rsidR="00141AB5" w:rsidRDefault="00141A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C0A3C" w14:textId="77777777" w:rsidR="00FF4348" w:rsidRDefault="00D479C3">
    <w:r>
      <w:rPr>
        <w:noProof/>
      </w:rPr>
      <w:drawing>
        <wp:anchor distT="114300" distB="114300" distL="114300" distR="114300" simplePos="0" relativeHeight="251657728" behindDoc="1" locked="0" layoutInCell="1" allowOverlap="1" wp14:anchorId="661B1CB3" wp14:editId="3928DB7E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" name="image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8292D"/>
    <w:multiLevelType w:val="hybridMultilevel"/>
    <w:tmpl w:val="E02809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B77457"/>
    <w:multiLevelType w:val="hybridMultilevel"/>
    <w:tmpl w:val="7084D066"/>
    <w:lvl w:ilvl="0" w:tplc="7B60B75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225195">
    <w:abstractNumId w:val="1"/>
  </w:num>
  <w:num w:numId="2" w16cid:durableId="546453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348"/>
    <w:rsid w:val="00045620"/>
    <w:rsid w:val="00141AB5"/>
    <w:rsid w:val="001E6DBB"/>
    <w:rsid w:val="00265A7A"/>
    <w:rsid w:val="002771A1"/>
    <w:rsid w:val="00283308"/>
    <w:rsid w:val="00292980"/>
    <w:rsid w:val="002B22E3"/>
    <w:rsid w:val="002C1415"/>
    <w:rsid w:val="0031541F"/>
    <w:rsid w:val="00336622"/>
    <w:rsid w:val="00395CDA"/>
    <w:rsid w:val="004E37DA"/>
    <w:rsid w:val="004F776F"/>
    <w:rsid w:val="00502263"/>
    <w:rsid w:val="00565A27"/>
    <w:rsid w:val="005C4655"/>
    <w:rsid w:val="00672BEB"/>
    <w:rsid w:val="00711AAD"/>
    <w:rsid w:val="00721D14"/>
    <w:rsid w:val="00737535"/>
    <w:rsid w:val="00757CE0"/>
    <w:rsid w:val="00797F99"/>
    <w:rsid w:val="00813E43"/>
    <w:rsid w:val="00922D74"/>
    <w:rsid w:val="00A17BDD"/>
    <w:rsid w:val="00A233B1"/>
    <w:rsid w:val="00A43293"/>
    <w:rsid w:val="00A669C2"/>
    <w:rsid w:val="00B86FF0"/>
    <w:rsid w:val="00BB06AC"/>
    <w:rsid w:val="00BC6C8D"/>
    <w:rsid w:val="00BC7C70"/>
    <w:rsid w:val="00C74940"/>
    <w:rsid w:val="00D479C3"/>
    <w:rsid w:val="00DB06FA"/>
    <w:rsid w:val="00DC4C73"/>
    <w:rsid w:val="00E64A80"/>
    <w:rsid w:val="00E64E46"/>
    <w:rsid w:val="00F01EAC"/>
    <w:rsid w:val="00F2735F"/>
    <w:rsid w:val="00F339AF"/>
    <w:rsid w:val="00F957E1"/>
    <w:rsid w:val="00FF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2EB4A7"/>
  <w15:docId w15:val="{5E282037-F5F1-B54F-B370-7A1F97C99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13E43"/>
    <w:pPr>
      <w:keepNext/>
      <w:keepLines/>
      <w:spacing w:before="40" w:line="240" w:lineRule="auto"/>
      <w:outlineLvl w:val="6"/>
    </w:pPr>
    <w:rPr>
      <w:rFonts w:ascii="Times New Roman" w:eastAsia="Times New Roman" w:hAnsi="Times New Roman" w:cs="Times New Roman"/>
      <w:color w:val="595959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13E43"/>
    <w:pPr>
      <w:keepNext/>
      <w:keepLines/>
      <w:spacing w:line="240" w:lineRule="auto"/>
      <w:outlineLvl w:val="7"/>
    </w:pPr>
    <w:rPr>
      <w:rFonts w:ascii="Times New Roman" w:eastAsia="Times New Roman" w:hAnsi="Times New Roman" w:cs="Times New Roman"/>
      <w:i/>
      <w:iCs/>
      <w:color w:val="272727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13E43"/>
    <w:pPr>
      <w:keepNext/>
      <w:keepLines/>
      <w:spacing w:line="240" w:lineRule="auto"/>
      <w:outlineLvl w:val="8"/>
    </w:pPr>
    <w:rPr>
      <w:rFonts w:ascii="Times New Roman" w:eastAsia="Times New Roman" w:hAnsi="Times New Roman" w:cs="Times New Roman"/>
      <w:color w:val="272727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76F"/>
  </w:style>
  <w:style w:type="paragraph" w:styleId="Rodap">
    <w:name w:val="footer"/>
    <w:basedOn w:val="Normal"/>
    <w:link w:val="Rodap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76F"/>
  </w:style>
  <w:style w:type="character" w:customStyle="1" w:styleId="Ttulo7Char">
    <w:name w:val="Título 7 Char"/>
    <w:link w:val="Ttulo7"/>
    <w:uiPriority w:val="9"/>
    <w:semiHidden/>
    <w:rsid w:val="00813E43"/>
    <w:rPr>
      <w:rFonts w:ascii="Times New Roman" w:eastAsia="Times New Roman" w:hAnsi="Times New Roman" w:cs="Times New Roman"/>
      <w:color w:val="595959"/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813E43"/>
    <w:rPr>
      <w:rFonts w:ascii="Times New Roman" w:eastAsia="Times New Roman" w:hAnsi="Times New Roman" w:cs="Times New Roman"/>
      <w:i/>
      <w:iCs/>
      <w:color w:val="272727"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813E43"/>
    <w:rPr>
      <w:rFonts w:ascii="Times New Roman" w:eastAsia="Times New Roman" w:hAnsi="Times New Roman" w:cs="Times New Roman"/>
      <w:color w:val="272727"/>
      <w:sz w:val="24"/>
      <w:szCs w:val="24"/>
    </w:rPr>
  </w:style>
  <w:style w:type="character" w:customStyle="1" w:styleId="TtuloChar1">
    <w:name w:val="Título Char1"/>
    <w:uiPriority w:val="10"/>
    <w:rsid w:val="00813E4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character" w:customStyle="1" w:styleId="SubttuloChar1">
    <w:name w:val="Subtítulo Char1"/>
    <w:uiPriority w:val="11"/>
    <w:rsid w:val="00813E43"/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CitaoChar1">
    <w:name w:val="Citação Char1"/>
    <w:uiPriority w:val="29"/>
    <w:rsid w:val="00813E43"/>
    <w:rPr>
      <w:i/>
      <w:iCs/>
      <w:color w:val="404040"/>
    </w:rPr>
  </w:style>
  <w:style w:type="character" w:customStyle="1" w:styleId="CitaoIntensaChar1">
    <w:name w:val="Citação Intensa Char1"/>
    <w:uiPriority w:val="30"/>
    <w:rsid w:val="00813E43"/>
    <w:rPr>
      <w:i/>
      <w:iCs/>
      <w:color w:val="0F4761"/>
    </w:rPr>
  </w:style>
  <w:style w:type="paragraph" w:styleId="PargrafodaLista">
    <w:name w:val="List Paragraph"/>
    <w:basedOn w:val="Normal"/>
    <w:uiPriority w:val="34"/>
    <w:qFormat/>
    <w:rsid w:val="00813E43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nfaseIntensa">
    <w:name w:val="Intense Emphasis"/>
    <w:uiPriority w:val="21"/>
    <w:qFormat/>
    <w:rsid w:val="00813E43"/>
    <w:rPr>
      <w:i/>
      <w:iCs/>
      <w:color w:val="0F4761"/>
    </w:rPr>
  </w:style>
  <w:style w:type="character" w:styleId="RefernciaIntensa">
    <w:name w:val="Intense Reference"/>
    <w:uiPriority w:val="32"/>
    <w:qFormat/>
    <w:rsid w:val="00813E43"/>
    <w:rPr>
      <w:b/>
      <w:bCs/>
      <w:smallCaps/>
      <w:color w:val="0F4761"/>
      <w:spacing w:val="5"/>
    </w:rPr>
  </w:style>
  <w:style w:type="paragraph" w:styleId="SemEspaamento">
    <w:name w:val="No Spacing"/>
    <w:uiPriority w:val="1"/>
    <w:qFormat/>
    <w:rsid w:val="00813E43"/>
    <w:rPr>
      <w:rFonts w:ascii="Aptos" w:eastAsia="Aptos" w:hAnsi="Aptos" w:cs="Times New Roman"/>
      <w:kern w:val="2"/>
      <w:sz w:val="24"/>
      <w:szCs w:val="24"/>
      <w:lang w:eastAsia="en-US"/>
    </w:rPr>
  </w:style>
  <w:style w:type="character" w:styleId="Hyperlink">
    <w:name w:val="Hyperlink"/>
    <w:uiPriority w:val="99"/>
    <w:unhideWhenUsed/>
    <w:rsid w:val="00813E43"/>
    <w:rPr>
      <w:color w:val="467886"/>
      <w:u w:val="single"/>
    </w:rPr>
  </w:style>
  <w:style w:type="character" w:styleId="MenoPendente">
    <w:name w:val="Unresolved Mention"/>
    <w:uiPriority w:val="99"/>
    <w:semiHidden/>
    <w:unhideWhenUsed/>
    <w:rsid w:val="00813E43"/>
    <w:rPr>
      <w:color w:val="605E5C"/>
      <w:shd w:val="clear" w:color="auto" w:fill="E1DFDD"/>
    </w:rPr>
  </w:style>
  <w:style w:type="character" w:styleId="HiperlinkVisitado">
    <w:name w:val="FollowedHyperlink"/>
    <w:uiPriority w:val="99"/>
    <w:semiHidden/>
    <w:unhideWhenUsed/>
    <w:rsid w:val="00813E43"/>
    <w:rPr>
      <w:color w:val="96607D"/>
      <w:u w:val="single"/>
    </w:rPr>
  </w:style>
  <w:style w:type="character" w:customStyle="1" w:styleId="Ttulo1Char">
    <w:name w:val="Título 1 Char"/>
    <w:uiPriority w:val="9"/>
    <w:rsid w:val="00813E43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Ttulo2Char">
    <w:name w:val="Título 2 Char"/>
    <w:uiPriority w:val="9"/>
    <w:semiHidden/>
    <w:rsid w:val="00813E43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3Char">
    <w:name w:val="Título 3 Char"/>
    <w:uiPriority w:val="9"/>
    <w:semiHidden/>
    <w:rsid w:val="00813E43"/>
    <w:rPr>
      <w:rFonts w:eastAsia="Times New Roman" w:cs="Times New Roman"/>
      <w:color w:val="0F4761"/>
      <w:sz w:val="28"/>
      <w:szCs w:val="28"/>
    </w:rPr>
  </w:style>
  <w:style w:type="character" w:customStyle="1" w:styleId="Ttulo4Char">
    <w:name w:val="Título 4 Char"/>
    <w:uiPriority w:val="9"/>
    <w:semiHidden/>
    <w:rsid w:val="00813E43"/>
    <w:rPr>
      <w:rFonts w:eastAsia="Times New Roman" w:cs="Times New Roman"/>
      <w:i/>
      <w:iCs/>
      <w:color w:val="0F4761"/>
    </w:rPr>
  </w:style>
  <w:style w:type="character" w:customStyle="1" w:styleId="Ttulo5Char">
    <w:name w:val="Título 5 Char"/>
    <w:uiPriority w:val="9"/>
    <w:semiHidden/>
    <w:rsid w:val="00813E43"/>
    <w:rPr>
      <w:rFonts w:eastAsia="Times New Roman" w:cs="Times New Roman"/>
      <w:color w:val="0F4761"/>
    </w:rPr>
  </w:style>
  <w:style w:type="character" w:customStyle="1" w:styleId="Ttulo6Char">
    <w:name w:val="Título 6 Char"/>
    <w:uiPriority w:val="9"/>
    <w:semiHidden/>
    <w:rsid w:val="00813E43"/>
    <w:rPr>
      <w:rFonts w:eastAsia="Times New Roman" w:cs="Times New Roman"/>
      <w:i/>
      <w:iCs/>
      <w:color w:val="595959"/>
    </w:rPr>
  </w:style>
  <w:style w:type="table" w:styleId="Tabelacomgrade">
    <w:name w:val="Table Grid"/>
    <w:basedOn w:val="Tabelanormal"/>
    <w:uiPriority w:val="39"/>
    <w:rsid w:val="00813E43"/>
    <w:rPr>
      <w:rFonts w:ascii="Aptos" w:eastAsia="Aptos" w:hAnsi="Aptos" w:cs="Times New Roman"/>
      <w:kern w:val="2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13E4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813E43"/>
    <w:rPr>
      <w:rFonts w:ascii="Times New Roman" w:eastAsia="Times New Roman" w:hAnsi="Times New Roman" w:cs="Times New Roman"/>
    </w:rPr>
  </w:style>
  <w:style w:type="character" w:styleId="Refdenotaderodap">
    <w:name w:val="footnote reference"/>
    <w:uiPriority w:val="99"/>
    <w:semiHidden/>
    <w:unhideWhenUsed/>
    <w:rsid w:val="00813E43"/>
    <w:rPr>
      <w:vertAlign w:val="superscript"/>
    </w:rPr>
  </w:style>
  <w:style w:type="table" w:customStyle="1" w:styleId="TableNormal1">
    <w:name w:val="Table Normal1"/>
    <w:uiPriority w:val="99"/>
    <w:semiHidden/>
    <w:unhideWhenUsed/>
    <w:rsid w:val="00813E43"/>
    <w:pPr>
      <w:spacing w:after="160" w:line="278" w:lineRule="auto"/>
    </w:pPr>
    <w:rPr>
      <w:rFonts w:ascii="Aptos" w:eastAsia="Aptos" w:hAnsi="Aptos" w:cs="Times New Roman"/>
      <w:kern w:val="2"/>
      <w:sz w:val="24"/>
      <w:szCs w:val="24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813E43"/>
    <w:rPr>
      <w:color w:val="666666"/>
    </w:rPr>
  </w:style>
  <w:style w:type="table" w:styleId="TabelaSimples5">
    <w:name w:val="Plain Table 5"/>
    <w:basedOn w:val="Tabelanormal"/>
    <w:uiPriority w:val="45"/>
    <w:rsid w:val="00813E43"/>
    <w:rPr>
      <w:rFonts w:ascii="Aptos" w:eastAsia="Aptos" w:hAnsi="Aptos" w:cs="Times New Roman"/>
      <w:kern w:val="2"/>
      <w:sz w:val="24"/>
      <w:szCs w:val="24"/>
      <w:lang w:eastAsia="en-US"/>
    </w:rPr>
    <w:tblPr>
      <w:tblStyleRowBandSize w:val="1"/>
      <w:tblStyleColBandSize w:val="1"/>
    </w:tblPr>
    <w:tblStylePr w:type="firstRow">
      <w:rPr>
        <w:rFonts w:ascii="Aptos Display" w:eastAsia="Times New Roman" w:hAnsi="Aptos Display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Aptos Display" w:eastAsia="Times New Roman" w:hAnsi="Aptos Display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Aptos Display" w:eastAsia="Times New Roman" w:hAnsi="Aptos Display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Aptos Display" w:eastAsia="Times New Roman" w:hAnsi="Aptos Display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implesTabela3">
    <w:name w:val="Plain Table 3"/>
    <w:basedOn w:val="Tabelanormal"/>
    <w:uiPriority w:val="43"/>
    <w:rsid w:val="00813E43"/>
    <w:rPr>
      <w:rFonts w:ascii="Aptos" w:eastAsia="Aptos" w:hAnsi="Aptos" w:cs="Times New Roman"/>
      <w:kern w:val="2"/>
      <w:sz w:val="24"/>
      <w:szCs w:val="24"/>
      <w:lang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deGrade1Clara">
    <w:name w:val="Grid Table 1 Light"/>
    <w:basedOn w:val="Tabelanormal"/>
    <w:uiPriority w:val="46"/>
    <w:rsid w:val="00813E43"/>
    <w:rPr>
      <w:rFonts w:ascii="Aptos" w:eastAsia="Aptos" w:hAnsi="Aptos" w:cs="Times New Roman"/>
      <w:kern w:val="2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2">
    <w:name w:val="Plain Table 2"/>
    <w:basedOn w:val="Tabelanormal"/>
    <w:uiPriority w:val="42"/>
    <w:rsid w:val="00813E43"/>
    <w:rPr>
      <w:rFonts w:ascii="Aptos" w:eastAsia="Aptos" w:hAnsi="Aptos" w:cs="Times New Roman"/>
      <w:kern w:val="2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TabelaSimples4">
    <w:name w:val="Plain Table 4"/>
    <w:basedOn w:val="Tabelanormal"/>
    <w:uiPriority w:val="44"/>
    <w:rsid w:val="00813E43"/>
    <w:rPr>
      <w:rFonts w:ascii="Aptos" w:eastAsia="Aptos" w:hAnsi="Aptos" w:cs="Times New Roman"/>
      <w:kern w:val="2"/>
      <w:sz w:val="24"/>
      <w:szCs w:val="24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C6C8D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C6C8D"/>
  </w:style>
  <w:style w:type="character" w:styleId="Refdenotadefim">
    <w:name w:val="endnote reference"/>
    <w:uiPriority w:val="99"/>
    <w:semiHidden/>
    <w:unhideWhenUsed/>
    <w:rsid w:val="00BC6C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rghiraldelli@unb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F3690C-DD2B-48FB-B3EF-E49D3283D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3377</Words>
  <Characters>19047</Characters>
  <Application>Microsoft Office Word</Application>
  <DocSecurity>0</DocSecurity>
  <Lines>328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22368</CharactersWithSpaces>
  <SharedDoc>false</SharedDoc>
  <HLinks>
    <vt:vector size="6" baseType="variant">
      <vt:variant>
        <vt:i4>1900593</vt:i4>
      </vt:variant>
      <vt:variant>
        <vt:i4>0</vt:i4>
      </vt:variant>
      <vt:variant>
        <vt:i4>0</vt:i4>
      </vt:variant>
      <vt:variant>
        <vt:i4>5</vt:i4>
      </vt:variant>
      <vt:variant>
        <vt:lpwstr>mailto:rghiraldelli@unb.br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Reginaldo Ghiraldelli</cp:lastModifiedBy>
  <cp:revision>2</cp:revision>
  <dcterms:created xsi:type="dcterms:W3CDTF">2025-06-30T15:16:00Z</dcterms:created>
  <dcterms:modified xsi:type="dcterms:W3CDTF">2025-06-30T15:16:00Z</dcterms:modified>
</cp:coreProperties>
</file>