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603BA" w:rsidRDefault="0047595B">
      <w:pPr>
        <w:spacing w:line="360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MERCADO DE TRABALHO, REFORMAS NEOLIBERAIS E A CORROSÃO DOS DIREITOS SOCIAIS NO </w:t>
      </w:r>
      <w:r w:rsidRPr="00370564">
        <w:rPr>
          <w:b/>
          <w:color w:val="000000"/>
          <w:sz w:val="24"/>
          <w:szCs w:val="24"/>
        </w:rPr>
        <w:t>BRASIL</w:t>
      </w:r>
      <w:r w:rsidR="004C5E22" w:rsidRPr="00370564">
        <w:rPr>
          <w:rStyle w:val="Refdenotadefim"/>
          <w:b/>
          <w:color w:val="000000"/>
          <w:sz w:val="24"/>
          <w:szCs w:val="24"/>
        </w:rPr>
        <w:endnoteReference w:id="1"/>
      </w:r>
    </w:p>
    <w:p w:rsidR="00F603BA" w:rsidRPr="00370564" w:rsidRDefault="0047595B">
      <w:pPr>
        <w:spacing w:line="360" w:lineRule="auto"/>
        <w:jc w:val="right"/>
        <w:rPr>
          <w:b/>
          <w:color w:val="000000"/>
          <w:sz w:val="24"/>
          <w:szCs w:val="24"/>
        </w:rPr>
      </w:pPr>
      <w:r w:rsidRPr="00370564">
        <w:rPr>
          <w:b/>
          <w:color w:val="000000"/>
          <w:sz w:val="24"/>
          <w:szCs w:val="24"/>
        </w:rPr>
        <w:t>Mateus Santos de Sousa</w:t>
      </w:r>
      <w:r w:rsidR="004C5E22" w:rsidRPr="00370564">
        <w:rPr>
          <w:rStyle w:val="Refdenotadefim"/>
          <w:b/>
          <w:color w:val="000000"/>
          <w:sz w:val="24"/>
          <w:szCs w:val="24"/>
        </w:rPr>
        <w:endnoteReference w:id="2"/>
      </w:r>
    </w:p>
    <w:p w:rsidR="00F603BA" w:rsidRPr="00370564" w:rsidRDefault="0047595B">
      <w:pPr>
        <w:spacing w:line="360" w:lineRule="auto"/>
        <w:jc w:val="right"/>
        <w:rPr>
          <w:b/>
          <w:color w:val="000000"/>
          <w:sz w:val="24"/>
          <w:szCs w:val="24"/>
        </w:rPr>
      </w:pPr>
      <w:r w:rsidRPr="00370564">
        <w:rPr>
          <w:b/>
          <w:color w:val="000000"/>
          <w:sz w:val="24"/>
          <w:szCs w:val="24"/>
        </w:rPr>
        <w:t>Reginaldo Ghiraldelli</w:t>
      </w:r>
      <w:r w:rsidR="004C5E22" w:rsidRPr="00370564">
        <w:rPr>
          <w:rStyle w:val="Refdenotadefim"/>
          <w:b/>
          <w:color w:val="000000"/>
          <w:sz w:val="24"/>
          <w:szCs w:val="24"/>
        </w:rPr>
        <w:endnoteReference w:id="3"/>
      </w:r>
    </w:p>
    <w:p w:rsidR="00F603BA" w:rsidRDefault="00F603BA">
      <w:pPr>
        <w:spacing w:line="360" w:lineRule="auto"/>
        <w:jc w:val="right"/>
        <w:rPr>
          <w:color w:val="000000"/>
          <w:sz w:val="24"/>
          <w:szCs w:val="24"/>
        </w:rPr>
      </w:pPr>
    </w:p>
    <w:p w:rsidR="00F603BA" w:rsidRDefault="0047595B">
      <w:pPr>
        <w:spacing w:line="240" w:lineRule="auto"/>
        <w:ind w:left="2835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Resumo: </w:t>
      </w:r>
      <w:r>
        <w:rPr>
          <w:color w:val="000000"/>
          <w:sz w:val="20"/>
          <w:szCs w:val="20"/>
        </w:rPr>
        <w:t>O texto aborda as mudanças recentes ocorridas no mercado de trabalho brasileiro, considerando a conjuntura política, econômica e social da realidade nacional. Destacam-se nessa análise as reformas neoliberais implementadas nos últimos anos, como é o caso da Reforma Trabalhista (2017) e a Reforma da Previdência (2019), com suas respectivas consequências, especialmente em relação à perda de direitos sociais. Também considera a crise econômica capitalista e a emergência sanitária provocada pela pandemia da covid-19 como elementos que incidem na dinâmica do mercado de trabalho, com repercussões para a vida da população.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Foram consultadas bases de dados do Instituto Brasileiro de Geografia e Estatística (IBGE) e do Departamento Intersindical de Estatística e Estudos Socioeconômicos (DIEESE), delimitando como temporalidade histórica o período de 2012 a 2024. Os indicadores revelam a persistência do trabalho precarizado e das desigualdades sociais. </w:t>
      </w:r>
    </w:p>
    <w:p w:rsidR="00F603BA" w:rsidRDefault="0047595B">
      <w:pPr>
        <w:spacing w:line="240" w:lineRule="auto"/>
        <w:ind w:left="2835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Palavras-chave:</w:t>
      </w:r>
      <w:r>
        <w:rPr>
          <w:color w:val="000000"/>
          <w:sz w:val="20"/>
          <w:szCs w:val="20"/>
        </w:rPr>
        <w:t xml:space="preserve"> Trabalho; Reformas; Direitos Sociais.</w:t>
      </w:r>
    </w:p>
    <w:p w:rsidR="00F603BA" w:rsidRDefault="00F603BA">
      <w:pPr>
        <w:spacing w:line="240" w:lineRule="auto"/>
        <w:ind w:left="2835"/>
        <w:jc w:val="both"/>
        <w:rPr>
          <w:color w:val="000000"/>
          <w:sz w:val="20"/>
          <w:szCs w:val="20"/>
        </w:rPr>
      </w:pPr>
    </w:p>
    <w:p w:rsidR="00F603BA" w:rsidRDefault="0047595B">
      <w:pPr>
        <w:spacing w:line="240" w:lineRule="auto"/>
        <w:ind w:left="2835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Abstract: </w:t>
      </w:r>
      <w:r>
        <w:rPr>
          <w:color w:val="000000"/>
          <w:sz w:val="20"/>
          <w:szCs w:val="20"/>
        </w:rPr>
        <w:t xml:space="preserve">The </w:t>
      </w:r>
      <w:proofErr w:type="spellStart"/>
      <w:r>
        <w:rPr>
          <w:color w:val="000000"/>
          <w:sz w:val="20"/>
          <w:szCs w:val="20"/>
        </w:rPr>
        <w:t>text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addresses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recent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changes</w:t>
      </w:r>
      <w:proofErr w:type="spellEnd"/>
      <w:r>
        <w:rPr>
          <w:color w:val="000000"/>
          <w:sz w:val="20"/>
          <w:szCs w:val="20"/>
        </w:rPr>
        <w:t xml:space="preserve"> in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Brazilian</w:t>
      </w:r>
      <w:proofErr w:type="spellEnd"/>
      <w:r>
        <w:rPr>
          <w:color w:val="000000"/>
          <w:sz w:val="20"/>
          <w:szCs w:val="20"/>
        </w:rPr>
        <w:t xml:space="preserve"> labor </w:t>
      </w:r>
      <w:proofErr w:type="spellStart"/>
      <w:r>
        <w:rPr>
          <w:color w:val="000000"/>
          <w:sz w:val="20"/>
          <w:szCs w:val="20"/>
        </w:rPr>
        <w:t>market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considering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political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economic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and</w:t>
      </w:r>
      <w:proofErr w:type="spellEnd"/>
      <w:r>
        <w:rPr>
          <w:color w:val="000000"/>
          <w:sz w:val="20"/>
          <w:szCs w:val="20"/>
        </w:rPr>
        <w:t xml:space="preserve"> social </w:t>
      </w:r>
      <w:proofErr w:type="spellStart"/>
      <w:r>
        <w:rPr>
          <w:color w:val="000000"/>
          <w:sz w:val="20"/>
          <w:szCs w:val="20"/>
        </w:rPr>
        <w:t>context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of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country. </w:t>
      </w:r>
      <w:proofErr w:type="spellStart"/>
      <w:r>
        <w:rPr>
          <w:color w:val="000000"/>
          <w:sz w:val="20"/>
          <w:szCs w:val="20"/>
        </w:rPr>
        <w:t>This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analysis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highlights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neoliberal </w:t>
      </w:r>
      <w:proofErr w:type="spellStart"/>
      <w:r>
        <w:rPr>
          <w:color w:val="000000"/>
          <w:sz w:val="20"/>
          <w:szCs w:val="20"/>
        </w:rPr>
        <w:t>reforms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implemented</w:t>
      </w:r>
      <w:proofErr w:type="spellEnd"/>
      <w:r>
        <w:rPr>
          <w:color w:val="000000"/>
          <w:sz w:val="20"/>
          <w:szCs w:val="20"/>
        </w:rPr>
        <w:t xml:space="preserve"> in </w:t>
      </w:r>
      <w:proofErr w:type="spellStart"/>
      <w:r>
        <w:rPr>
          <w:color w:val="000000"/>
          <w:sz w:val="20"/>
          <w:szCs w:val="20"/>
        </w:rPr>
        <w:t>recent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years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such</w:t>
      </w:r>
      <w:proofErr w:type="spellEnd"/>
      <w:r>
        <w:rPr>
          <w:color w:val="000000"/>
          <w:sz w:val="20"/>
          <w:szCs w:val="20"/>
        </w:rPr>
        <w:t xml:space="preserve"> as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Labor </w:t>
      </w:r>
      <w:proofErr w:type="spellStart"/>
      <w:r>
        <w:rPr>
          <w:color w:val="000000"/>
          <w:sz w:val="20"/>
          <w:szCs w:val="20"/>
        </w:rPr>
        <w:t>Reform</w:t>
      </w:r>
      <w:proofErr w:type="spellEnd"/>
      <w:r>
        <w:rPr>
          <w:color w:val="000000"/>
          <w:sz w:val="20"/>
          <w:szCs w:val="20"/>
        </w:rPr>
        <w:t xml:space="preserve"> (2017) </w:t>
      </w:r>
      <w:proofErr w:type="spellStart"/>
      <w:r>
        <w:rPr>
          <w:color w:val="000000"/>
          <w:sz w:val="20"/>
          <w:szCs w:val="20"/>
        </w:rPr>
        <w:t>and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Pension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Reform</w:t>
      </w:r>
      <w:proofErr w:type="spellEnd"/>
      <w:r>
        <w:rPr>
          <w:color w:val="000000"/>
          <w:sz w:val="20"/>
          <w:szCs w:val="20"/>
        </w:rPr>
        <w:t xml:space="preserve"> (2019), </w:t>
      </w:r>
      <w:proofErr w:type="spellStart"/>
      <w:r>
        <w:rPr>
          <w:color w:val="000000"/>
          <w:sz w:val="20"/>
          <w:szCs w:val="20"/>
        </w:rPr>
        <w:t>with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their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respective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consequences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especially</w:t>
      </w:r>
      <w:proofErr w:type="spellEnd"/>
      <w:r>
        <w:rPr>
          <w:color w:val="000000"/>
          <w:sz w:val="20"/>
          <w:szCs w:val="20"/>
        </w:rPr>
        <w:t xml:space="preserve"> in </w:t>
      </w:r>
      <w:proofErr w:type="spellStart"/>
      <w:r>
        <w:rPr>
          <w:color w:val="000000"/>
          <w:sz w:val="20"/>
          <w:szCs w:val="20"/>
        </w:rPr>
        <w:t>relation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loss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of</w:t>
      </w:r>
      <w:proofErr w:type="spellEnd"/>
      <w:r>
        <w:rPr>
          <w:color w:val="000000"/>
          <w:sz w:val="20"/>
          <w:szCs w:val="20"/>
        </w:rPr>
        <w:t xml:space="preserve"> social </w:t>
      </w:r>
      <w:proofErr w:type="spellStart"/>
      <w:r>
        <w:rPr>
          <w:color w:val="000000"/>
          <w:sz w:val="20"/>
          <w:szCs w:val="20"/>
        </w:rPr>
        <w:t>rights</w:t>
      </w:r>
      <w:proofErr w:type="spellEnd"/>
      <w:r>
        <w:rPr>
          <w:color w:val="000000"/>
          <w:sz w:val="20"/>
          <w:szCs w:val="20"/>
        </w:rPr>
        <w:t xml:space="preserve">. It </w:t>
      </w:r>
      <w:proofErr w:type="spellStart"/>
      <w:r>
        <w:rPr>
          <w:color w:val="000000"/>
          <w:sz w:val="20"/>
          <w:szCs w:val="20"/>
        </w:rPr>
        <w:t>also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considers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capitalist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economic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crisis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and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health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emergency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caused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by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COVID-19 </w:t>
      </w:r>
      <w:proofErr w:type="spellStart"/>
      <w:r>
        <w:rPr>
          <w:color w:val="000000"/>
          <w:sz w:val="20"/>
          <w:szCs w:val="20"/>
        </w:rPr>
        <w:t>pandemic</w:t>
      </w:r>
      <w:proofErr w:type="spellEnd"/>
      <w:r>
        <w:rPr>
          <w:color w:val="000000"/>
          <w:sz w:val="20"/>
          <w:szCs w:val="20"/>
        </w:rPr>
        <w:t xml:space="preserve"> as </w:t>
      </w:r>
      <w:proofErr w:type="spellStart"/>
      <w:r>
        <w:rPr>
          <w:color w:val="000000"/>
          <w:sz w:val="20"/>
          <w:szCs w:val="20"/>
        </w:rPr>
        <w:t>elements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that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affect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dynamics </w:t>
      </w:r>
      <w:proofErr w:type="spellStart"/>
      <w:r>
        <w:rPr>
          <w:color w:val="000000"/>
          <w:sz w:val="20"/>
          <w:szCs w:val="20"/>
        </w:rPr>
        <w:t>of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labor </w:t>
      </w:r>
      <w:proofErr w:type="spellStart"/>
      <w:r>
        <w:rPr>
          <w:color w:val="000000"/>
          <w:sz w:val="20"/>
          <w:szCs w:val="20"/>
        </w:rPr>
        <w:t>market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with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repercussions</w:t>
      </w:r>
      <w:proofErr w:type="spellEnd"/>
      <w:r>
        <w:rPr>
          <w:color w:val="000000"/>
          <w:sz w:val="20"/>
          <w:szCs w:val="20"/>
        </w:rPr>
        <w:t xml:space="preserve"> for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lives </w:t>
      </w:r>
      <w:proofErr w:type="spellStart"/>
      <w:r>
        <w:rPr>
          <w:color w:val="000000"/>
          <w:sz w:val="20"/>
          <w:szCs w:val="20"/>
        </w:rPr>
        <w:t>of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population</w:t>
      </w:r>
      <w:proofErr w:type="spellEnd"/>
      <w:r>
        <w:rPr>
          <w:color w:val="000000"/>
          <w:sz w:val="20"/>
          <w:szCs w:val="20"/>
        </w:rPr>
        <w:t xml:space="preserve">. </w:t>
      </w:r>
      <w:proofErr w:type="spellStart"/>
      <w:r>
        <w:rPr>
          <w:color w:val="000000"/>
          <w:sz w:val="20"/>
          <w:szCs w:val="20"/>
        </w:rPr>
        <w:t>Databases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from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Brazilian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Institute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of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Geography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and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Statistics</w:t>
      </w:r>
      <w:proofErr w:type="spellEnd"/>
      <w:r>
        <w:rPr>
          <w:color w:val="000000"/>
          <w:sz w:val="20"/>
          <w:szCs w:val="20"/>
        </w:rPr>
        <w:t xml:space="preserve"> (IBGE) </w:t>
      </w:r>
      <w:proofErr w:type="spellStart"/>
      <w:r>
        <w:rPr>
          <w:color w:val="000000"/>
          <w:sz w:val="20"/>
          <w:szCs w:val="20"/>
        </w:rPr>
        <w:t>and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Inter-Union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Department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of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Statistics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and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Socioeconomic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Studies</w:t>
      </w:r>
      <w:proofErr w:type="spellEnd"/>
      <w:r>
        <w:rPr>
          <w:color w:val="000000"/>
          <w:sz w:val="20"/>
          <w:szCs w:val="20"/>
        </w:rPr>
        <w:t xml:space="preserve"> (DIEESE) </w:t>
      </w:r>
      <w:proofErr w:type="spellStart"/>
      <w:r>
        <w:rPr>
          <w:color w:val="000000"/>
          <w:sz w:val="20"/>
          <w:szCs w:val="20"/>
        </w:rPr>
        <w:t>were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consulted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delimiting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historical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period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from</w:t>
      </w:r>
      <w:proofErr w:type="spellEnd"/>
      <w:r>
        <w:rPr>
          <w:color w:val="000000"/>
          <w:sz w:val="20"/>
          <w:szCs w:val="20"/>
        </w:rPr>
        <w:t xml:space="preserve"> 2012 </w:t>
      </w:r>
      <w:proofErr w:type="spellStart"/>
      <w:r>
        <w:rPr>
          <w:color w:val="000000"/>
          <w:sz w:val="20"/>
          <w:szCs w:val="20"/>
        </w:rPr>
        <w:t>to</w:t>
      </w:r>
      <w:proofErr w:type="spellEnd"/>
      <w:r>
        <w:rPr>
          <w:color w:val="000000"/>
          <w:sz w:val="20"/>
          <w:szCs w:val="20"/>
        </w:rPr>
        <w:t xml:space="preserve"> 2024. The </w:t>
      </w:r>
      <w:proofErr w:type="spellStart"/>
      <w:r>
        <w:rPr>
          <w:color w:val="000000"/>
          <w:sz w:val="20"/>
          <w:szCs w:val="20"/>
        </w:rPr>
        <w:t>indicators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reveal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persistence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of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precarious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work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and</w:t>
      </w:r>
      <w:proofErr w:type="spellEnd"/>
      <w:r>
        <w:rPr>
          <w:color w:val="000000"/>
          <w:sz w:val="20"/>
          <w:szCs w:val="20"/>
        </w:rPr>
        <w:t xml:space="preserve"> social </w:t>
      </w:r>
      <w:proofErr w:type="spellStart"/>
      <w:r>
        <w:rPr>
          <w:color w:val="000000"/>
          <w:sz w:val="20"/>
          <w:szCs w:val="20"/>
        </w:rPr>
        <w:t>inequalities</w:t>
      </w:r>
      <w:proofErr w:type="spellEnd"/>
      <w:r>
        <w:rPr>
          <w:color w:val="000000"/>
          <w:sz w:val="20"/>
          <w:szCs w:val="20"/>
        </w:rPr>
        <w:t>.</w:t>
      </w:r>
    </w:p>
    <w:p w:rsidR="00500B0A" w:rsidRPr="00370564" w:rsidRDefault="0047595B" w:rsidP="00370564">
      <w:pPr>
        <w:spacing w:line="240" w:lineRule="auto"/>
        <w:ind w:left="2835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Keywords:</w:t>
      </w:r>
      <w:r>
        <w:rPr>
          <w:color w:val="000000"/>
          <w:sz w:val="20"/>
          <w:szCs w:val="20"/>
        </w:rPr>
        <w:t xml:space="preserve"> Labor; </w:t>
      </w:r>
      <w:proofErr w:type="spellStart"/>
      <w:r>
        <w:rPr>
          <w:color w:val="000000"/>
          <w:sz w:val="20"/>
          <w:szCs w:val="20"/>
        </w:rPr>
        <w:t>Reforms</w:t>
      </w:r>
      <w:proofErr w:type="spellEnd"/>
      <w:r>
        <w:rPr>
          <w:color w:val="000000"/>
          <w:sz w:val="20"/>
          <w:szCs w:val="20"/>
        </w:rPr>
        <w:t xml:space="preserve">; Social </w:t>
      </w:r>
      <w:proofErr w:type="spellStart"/>
      <w:r>
        <w:rPr>
          <w:color w:val="000000"/>
          <w:sz w:val="20"/>
          <w:szCs w:val="20"/>
        </w:rPr>
        <w:t>Rights</w:t>
      </w:r>
      <w:proofErr w:type="spellEnd"/>
      <w:r>
        <w:rPr>
          <w:color w:val="000000"/>
          <w:sz w:val="20"/>
          <w:szCs w:val="20"/>
        </w:rPr>
        <w:t>.</w:t>
      </w:r>
    </w:p>
    <w:p w:rsidR="00500B0A" w:rsidRDefault="00500B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F603BA" w:rsidRDefault="004759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1.  </w:t>
      </w:r>
      <w:r>
        <w:rPr>
          <w:b/>
          <w:color w:val="000000"/>
          <w:sz w:val="24"/>
          <w:szCs w:val="24"/>
        </w:rPr>
        <w:t>INTRODUÇÃO</w:t>
      </w:r>
    </w:p>
    <w:p w:rsidR="00F603BA" w:rsidRDefault="00F603BA">
      <w:pPr>
        <w:spacing w:line="360" w:lineRule="auto"/>
        <w:jc w:val="both"/>
        <w:rPr>
          <w:color w:val="000000"/>
          <w:sz w:val="24"/>
          <w:szCs w:val="24"/>
        </w:rPr>
      </w:pP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mercado de trabalho no Brasil tem passado por constantes transformações, ao mesmo tempo em que permanecem formas históricas de exploração e precarização da força de trabalho. Por isso, compreender as transformações do mercado de trabalho brasileiro, historicamente marcado pela desproteção, </w:t>
      </w:r>
      <w:r>
        <w:rPr>
          <w:color w:val="000000"/>
          <w:sz w:val="24"/>
          <w:szCs w:val="24"/>
        </w:rPr>
        <w:lastRenderedPageBreak/>
        <w:t xml:space="preserve">precarização e insegurança, considerando seu lugar no mercado internacional como um país periférico, dependente e que vem passando por um processo de desmonte por meio de reformas neoliberais que retiram direitos, se torna fundamental diante de ofensivas ideológicas, políticas e econômicas que amplia a riqueza de uma classe social em detrimento do crescimento da pobreza e da desigualdade que afeta a maioria da população. A compreensão dessa realidade socioeconômica e política do Brasil contribui para a construção de alternativas e lutas para o fortalecimento dos direitos da classe trabalhadora. 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Esse texto aborda a configuração do mercado de trabalho brasileiro considerando o contexto de crise capitalista, a ofensiva neoliberal, a implementação de medidas de austeridade, ajuste fiscal e as reformas de caráter regressivo de direitos que afetam de maneira direta a vida da classe trabalhadora. Como temporalidade metodológica foram consultados indicadores que abrangem os anos de 2012 até 2024. </w:t>
      </w:r>
    </w:p>
    <w:p w:rsidR="00F603BA" w:rsidRDefault="0047595B" w:rsidP="00500B0A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 bases de dados consultadas foram o Instituto Brasileiro de Geografia e Estatística (IBGE) e o Departamento Intersindical de Estatística e Estudos Socioeconômicos (DIEESE). Para a análise dos indicadores, foram consideradas as mudanças político-conjunturais, a crise econômica e a sanitária decorrente da pandemia da Covid-19, de forma a compreender a dinâmica recente do mercado de trabalho no Brasil a partir de um conjunto de elementos. </w:t>
      </w:r>
    </w:p>
    <w:p w:rsidR="00F603BA" w:rsidRDefault="00F603BA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</w:p>
    <w:p w:rsidR="00F603BA" w:rsidRDefault="004759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>
        <w:rPr>
          <w:b/>
          <w:color w:val="000000"/>
          <w:sz w:val="24"/>
          <w:szCs w:val="24"/>
        </w:rPr>
        <w:t>MERCADO DE TRABALHO, REFORMAS NEOLIBERAIS E A (DES)PROTEÇÃO SOCIAL NA REALIDADE BRASILEIRA</w:t>
      </w:r>
    </w:p>
    <w:p w:rsidR="00F603BA" w:rsidRDefault="00F603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  <w:sz w:val="24"/>
          <w:szCs w:val="24"/>
        </w:rPr>
      </w:pP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Durante os dois primeiros mandatos do governo de Luiz Inácio Lula da Silva (2003-2010) ocorreram mudanças significativas no campo dos direitos sociais, com a implementação de políticas públicas e estatutos que possibilitaram uma atenção mais efetiva a grupos sociais historicamente marginalizados, injustiçados e oprimidos. Em 2003, foi implementado um dos maiores programas de transferência de renda no </w:t>
      </w:r>
      <w:r>
        <w:rPr>
          <w:color w:val="000000"/>
          <w:sz w:val="24"/>
          <w:szCs w:val="24"/>
        </w:rPr>
        <w:lastRenderedPageBreak/>
        <w:t>Brasil: o Bolsa Família (Lei n. 10.836)</w:t>
      </w:r>
      <w:r>
        <w:rPr>
          <w:color w:val="000000"/>
          <w:sz w:val="24"/>
          <w:szCs w:val="24"/>
          <w:highlight w:val="white"/>
        </w:rPr>
        <w:t>, instituído</w:t>
      </w:r>
      <w:r>
        <w:rPr>
          <w:color w:val="000000"/>
          <w:sz w:val="24"/>
          <w:szCs w:val="24"/>
        </w:rPr>
        <w:t xml:space="preserve"> pela Medida Provisória n.132, em outubro de 2003 e convertido em lei em 2004. No mesmo ano se aprova o Estatuto da Pessoa Idosa, regido pela Lei nº 10.741/2003. Em 2005, foi instituída a Política Nacional de Assistência Social (PNAS) junto com a implementação do Sistema Único de Assistência Social (SUAS). Em 2009, destacam-se três importantes iniciativas: o Programa Minha Casa Minha Vida (Lei nº 11.977); a criação da Política Nacional para a População em Situação de Rua (decreto nº 7.053) e do Programa Nacional de Direitos Humanos – PNDH-3, estabelecido pelo (Decreto nº 7.037).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Em 2010, foi sancionado o Estatuto da Igualdade Racial (Lei nº 12.288) e dois anos depois foi aprovada a Lei de Cotas (Lei nº 12.711/2012). Por fim, em 2015, foi sancionado o Estatuto da Pessoa com Deficiência (Lei nº 13.146), dentre outras políticas que consolidam ações voltadas para a promoção e defesa dos direitos sociais.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Apesar de algumas conquistas sociais, Oliveira (2020) argumenta que as políticas implementadas nos governos do Partido dos Trabalhadores (PT) foram incapazes de alterar substancialmente as condições gerais e precárias do mercado de trabalho, que ainda carrega marcas históricas da segregação e segmentação de determinados grupos sociais, enraizados em uma visão conservadora e discriminatória da sociedade brasileira.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Colombi e </w:t>
      </w:r>
      <w:proofErr w:type="spellStart"/>
      <w:r>
        <w:rPr>
          <w:color w:val="000000"/>
          <w:sz w:val="24"/>
          <w:szCs w:val="24"/>
        </w:rPr>
        <w:t>Krein</w:t>
      </w:r>
      <w:proofErr w:type="spellEnd"/>
      <w:r>
        <w:rPr>
          <w:color w:val="000000"/>
          <w:sz w:val="24"/>
          <w:szCs w:val="24"/>
        </w:rPr>
        <w:t xml:space="preserve"> (2021) enfatizam que a deterioração dos indicadores econômicos em 2012, principalmente com a queda do preço internacional das </w:t>
      </w:r>
      <w:r>
        <w:rPr>
          <w:i/>
          <w:color w:val="000000"/>
          <w:sz w:val="24"/>
          <w:szCs w:val="24"/>
        </w:rPr>
        <w:t>commodities,</w:t>
      </w:r>
      <w:r>
        <w:rPr>
          <w:color w:val="000000"/>
          <w:sz w:val="24"/>
          <w:szCs w:val="24"/>
        </w:rPr>
        <w:t xml:space="preserve"> e com o aumento do grau de insatisfação da população brasileira expressado nas “Manifestações de Junho de 2013</w:t>
      </w:r>
      <w:r w:rsidR="00500B0A">
        <w:rPr>
          <w:rStyle w:val="Refdenotadefim"/>
          <w:color w:val="000000"/>
          <w:sz w:val="24"/>
          <w:szCs w:val="24"/>
        </w:rPr>
        <w:endnoteReference w:id="4"/>
      </w:r>
      <w:r>
        <w:rPr>
          <w:color w:val="000000"/>
          <w:sz w:val="24"/>
          <w:szCs w:val="24"/>
        </w:rPr>
        <w:t>” consolidou-se um aprofundamento da crise econômica e política no país. Além desses acontecimentos, Oliveira (2020) argumenta que o escândalo do “mensalão” entre 2005 e 2006, também promoveu uma mudança na correlação de forças políticas, favorecendo a ascensão de um discurso conservador e antidemocrático, acompanhado pela retomada de políticas neoliberais que haviam sido parcialmente contidas pelos governos do PT.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 dados disponíveis no IBGE (2025), demonstram que após 2013 ocorreram quedas significativas diante da realidade que se consolidava no país, entre crises e </w:t>
      </w:r>
      <w:r>
        <w:rPr>
          <w:color w:val="000000"/>
          <w:sz w:val="24"/>
          <w:szCs w:val="24"/>
        </w:rPr>
        <w:lastRenderedPageBreak/>
        <w:t xml:space="preserve">embates políticos. O PIB caiu para -0,2% no quarto trimestre de 2014 e despencou ainda mais em 2015, chegando a -5,5% depois de um considerável período de crescimento (IBGE, 2025). A taxa de desocupação subiu para 5,7% no quarto trimestre de 2015 e teve elevação para 7,6% em 2016 (IBGE, 2025). Paralelamente, a taxa de ocupação obteve queda, sendo estimada pela PNAD </w:t>
      </w:r>
      <w:r>
        <w:rPr>
          <w:sz w:val="24"/>
          <w:szCs w:val="24"/>
        </w:rPr>
        <w:t>Contínua</w:t>
      </w:r>
      <w:r>
        <w:rPr>
          <w:color w:val="000000"/>
          <w:sz w:val="24"/>
          <w:szCs w:val="24"/>
        </w:rPr>
        <w:t xml:space="preserve">, em 57,1% no </w:t>
      </w:r>
      <w:r>
        <w:rPr>
          <w:sz w:val="24"/>
          <w:szCs w:val="24"/>
        </w:rPr>
        <w:t>quarto</w:t>
      </w:r>
      <w:r>
        <w:rPr>
          <w:color w:val="000000"/>
          <w:sz w:val="24"/>
          <w:szCs w:val="24"/>
        </w:rPr>
        <w:t xml:space="preserve"> trimestre de 2015, caindo ainda mais em 2016 para 55,1%, tendo como referência o mesmo trimestre, já na transição de governo ocasionado pelo golpe contra a Presidenta Dilma Rousseff. Em 2015, se observa que a queda dos indicadores é mais expressiva. Segundo </w:t>
      </w:r>
      <w:proofErr w:type="spellStart"/>
      <w:r>
        <w:rPr>
          <w:color w:val="000000"/>
          <w:sz w:val="24"/>
          <w:szCs w:val="24"/>
        </w:rPr>
        <w:t>Proni</w:t>
      </w:r>
      <w:proofErr w:type="spellEnd"/>
      <w:r>
        <w:rPr>
          <w:color w:val="000000"/>
          <w:sz w:val="24"/>
          <w:szCs w:val="24"/>
        </w:rPr>
        <w:t xml:space="preserve"> e Gomes (2021) isso ocorreu devido à recessão econômica entre 2015 e 2016, que provocou o processo de enfraquecimento do mercado brasileiro, que atingiu principalmente os segmentos mais vulneráveis da força de trabalho, como os jovens, as mulheres e a população negra. 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 seu segundo mandato, em 2015, Dilma adotou medidas de ajuste fiscal visando conter os ataques da direita contra seu governo e, mesmo assim, não conseguiu frear as pressões políticas. O governo se deparou com uma situação de vulnerabilidade política e sofreu um golpe midiático-parlamentar-judiciário (Oliveira, 2020). Michel Temer (2016-2018), o vice-presidente, inicia seu mandato com diversas medidas de austeridade fiscal, cortes nas despesas públicas e a aprovação da Reforma Trabalhista em 2017. Oliveira (2020) argumenta que, nesse período, ocorre a retomada de uma agenda marcada por retrocessos sociais, políticos, ambientais e culturais. Uma das primeiras medidas do governo Temer foi a promulgação da Emenda Constitucional do Teto de Gastos Públicos</w:t>
      </w:r>
      <w:r w:rsidR="00500B0A">
        <w:rPr>
          <w:rStyle w:val="Refdenotadefim"/>
          <w:color w:val="000000"/>
          <w:sz w:val="24"/>
          <w:szCs w:val="24"/>
        </w:rPr>
        <w:endnoteReference w:id="5"/>
      </w:r>
      <w:r>
        <w:rPr>
          <w:color w:val="000000"/>
          <w:sz w:val="24"/>
          <w:szCs w:val="24"/>
        </w:rPr>
        <w:t xml:space="preserve">, medida que impactou o orçamento da seguridade social, comprometendo a efetividade dos serviços e benefícios no âmbito da proteção social. 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esteira da Reforma Trabalhista, o governo de Michel Temer sanciona a Lei da Terceirização (Lei nº 13.429), que libera a terceirização em todas as atividades, podendo ser executada tanto na área meio quanto na atividade fim. 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 setores econômicos e financeiros defensores da reforma, buscaram argumentos de que a terceirização se trata de algo benéfico à atividade econômica, </w:t>
      </w:r>
      <w:r>
        <w:rPr>
          <w:color w:val="000000"/>
          <w:sz w:val="24"/>
          <w:szCs w:val="24"/>
        </w:rPr>
        <w:lastRenderedPageBreak/>
        <w:t>objetivando ampliar a competitividade e criar postos de trabalho (</w:t>
      </w:r>
      <w:proofErr w:type="spellStart"/>
      <w:r>
        <w:rPr>
          <w:color w:val="000000"/>
          <w:sz w:val="24"/>
          <w:szCs w:val="24"/>
        </w:rPr>
        <w:t>Biavaschi</w:t>
      </w:r>
      <w:proofErr w:type="spellEnd"/>
      <w:r>
        <w:rPr>
          <w:color w:val="000000"/>
          <w:sz w:val="24"/>
          <w:szCs w:val="24"/>
        </w:rPr>
        <w:t xml:space="preserve"> e Teixeira, 2015). Entretanto, nas pesquisas realizadas por Duarte, Oliveira e </w:t>
      </w:r>
      <w:proofErr w:type="spellStart"/>
      <w:r>
        <w:rPr>
          <w:color w:val="000000"/>
          <w:sz w:val="24"/>
          <w:szCs w:val="24"/>
        </w:rPr>
        <w:t>Loural</w:t>
      </w:r>
      <w:proofErr w:type="spellEnd"/>
      <w:r>
        <w:rPr>
          <w:color w:val="000000"/>
          <w:sz w:val="24"/>
          <w:szCs w:val="24"/>
        </w:rPr>
        <w:t xml:space="preserve"> (2023), com base nos dados da Relação Anual de Informações Sociais e do Cadastro Geral de Empregados e Desempregados, tendo como recorte os anos de 2018 e 2019, evidencia-se que, nos anos analisados, a remuneração dos trabalhadores terceirizados não ultrapassou o valor de um salário mínimo, fazendo com que essa faixa alcançasse 8% dos trabalhadores. 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Além disso, observa-se que trabalhadores terceirizados têm uma média de remuneração menor que a remuneração média da sociedade e altos índices de rotatividade, o que se reflete na insegurança dos postos de trabalho e na reprodução de desigualdade de renda. Para </w:t>
      </w:r>
      <w:proofErr w:type="spellStart"/>
      <w:r>
        <w:rPr>
          <w:color w:val="000000"/>
          <w:sz w:val="24"/>
          <w:szCs w:val="24"/>
        </w:rPr>
        <w:t>Biavaschi</w:t>
      </w:r>
      <w:proofErr w:type="spellEnd"/>
      <w:r>
        <w:rPr>
          <w:color w:val="000000"/>
          <w:sz w:val="24"/>
          <w:szCs w:val="24"/>
        </w:rPr>
        <w:t xml:space="preserve"> e Teixeira (2015, p.38) “a terceirização é uma forma de contratar a mão de obra com potencial altamente </w:t>
      </w:r>
      <w:proofErr w:type="spellStart"/>
      <w:r>
        <w:rPr>
          <w:color w:val="000000"/>
          <w:sz w:val="24"/>
          <w:szCs w:val="24"/>
        </w:rPr>
        <w:t>precarizador</w:t>
      </w:r>
      <w:proofErr w:type="spellEnd"/>
      <w:r>
        <w:rPr>
          <w:color w:val="000000"/>
          <w:sz w:val="24"/>
          <w:szCs w:val="24"/>
        </w:rPr>
        <w:t xml:space="preserve"> das relações de trabalho, acirrando desigualdades e fragmentando a organização dos trabalhadores”.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Oliveira (2020) considera que a Reforma Trabalhista foi o “</w:t>
      </w:r>
      <w:r>
        <w:rPr>
          <w:i/>
          <w:color w:val="000000"/>
          <w:sz w:val="24"/>
          <w:szCs w:val="24"/>
        </w:rPr>
        <w:t>carro-chefe</w:t>
      </w:r>
      <w:r>
        <w:rPr>
          <w:color w:val="000000"/>
          <w:sz w:val="24"/>
          <w:szCs w:val="24"/>
        </w:rPr>
        <w:t>” do processo de flexibilização e desregulamentação das relações de trabalho, sob o eufemismo da “modernização”, trazendo alterações nos direitos assegurados na Consolidação das Leis do Trabalho (CLT) e na Constituição Federal de 1988. A reforma contribuiu para a criação e expansão de contratos de trabalho flexíveis e a possibilidade de negociações entre empregador e empregado sem a participação dos sindicatos.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 agentes políticos e econômicos representantes do Estado, por intermédio dos meios de comunicação, buscaram convencer a população brasileira da necessidade de aprovação da Reforma Trabalhista em 2017, afirmando que as mudanças na legislação beneficiariam os trabalhadores, diminuiria os custos do trabalho para a classe patronal, geraria mais empregos, incentivaria a produtividade e reduziria os índices de informalidade. No entanto, essa realidade não se concretizou. 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que tange à informalidade, os dados consultados na PNAD/IBGE (2025), revelam que a taxa de informalidade se manteve crescente em 2018 com 41,8%, </w:t>
      </w:r>
      <w:r>
        <w:rPr>
          <w:color w:val="000000"/>
          <w:sz w:val="24"/>
          <w:szCs w:val="24"/>
        </w:rPr>
        <w:lastRenderedPageBreak/>
        <w:t xml:space="preserve">chegando ao seu ápice em 2021, com um percentual de 42%, no contexto pandêmico, e tendo uma breve diminuição em 2024 para 39,8%, considerando o quarto trimestre de cada ano apresentado. 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Quanto à geração de empregos, os indicadores mostram que a força de trabalho ocupada alcançou 55,9% em 2018 e 56,5% em 2019 (IBGE, 2025). A força de trabalho ocupada em 2012 era de 58,3%, passando para 58,2% em 2014, e sofrendo uma queda em 2016 para 55,1%. Isso sinaliza para uma continuidade percentual dos indicadores socioeconômicos anteriores a 2017, acrescentando, após a aprovação da Reforma Trabalhista, a fragmentação de postos de trabalhos regidos pela CLT que agora seguem a lógica neoliberal de trabalhadores autônomos ou empreendedores. Essa realidade pode ser observada nos entregadores por aplicativos, nos motoristas e nos autônomos. Trata-se de trabalhadores que não estão assegurados pela legislação trabalhista e, por esse motivo, não estão assegurados contratualmente. Eles prestam um serviço e são remunerados pelas horas trabalhadas, e não pelo tempo de serviço, o que Antunes (2023) denomina como "contrato zero horas" (</w:t>
      </w:r>
      <w:r>
        <w:rPr>
          <w:i/>
          <w:color w:val="000000"/>
          <w:sz w:val="24"/>
          <w:szCs w:val="24"/>
        </w:rPr>
        <w:t xml:space="preserve">Zero Hour </w:t>
      </w:r>
      <w:proofErr w:type="spellStart"/>
      <w:r>
        <w:rPr>
          <w:i/>
          <w:color w:val="000000"/>
          <w:sz w:val="24"/>
          <w:szCs w:val="24"/>
        </w:rPr>
        <w:t>Contract</w:t>
      </w:r>
      <w:proofErr w:type="spellEnd"/>
      <w:r>
        <w:rPr>
          <w:color w:val="000000"/>
          <w:sz w:val="24"/>
          <w:szCs w:val="24"/>
        </w:rPr>
        <w:t xml:space="preserve">). Ademais, esses trabalhadores ficam subordinados às demandas das empresas e do mercado, sendo acionados apenas quando solicitados. Outro ponto importante diz respeito aos custos para a realização do serviço, pois além de executar o trabalho, não contam com qualquer tipo de auxílio para exercê-lo. A questão a ser colocada quanto à geração de empregos, refere-se aos tipos de contratos de trabalhos criados após a aprovação da Reforma Trabalhista e às condições em que esses vínculos contratuais se deram e se contribuíram, de fato, para a elevação da renda da classe trabalhadora. 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Duarte e </w:t>
      </w:r>
      <w:proofErr w:type="spellStart"/>
      <w:r>
        <w:rPr>
          <w:color w:val="000000"/>
          <w:sz w:val="24"/>
          <w:szCs w:val="24"/>
        </w:rPr>
        <w:t>Loural</w:t>
      </w:r>
      <w:proofErr w:type="spellEnd"/>
      <w:r>
        <w:rPr>
          <w:color w:val="000000"/>
          <w:sz w:val="24"/>
          <w:szCs w:val="24"/>
        </w:rPr>
        <w:t xml:space="preserve"> (2020) os pontos que mais sofreram alterações pela Reforma foram referentes à relação capital-trabalho, exatamente aqueles que permitem maior flexibilização dos contratos e das remunerações. Podem ser citados os casos do </w:t>
      </w:r>
      <w:r>
        <w:rPr>
          <w:i/>
          <w:color w:val="000000"/>
          <w:sz w:val="24"/>
          <w:szCs w:val="24"/>
        </w:rPr>
        <w:t>teletrabalho</w:t>
      </w:r>
      <w:r w:rsidR="00370564">
        <w:rPr>
          <w:rStyle w:val="Refdenotadefim"/>
          <w:color w:val="000000"/>
          <w:sz w:val="24"/>
          <w:szCs w:val="24"/>
        </w:rPr>
        <w:endnoteReference w:id="6"/>
      </w:r>
      <w:r>
        <w:rPr>
          <w:color w:val="000000"/>
          <w:sz w:val="24"/>
          <w:szCs w:val="24"/>
        </w:rPr>
        <w:t xml:space="preserve">, o </w:t>
      </w:r>
      <w:r>
        <w:rPr>
          <w:i/>
          <w:color w:val="000000"/>
          <w:sz w:val="24"/>
          <w:szCs w:val="24"/>
        </w:rPr>
        <w:t>trabalho autônomo</w:t>
      </w:r>
      <w:r>
        <w:rPr>
          <w:color w:val="000000"/>
          <w:sz w:val="24"/>
          <w:szCs w:val="24"/>
        </w:rPr>
        <w:t xml:space="preserve">, o </w:t>
      </w:r>
      <w:r>
        <w:rPr>
          <w:i/>
          <w:color w:val="000000"/>
          <w:sz w:val="24"/>
          <w:szCs w:val="24"/>
        </w:rPr>
        <w:t>trabalho intermitente</w:t>
      </w:r>
      <w:r w:rsidR="00370564">
        <w:rPr>
          <w:rStyle w:val="Refdenotadefim"/>
          <w:color w:val="000000"/>
          <w:sz w:val="24"/>
          <w:szCs w:val="24"/>
        </w:rPr>
        <w:endnoteReference w:id="7"/>
      </w:r>
      <w:r>
        <w:rPr>
          <w:color w:val="000000"/>
          <w:sz w:val="24"/>
          <w:szCs w:val="24"/>
        </w:rPr>
        <w:t xml:space="preserve">, o </w:t>
      </w:r>
      <w:r>
        <w:rPr>
          <w:i/>
          <w:color w:val="000000"/>
          <w:sz w:val="24"/>
          <w:szCs w:val="24"/>
        </w:rPr>
        <w:t xml:space="preserve">contrato de trabalho em tempo parcial, </w:t>
      </w:r>
      <w:r>
        <w:rPr>
          <w:color w:val="000000"/>
          <w:sz w:val="24"/>
          <w:szCs w:val="24"/>
        </w:rPr>
        <w:t xml:space="preserve">a </w:t>
      </w:r>
      <w:r>
        <w:rPr>
          <w:i/>
          <w:color w:val="000000"/>
          <w:sz w:val="24"/>
          <w:szCs w:val="24"/>
        </w:rPr>
        <w:t>jornada de trabalho de 12 horas por 36 horas</w:t>
      </w:r>
      <w:r>
        <w:rPr>
          <w:color w:val="000000"/>
          <w:sz w:val="24"/>
          <w:szCs w:val="24"/>
        </w:rPr>
        <w:t xml:space="preserve">, dentre </w:t>
      </w:r>
      <w:r>
        <w:rPr>
          <w:color w:val="000000"/>
          <w:sz w:val="24"/>
          <w:szCs w:val="24"/>
        </w:rPr>
        <w:lastRenderedPageBreak/>
        <w:t>outros que representam uma maior precarização das relações laborais e perda de segurança e proteção social.</w:t>
      </w:r>
    </w:p>
    <w:p w:rsidR="00F603BA" w:rsidRDefault="0047595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 a criação do trabalho intermitente, autônomo e parcial se enfraquece a proteção social da classe trabalhadora, colocando-a em um cenário de incertas, inseguranças e instabilidades, uma vez que se reduz direitos trabalhistas básicos, como: remuneração base mensal, estabilidade no emprego, acesso ao FGTS e seguro-desemprego e atividade laboral contínua com remuneração assegurada. O que se observa é a substituição de direitos por uma narrativa neoliberal de “modernização” e “flexibilização” que se revelam em retrocessos sociais identificados em contratos frágeis, precários e instáveis de trabalho. </w:t>
      </w:r>
    </w:p>
    <w:p w:rsidR="00F603BA" w:rsidRDefault="0047595B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Após a aprovação da Reforma Trabalhista em 2017 e as suas dramáticas consequências para o acesso aos direitos e à proteção social, o Brasil adentra no período da gestão presidencial de Jair Messias Bolsonaro (2019-2022) que aprova a Reforma da Previdência em 2019 e, logo em seguida, no ano de 2020, se depara com a emergência da crise sanitária decorrente da pandemia da covid-19. </w:t>
      </w:r>
    </w:p>
    <w:p w:rsidR="00F603BA" w:rsidRDefault="0047595B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 Brasil, a luta pela previdência social é histórica. Desde a aprovação da Lei Eloy Chaves em 1923 (Decreto nº 4.682), avanços e retrocessos perpassam a seguridade contributiva no contexto de lutas de classes. A Constituição Federal de 1988 estabeleceu o sistema de seguridade social que compreende direitos no âmbito da saúde (universal), da assistência (a quem dela necessitar) e da previdência (mediante contribuição). No que concerne à proteção social da classe trabalhadora, especialmente no que tange ao envelhecimento saudável e ao devido reconhecimento pelo trabalho desempenhado ao longo da vida, a Reforma da Previdência de 2019 trouxe mudanças significativas. Ao considerar a realidade do mercado de trabalho brasileiro, marcado por elevados índices de informalidade, desemprego, baixos salários e desigualdades de gênero, raça e território, torna-se difícil, para uma grande parcela da população, o acesso à previdência e seus seguros.</w:t>
      </w:r>
    </w:p>
    <w:p w:rsidR="00F603BA" w:rsidRDefault="0047595B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Durante o governo Bolsonaro, tanto o Brasil quanto o mundo foram impactados pela pandemia provocada pela Covid-19. Os dados do IBGE (2025) revelam que o </w:t>
      </w:r>
      <w:r>
        <w:rPr>
          <w:color w:val="000000"/>
          <w:sz w:val="24"/>
          <w:szCs w:val="24"/>
        </w:rPr>
        <w:lastRenderedPageBreak/>
        <w:t xml:space="preserve">país enfrentou o aumento do desemprego para 14,2% no quarto trimestre de 2020, com 5,3% de desalentados no mesmo ano e uma taxa de informalidade de 40,7% em 2021. Em 2020, observa-se a queda percentual do PIB de -3,3%, o que comprometeu a economia, os empregos e aprofundou as desigualdades sociais, refletidas no Índice de Gini do rendimento domiciliar per capita, que atingiu 0,524 em 2021 e 0,518 em 2022 (IBGE, 2025). Esse cenário fez com que as políticas sociais, no âmbito da assistência e saúde, atuassem com maior intensidade. </w:t>
      </w:r>
    </w:p>
    <w:p w:rsidR="00F603BA" w:rsidRDefault="0047595B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primeira medida foi o auxílio emergencial de R$600 (Medida Provisória n. 1.039, de 2021)</w:t>
      </w:r>
      <w:r w:rsidR="00500B0A">
        <w:rPr>
          <w:rStyle w:val="Refdenotadefim"/>
          <w:color w:val="000000"/>
          <w:sz w:val="24"/>
          <w:szCs w:val="24"/>
        </w:rPr>
        <w:endnoteReference w:id="8"/>
      </w:r>
      <w:r>
        <w:rPr>
          <w:color w:val="000000"/>
          <w:sz w:val="24"/>
          <w:szCs w:val="24"/>
        </w:rPr>
        <w:t>, que teve resistência por parte do presidente Jair Bolsonaro que “propôs que o auxílio fosse pago aos mais carentes ao longo de três meses e com um valor de R$ 200”</w:t>
      </w:r>
      <w:r w:rsidR="00500B0A">
        <w:rPr>
          <w:rStyle w:val="Refdenotadefim"/>
          <w:color w:val="000000"/>
          <w:sz w:val="24"/>
          <w:szCs w:val="24"/>
        </w:rPr>
        <w:endnoteReference w:id="9"/>
      </w:r>
      <w:r>
        <w:rPr>
          <w:color w:val="000000"/>
          <w:sz w:val="24"/>
          <w:szCs w:val="24"/>
        </w:rPr>
        <w:t xml:space="preserve">. </w:t>
      </w:r>
    </w:p>
    <w:p w:rsidR="00F603BA" w:rsidRDefault="0047595B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Arias e Pinto (2023) discorrem que no cenário pandêmico, milhões de postos de trabalho deixaram de existir ao mesmo tempo em que os trabalhos informais, terceirizados e </w:t>
      </w:r>
      <w:proofErr w:type="spellStart"/>
      <w:r>
        <w:rPr>
          <w:color w:val="000000"/>
          <w:sz w:val="24"/>
          <w:szCs w:val="24"/>
        </w:rPr>
        <w:t>pejotizados</w:t>
      </w:r>
      <w:proofErr w:type="spellEnd"/>
      <w:r w:rsidR="00500B0A">
        <w:rPr>
          <w:rStyle w:val="Refdenotadefim"/>
          <w:color w:val="000000"/>
          <w:sz w:val="24"/>
          <w:szCs w:val="24"/>
        </w:rPr>
        <w:endnoteReference w:id="10"/>
      </w:r>
      <w:r>
        <w:rPr>
          <w:color w:val="000000"/>
          <w:sz w:val="24"/>
          <w:szCs w:val="24"/>
        </w:rPr>
        <w:t xml:space="preserve"> representaram a única alternativa de renda para grande parcela da força de trabalho. O iFood e a Uber são exemplos emblemáticos do trabalho autônomo que ganhou visibilidade </w:t>
      </w:r>
      <w:r>
        <w:rPr>
          <w:color w:val="000000"/>
          <w:sz w:val="24"/>
          <w:szCs w:val="24"/>
          <w:highlight w:val="white"/>
        </w:rPr>
        <w:t>na pandemia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  <w:highlight w:val="white"/>
        </w:rPr>
        <w:t xml:space="preserve">Nesse período, </w:t>
      </w:r>
      <w:proofErr w:type="spellStart"/>
      <w:r>
        <w:rPr>
          <w:color w:val="000000"/>
          <w:sz w:val="24"/>
          <w:szCs w:val="24"/>
          <w:highlight w:val="white"/>
        </w:rPr>
        <w:t>Grohmann</w:t>
      </w:r>
      <w:proofErr w:type="spellEnd"/>
      <w:r>
        <w:rPr>
          <w:color w:val="000000"/>
          <w:sz w:val="24"/>
          <w:szCs w:val="24"/>
          <w:highlight w:val="white"/>
        </w:rPr>
        <w:t xml:space="preserve"> e Salvagni (2023) argumentam que muitos trabalhadores encontraram nas plataformas digitais de trabalho uma oportunidade de sobrevivência em meio a um cenário de desemprego e incertezas. De acordo com os dados da PNAD Contínua do IBGE, </w:t>
      </w:r>
      <w:r>
        <w:rPr>
          <w:color w:val="000000"/>
          <w:sz w:val="24"/>
          <w:szCs w:val="24"/>
        </w:rPr>
        <w:t>a classe trabalhadora brasileira ocupada em plataformas digitais de trabalho somava, em 2022, em torno de 1,5 milhões de pessoas, o equivalente a 1,7% da população ocupada no setor privado.</w:t>
      </w:r>
      <w:r>
        <w:rPr>
          <w:color w:val="000000"/>
          <w:sz w:val="24"/>
          <w:szCs w:val="24"/>
          <w:highlight w:val="white"/>
        </w:rPr>
        <w:t xml:space="preserve"> Essa realidade revela como o mercado de trabalho brasileiro se reconfigurou durante e após a crise, criando empregos, mas impondo modalidades de trabalho flexíveis, informais e desprovidas de seguridade social.</w:t>
      </w:r>
    </w:p>
    <w:p w:rsidR="00F603BA" w:rsidRDefault="0047595B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 as eleições presidenciais de 2022 e a vitória do Partido dos Trabalhadores, mais uma vez sob a liderança de Luiz Inácio Lula da Silva (2023-2026), novas propostas</w:t>
      </w:r>
      <w:r w:rsidR="00500B0A">
        <w:rPr>
          <w:rStyle w:val="Refdenotadefim"/>
          <w:color w:val="000000"/>
          <w:sz w:val="24"/>
          <w:szCs w:val="24"/>
        </w:rPr>
        <w:endnoteReference w:id="11"/>
      </w:r>
      <w:r>
        <w:rPr>
          <w:color w:val="000000"/>
          <w:sz w:val="24"/>
          <w:szCs w:val="24"/>
        </w:rPr>
        <w:t xml:space="preserve"> são apresentadas pelo governo com o objetivo de reorganizar o país, especialmente no que se refere às esferas social e econômica. A taxa de </w:t>
      </w:r>
      <w:r>
        <w:rPr>
          <w:color w:val="000000"/>
          <w:sz w:val="24"/>
          <w:szCs w:val="24"/>
        </w:rPr>
        <w:lastRenderedPageBreak/>
        <w:t xml:space="preserve">desocupação era de 11,1% no quarto trimestre de 2021, recuando para 7,9% no mesmo período de 2022 e atingindo 7,4% no quarto trimestre de 2023 (IBGE, 2025). A taxa de informalidade também apresentou quedas, pois em 2021 os trabalhadores informais representavam 40,7% da força de trabalho no quarto trimestre e esse percentual recuou para 39,1% no mesmo trimestre de 2023 (IBGE, 2025). A informalidade no Brasil se manifesta nos trabalhadores submetidos a contratos temporários (os chamados “bicos”), instáveis, sem carteira de trabalho assinada, trabalhando dentro e fora da cadeia produtiva das empresas (Antunes, 2018). A informalidade também incide na saúde física e mental da classe trabalhadora, pois quando adoecem ou sofrem acidentes de trabalho, não contam com o amparo do Estado para o afastamento de suas atividades laborais, tampouco são remunerados durante o período de recuperação. </w:t>
      </w:r>
    </w:p>
    <w:p w:rsidR="00F603BA" w:rsidRDefault="00F603BA">
      <w:pPr>
        <w:spacing w:line="360" w:lineRule="auto"/>
        <w:jc w:val="both"/>
        <w:rPr>
          <w:color w:val="000000"/>
          <w:sz w:val="24"/>
          <w:szCs w:val="24"/>
        </w:rPr>
      </w:pPr>
    </w:p>
    <w:p w:rsidR="00F603BA" w:rsidRDefault="0047595B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>
        <w:rPr>
          <w:b/>
          <w:color w:val="000000"/>
          <w:sz w:val="24"/>
          <w:szCs w:val="24"/>
        </w:rPr>
        <w:t xml:space="preserve">CONCLUSÃO </w:t>
      </w:r>
    </w:p>
    <w:p w:rsidR="00F603BA" w:rsidRDefault="00F603BA">
      <w:pPr>
        <w:spacing w:line="360" w:lineRule="auto"/>
        <w:ind w:left="720"/>
        <w:jc w:val="both"/>
        <w:rPr>
          <w:color w:val="000000"/>
          <w:sz w:val="24"/>
          <w:szCs w:val="24"/>
        </w:rPr>
      </w:pPr>
    </w:p>
    <w:p w:rsidR="00200AA4" w:rsidRDefault="0047595B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Brasil, a adoção das políticas neoliberais desde os anos 1990 trouxe desdobramentos e transformações para o mercado de trabalho e para o conjunto da vida social. Desse período em diante, a classe trabalhadora vem sofrendo perdas significativas no campo dos direitos e da proteção social. Os dados apresentados </w:t>
      </w:r>
      <w:r>
        <w:rPr>
          <w:sz w:val="24"/>
          <w:szCs w:val="24"/>
        </w:rPr>
        <w:t>neste</w:t>
      </w:r>
      <w:r>
        <w:rPr>
          <w:color w:val="000000"/>
          <w:sz w:val="24"/>
          <w:szCs w:val="24"/>
        </w:rPr>
        <w:t xml:space="preserve"> texto demonstram que, nos últimos anos, ocorreram mudanças significativas no mercado de trabalho brasileiro. Tais transformações, no entanto, não foram capazes de reverter o quadro histórico de desigualdades sociais. </w:t>
      </w:r>
    </w:p>
    <w:p w:rsidR="00F603BA" w:rsidRDefault="0047595B" w:rsidP="00200AA4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incorporação das tecnologias informacionais e comunicacionais, impulsionadas pela indústria 4.0, plataformização, big data e a internet das coisas está redesenhando o mundo do trabalho e impondo desafios para as organizações coletivas da classe trabalhadora. As reformas neoliberais de caráter regressivo de direitos, como é o caso da trabalhista e a previdenciária, contribuíram para o aprofundamento da precarização do trabalho, a dilapidação da proteção social e a persistência das desigualdades. </w:t>
      </w:r>
    </w:p>
    <w:p w:rsidR="00F603BA" w:rsidRDefault="0047595B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REFERÊNCIAS</w:t>
      </w:r>
    </w:p>
    <w:p w:rsidR="00F603BA" w:rsidRDefault="0047595B">
      <w:pPr>
        <w:spacing w:before="24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ANTUNES, Ricardo. </w:t>
      </w:r>
      <w:r>
        <w:rPr>
          <w:b/>
          <w:color w:val="000000"/>
          <w:sz w:val="24"/>
          <w:szCs w:val="24"/>
        </w:rPr>
        <w:t xml:space="preserve">O privilégio da servidão: </w:t>
      </w:r>
      <w:r>
        <w:rPr>
          <w:color w:val="000000"/>
          <w:sz w:val="24"/>
          <w:szCs w:val="24"/>
        </w:rPr>
        <w:t>o novo proletariado de serviços na era digital. 1. ed. - São Paulo: Boitempo, 2018.</w:t>
      </w:r>
    </w:p>
    <w:p w:rsidR="00F603BA" w:rsidRDefault="0047595B">
      <w:pPr>
        <w:spacing w:before="24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ANTUNES. R. Trabalho e desvalor no capitalismo de plataforma: três teses sobre a nova era da </w:t>
      </w:r>
      <w:proofErr w:type="spellStart"/>
      <w:r>
        <w:rPr>
          <w:color w:val="000000"/>
          <w:sz w:val="24"/>
          <w:szCs w:val="24"/>
        </w:rPr>
        <w:t>desantropomorfização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i/>
          <w:color w:val="000000"/>
          <w:sz w:val="24"/>
          <w:szCs w:val="24"/>
        </w:rPr>
        <w:t>In:</w:t>
      </w:r>
      <w:r>
        <w:rPr>
          <w:color w:val="000000"/>
          <w:sz w:val="24"/>
          <w:szCs w:val="24"/>
        </w:rPr>
        <w:t xml:space="preserve"> ANTUNES, R. </w:t>
      </w:r>
      <w:r>
        <w:rPr>
          <w:b/>
          <w:color w:val="000000"/>
          <w:sz w:val="24"/>
          <w:szCs w:val="24"/>
        </w:rPr>
        <w:t xml:space="preserve">Iceberg à deriva: </w:t>
      </w:r>
      <w:r>
        <w:rPr>
          <w:color w:val="000000"/>
          <w:sz w:val="24"/>
          <w:szCs w:val="24"/>
        </w:rPr>
        <w:t>o trabalho nas plataformas digitais. São Paulo: Boitempo, 2023. p. 13-39.</w:t>
      </w:r>
    </w:p>
    <w:p w:rsidR="00F603BA" w:rsidRDefault="0047595B">
      <w:pPr>
        <w:spacing w:before="24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ARIAS, A.; PINTO, G. A. A Indústria 4.0: a agenda industrial alemã pós-crise de 2008. </w:t>
      </w:r>
      <w:r>
        <w:rPr>
          <w:i/>
          <w:color w:val="000000"/>
          <w:sz w:val="24"/>
          <w:szCs w:val="24"/>
        </w:rPr>
        <w:t>In:</w:t>
      </w:r>
      <w:r>
        <w:rPr>
          <w:color w:val="000000"/>
          <w:sz w:val="24"/>
          <w:szCs w:val="24"/>
        </w:rPr>
        <w:t xml:space="preserve"> ANTUNES, Ricardo (Org.). </w:t>
      </w:r>
      <w:r>
        <w:rPr>
          <w:b/>
          <w:color w:val="000000"/>
          <w:sz w:val="24"/>
          <w:szCs w:val="24"/>
        </w:rPr>
        <w:t>Icebergs à deriva:</w:t>
      </w:r>
      <w:r>
        <w:rPr>
          <w:i/>
          <w:color w:val="000000"/>
          <w:sz w:val="24"/>
          <w:szCs w:val="24"/>
        </w:rPr>
        <w:t xml:space="preserve"> o trabalho nas plataformas digitais.</w:t>
      </w:r>
      <w:r>
        <w:rPr>
          <w:color w:val="000000"/>
          <w:sz w:val="24"/>
          <w:szCs w:val="24"/>
        </w:rPr>
        <w:t xml:space="preserve"> São Paulo: Boitempo, 2023. </w:t>
      </w:r>
    </w:p>
    <w:p w:rsidR="00F603BA" w:rsidRDefault="0047595B">
      <w:pPr>
        <w:spacing w:before="24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BIAVASCHI, M. B.; TEIXEIRA, M. O. A terceirização e seu dinâmico processo de regulamentação no Brasil: Limites e Possibilidades. </w:t>
      </w:r>
      <w:r>
        <w:rPr>
          <w:b/>
          <w:color w:val="000000"/>
          <w:sz w:val="24"/>
          <w:szCs w:val="24"/>
        </w:rPr>
        <w:t>Revista da ABET</w:t>
      </w:r>
      <w:r>
        <w:rPr>
          <w:color w:val="000000"/>
          <w:sz w:val="24"/>
          <w:szCs w:val="24"/>
        </w:rPr>
        <w:t>, Paraíba, v. 14, n. 1, p. 37-61, 2015.</w:t>
      </w:r>
    </w:p>
    <w:p w:rsidR="00F603BA" w:rsidRDefault="0047595B">
      <w:pPr>
        <w:spacing w:before="24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COLOMBI, A. P. F.; KREIN, J. D. O avanço da flexibilidade laboral nos governos do PT num contexto de inclusão pelo trabalho e pelo consumo. </w:t>
      </w:r>
      <w:r>
        <w:rPr>
          <w:i/>
          <w:color w:val="000000"/>
          <w:sz w:val="24"/>
          <w:szCs w:val="24"/>
        </w:rPr>
        <w:t>In:</w:t>
      </w:r>
      <w:r>
        <w:rPr>
          <w:color w:val="000000"/>
          <w:sz w:val="24"/>
          <w:szCs w:val="24"/>
        </w:rPr>
        <w:t xml:space="preserve"> LEONE, E. T.; PRONI, M. W. </w:t>
      </w:r>
      <w:r>
        <w:rPr>
          <w:b/>
          <w:color w:val="000000"/>
          <w:sz w:val="24"/>
          <w:szCs w:val="24"/>
        </w:rPr>
        <w:t xml:space="preserve">Facetas do Trabalho no Brasil Contemporâneo. </w:t>
      </w:r>
      <w:r>
        <w:rPr>
          <w:color w:val="000000"/>
          <w:sz w:val="24"/>
          <w:szCs w:val="24"/>
        </w:rPr>
        <w:t>Curitiba: CRV/Unicamp. IE. 2021. p. 135-151.</w:t>
      </w:r>
    </w:p>
    <w:p w:rsidR="00F603BA" w:rsidRDefault="0047595B">
      <w:pPr>
        <w:spacing w:before="24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DEPARTAMENTO INTERSINDICAL DE ESTATÍSTICA E ESTUDOS SOCIOECONOMICOS – DIEESE. Renda média do contrato intermitente é inferior ao salário mínimo. </w:t>
      </w:r>
      <w:r>
        <w:rPr>
          <w:b/>
          <w:color w:val="000000"/>
          <w:sz w:val="24"/>
          <w:szCs w:val="24"/>
        </w:rPr>
        <w:t>Boletim Emprego em Pauta.</w:t>
      </w:r>
      <w:r>
        <w:rPr>
          <w:color w:val="000000"/>
          <w:sz w:val="24"/>
          <w:szCs w:val="24"/>
        </w:rPr>
        <w:t xml:space="preserve"> São Paulo, n. 28, 2024. Disponível em: </w:t>
      </w:r>
      <w:hyperlink r:id="rId8">
        <w:r>
          <w:rPr>
            <w:color w:val="000000"/>
            <w:sz w:val="24"/>
            <w:szCs w:val="24"/>
            <w:u w:val="single"/>
          </w:rPr>
          <w:t>https://www.dieese.org.br/boletimempregoempauta/2024/boletimEmpregoPauta28.html</w:t>
        </w:r>
      </w:hyperlink>
      <w:r>
        <w:rPr>
          <w:color w:val="000000"/>
          <w:sz w:val="24"/>
          <w:szCs w:val="24"/>
        </w:rPr>
        <w:t>. Acesso em: 23 de maio de 2025.</w:t>
      </w:r>
    </w:p>
    <w:p w:rsidR="00F603BA" w:rsidRDefault="0047595B">
      <w:pPr>
        <w:spacing w:before="24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DUARTE, P. H. E.; LOURAL, M. S. A reforma trabalhista no Brasil: Uma proposta metodológica de acompanhamento do mercado de trabalho formal. </w:t>
      </w:r>
      <w:r>
        <w:rPr>
          <w:b/>
          <w:color w:val="000000"/>
          <w:sz w:val="24"/>
          <w:szCs w:val="24"/>
        </w:rPr>
        <w:t>Revista da ABET,</w:t>
      </w:r>
      <w:r>
        <w:rPr>
          <w:color w:val="000000"/>
          <w:sz w:val="24"/>
          <w:szCs w:val="24"/>
        </w:rPr>
        <w:t xml:space="preserve"> Paraíba, v. 19, n. 1, p. 243-260, 2020.</w:t>
      </w:r>
    </w:p>
    <w:p w:rsidR="00F603BA" w:rsidRDefault="0047595B">
      <w:pPr>
        <w:spacing w:before="24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DUARTE, P. H. E.; OLIVEIRA, A. S.; LOURAL, M. S. Flexibilização e precarização: Uma análise da terceirização e do trabalho intermitente em 2018 e 2019. </w:t>
      </w:r>
      <w:r>
        <w:rPr>
          <w:b/>
          <w:color w:val="000000"/>
          <w:sz w:val="24"/>
          <w:szCs w:val="24"/>
        </w:rPr>
        <w:t>Revista da ABET,</w:t>
      </w:r>
      <w:r>
        <w:rPr>
          <w:color w:val="000000"/>
          <w:sz w:val="24"/>
          <w:szCs w:val="24"/>
        </w:rPr>
        <w:t xml:space="preserve"> Paraíba, v. 22, n. 2, p. 1-17, 2023.</w:t>
      </w:r>
    </w:p>
    <w:p w:rsidR="00F603BA" w:rsidRDefault="0047595B">
      <w:pPr>
        <w:spacing w:before="24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GROHMANN, R.; SALVAGNI, J. </w:t>
      </w:r>
      <w:r>
        <w:rPr>
          <w:b/>
          <w:color w:val="000000"/>
          <w:sz w:val="24"/>
          <w:szCs w:val="24"/>
        </w:rPr>
        <w:t>Trabalho por plataformas digitais:</w:t>
      </w:r>
      <w:r>
        <w:rPr>
          <w:color w:val="000000"/>
          <w:sz w:val="24"/>
          <w:szCs w:val="24"/>
        </w:rPr>
        <w:t xml:space="preserve"> do aprofundamento da precarização à busca por alternativas democráticas. São Paulo: Edições Sesc SP, 2023.</w:t>
      </w:r>
    </w:p>
    <w:p w:rsidR="00F603BA" w:rsidRDefault="0047595B">
      <w:pPr>
        <w:spacing w:before="24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INSTITUTO BRASILEIRO DE GEOGRAFIA E ESTATÍSTICA. IBGE. </w:t>
      </w:r>
      <w:r>
        <w:rPr>
          <w:b/>
          <w:color w:val="000000"/>
          <w:sz w:val="24"/>
          <w:szCs w:val="24"/>
        </w:rPr>
        <w:t xml:space="preserve">Pesquisa Nacional por amostra de Domicílios Contínua. </w:t>
      </w:r>
      <w:r>
        <w:rPr>
          <w:color w:val="000000"/>
          <w:sz w:val="24"/>
          <w:szCs w:val="24"/>
        </w:rPr>
        <w:t xml:space="preserve">Brasília: IBGE, 2025. Disponível em: </w:t>
      </w:r>
      <w:hyperlink r:id="rId9">
        <w:r>
          <w:rPr>
            <w:color w:val="000000"/>
            <w:sz w:val="24"/>
            <w:szCs w:val="24"/>
            <w:u w:val="single"/>
          </w:rPr>
          <w:t>https://sidra.ibge.gov.br/pesquisa/pnadct/tabelas</w:t>
        </w:r>
      </w:hyperlink>
      <w:r>
        <w:rPr>
          <w:color w:val="000000"/>
          <w:sz w:val="24"/>
          <w:szCs w:val="24"/>
        </w:rPr>
        <w:t>. Acesso em: 23 de maio de 2025.</w:t>
      </w:r>
    </w:p>
    <w:p w:rsidR="00F603BA" w:rsidRDefault="0047595B">
      <w:pPr>
        <w:spacing w:before="24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OLIVEIRA, R. V. D. A reforma trabalhista no Brasil em perspectiva histórica. </w:t>
      </w:r>
      <w:r>
        <w:rPr>
          <w:i/>
          <w:color w:val="000000"/>
          <w:sz w:val="24"/>
          <w:szCs w:val="24"/>
        </w:rPr>
        <w:t>In:</w:t>
      </w:r>
      <w:r>
        <w:rPr>
          <w:color w:val="000000"/>
          <w:sz w:val="24"/>
          <w:szCs w:val="24"/>
        </w:rPr>
        <w:t xml:space="preserve"> Inez Stampa </w:t>
      </w:r>
      <w:r>
        <w:rPr>
          <w:i/>
          <w:color w:val="000000"/>
          <w:sz w:val="24"/>
          <w:szCs w:val="24"/>
        </w:rPr>
        <w:t>et al</w:t>
      </w:r>
      <w:r>
        <w:rPr>
          <w:color w:val="000000"/>
          <w:sz w:val="24"/>
          <w:szCs w:val="24"/>
        </w:rPr>
        <w:t xml:space="preserve">. </w:t>
      </w:r>
      <w:r>
        <w:rPr>
          <w:b/>
          <w:color w:val="000000"/>
          <w:sz w:val="24"/>
          <w:szCs w:val="24"/>
        </w:rPr>
        <w:t>Trabalho, regressão de direitos e Serviço Social.</w:t>
      </w:r>
      <w:r>
        <w:rPr>
          <w:color w:val="000000"/>
          <w:sz w:val="24"/>
          <w:szCs w:val="24"/>
        </w:rPr>
        <w:t xml:space="preserve"> Rio de Janeiro: Mórula, 2020. p. 43-70.</w:t>
      </w:r>
    </w:p>
    <w:p w:rsidR="00F603BA" w:rsidRDefault="0047595B" w:rsidP="00370564">
      <w:pPr>
        <w:spacing w:before="24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PRONI, M. W; GOMES, D. C. Problemas crônicos do mercado de trabalho no Brasil: diferenças regionais, 2014-2019. </w:t>
      </w:r>
      <w:r>
        <w:rPr>
          <w:i/>
          <w:color w:val="000000"/>
          <w:sz w:val="24"/>
          <w:szCs w:val="24"/>
        </w:rPr>
        <w:t>In:</w:t>
      </w:r>
      <w:r>
        <w:rPr>
          <w:color w:val="000000"/>
          <w:sz w:val="24"/>
          <w:szCs w:val="24"/>
        </w:rPr>
        <w:t xml:space="preserve"> LEONE, E. T.; PRONI, M. W. </w:t>
      </w:r>
      <w:r>
        <w:rPr>
          <w:b/>
          <w:color w:val="000000"/>
          <w:sz w:val="24"/>
          <w:szCs w:val="24"/>
        </w:rPr>
        <w:t>Facetas do Trabalho no Brasil Contemporâneo.</w:t>
      </w:r>
      <w:r>
        <w:rPr>
          <w:color w:val="000000"/>
          <w:sz w:val="24"/>
          <w:szCs w:val="24"/>
        </w:rPr>
        <w:t xml:space="preserve"> Curitiba: CRV/Unicamp. IE. 2021. p. 21-34.</w:t>
      </w:r>
    </w:p>
    <w:p w:rsidR="00370564" w:rsidRDefault="00370564" w:rsidP="00370564">
      <w:pPr>
        <w:spacing w:before="240" w:line="240" w:lineRule="auto"/>
        <w:jc w:val="both"/>
        <w:rPr>
          <w:color w:val="000000"/>
          <w:sz w:val="24"/>
          <w:szCs w:val="24"/>
        </w:rPr>
      </w:pPr>
    </w:p>
    <w:p w:rsidR="00370564" w:rsidRPr="00370564" w:rsidRDefault="00370564" w:rsidP="00370564">
      <w:pPr>
        <w:spacing w:after="200"/>
        <w:jc w:val="both"/>
        <w:rPr>
          <w:b/>
          <w:color w:val="000000"/>
          <w:sz w:val="24"/>
          <w:szCs w:val="24"/>
        </w:rPr>
      </w:pPr>
      <w:r w:rsidRPr="00370564">
        <w:rPr>
          <w:b/>
          <w:color w:val="000000"/>
          <w:sz w:val="24"/>
          <w:szCs w:val="24"/>
        </w:rPr>
        <w:t>Notas</w:t>
      </w:r>
    </w:p>
    <w:sectPr w:rsidR="00370564" w:rsidRPr="00370564">
      <w:headerReference w:type="default" r:id="rId10"/>
      <w:endnotePr>
        <w:numFmt w:val="decimal"/>
      </w:endnotePr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05BAA" w:rsidRDefault="00505BAA">
      <w:pPr>
        <w:spacing w:line="240" w:lineRule="auto"/>
      </w:pPr>
      <w:r>
        <w:separator/>
      </w:r>
    </w:p>
  </w:endnote>
  <w:endnote w:type="continuationSeparator" w:id="0">
    <w:p w:rsidR="00505BAA" w:rsidRDefault="00505BAA">
      <w:pPr>
        <w:spacing w:line="240" w:lineRule="auto"/>
      </w:pPr>
      <w:r>
        <w:continuationSeparator/>
      </w:r>
    </w:p>
  </w:endnote>
  <w:endnote w:id="1">
    <w:p w:rsidR="004C5E22" w:rsidRDefault="004C5E22" w:rsidP="00500B0A">
      <w:pPr>
        <w:pStyle w:val="Textodenotadefim"/>
        <w:jc w:val="both"/>
        <w:rPr>
          <w:color w:val="000000"/>
        </w:rPr>
      </w:pPr>
      <w:r>
        <w:rPr>
          <w:rStyle w:val="Refdenotadefim"/>
        </w:rPr>
        <w:endnoteRef/>
      </w:r>
      <w:r>
        <w:t xml:space="preserve"> </w:t>
      </w:r>
      <w:r>
        <w:rPr>
          <w:color w:val="000000"/>
        </w:rPr>
        <w:t>Pesquisa financiada pela Fundação de Apoio à Pesquisa do Distrito Federal (FAP-DF).</w:t>
      </w:r>
    </w:p>
    <w:p w:rsidR="004C5E22" w:rsidRDefault="004C5E22" w:rsidP="00500B0A">
      <w:pPr>
        <w:pStyle w:val="Textodenotadefim"/>
        <w:jc w:val="both"/>
      </w:pPr>
    </w:p>
  </w:endnote>
  <w:endnote w:id="2">
    <w:p w:rsidR="004C5E22" w:rsidRDefault="004C5E22" w:rsidP="00500B0A">
      <w:pPr>
        <w:pStyle w:val="Textodenotadefim"/>
        <w:jc w:val="both"/>
        <w:rPr>
          <w:color w:val="000000"/>
        </w:rPr>
      </w:pPr>
      <w:r>
        <w:rPr>
          <w:rStyle w:val="Refdenotadefim"/>
        </w:rPr>
        <w:endnoteRef/>
      </w:r>
      <w:r>
        <w:t xml:space="preserve"> </w:t>
      </w:r>
      <w:r>
        <w:rPr>
          <w:color w:val="000000"/>
        </w:rPr>
        <w:t>Gradua</w:t>
      </w:r>
      <w:r>
        <w:t>do</w:t>
      </w:r>
      <w:r>
        <w:rPr>
          <w:color w:val="000000"/>
        </w:rPr>
        <w:t xml:space="preserve"> em </w:t>
      </w:r>
      <w:r>
        <w:t>Gestão Pública</w:t>
      </w:r>
      <w:r>
        <w:rPr>
          <w:color w:val="000000"/>
        </w:rPr>
        <w:t xml:space="preserve"> pelo Instituto Federal de Brasí</w:t>
      </w:r>
      <w:r>
        <w:t xml:space="preserve">lia (IFB) </w:t>
      </w:r>
      <w:r>
        <w:rPr>
          <w:color w:val="000000"/>
        </w:rPr>
        <w:t xml:space="preserve">e Mestrando em Política Social pela Universidade de Brasília (UnB). Integrante do Grupo de Estudos e Pesquisas sobre Trabalho, Sociabilidade e Serviço Social (TRASSO). E-mail: </w:t>
      </w:r>
      <w:r w:rsidR="00500B0A" w:rsidRPr="00500B0A">
        <w:rPr>
          <w:color w:val="000000"/>
        </w:rPr>
        <w:t>mateussantos.tgp@gmail.com</w:t>
      </w:r>
    </w:p>
    <w:p w:rsidR="00500B0A" w:rsidRDefault="00500B0A" w:rsidP="00500B0A">
      <w:pPr>
        <w:pStyle w:val="Textodenotadefim"/>
        <w:jc w:val="both"/>
      </w:pPr>
    </w:p>
  </w:endnote>
  <w:endnote w:id="3">
    <w:p w:rsidR="004C5E22" w:rsidRDefault="004C5E22" w:rsidP="00500B0A">
      <w:pPr>
        <w:pStyle w:val="Textodenotadefim"/>
        <w:jc w:val="both"/>
      </w:pPr>
      <w:r>
        <w:rPr>
          <w:rStyle w:val="Refdenotadefim"/>
        </w:rPr>
        <w:endnoteRef/>
      </w:r>
      <w:r>
        <w:t xml:space="preserve"> </w:t>
      </w:r>
      <w:r>
        <w:rPr>
          <w:color w:val="000000"/>
        </w:rPr>
        <w:t xml:space="preserve">Docente do Departamento de Serviço Social e do Programa de Pós-Graduação em Política Social da Universidade de Brasília (UnB). Coordena o Grupo de Estudos e Pesquisas sobre Trabalho, Sociabilidade e Serviço Social (TRASSO). Bolsista de Produtividade em Pesquisa do CNPq. E-mail: </w:t>
      </w:r>
      <w:hyperlink r:id="rId1" w:history="1">
        <w:r w:rsidR="00500B0A" w:rsidRPr="00FE0A74">
          <w:rPr>
            <w:rStyle w:val="Hyperlink"/>
            <w:position w:val="0"/>
          </w:rPr>
          <w:t>rghiraldelli@unb.br</w:t>
        </w:r>
      </w:hyperlink>
    </w:p>
    <w:p w:rsidR="00500B0A" w:rsidRDefault="00500B0A" w:rsidP="00500B0A">
      <w:pPr>
        <w:pStyle w:val="Textodenotadefim"/>
        <w:jc w:val="both"/>
      </w:pPr>
    </w:p>
  </w:endnote>
  <w:endnote w:id="4">
    <w:p w:rsidR="00500B0A" w:rsidRDefault="00500B0A" w:rsidP="00500B0A">
      <w:pPr>
        <w:pStyle w:val="Textodenotadefim"/>
        <w:jc w:val="both"/>
        <w:rPr>
          <w:color w:val="000000"/>
        </w:rPr>
      </w:pPr>
      <w:r>
        <w:rPr>
          <w:rStyle w:val="Refdenotadefim"/>
        </w:rPr>
        <w:endnoteRef/>
      </w:r>
      <w:r>
        <w:t xml:space="preserve"> </w:t>
      </w:r>
      <w:r>
        <w:rPr>
          <w:color w:val="000000"/>
        </w:rPr>
        <w:t xml:space="preserve">AGÊNCIA BRASIL. Junho de 2013: entenda o cenário de insatisfação que levou a protestos. Daniel Mello. 2023. Disponível em: </w:t>
      </w:r>
      <w:hyperlink r:id="rId2">
        <w:r>
          <w:rPr>
            <w:color w:val="0563C1"/>
            <w:u w:val="single"/>
          </w:rPr>
          <w:t>https://agenciabrasil.ebc.com.br/geral/noticia/2023-06/junho-de-2013-entenda-o-cenario-de-insatisfacao-que-levou-a-protestos</w:t>
        </w:r>
      </w:hyperlink>
      <w:r>
        <w:rPr>
          <w:color w:val="000000"/>
        </w:rPr>
        <w:t xml:space="preserve"> Acesso em: 19 de abril de 2025.</w:t>
      </w:r>
    </w:p>
    <w:p w:rsidR="00500B0A" w:rsidRDefault="00500B0A" w:rsidP="00500B0A">
      <w:pPr>
        <w:pStyle w:val="Textodenotadefim"/>
        <w:jc w:val="both"/>
      </w:pPr>
    </w:p>
  </w:endnote>
  <w:endnote w:id="5">
    <w:p w:rsidR="00500B0A" w:rsidRDefault="00500B0A" w:rsidP="00500B0A">
      <w:pPr>
        <w:pStyle w:val="Textodenotadefim"/>
        <w:jc w:val="both"/>
        <w:rPr>
          <w:color w:val="000000"/>
        </w:rPr>
      </w:pPr>
      <w:r>
        <w:rPr>
          <w:rStyle w:val="Refdenotadefim"/>
        </w:rPr>
        <w:endnoteRef/>
      </w:r>
      <w:r>
        <w:t xml:space="preserve"> </w:t>
      </w:r>
      <w:r>
        <w:rPr>
          <w:color w:val="000000"/>
        </w:rPr>
        <w:t xml:space="preserve">EMENDA CONSTITUCIONAL Nº 95, DE 15 DE DEZEMBRO DE 2016. Disponível em: </w:t>
      </w:r>
      <w:hyperlink r:id="rId3">
        <w:r>
          <w:rPr>
            <w:color w:val="0563C1"/>
            <w:u w:val="single"/>
          </w:rPr>
          <w:t>https://www.planalto.gov.br/ccivil_03/constituicao/emendas/emc/emc95.htm</w:t>
        </w:r>
      </w:hyperlink>
      <w:r>
        <w:rPr>
          <w:color w:val="000000"/>
        </w:rPr>
        <w:t xml:space="preserve"> Acesso em: 05 de maio de 2025.</w:t>
      </w:r>
    </w:p>
    <w:p w:rsidR="00500B0A" w:rsidRDefault="00500B0A" w:rsidP="00500B0A">
      <w:pPr>
        <w:pStyle w:val="Textodenotadefim"/>
        <w:jc w:val="both"/>
      </w:pPr>
    </w:p>
  </w:endnote>
  <w:endnote w:id="6">
    <w:p w:rsidR="00370564" w:rsidRDefault="00370564" w:rsidP="00370564">
      <w:pPr>
        <w:pStyle w:val="Textodenotadefim"/>
        <w:jc w:val="both"/>
        <w:rPr>
          <w:color w:val="000000"/>
        </w:rPr>
      </w:pPr>
      <w:r>
        <w:rPr>
          <w:rStyle w:val="Refdenotadefim"/>
        </w:rPr>
        <w:endnoteRef/>
      </w:r>
      <w:r>
        <w:t xml:space="preserve"> </w:t>
      </w:r>
      <w:r>
        <w:rPr>
          <w:color w:val="000000"/>
        </w:rPr>
        <w:t>O teletrabalho é compreendido como a prestação de serviços preponderantemente fora das dependências do empregador, com a utilização de tecnologias de informação e de comunicação que, por sua natureza, não se constituam como trabalho externo (BRASIL, 2017).</w:t>
      </w:r>
    </w:p>
    <w:p w:rsidR="00370564" w:rsidRDefault="00370564">
      <w:pPr>
        <w:pStyle w:val="Textodenotadefim"/>
      </w:pPr>
    </w:p>
  </w:endnote>
  <w:endnote w:id="7">
    <w:p w:rsidR="00370564" w:rsidRDefault="00370564" w:rsidP="00370564">
      <w:pPr>
        <w:pStyle w:val="Textodenotadefim"/>
        <w:jc w:val="both"/>
        <w:rPr>
          <w:color w:val="000000"/>
        </w:rPr>
      </w:pPr>
      <w:r>
        <w:rPr>
          <w:rStyle w:val="Refdenotadefim"/>
        </w:rPr>
        <w:endnoteRef/>
      </w:r>
      <w:r>
        <w:t xml:space="preserve"> </w:t>
      </w:r>
      <w:r>
        <w:rPr>
          <w:color w:val="000000"/>
        </w:rPr>
        <w:t>Considera-se como intermitente o contrato de trabalho no qual a prestação de serviços, com subordinação, não é contínua, ocorrendo com alternância de períodos de prestação de serviços e de inatividade, determinados em horas, dias ou meses, independentemente do tipo de atividade do empregado e do empregador, exceto para os aeronautas, regidos por legislação própria (BRASIL, 2017).</w:t>
      </w:r>
    </w:p>
    <w:p w:rsidR="00370564" w:rsidRDefault="00370564">
      <w:pPr>
        <w:pStyle w:val="Textodenotadefim"/>
      </w:pPr>
    </w:p>
  </w:endnote>
  <w:endnote w:id="8">
    <w:p w:rsidR="00500B0A" w:rsidRDefault="00500B0A" w:rsidP="00500B0A">
      <w:pPr>
        <w:pStyle w:val="Textodenotadefim"/>
        <w:jc w:val="both"/>
      </w:pPr>
      <w:r>
        <w:rPr>
          <w:rStyle w:val="Refdenotadefim"/>
        </w:rPr>
        <w:endnoteRef/>
      </w:r>
      <w:r>
        <w:t xml:space="preserve"> </w:t>
      </w:r>
      <w:r>
        <w:rPr>
          <w:color w:val="000000"/>
        </w:rPr>
        <w:t xml:space="preserve">Art. 1º Dê-se ao art.1° da Medida Provisória n. 1.039, de 2021. </w:t>
      </w:r>
      <w:r>
        <w:t xml:space="preserve">Disponível em: </w:t>
      </w:r>
      <w:hyperlink r:id="rId4" w:anchor=":~:text=Fica%20institu%C3%ADdo%20o%20Aux%C3%ADlio%20Emergencial,cumpra%20os%20requisitos%20previstos%20nesta">
        <w:r>
          <w:rPr>
            <w:color w:val="0563C1"/>
            <w:u w:val="single"/>
          </w:rPr>
          <w:t>https://legis.senado.leg.br/sdleg-getter/documento?dm=8943479&amp;ts=1645204764387&amp;disposition=inline#:~:text=Fica%20institu%C3%ADdo%20o%20Aux%C3%ADlio%20Emergencial,cumpra%20os%20requisitos%20previstos%20nesta</w:t>
        </w:r>
      </w:hyperlink>
      <w:r>
        <w:rPr>
          <w:color w:val="000000"/>
        </w:rPr>
        <w:t xml:space="preserve"> Aces</w:t>
      </w:r>
      <w:r>
        <w:t>so em: 03 de maio de 2025.</w:t>
      </w:r>
    </w:p>
    <w:p w:rsidR="00500B0A" w:rsidRDefault="00500B0A" w:rsidP="00500B0A">
      <w:pPr>
        <w:pStyle w:val="Textodenotadefim"/>
        <w:jc w:val="both"/>
      </w:pPr>
    </w:p>
  </w:endnote>
  <w:endnote w:id="9">
    <w:p w:rsidR="00500B0A" w:rsidRDefault="00500B0A" w:rsidP="00500B0A">
      <w:pPr>
        <w:pStyle w:val="Textodenotadefim"/>
        <w:jc w:val="both"/>
        <w:rPr>
          <w:color w:val="000000"/>
        </w:rPr>
      </w:pPr>
      <w:r>
        <w:rPr>
          <w:rStyle w:val="Refdenotadefim"/>
        </w:rPr>
        <w:endnoteRef/>
      </w:r>
      <w:r>
        <w:t xml:space="preserve"> O GLOBO. Ao contrário do que disse Bolsonaro no JN, esquerda propôs Auxílio Brasil de R$ 600 permanente, mas governo votou contra. 2022. Disponível em: </w:t>
      </w:r>
      <w:hyperlink r:id="rId5">
        <w:r>
          <w:rPr>
            <w:color w:val="0563C1"/>
            <w:u w:val="single"/>
          </w:rPr>
          <w:t>https://oglobo.globo.com/politica/eleicoes-2022/noticia/2022/08/esquerda-propos-auxilio-brasil-de-r-600-permanente-mas-governo-orientou-base-a-votar-contra-no-congresso.ghtml</w:t>
        </w:r>
      </w:hyperlink>
      <w:r>
        <w:rPr>
          <w:color w:val="000000"/>
        </w:rPr>
        <w:t xml:space="preserve"> Acesso em: 03 de maio de 2025.</w:t>
      </w:r>
    </w:p>
    <w:p w:rsidR="00500B0A" w:rsidRDefault="00500B0A" w:rsidP="00500B0A">
      <w:pPr>
        <w:pStyle w:val="Textodenotadefim"/>
        <w:jc w:val="both"/>
      </w:pPr>
    </w:p>
  </w:endnote>
  <w:endnote w:id="10">
    <w:p w:rsidR="00500B0A" w:rsidRDefault="00500B0A" w:rsidP="00500B0A">
      <w:pPr>
        <w:pStyle w:val="Textodenotadefim"/>
        <w:jc w:val="both"/>
      </w:pPr>
      <w:r>
        <w:rPr>
          <w:rStyle w:val="Refdenotadefim"/>
        </w:rPr>
        <w:endnoteRef/>
      </w:r>
      <w:r>
        <w:t xml:space="preserve"> Ferreira e Santos (2021) afirmam que a pejotização se refere “ao ato de transformar artificialmente um empregado pessoa física em jurídica, isto é, em PJ, ocorrendo uma mudança no cadastro desse trabalhador, que antes prestava o serviço utilizando seu CPF e agora firma um contrato com o empregador utilizando seu cadastro de pessoa jurídica (CNPJ).</w:t>
      </w:r>
    </w:p>
    <w:p w:rsidR="00500B0A" w:rsidRDefault="00500B0A" w:rsidP="00500B0A">
      <w:pPr>
        <w:pStyle w:val="Textodenotadefim"/>
        <w:jc w:val="both"/>
      </w:pPr>
    </w:p>
  </w:endnote>
  <w:endnote w:id="11">
    <w:p w:rsidR="00500B0A" w:rsidRDefault="00500B0A" w:rsidP="00500B0A">
      <w:pPr>
        <w:pStyle w:val="Textodenotadefim"/>
        <w:jc w:val="both"/>
      </w:pPr>
      <w:r>
        <w:rPr>
          <w:rStyle w:val="Refdenotadefim"/>
        </w:rPr>
        <w:endnoteRef/>
      </w:r>
      <w:r>
        <w:t xml:space="preserve"> CNN BRASIL. A 3 dias da eleição, Lula lança carta com propostas. </w:t>
      </w:r>
      <w:r>
        <w:rPr>
          <w:color w:val="000000"/>
        </w:rPr>
        <w:t xml:space="preserve">O documento, intitulado “Carta para o Brasil do amanhã”, é uma versão da Carta ao Povo Brasileiro, lançada em 2002 quando o petista disputava a eleição que levaria ao seu primeiro mandato à frente do Executivo federal. 2022. Disponível em: </w:t>
      </w:r>
      <w:hyperlink r:id="rId6">
        <w:r>
          <w:rPr>
            <w:color w:val="0563C1"/>
            <w:u w:val="single"/>
          </w:rPr>
          <w:t>https://www.cnnbrasil.com.br/politica/a-3-dias-da-eleicao-lula-lanca-carta-com-propostas/</w:t>
        </w:r>
      </w:hyperlink>
      <w:r>
        <w:rPr>
          <w:color w:val="000000"/>
        </w:rPr>
        <w:t xml:space="preserve"> Acesso em: 25 de Abril de 2025.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05BAA" w:rsidRDefault="00505BAA">
      <w:pPr>
        <w:spacing w:line="240" w:lineRule="auto"/>
      </w:pPr>
      <w:r>
        <w:separator/>
      </w:r>
    </w:p>
  </w:footnote>
  <w:footnote w:type="continuationSeparator" w:id="0">
    <w:p w:rsidR="00505BAA" w:rsidRDefault="00505B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603BA" w:rsidRDefault="0047595B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3BA"/>
    <w:rsid w:val="00200AA4"/>
    <w:rsid w:val="00370564"/>
    <w:rsid w:val="0047595B"/>
    <w:rsid w:val="004C5E22"/>
    <w:rsid w:val="00500B0A"/>
    <w:rsid w:val="00505BAA"/>
    <w:rsid w:val="00B86FF0"/>
    <w:rsid w:val="00F6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C17FE"/>
  <w15:docId w15:val="{00471D71-58FA-4F19-B354-7B49CC99E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uppressAutoHyphens/>
      <w:spacing w:before="400" w:after="120"/>
      <w:ind w:leftChars="-1" w:left="-1" w:hangingChars="1" w:hanging="1"/>
      <w:textDirection w:val="btLr"/>
      <w:textAlignment w:val="top"/>
      <w:outlineLvl w:val="0"/>
    </w:pPr>
    <w:rPr>
      <w:position w:val="-1"/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uppressAutoHyphens/>
      <w:spacing w:before="360" w:after="120"/>
      <w:ind w:leftChars="-1" w:left="-1" w:hangingChars="1" w:hanging="1"/>
      <w:textDirection w:val="btLr"/>
      <w:textAlignment w:val="top"/>
      <w:outlineLvl w:val="1"/>
    </w:pPr>
    <w:rPr>
      <w:position w:val="-1"/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uppressAutoHyphens/>
      <w:spacing w:before="320" w:after="80"/>
      <w:ind w:leftChars="-1" w:left="-1" w:hangingChars="1" w:hanging="1"/>
      <w:textDirection w:val="btLr"/>
      <w:textAlignment w:val="top"/>
      <w:outlineLvl w:val="2"/>
    </w:pPr>
    <w:rPr>
      <w:color w:val="434343"/>
      <w:position w:val="-1"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uppressAutoHyphens/>
      <w:spacing w:before="280" w:after="80"/>
      <w:ind w:leftChars="-1" w:left="-1" w:hangingChars="1" w:hanging="1"/>
      <w:textDirection w:val="btLr"/>
      <w:textAlignment w:val="top"/>
      <w:outlineLvl w:val="3"/>
    </w:pPr>
    <w:rPr>
      <w:color w:val="666666"/>
      <w:position w:val="-1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uppressAutoHyphens/>
      <w:spacing w:before="240" w:after="80"/>
      <w:ind w:leftChars="-1" w:left="-1" w:hangingChars="1" w:hanging="1"/>
      <w:textDirection w:val="btLr"/>
      <w:textAlignment w:val="top"/>
      <w:outlineLvl w:val="4"/>
    </w:pPr>
    <w:rPr>
      <w:color w:val="666666"/>
      <w:position w:val="-1"/>
    </w:rPr>
  </w:style>
  <w:style w:type="paragraph" w:styleId="Ttulo6">
    <w:name w:val="heading 6"/>
    <w:basedOn w:val="Normal"/>
    <w:next w:val="Normal"/>
    <w:qFormat/>
    <w:pPr>
      <w:keepNext/>
      <w:keepLines/>
      <w:suppressAutoHyphens/>
      <w:spacing w:before="240" w:after="80"/>
      <w:ind w:leftChars="-1" w:left="-1" w:hangingChars="1" w:hanging="1"/>
      <w:textDirection w:val="btLr"/>
      <w:textAlignment w:val="top"/>
      <w:outlineLvl w:val="5"/>
    </w:pPr>
    <w:rPr>
      <w:i/>
      <w:color w:val="666666"/>
      <w:position w:val="-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52"/>
      <w:szCs w:val="52"/>
    </w:rPr>
  </w:style>
  <w:style w:type="table" w:customStyle="1" w:styleId="TableNormal0">
    <w:name w:val="Table Normal"/>
    <w:next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9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Calibri"/>
      <w:position w:val="-1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notaderodap">
    <w:name w:val="footnote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0"/>
      <w:szCs w:val="20"/>
    </w:rPr>
  </w:style>
  <w:style w:type="character" w:customStyle="1" w:styleId="TextodenotaderodapChar">
    <w:name w:val="Texto de nota de rodapé Char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C5E22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C5E22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4C5E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eese.org.br/boletimempregoempauta/2024/boletimEmpregoPauta28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dra.ibge.gov.br/pesquisa/pnadct/tabelas" TargetMode="Externa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planalto.gov.br/ccivil_03/constituicao/emendas/emc/emc95.htm" TargetMode="External"/><Relationship Id="rId2" Type="http://schemas.openxmlformats.org/officeDocument/2006/relationships/hyperlink" Target="https://agenciabrasil.ebc.com.br/geral/noticia/2023-06/junho-de-2013-entenda-o-cenario-de-insatisfacao-que-levou-a-protestos" TargetMode="External"/><Relationship Id="rId1" Type="http://schemas.openxmlformats.org/officeDocument/2006/relationships/hyperlink" Target="mailto:rghiraldelli@unb.br" TargetMode="External"/><Relationship Id="rId6" Type="http://schemas.openxmlformats.org/officeDocument/2006/relationships/hyperlink" Target="https://www.cnnbrasil.com.br/politica/a-3-dias-da-eleicao-lula-lanca-carta-com-propostas/" TargetMode="External"/><Relationship Id="rId5" Type="http://schemas.openxmlformats.org/officeDocument/2006/relationships/hyperlink" Target="https://oglobo.globo.com/politica/eleicoes-2022/noticia/2022/08/esquerda-propos-auxilio-brasil-de-r-600-permanente-mas-governo-orientou-base-a-votar-contra-no-congresso.ghtml" TargetMode="External"/><Relationship Id="rId4" Type="http://schemas.openxmlformats.org/officeDocument/2006/relationships/hyperlink" Target="https://legis.senado.leg.br/sdleg-getter/documento?dm=8943479&amp;ts=1645204764387&amp;disposition=inlin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mNMrxk0bNZ824SSVsMrk48QEug==">CgMxLjA4AHIhMW9VbkloSUlCOGpranJFdjFPOUpHaXJtdWhuTjFEVW90</go:docsCustomData>
</go:gDocsCustomXmlDataStorage>
</file>

<file path=customXml/itemProps1.xml><?xml version="1.0" encoding="utf-8"?>
<ds:datastoreItem xmlns:ds="http://schemas.openxmlformats.org/officeDocument/2006/customXml" ds:itemID="{7DD3D243-0E65-4771-A3E7-95D89A828F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3319</Words>
  <Characters>18721</Characters>
  <Application>Microsoft Office Word</Application>
  <DocSecurity>0</DocSecurity>
  <Lines>322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Reginaldo Ghiraldelli</cp:lastModifiedBy>
  <cp:revision>2</cp:revision>
  <dcterms:created xsi:type="dcterms:W3CDTF">2025-06-30T14:08:00Z</dcterms:created>
  <dcterms:modified xsi:type="dcterms:W3CDTF">2025-06-30T14:08:00Z</dcterms:modified>
</cp:coreProperties>
</file>