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543E" w14:textId="3A3B48D0" w:rsidR="00B22213" w:rsidRPr="00B22213" w:rsidRDefault="00B22213" w:rsidP="00B22213">
      <w:pPr>
        <w:jc w:val="center"/>
        <w:rPr>
          <w:b/>
          <w:bCs/>
          <w:sz w:val="24"/>
          <w:szCs w:val="24"/>
        </w:rPr>
      </w:pPr>
      <w:r w:rsidRPr="00B22213">
        <w:rPr>
          <w:b/>
          <w:bCs/>
          <w:sz w:val="24"/>
          <w:szCs w:val="24"/>
        </w:rPr>
        <w:t>FUNDO PÚBLICO SOB AUSTERIDADE: O Novo Arcabouço Fiscal e o Desfinanciamento das Políticas Sociais no governo Lula III</w:t>
      </w:r>
    </w:p>
    <w:p w14:paraId="1D502DC0" w14:textId="34BFDE11" w:rsidR="00B22213" w:rsidRDefault="00B22213" w:rsidP="00B22213">
      <w:pPr>
        <w:jc w:val="right"/>
      </w:pPr>
      <w:r>
        <w:t>Evilasio da Silva Salvador</w:t>
      </w:r>
      <w:r w:rsidR="0094678F">
        <w:rPr>
          <w:rStyle w:val="Refdenotaderodap"/>
        </w:rPr>
        <w:footnoteReference w:id="1"/>
      </w:r>
    </w:p>
    <w:p w14:paraId="70E8500B" w14:textId="0ABEBDF1" w:rsidR="0094678F" w:rsidRDefault="0094678F" w:rsidP="00B22213">
      <w:pPr>
        <w:jc w:val="right"/>
      </w:pPr>
      <w:r>
        <w:t>Jeane Andréia Ferraz Silva</w:t>
      </w:r>
      <w:r>
        <w:rPr>
          <w:rStyle w:val="Refdenotaderodap"/>
        </w:rPr>
        <w:footnoteReference w:id="2"/>
      </w:r>
    </w:p>
    <w:p w14:paraId="507BE395" w14:textId="6EFA32F9" w:rsidR="0094678F" w:rsidRDefault="0094678F" w:rsidP="00B22213">
      <w:pPr>
        <w:jc w:val="right"/>
      </w:pPr>
      <w:r>
        <w:t>Jefferson Willian Pereira</w:t>
      </w:r>
      <w:r w:rsidR="00740742">
        <w:rPr>
          <w:rStyle w:val="Refdenotaderodap"/>
        </w:rPr>
        <w:footnoteReference w:id="3"/>
      </w:r>
    </w:p>
    <w:p w14:paraId="6BBAF2A2" w14:textId="6E4FC00C" w:rsidR="0094678F" w:rsidRPr="00B22213" w:rsidRDefault="0094678F" w:rsidP="00B22213">
      <w:pPr>
        <w:jc w:val="right"/>
      </w:pPr>
      <w:r>
        <w:t>Osmar Gomes Alencar Junior</w:t>
      </w:r>
      <w:r w:rsidR="00740742">
        <w:rPr>
          <w:rStyle w:val="Refdenotaderodap"/>
        </w:rPr>
        <w:footnoteReference w:id="4"/>
      </w:r>
    </w:p>
    <w:p w14:paraId="6D8A3BBA" w14:textId="77777777" w:rsidR="00B22213" w:rsidRPr="007A6B58" w:rsidRDefault="00B22213" w:rsidP="00B22213"/>
    <w:p w14:paraId="1123F742" w14:textId="77777777" w:rsidR="009C57B0" w:rsidRPr="00D90ED9" w:rsidRDefault="009C57B0" w:rsidP="009C57B0">
      <w:pPr>
        <w:shd w:val="clear" w:color="auto" w:fill="FFFFFF"/>
        <w:spacing w:line="240" w:lineRule="auto"/>
        <w:jc w:val="right"/>
        <w:rPr>
          <w:rFonts w:eastAsia="Times New Roman"/>
          <w:sz w:val="24"/>
          <w:szCs w:val="24"/>
          <w:highlight w:val="white"/>
        </w:rPr>
      </w:pPr>
    </w:p>
    <w:p w14:paraId="062C8497" w14:textId="27550F83" w:rsidR="009C57B0" w:rsidRDefault="009C57B0" w:rsidP="009C57B0">
      <w:pPr>
        <w:jc w:val="both"/>
        <w:rPr>
          <w:rFonts w:eastAsia="Times New Roman"/>
          <w:sz w:val="20"/>
          <w:szCs w:val="20"/>
        </w:rPr>
      </w:pPr>
      <w:r w:rsidRPr="00D90ED9">
        <w:rPr>
          <w:rFonts w:eastAsia="Times New Roman"/>
          <w:b/>
          <w:bCs/>
          <w:sz w:val="20"/>
          <w:szCs w:val="20"/>
          <w:highlight w:val="white"/>
        </w:rPr>
        <w:t>Resumo da mesa temática</w:t>
      </w:r>
      <w:r w:rsidRPr="00D90ED9">
        <w:rPr>
          <w:rFonts w:eastAsia="Times New Roman"/>
          <w:sz w:val="20"/>
          <w:szCs w:val="20"/>
          <w:highlight w:val="white"/>
        </w:rPr>
        <w:t>:</w:t>
      </w:r>
      <w:r>
        <w:rPr>
          <w:rFonts w:eastAsia="Times New Roman"/>
          <w:sz w:val="20"/>
          <w:szCs w:val="20"/>
        </w:rPr>
        <w:t xml:space="preserve"> </w:t>
      </w:r>
      <w:r w:rsidRPr="009C57B0">
        <w:rPr>
          <w:rFonts w:eastAsia="Times New Roman"/>
          <w:sz w:val="20"/>
          <w:szCs w:val="20"/>
        </w:rPr>
        <w:t>O orçamento público é a face mais visível do fundo público e reflete uma peça política que expressa as disputas pelo financiamento do Estado. Ele estabelece as quotas de sacrifício da sociedade e orienta o uso dos recursos, sendo, portanto, instrumento central de controle social e disputa de classe (Oliveira, 2009; Salvador, 2010). Os gastos estatais e suas fontes de financiamento são decisões políticas que expressam a hegemonia vigente e as correlações de forças entre as classes sociais.</w:t>
      </w:r>
      <w:r>
        <w:rPr>
          <w:rFonts w:eastAsia="Times New Roman"/>
          <w:sz w:val="20"/>
          <w:szCs w:val="20"/>
        </w:rPr>
        <w:t xml:space="preserve"> </w:t>
      </w:r>
      <w:r w:rsidRPr="009C57B0">
        <w:rPr>
          <w:rFonts w:eastAsia="Times New Roman"/>
          <w:sz w:val="20"/>
          <w:szCs w:val="20"/>
        </w:rPr>
        <w:t>Para Mattei (2023), a austeridade não se restringe à política fiscal, mas articula-se com as dimensões monetária e industrial. A austeridade fiscal se materializa por meio de tributos regressivos e cortes nos gastos sociais, especialmente nas áreas de saúde e educação, consideradas improdutivas pela racionalidade neoliberal.</w:t>
      </w:r>
      <w:r>
        <w:rPr>
          <w:rFonts w:eastAsia="Times New Roman"/>
          <w:sz w:val="20"/>
          <w:szCs w:val="20"/>
        </w:rPr>
        <w:t xml:space="preserve"> </w:t>
      </w:r>
      <w:r w:rsidRPr="009C57B0">
        <w:rPr>
          <w:rFonts w:eastAsia="Times New Roman"/>
          <w:sz w:val="20"/>
          <w:szCs w:val="20"/>
        </w:rPr>
        <w:t>O atual contexto histórico é marcado por uma crise estrutural do capitalismo, em que se intensifica a tendência de queda da taxa de lucro, com efeitos mais agudos nos países centrais. A resposta do capital a essa crise se expressa em guerras por territórios e recursos estratégicos, aumento da superexploração do trabalho (nos moldes propostos por Marini, 2000), crescimento do exército industrial de reserva e na aceleração da rotação do capital, promovida pelo Estado. Este, por meio do fundo público, cumpre papel fundamental na sustentação da acumulação capitalista.</w:t>
      </w:r>
      <w:r w:rsidR="002348D6">
        <w:rPr>
          <w:rFonts w:eastAsia="Times New Roman"/>
          <w:sz w:val="20"/>
          <w:szCs w:val="20"/>
        </w:rPr>
        <w:t xml:space="preserve"> </w:t>
      </w:r>
      <w:r w:rsidRPr="009C57B0">
        <w:rPr>
          <w:rFonts w:eastAsia="Times New Roman"/>
          <w:sz w:val="20"/>
          <w:szCs w:val="20"/>
        </w:rPr>
        <w:t>A dívida pública se apresenta como um dos principais mecanismos de captura do fundo público, sendo prioritária frente ao financiamento das políticas sociais. Em 2023, o Novo Arcabouço Fiscal (NAF), instituído pela LCP 200, consolida essa lógica ao limitar o crescimento das despesas primárias abaixo do ritmo das receitas. Ainda que mais flexível que o teto de gastos, o NAF segue os princípios da austeridade ao impor limites permanentes para o financiamento das políticas sociais.</w:t>
      </w:r>
      <w:r w:rsidR="00A958DD">
        <w:rPr>
          <w:rFonts w:eastAsia="Times New Roman"/>
          <w:sz w:val="20"/>
          <w:szCs w:val="20"/>
        </w:rPr>
        <w:t xml:space="preserve"> </w:t>
      </w:r>
      <w:r w:rsidRPr="009C57B0">
        <w:rPr>
          <w:rFonts w:eastAsia="Times New Roman"/>
          <w:sz w:val="20"/>
          <w:szCs w:val="20"/>
        </w:rPr>
        <w:t xml:space="preserve">Essa lógica de ajuste fiscal permanente subordina o fundo público ao pagamento de juros, encargos e amortizações da dívida pública, em detrimento do financiamento adequado das políticas </w:t>
      </w:r>
      <w:r w:rsidRPr="009C57B0">
        <w:rPr>
          <w:rFonts w:eastAsia="Times New Roman"/>
          <w:sz w:val="20"/>
          <w:szCs w:val="20"/>
        </w:rPr>
        <w:lastRenderedPageBreak/>
        <w:t xml:space="preserve">sociais. Como o Estado atua para manter a reprodução do capital e da força de trabalho, a estabilidade macroeconômica buscada por normas como a LRF, a EC 95 e o NAF </w:t>
      </w:r>
      <w:proofErr w:type="gramStart"/>
      <w:r w:rsidRPr="009C57B0">
        <w:rPr>
          <w:rFonts w:eastAsia="Times New Roman"/>
          <w:sz w:val="20"/>
          <w:szCs w:val="20"/>
        </w:rPr>
        <w:t>atende</w:t>
      </w:r>
      <w:proofErr w:type="gramEnd"/>
      <w:r w:rsidRPr="009C57B0">
        <w:rPr>
          <w:rFonts w:eastAsia="Times New Roman"/>
          <w:sz w:val="20"/>
          <w:szCs w:val="20"/>
        </w:rPr>
        <w:t xml:space="preserve"> prioritariamente aos interesses do capital financeiro e das frações dominantes da classe burguesa.</w:t>
      </w:r>
      <w:r w:rsidR="002348D6">
        <w:rPr>
          <w:rFonts w:eastAsia="Times New Roman"/>
          <w:sz w:val="20"/>
          <w:szCs w:val="20"/>
        </w:rPr>
        <w:t xml:space="preserve"> </w:t>
      </w:r>
      <w:r w:rsidRPr="009C57B0">
        <w:rPr>
          <w:rFonts w:eastAsia="Times New Roman"/>
          <w:sz w:val="20"/>
          <w:szCs w:val="20"/>
        </w:rPr>
        <w:t xml:space="preserve">Neste contexto, a pesquisa analisa o financiamento da política de assistência </w:t>
      </w:r>
      <w:proofErr w:type="gramStart"/>
      <w:r w:rsidRPr="009C57B0">
        <w:rPr>
          <w:rFonts w:eastAsia="Times New Roman"/>
          <w:sz w:val="20"/>
          <w:szCs w:val="20"/>
        </w:rPr>
        <w:t>social  e</w:t>
      </w:r>
      <w:proofErr w:type="gramEnd"/>
      <w:r w:rsidRPr="009C57B0">
        <w:rPr>
          <w:rFonts w:eastAsia="Times New Roman"/>
          <w:sz w:val="20"/>
          <w:szCs w:val="20"/>
        </w:rPr>
        <w:t xml:space="preserve"> de outros gastos discricionários sociais no terceiro mandato do governo Lula (2023–junho de 2025), com base em revisão bibliográfica, pesquisa documental e análise de dados do Siop e do Siga Brasil. O estudo evidencia o crescente desfinanciamento das políticas sociais e da assistência social, o que compromete o pacto federativo e acentua a focalização nos programas de transferência condicionada de renda (como o Bolsa Família e o BPC), em detrimento dos serviços de proteção básica e especial. Isso aprofunda uma lógica </w:t>
      </w:r>
      <w:proofErr w:type="spellStart"/>
      <w:r w:rsidRPr="009C57B0">
        <w:rPr>
          <w:rFonts w:eastAsia="Times New Roman"/>
          <w:sz w:val="20"/>
          <w:szCs w:val="20"/>
        </w:rPr>
        <w:t>gerencialista</w:t>
      </w:r>
      <w:proofErr w:type="spellEnd"/>
      <w:r w:rsidRPr="009C57B0">
        <w:rPr>
          <w:rFonts w:eastAsia="Times New Roman"/>
          <w:sz w:val="20"/>
          <w:szCs w:val="20"/>
        </w:rPr>
        <w:t xml:space="preserve"> e contábil na execução da política social, enfraquecendo seus objetivos estruturantes voltados à garantia de direitos e à promoção do bem-estar social.</w:t>
      </w:r>
    </w:p>
    <w:p w14:paraId="2235FC6E" w14:textId="77777777" w:rsidR="00D82889" w:rsidRPr="009C57B0" w:rsidRDefault="00D82889" w:rsidP="009C57B0">
      <w:pPr>
        <w:jc w:val="both"/>
        <w:rPr>
          <w:rFonts w:eastAsia="Times New Roman"/>
          <w:sz w:val="20"/>
          <w:szCs w:val="20"/>
        </w:rPr>
      </w:pPr>
    </w:p>
    <w:p w14:paraId="15836F8F" w14:textId="31EB34CB" w:rsidR="009C57B0" w:rsidRPr="00A958DD" w:rsidRDefault="00D82889" w:rsidP="009C57B0">
      <w:pPr>
        <w:jc w:val="both"/>
        <w:rPr>
          <w:sz w:val="20"/>
          <w:szCs w:val="20"/>
        </w:rPr>
      </w:pPr>
      <w:r w:rsidRPr="00A958DD">
        <w:rPr>
          <w:b/>
          <w:bCs/>
          <w:sz w:val="20"/>
          <w:szCs w:val="20"/>
        </w:rPr>
        <w:t>Palavras-chave:</w:t>
      </w:r>
      <w:r w:rsidR="00A958DD" w:rsidRPr="00A958DD">
        <w:rPr>
          <w:sz w:val="20"/>
          <w:szCs w:val="20"/>
        </w:rPr>
        <w:t xml:space="preserve"> </w:t>
      </w:r>
      <w:r w:rsidR="00A958DD">
        <w:rPr>
          <w:sz w:val="20"/>
          <w:szCs w:val="20"/>
        </w:rPr>
        <w:t>F</w:t>
      </w:r>
      <w:r w:rsidR="00A958DD" w:rsidRPr="00A958DD">
        <w:rPr>
          <w:sz w:val="20"/>
          <w:szCs w:val="20"/>
        </w:rPr>
        <w:t xml:space="preserve">undo público, </w:t>
      </w:r>
      <w:r w:rsidR="00A958DD">
        <w:rPr>
          <w:sz w:val="20"/>
          <w:szCs w:val="20"/>
        </w:rPr>
        <w:t>A</w:t>
      </w:r>
      <w:r w:rsidR="00A958DD" w:rsidRPr="00A958DD">
        <w:rPr>
          <w:sz w:val="20"/>
          <w:szCs w:val="20"/>
        </w:rPr>
        <w:t xml:space="preserve">usteridade, </w:t>
      </w:r>
      <w:r w:rsidR="00A958DD">
        <w:rPr>
          <w:sz w:val="20"/>
          <w:szCs w:val="20"/>
        </w:rPr>
        <w:t>F</w:t>
      </w:r>
      <w:r w:rsidR="00A958DD" w:rsidRPr="00A958DD">
        <w:rPr>
          <w:sz w:val="20"/>
          <w:szCs w:val="20"/>
        </w:rPr>
        <w:t>inanciamento das políticas sociais</w:t>
      </w:r>
    </w:p>
    <w:p w14:paraId="629D6AB1" w14:textId="77777777" w:rsidR="0002619B" w:rsidRDefault="0002619B" w:rsidP="004F776F">
      <w:pPr>
        <w:spacing w:line="360" w:lineRule="auto"/>
        <w:jc w:val="center"/>
        <w:rPr>
          <w:b/>
          <w:sz w:val="24"/>
          <w:szCs w:val="24"/>
        </w:rPr>
      </w:pPr>
    </w:p>
    <w:p w14:paraId="1102F535" w14:textId="77777777" w:rsidR="00B22213" w:rsidRDefault="00B22213" w:rsidP="004F776F">
      <w:pPr>
        <w:spacing w:line="360" w:lineRule="auto"/>
        <w:jc w:val="center"/>
        <w:rPr>
          <w:b/>
          <w:sz w:val="24"/>
          <w:szCs w:val="24"/>
        </w:rPr>
      </w:pPr>
    </w:p>
    <w:p w14:paraId="59FF8867" w14:textId="77777777" w:rsidR="00B22213" w:rsidRDefault="00B22213" w:rsidP="004F776F">
      <w:pPr>
        <w:spacing w:line="360" w:lineRule="auto"/>
        <w:jc w:val="center"/>
        <w:rPr>
          <w:b/>
          <w:sz w:val="24"/>
          <w:szCs w:val="24"/>
        </w:rPr>
      </w:pPr>
    </w:p>
    <w:p w14:paraId="719E92BD" w14:textId="77777777" w:rsidR="00B22213" w:rsidRDefault="00B22213" w:rsidP="004F776F">
      <w:pPr>
        <w:spacing w:line="360" w:lineRule="auto"/>
        <w:jc w:val="center"/>
        <w:rPr>
          <w:b/>
          <w:sz w:val="24"/>
          <w:szCs w:val="24"/>
        </w:rPr>
      </w:pPr>
    </w:p>
    <w:p w14:paraId="0FA1E0E7" w14:textId="503DBAAF" w:rsidR="0002619B" w:rsidRDefault="0002619B">
      <w:pPr>
        <w:spacing w:line="240" w:lineRule="auto"/>
        <w:rPr>
          <w:b/>
          <w:sz w:val="24"/>
          <w:szCs w:val="24"/>
        </w:rPr>
      </w:pPr>
      <w:r>
        <w:rPr>
          <w:b/>
          <w:sz w:val="24"/>
          <w:szCs w:val="24"/>
        </w:rPr>
        <w:br w:type="page"/>
      </w:r>
    </w:p>
    <w:p w14:paraId="6B2FB153" w14:textId="77777777" w:rsidR="0002619B" w:rsidRDefault="0002619B" w:rsidP="004F776F">
      <w:pPr>
        <w:spacing w:line="360" w:lineRule="auto"/>
        <w:jc w:val="center"/>
        <w:rPr>
          <w:b/>
          <w:sz w:val="24"/>
          <w:szCs w:val="24"/>
        </w:rPr>
      </w:pPr>
    </w:p>
    <w:p w14:paraId="04AA424F" w14:textId="4C12FDDD" w:rsidR="004F776F" w:rsidRDefault="006D6C33" w:rsidP="004F776F">
      <w:pPr>
        <w:spacing w:line="360" w:lineRule="auto"/>
        <w:jc w:val="center"/>
        <w:rPr>
          <w:sz w:val="24"/>
          <w:szCs w:val="24"/>
        </w:rPr>
      </w:pPr>
      <w:r>
        <w:rPr>
          <w:b/>
          <w:sz w:val="24"/>
          <w:szCs w:val="24"/>
        </w:rPr>
        <w:t xml:space="preserve">AUSTERIDADE FISCAL E O </w:t>
      </w:r>
      <w:r w:rsidR="007371DB">
        <w:rPr>
          <w:b/>
          <w:sz w:val="24"/>
          <w:szCs w:val="24"/>
        </w:rPr>
        <w:t>SUBFINANCIAMENTO</w:t>
      </w:r>
      <w:r>
        <w:rPr>
          <w:b/>
          <w:sz w:val="24"/>
          <w:szCs w:val="24"/>
        </w:rPr>
        <w:t xml:space="preserve"> DAS POLÍTICAS SOCIAIS NA DISPUTA DO FUNDO PÚBLICO</w:t>
      </w:r>
    </w:p>
    <w:p w14:paraId="12BE76B1" w14:textId="7874E065" w:rsidR="004F776F" w:rsidRPr="00860CAA" w:rsidRDefault="000B27E0" w:rsidP="000B27E0">
      <w:pPr>
        <w:spacing w:line="240" w:lineRule="auto"/>
        <w:ind w:left="2835"/>
        <w:jc w:val="right"/>
        <w:rPr>
          <w:bCs/>
          <w:sz w:val="20"/>
          <w:szCs w:val="20"/>
        </w:rPr>
      </w:pPr>
      <w:r w:rsidRPr="00860CAA">
        <w:rPr>
          <w:bCs/>
          <w:sz w:val="20"/>
          <w:szCs w:val="20"/>
        </w:rPr>
        <w:t>Evilasio Salvador</w:t>
      </w:r>
      <w:r w:rsidR="00860CAA">
        <w:rPr>
          <w:rStyle w:val="Refdenotaderodap"/>
          <w:bCs/>
          <w:sz w:val="20"/>
          <w:szCs w:val="20"/>
        </w:rPr>
        <w:footnoteReference w:id="5"/>
      </w:r>
    </w:p>
    <w:p w14:paraId="2FDC1B4D" w14:textId="77777777" w:rsidR="005C4655" w:rsidRDefault="005C4655" w:rsidP="004F776F">
      <w:pPr>
        <w:spacing w:line="240" w:lineRule="auto"/>
        <w:ind w:left="2835"/>
        <w:jc w:val="both"/>
        <w:rPr>
          <w:b/>
          <w:sz w:val="20"/>
          <w:szCs w:val="20"/>
        </w:rPr>
      </w:pPr>
    </w:p>
    <w:p w14:paraId="2A1018E3" w14:textId="77777777" w:rsidR="004F776F" w:rsidRDefault="004F776F" w:rsidP="004F776F">
      <w:pPr>
        <w:spacing w:line="240" w:lineRule="auto"/>
        <w:ind w:left="2835"/>
        <w:jc w:val="both"/>
        <w:rPr>
          <w:b/>
          <w:sz w:val="20"/>
          <w:szCs w:val="20"/>
        </w:rPr>
      </w:pPr>
      <w:r>
        <w:rPr>
          <w:b/>
          <w:sz w:val="20"/>
          <w:szCs w:val="20"/>
        </w:rPr>
        <w:t>Resumo</w:t>
      </w:r>
    </w:p>
    <w:p w14:paraId="694B3471" w14:textId="44E801E9" w:rsidR="00716B1C" w:rsidRDefault="00DD56BB" w:rsidP="004F776F">
      <w:pPr>
        <w:spacing w:line="240" w:lineRule="auto"/>
        <w:ind w:left="2835"/>
        <w:jc w:val="both"/>
        <w:rPr>
          <w:sz w:val="20"/>
          <w:szCs w:val="20"/>
        </w:rPr>
      </w:pPr>
      <w:r w:rsidRPr="00DD56BB">
        <w:rPr>
          <w:sz w:val="20"/>
          <w:szCs w:val="20"/>
        </w:rPr>
        <w:t xml:space="preserve">O </w:t>
      </w:r>
      <w:r>
        <w:rPr>
          <w:sz w:val="20"/>
          <w:szCs w:val="20"/>
        </w:rPr>
        <w:t>texto</w:t>
      </w:r>
      <w:r w:rsidRPr="00DD56BB">
        <w:rPr>
          <w:sz w:val="20"/>
          <w:szCs w:val="20"/>
        </w:rPr>
        <w:t xml:space="preserve"> analisa criticamente os efeitos das políticas de austeridade fiscal sobre o financiamento das políticas sociais no Brasil, destacando a prevalência da lógica do capital rentista na disputa pelo fundo público. Examina </w:t>
      </w:r>
      <w:r>
        <w:rPr>
          <w:sz w:val="20"/>
          <w:szCs w:val="20"/>
        </w:rPr>
        <w:t>as implicações</w:t>
      </w:r>
      <w:r w:rsidRPr="00DD56BB">
        <w:rPr>
          <w:sz w:val="20"/>
          <w:szCs w:val="20"/>
        </w:rPr>
        <w:t xml:space="preserve"> da Emenda Constitucional nº 95/2016 e da Lei Complementar nº 200/2023 (Novo Arcabouço Fiscal), evidenciando como tais instrumentos limitam </w:t>
      </w:r>
      <w:r>
        <w:rPr>
          <w:sz w:val="20"/>
          <w:szCs w:val="20"/>
        </w:rPr>
        <w:t>os gastos sociais</w:t>
      </w:r>
      <w:r w:rsidRPr="00DD56BB">
        <w:rPr>
          <w:sz w:val="20"/>
          <w:szCs w:val="20"/>
        </w:rPr>
        <w:t xml:space="preserve"> e reforçam a transferência de recursos para o serviço da dívida pública. A partir de dados do SIGA Brasil e de documentos orçamentários oficiais, demonstra-se que </w:t>
      </w:r>
      <w:r w:rsidR="00754F42">
        <w:rPr>
          <w:sz w:val="20"/>
          <w:szCs w:val="20"/>
        </w:rPr>
        <w:t>as despesas</w:t>
      </w:r>
      <w:r w:rsidRPr="00DD56BB">
        <w:rPr>
          <w:sz w:val="20"/>
          <w:szCs w:val="20"/>
        </w:rPr>
        <w:t xml:space="preserve"> com juros e amortizações </w:t>
      </w:r>
      <w:r w:rsidR="00754F42">
        <w:rPr>
          <w:sz w:val="20"/>
          <w:szCs w:val="20"/>
        </w:rPr>
        <w:t>são privilegiad</w:t>
      </w:r>
      <w:r w:rsidR="00716B1C">
        <w:rPr>
          <w:sz w:val="20"/>
          <w:szCs w:val="20"/>
        </w:rPr>
        <w:t>a</w:t>
      </w:r>
      <w:r w:rsidR="00754F42">
        <w:rPr>
          <w:sz w:val="20"/>
          <w:szCs w:val="20"/>
        </w:rPr>
        <w:t>s em detrimento dos</w:t>
      </w:r>
      <w:r w:rsidRPr="00DD56BB">
        <w:rPr>
          <w:sz w:val="20"/>
          <w:szCs w:val="20"/>
        </w:rPr>
        <w:t xml:space="preserve"> </w:t>
      </w:r>
      <w:r w:rsidR="00754F42">
        <w:rPr>
          <w:sz w:val="20"/>
          <w:szCs w:val="20"/>
        </w:rPr>
        <w:t xml:space="preserve">dispêndios </w:t>
      </w:r>
      <w:r w:rsidRPr="00DD56BB">
        <w:rPr>
          <w:sz w:val="20"/>
          <w:szCs w:val="20"/>
        </w:rPr>
        <w:t xml:space="preserve">em saúde, educação e assistência social, ao mesmo tempo em que se mantêm elevados volumes de renúncias tributárias e emendas parlamentares impositivas. Conclui-se que a austeridade fiscal compromete a efetividade dos direitos sociais previstos na Constituição de 1988 e demanda a retomada de um projeto </w:t>
      </w:r>
      <w:r w:rsidR="00716B1C">
        <w:rPr>
          <w:sz w:val="20"/>
          <w:szCs w:val="20"/>
        </w:rPr>
        <w:t xml:space="preserve">de Estado Social. </w:t>
      </w:r>
    </w:p>
    <w:p w14:paraId="4014E404" w14:textId="5CCC2415" w:rsidR="004F776F" w:rsidRPr="008E520E" w:rsidRDefault="004F776F" w:rsidP="004F776F">
      <w:pPr>
        <w:spacing w:line="240" w:lineRule="auto"/>
        <w:ind w:left="2835"/>
        <w:jc w:val="both"/>
        <w:rPr>
          <w:sz w:val="20"/>
          <w:szCs w:val="20"/>
        </w:rPr>
      </w:pPr>
      <w:r>
        <w:rPr>
          <w:b/>
          <w:sz w:val="20"/>
          <w:szCs w:val="20"/>
        </w:rPr>
        <w:t>Palavras-chave</w:t>
      </w:r>
      <w:r>
        <w:rPr>
          <w:sz w:val="20"/>
          <w:szCs w:val="20"/>
        </w:rPr>
        <w:t xml:space="preserve">: </w:t>
      </w:r>
      <w:r w:rsidR="00EB1CD2">
        <w:rPr>
          <w:sz w:val="20"/>
          <w:szCs w:val="20"/>
        </w:rPr>
        <w:t>Austeridade Fiscal</w:t>
      </w:r>
      <w:r>
        <w:rPr>
          <w:sz w:val="20"/>
          <w:szCs w:val="20"/>
        </w:rPr>
        <w:t xml:space="preserve">; </w:t>
      </w:r>
      <w:r w:rsidR="00EB1CD2">
        <w:rPr>
          <w:sz w:val="20"/>
          <w:szCs w:val="20"/>
        </w:rPr>
        <w:t>Fundo Público</w:t>
      </w:r>
      <w:r w:rsidR="008E520E">
        <w:rPr>
          <w:sz w:val="20"/>
          <w:szCs w:val="20"/>
        </w:rPr>
        <w:t>;</w:t>
      </w:r>
      <w:r>
        <w:rPr>
          <w:sz w:val="20"/>
          <w:szCs w:val="20"/>
        </w:rPr>
        <w:t xml:space="preserve"> </w:t>
      </w:r>
      <w:r w:rsidR="00EB1CD2" w:rsidRPr="008E520E">
        <w:rPr>
          <w:sz w:val="20"/>
          <w:szCs w:val="20"/>
        </w:rPr>
        <w:t>Financiamento</w:t>
      </w:r>
      <w:r w:rsidR="008E520E">
        <w:rPr>
          <w:sz w:val="20"/>
          <w:szCs w:val="20"/>
        </w:rPr>
        <w:t>.</w:t>
      </w:r>
    </w:p>
    <w:p w14:paraId="7C7C5381" w14:textId="77777777" w:rsidR="004F776F" w:rsidRPr="008E520E" w:rsidRDefault="004F776F" w:rsidP="004F776F">
      <w:pPr>
        <w:spacing w:line="240" w:lineRule="auto"/>
        <w:ind w:left="2835"/>
        <w:jc w:val="both"/>
        <w:rPr>
          <w:sz w:val="20"/>
          <w:szCs w:val="20"/>
        </w:rPr>
      </w:pPr>
    </w:p>
    <w:p w14:paraId="489C64D6"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06FE2A03" w14:textId="0A7E59CF" w:rsidR="00F53E0C" w:rsidRDefault="00F53E0C" w:rsidP="004F776F">
      <w:pPr>
        <w:spacing w:line="240" w:lineRule="auto"/>
        <w:ind w:left="2835"/>
        <w:jc w:val="both"/>
        <w:rPr>
          <w:sz w:val="20"/>
          <w:szCs w:val="20"/>
          <w:lang w:val="en-US"/>
        </w:rPr>
      </w:pPr>
      <w:r w:rsidRPr="00F53E0C">
        <w:rPr>
          <w:sz w:val="20"/>
          <w:szCs w:val="20"/>
          <w:lang w:val="en-US"/>
        </w:rPr>
        <w:t xml:space="preserve">This article critically analyzes the effects of fiscal austerity policies on the financing of social policies in Brazil, highlighting the prevalence of rentier capital in the dispute over public funds. It examines the implications of Constitutional Amendment No. 95/2016 and Complementary Law No. 200/2023 (New Fiscal Framework), showing how such instruments restrict social spending and reinforce the transfer of resources to public debt servicing. Based on data from SIGA </w:t>
      </w:r>
      <w:proofErr w:type="spellStart"/>
      <w:r w:rsidRPr="00F53E0C">
        <w:rPr>
          <w:sz w:val="20"/>
          <w:szCs w:val="20"/>
          <w:lang w:val="en-US"/>
        </w:rPr>
        <w:t>Brasil</w:t>
      </w:r>
      <w:proofErr w:type="spellEnd"/>
      <w:r w:rsidRPr="00F53E0C">
        <w:rPr>
          <w:sz w:val="20"/>
          <w:szCs w:val="20"/>
          <w:lang w:val="en-US"/>
        </w:rPr>
        <w:t xml:space="preserve"> and official budget documents, the study demonstrates that expenditures on interest and amortization are prioritized to the detriment of investments in health, education, and social assistance, while maintaining high levels of tax exemptions and mandatory parliamentary amendments. It concludes that fiscal austerity compromises the effectiveness of the social rights enshrined in the 1988 Constitution and underscores the need to reestablish a Social State project.</w:t>
      </w:r>
    </w:p>
    <w:p w14:paraId="3CB828FD" w14:textId="1E912454" w:rsidR="004F776F" w:rsidRPr="00012DD4" w:rsidRDefault="004F776F" w:rsidP="004F776F">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766C19" w:rsidRPr="00766C19">
        <w:rPr>
          <w:sz w:val="20"/>
          <w:szCs w:val="20"/>
          <w:lang w:val="en-US"/>
        </w:rPr>
        <w:t>Fiscal Austerity; Public Fund; Social Policy Financing</w:t>
      </w:r>
      <w:r w:rsidR="008E520E">
        <w:rPr>
          <w:sz w:val="20"/>
          <w:szCs w:val="20"/>
          <w:lang w:val="en-US"/>
        </w:rPr>
        <w:t>.</w:t>
      </w:r>
    </w:p>
    <w:p w14:paraId="00093AF8" w14:textId="77777777" w:rsidR="004F776F" w:rsidRPr="00012DD4" w:rsidRDefault="004F776F" w:rsidP="004F776F">
      <w:pPr>
        <w:spacing w:line="360" w:lineRule="auto"/>
        <w:jc w:val="both"/>
        <w:rPr>
          <w:sz w:val="24"/>
          <w:szCs w:val="24"/>
          <w:lang w:val="en-US"/>
        </w:rPr>
      </w:pPr>
    </w:p>
    <w:p w14:paraId="7D27F363" w14:textId="77777777" w:rsidR="004F776F" w:rsidRPr="00012DD4" w:rsidRDefault="004F776F" w:rsidP="004F776F">
      <w:pPr>
        <w:spacing w:line="360" w:lineRule="auto"/>
        <w:jc w:val="both"/>
        <w:rPr>
          <w:sz w:val="24"/>
          <w:szCs w:val="24"/>
          <w:lang w:val="en-US"/>
        </w:rPr>
      </w:pPr>
    </w:p>
    <w:p w14:paraId="00B11F1F" w14:textId="77777777" w:rsidR="004F776F" w:rsidRPr="00012DD4" w:rsidRDefault="004F776F" w:rsidP="004F776F">
      <w:pPr>
        <w:spacing w:line="360" w:lineRule="auto"/>
        <w:jc w:val="both"/>
        <w:rPr>
          <w:sz w:val="24"/>
          <w:szCs w:val="24"/>
          <w:lang w:val="en-US"/>
        </w:rPr>
      </w:pPr>
    </w:p>
    <w:p w14:paraId="260396A5" w14:textId="77777777" w:rsidR="004F776F" w:rsidRDefault="004F776F" w:rsidP="00F2735F">
      <w:pPr>
        <w:spacing w:line="360" w:lineRule="auto"/>
        <w:rPr>
          <w:b/>
          <w:sz w:val="24"/>
          <w:szCs w:val="24"/>
        </w:rPr>
      </w:pPr>
      <w:r w:rsidRPr="0002619B">
        <w:rPr>
          <w:b/>
          <w:sz w:val="24"/>
          <w:szCs w:val="24"/>
        </w:rPr>
        <w:br w:type="page"/>
      </w:r>
      <w:r>
        <w:rPr>
          <w:b/>
          <w:sz w:val="24"/>
          <w:szCs w:val="24"/>
        </w:rPr>
        <w:lastRenderedPageBreak/>
        <w:t>1</w:t>
      </w:r>
      <w:r>
        <w:rPr>
          <w:b/>
          <w:sz w:val="24"/>
          <w:szCs w:val="24"/>
        </w:rPr>
        <w:tab/>
        <w:t>INTRODUÇÃO</w:t>
      </w:r>
    </w:p>
    <w:p w14:paraId="72B6FC20" w14:textId="77777777" w:rsidR="000C6A6A" w:rsidRPr="000C6A6A" w:rsidRDefault="000C6A6A" w:rsidP="000C6A6A">
      <w:pPr>
        <w:spacing w:line="360" w:lineRule="auto"/>
        <w:jc w:val="both"/>
        <w:rPr>
          <w:sz w:val="24"/>
          <w:szCs w:val="24"/>
        </w:rPr>
      </w:pPr>
    </w:p>
    <w:p w14:paraId="07931802" w14:textId="77777777" w:rsidR="00CB0A13" w:rsidRDefault="00CB0A13" w:rsidP="00CB0A13">
      <w:pPr>
        <w:spacing w:line="360" w:lineRule="auto"/>
        <w:ind w:firstLine="709"/>
        <w:jc w:val="both"/>
        <w:rPr>
          <w:spacing w:val="1"/>
          <w:sz w:val="24"/>
          <w:szCs w:val="24"/>
        </w:rPr>
      </w:pPr>
      <w:r w:rsidRPr="00CB0A13">
        <w:rPr>
          <w:spacing w:val="1"/>
          <w:sz w:val="24"/>
          <w:szCs w:val="24"/>
        </w:rPr>
        <w:t>A política fiscal brasileira, ao longo das últimas quatro décadas, tem se configurado como uma verdadeira "alquimia"</w:t>
      </w:r>
      <w:r w:rsidRPr="00CB0A13">
        <w:rPr>
          <w:rStyle w:val="Refdenotaderodap"/>
          <w:rFonts w:eastAsia="Times New Roman"/>
          <w:spacing w:val="1"/>
          <w:sz w:val="24"/>
          <w:szCs w:val="24"/>
        </w:rPr>
        <w:footnoteReference w:id="6"/>
      </w:r>
      <w:r w:rsidRPr="00CB0A13">
        <w:rPr>
          <w:spacing w:val="1"/>
          <w:sz w:val="24"/>
          <w:szCs w:val="24"/>
        </w:rPr>
        <w:t>. Em vez de assegurar os direitos sociais aos trabalhadores e trabalhadoras, vem convertendo os recursos do fundo público, originalmente destinados às políticas sociais, em mecanismos para garantir o financiamento da dívida pública.</w:t>
      </w:r>
    </w:p>
    <w:p w14:paraId="3625F3A8" w14:textId="234B304F" w:rsidR="007A7A03" w:rsidRPr="007A7A03" w:rsidRDefault="007A7A03" w:rsidP="007A7A03">
      <w:pPr>
        <w:spacing w:line="360" w:lineRule="auto"/>
        <w:ind w:firstLine="709"/>
        <w:jc w:val="both"/>
        <w:rPr>
          <w:sz w:val="24"/>
          <w:szCs w:val="24"/>
        </w:rPr>
      </w:pPr>
      <w:r w:rsidRPr="007A7A03">
        <w:rPr>
          <w:sz w:val="24"/>
          <w:szCs w:val="24"/>
        </w:rPr>
        <w:t>O debate sobre neoliberalismo, austeridade e financiamento das políticas sociais ocupa lugar central na análise da conjuntura contemporânea. As transformações estruturais do capitalismo, aprofundadas a partir da crise financeira de 2008, consolidaram a austeridade como modo de governo e como estratégia de reorganização da acumulação de capital, repercutindo de forma incisiva sobre os Estados periféricos. No Brasil, a trajetória recente evidencia o enraizamento de medidas de ajuste fiscal permanente que limitam a expansão das políticas sociais e transferem recursos do fundo público para a esfera financeira, reforçando a dinâmica de subordinação da política social à lógica do rentismo.</w:t>
      </w:r>
    </w:p>
    <w:p w14:paraId="72B34E91" w14:textId="610D448D" w:rsidR="007A7A03" w:rsidRPr="007A7A03" w:rsidRDefault="007A7A03" w:rsidP="007A7A03">
      <w:pPr>
        <w:spacing w:line="360" w:lineRule="auto"/>
        <w:ind w:firstLine="709"/>
        <w:jc w:val="both"/>
        <w:rPr>
          <w:sz w:val="24"/>
          <w:szCs w:val="24"/>
        </w:rPr>
      </w:pPr>
      <w:r w:rsidRPr="007A7A03">
        <w:rPr>
          <w:sz w:val="24"/>
          <w:szCs w:val="24"/>
        </w:rPr>
        <w:t>A promulgação da Emenda Constitucional nº 95/2016 e, mais recentemente, a implementação da Lei Complementar nº 200/2023 – o chamado Novo Arcabouço Fiscal (NAF) – expressam esse movimento. Se, de um lado, a Constituição de 1988 estabeleceu pisos e vinculações para assegurar o financiamento da seguridade social, de outro, sucessivos governos vêm adotando medidas que fragilizam tais conquistas, restringindo a capacidade estatal de garantir direitos sociais. Nesse cenário, torna-se imprescindível analisar os mecanismos fiscais, seus impactos no orçamento público e as contradições inerentes à disputa pelo fundo público, sobretudo em um contexto de financeirização da economia e de fortalecimento dos interesses do capital rentista.</w:t>
      </w:r>
    </w:p>
    <w:p w14:paraId="6F809618" w14:textId="54E38DEC" w:rsidR="007A7A03" w:rsidRPr="00CB0A13" w:rsidRDefault="007A7A03" w:rsidP="007A7A03">
      <w:pPr>
        <w:spacing w:line="360" w:lineRule="auto"/>
        <w:ind w:firstLine="709"/>
        <w:jc w:val="both"/>
        <w:rPr>
          <w:sz w:val="24"/>
          <w:szCs w:val="24"/>
        </w:rPr>
      </w:pPr>
      <w:r w:rsidRPr="007A7A03">
        <w:rPr>
          <w:sz w:val="24"/>
          <w:szCs w:val="24"/>
        </w:rPr>
        <w:lastRenderedPageBreak/>
        <w:t>Este artigo tem por objetivo examinar criticamente o papel das políticas de austeridade na conformação do orçamento público brasileiro e suas implicações para o financiamento das políticas sociais. Ao analisar o percurso histórico da austeridade fiscal, a implementação do NAF e os efeitos recentes sobre a execução orçamentária, busca-se evidenciar as tensões entre a preservação dos privilégios do capital e a garantia de direitos sociais fundamentais.</w:t>
      </w:r>
      <w:r w:rsidR="001F7258">
        <w:rPr>
          <w:sz w:val="24"/>
          <w:szCs w:val="24"/>
        </w:rPr>
        <w:t xml:space="preserve"> </w:t>
      </w:r>
      <w:r w:rsidR="00C95F3C" w:rsidRPr="00C95F3C">
        <w:rPr>
          <w:sz w:val="24"/>
          <w:szCs w:val="24"/>
        </w:rPr>
        <w:t>Os dados do orçamento público foram analisados a partir das informações disponibilizadas no sistema SIGA Brasil</w:t>
      </w:r>
      <w:r w:rsidR="00C95F3C">
        <w:rPr>
          <w:rStyle w:val="Refdenotaderodap"/>
          <w:sz w:val="24"/>
          <w:szCs w:val="24"/>
        </w:rPr>
        <w:footnoteReference w:id="7"/>
      </w:r>
      <w:r w:rsidR="00C95F3C" w:rsidRPr="00C95F3C">
        <w:rPr>
          <w:sz w:val="24"/>
          <w:szCs w:val="24"/>
        </w:rPr>
        <w:t>, complementadas por documentos oficiais que integram o ciclo orçamentário brasileiro, notadamente o Plano Plurianual (PPA), a Lei de Diretrizes Orçamentárias (LDO) e a Lei Orçamentária Anual (LOA).</w:t>
      </w:r>
    </w:p>
    <w:p w14:paraId="3FB62B59" w14:textId="77777777" w:rsidR="00997434" w:rsidRDefault="00997434" w:rsidP="00F2735F">
      <w:pPr>
        <w:spacing w:line="360" w:lineRule="auto"/>
        <w:jc w:val="both"/>
        <w:rPr>
          <w:sz w:val="24"/>
          <w:szCs w:val="24"/>
        </w:rPr>
      </w:pPr>
      <w:bookmarkStart w:id="1" w:name="_Hlk208773611"/>
    </w:p>
    <w:p w14:paraId="32C1DA78" w14:textId="6B3EF64D" w:rsidR="00B1162F" w:rsidRDefault="004F776F" w:rsidP="00F2735F">
      <w:pPr>
        <w:spacing w:line="360" w:lineRule="auto"/>
        <w:jc w:val="both"/>
        <w:rPr>
          <w:b/>
          <w:sz w:val="24"/>
          <w:szCs w:val="24"/>
        </w:rPr>
      </w:pPr>
      <w:r>
        <w:rPr>
          <w:b/>
          <w:sz w:val="24"/>
          <w:szCs w:val="24"/>
        </w:rPr>
        <w:t>2</w:t>
      </w:r>
      <w:r>
        <w:rPr>
          <w:b/>
          <w:sz w:val="24"/>
          <w:szCs w:val="24"/>
        </w:rPr>
        <w:tab/>
      </w:r>
      <w:r w:rsidR="00997434">
        <w:rPr>
          <w:b/>
          <w:sz w:val="24"/>
          <w:szCs w:val="24"/>
        </w:rPr>
        <w:t>NEOLIBERALISMO, AUSTERIDADE</w:t>
      </w:r>
      <w:r w:rsidR="00662070">
        <w:rPr>
          <w:b/>
          <w:sz w:val="24"/>
          <w:szCs w:val="24"/>
        </w:rPr>
        <w:t xml:space="preserve"> E</w:t>
      </w:r>
      <w:r w:rsidR="00997434">
        <w:rPr>
          <w:b/>
          <w:sz w:val="24"/>
          <w:szCs w:val="24"/>
        </w:rPr>
        <w:t xml:space="preserve"> FINANCIAMENTO DAS POLÍTICAS SOCIAIS</w:t>
      </w:r>
    </w:p>
    <w:p w14:paraId="7F852784" w14:textId="77777777" w:rsidR="004F776F" w:rsidRDefault="004F776F" w:rsidP="00F2735F">
      <w:pPr>
        <w:spacing w:line="360" w:lineRule="auto"/>
        <w:jc w:val="both"/>
        <w:rPr>
          <w:sz w:val="24"/>
          <w:szCs w:val="24"/>
        </w:rPr>
      </w:pPr>
    </w:p>
    <w:p w14:paraId="3249F854" w14:textId="7ACF6727" w:rsidR="004F776F" w:rsidRDefault="004F776F" w:rsidP="00F2735F">
      <w:pPr>
        <w:spacing w:line="360" w:lineRule="auto"/>
        <w:jc w:val="both"/>
        <w:rPr>
          <w:b/>
          <w:sz w:val="24"/>
          <w:szCs w:val="24"/>
        </w:rPr>
      </w:pPr>
      <w:r>
        <w:rPr>
          <w:b/>
          <w:sz w:val="24"/>
          <w:szCs w:val="24"/>
        </w:rPr>
        <w:t>2.1</w:t>
      </w:r>
      <w:r>
        <w:rPr>
          <w:b/>
          <w:sz w:val="24"/>
          <w:szCs w:val="24"/>
        </w:rPr>
        <w:tab/>
      </w:r>
      <w:r w:rsidR="00997434">
        <w:rPr>
          <w:b/>
          <w:sz w:val="24"/>
          <w:szCs w:val="24"/>
        </w:rPr>
        <w:t>Neoliber</w:t>
      </w:r>
      <w:r w:rsidR="00394A19">
        <w:rPr>
          <w:b/>
          <w:sz w:val="24"/>
          <w:szCs w:val="24"/>
        </w:rPr>
        <w:t>alismo e as políticas de austeridade</w:t>
      </w:r>
    </w:p>
    <w:p w14:paraId="5AC86E47" w14:textId="77777777" w:rsidR="004F776F" w:rsidRDefault="004F776F" w:rsidP="00F2735F">
      <w:pPr>
        <w:spacing w:line="360" w:lineRule="auto"/>
        <w:jc w:val="both"/>
        <w:rPr>
          <w:sz w:val="24"/>
          <w:szCs w:val="24"/>
        </w:rPr>
      </w:pPr>
    </w:p>
    <w:p w14:paraId="733FAD1F" w14:textId="77777777" w:rsidR="00412AC6" w:rsidRPr="00412AC6" w:rsidRDefault="00412AC6" w:rsidP="00412AC6">
      <w:pPr>
        <w:spacing w:line="360" w:lineRule="auto"/>
        <w:ind w:firstLine="720"/>
        <w:jc w:val="both"/>
        <w:rPr>
          <w:sz w:val="24"/>
          <w:szCs w:val="24"/>
        </w:rPr>
      </w:pPr>
      <w:r w:rsidRPr="00412AC6">
        <w:rPr>
          <w:sz w:val="24"/>
          <w:szCs w:val="24"/>
        </w:rPr>
        <w:t xml:space="preserve">O neoliberalismo, conforme </w:t>
      </w:r>
      <w:proofErr w:type="spellStart"/>
      <w:r w:rsidRPr="00412AC6">
        <w:rPr>
          <w:sz w:val="24"/>
          <w:szCs w:val="24"/>
        </w:rPr>
        <w:t>Puello-Socarrás</w:t>
      </w:r>
      <w:proofErr w:type="spellEnd"/>
      <w:r w:rsidRPr="00412AC6">
        <w:rPr>
          <w:sz w:val="24"/>
          <w:szCs w:val="24"/>
        </w:rPr>
        <w:t xml:space="preserve"> (2015), deve ser compreendido não apenas como um conjunto de recomendações econômicas, mas como um projeto político de classe que intensifica as contradições da acumulação capitalista. Dardot e Laval (2016) ressaltam que se trata de um sistema normativo que amplia a lógica do capital a todas as esferas da vida social, transformando profundamente o capitalismo contemporâneo. Nesse sentido, a crise de 2008 possibilitou às classes dominantes consolidarem o neoliberalismo como modo de governo, ancorado no endurecimento das políticas de austeridade.</w:t>
      </w:r>
    </w:p>
    <w:p w14:paraId="6CE17C10" w14:textId="77777777" w:rsidR="00412AC6" w:rsidRPr="00412AC6" w:rsidRDefault="00412AC6" w:rsidP="00412AC6">
      <w:pPr>
        <w:spacing w:line="360" w:lineRule="auto"/>
        <w:ind w:firstLine="720"/>
        <w:jc w:val="both"/>
        <w:rPr>
          <w:sz w:val="24"/>
          <w:szCs w:val="24"/>
        </w:rPr>
      </w:pPr>
      <w:r w:rsidRPr="00412AC6">
        <w:rPr>
          <w:sz w:val="24"/>
          <w:szCs w:val="24"/>
        </w:rPr>
        <w:t xml:space="preserve">Para </w:t>
      </w:r>
      <w:proofErr w:type="spellStart"/>
      <w:r w:rsidRPr="00412AC6">
        <w:rPr>
          <w:sz w:val="24"/>
          <w:szCs w:val="24"/>
        </w:rPr>
        <w:t>Mészáros</w:t>
      </w:r>
      <w:proofErr w:type="spellEnd"/>
      <w:r w:rsidRPr="00412AC6">
        <w:rPr>
          <w:sz w:val="24"/>
          <w:szCs w:val="24"/>
        </w:rPr>
        <w:t xml:space="preserve"> (2002), vivencia-se uma crise estrutural do capital, caracterizada por desemprego estrutural, precariedade dos serviços públicos e </w:t>
      </w:r>
      <w:r w:rsidRPr="00412AC6">
        <w:rPr>
          <w:sz w:val="24"/>
          <w:szCs w:val="24"/>
        </w:rPr>
        <w:lastRenderedPageBreak/>
        <w:t>intensificação da questão social. Essa crise é endêmica, cumulativa e crônica, sendo enfrentada pelo capital por meio da transferência de recursos do fundo público ao mercado financeiro, em nome da rentabilidade e da lucratividade. No Brasil, esse processo se materializou no ajuste fiscal permanente e no desmonte do financiamento das políticas sociais, acentuados a partir do golpe de 2016 e do governo Temer.</w:t>
      </w:r>
    </w:p>
    <w:p w14:paraId="451FD95F" w14:textId="2161711E" w:rsidR="004F776F" w:rsidRDefault="00412AC6" w:rsidP="00412AC6">
      <w:pPr>
        <w:spacing w:line="360" w:lineRule="auto"/>
        <w:ind w:firstLine="720"/>
        <w:jc w:val="both"/>
        <w:rPr>
          <w:sz w:val="24"/>
          <w:szCs w:val="24"/>
        </w:rPr>
      </w:pPr>
      <w:r w:rsidRPr="00412AC6">
        <w:rPr>
          <w:sz w:val="24"/>
          <w:szCs w:val="24"/>
        </w:rPr>
        <w:t>Mattei (2023) reforça que a austeridade acompanha o capitalismo desde o início do século XX, configurando-se como instrumento de defesa da ordem do capital. Para a autora, austeridade fiscal (tributação regressiva e cortes em políticas sociais), monetária (independência do Banco Central e restrição da emissão monetária) e industrial (privatizações, enfraquecimento sindical e controle da força de trabalho) operam de forma articulada, constituindo um continuum de ataque aos direitos da classe trabalhadora. Assim, a austeridade se afirma não apenas como política coercitiva, mas também como mecanismo de produção de consenso em favor da acumulação capitalista. Sob esse prisma que se compreende o continuum das políticas de austeridade no Brasil.</w:t>
      </w:r>
    </w:p>
    <w:p w14:paraId="6C0437D0" w14:textId="77777777" w:rsidR="00412AC6" w:rsidRDefault="00412AC6" w:rsidP="00412AC6">
      <w:pPr>
        <w:spacing w:line="360" w:lineRule="auto"/>
        <w:ind w:firstLine="720"/>
        <w:jc w:val="both"/>
        <w:rPr>
          <w:sz w:val="24"/>
          <w:szCs w:val="24"/>
        </w:rPr>
      </w:pPr>
    </w:p>
    <w:p w14:paraId="2B52E214" w14:textId="044D1E7E" w:rsidR="000B0EAB" w:rsidRDefault="000B0EAB" w:rsidP="000B0EAB">
      <w:pPr>
        <w:spacing w:line="360" w:lineRule="auto"/>
        <w:jc w:val="both"/>
        <w:rPr>
          <w:b/>
          <w:sz w:val="24"/>
          <w:szCs w:val="24"/>
        </w:rPr>
      </w:pPr>
      <w:r>
        <w:rPr>
          <w:b/>
          <w:sz w:val="24"/>
          <w:szCs w:val="24"/>
        </w:rPr>
        <w:t>2.2</w:t>
      </w:r>
      <w:r>
        <w:rPr>
          <w:b/>
          <w:sz w:val="24"/>
          <w:szCs w:val="24"/>
        </w:rPr>
        <w:tab/>
        <w:t>Austeridade fiscal e o financiamento das políticas sociais no Brasil</w:t>
      </w:r>
    </w:p>
    <w:p w14:paraId="64B876E4" w14:textId="77777777" w:rsidR="00F05B2B" w:rsidRPr="00F05B2B" w:rsidRDefault="00F05B2B" w:rsidP="00F05B2B">
      <w:pPr>
        <w:spacing w:line="360" w:lineRule="auto"/>
        <w:jc w:val="both"/>
        <w:rPr>
          <w:sz w:val="24"/>
          <w:szCs w:val="24"/>
        </w:rPr>
      </w:pPr>
    </w:p>
    <w:p w14:paraId="483AB873" w14:textId="5F0B2F64" w:rsidR="00F05B2B" w:rsidRPr="00F05B2B" w:rsidRDefault="00F05B2B" w:rsidP="00F05B2B">
      <w:pPr>
        <w:spacing w:line="360" w:lineRule="auto"/>
        <w:ind w:firstLine="709"/>
        <w:jc w:val="both"/>
        <w:rPr>
          <w:sz w:val="24"/>
          <w:szCs w:val="24"/>
        </w:rPr>
      </w:pPr>
      <w:r w:rsidRPr="00F05B2B">
        <w:rPr>
          <w:sz w:val="24"/>
          <w:szCs w:val="24"/>
        </w:rPr>
        <w:t>As escolhas de política fiscal no Brasil têm implicações centrais para o financiamento das políticas sociais, intensificadas pela Emenda Constitucional nº 95/2016 e, mais recentemente, pelo Novo Arcabouço Fiscal (LCP nº 200/2023), aprovado no início do terceiro mandato de Lula. A financeirização</w:t>
      </w:r>
      <w:r w:rsidR="00F56C25">
        <w:rPr>
          <w:sz w:val="24"/>
          <w:szCs w:val="24"/>
        </w:rPr>
        <w:t xml:space="preserve"> do capital</w:t>
      </w:r>
      <w:r w:rsidRPr="00F05B2B">
        <w:rPr>
          <w:sz w:val="24"/>
          <w:szCs w:val="24"/>
        </w:rPr>
        <w:t xml:space="preserve"> torna a questão fiscal um tema permanente da agenda pública.</w:t>
      </w:r>
    </w:p>
    <w:p w14:paraId="4619A170" w14:textId="67701320" w:rsidR="00F05B2B" w:rsidRPr="00F05B2B" w:rsidRDefault="00F05B2B" w:rsidP="00F05B2B">
      <w:pPr>
        <w:spacing w:line="360" w:lineRule="auto"/>
        <w:ind w:firstLine="709"/>
        <w:jc w:val="both"/>
        <w:rPr>
          <w:sz w:val="24"/>
          <w:szCs w:val="24"/>
        </w:rPr>
      </w:pPr>
      <w:r w:rsidRPr="00F05B2B">
        <w:rPr>
          <w:sz w:val="24"/>
          <w:szCs w:val="24"/>
        </w:rPr>
        <w:t>No governo Temer, a EC 95/2016 limitou por vinte anos as despesas primárias à correção inflacionária, inviabilizando a estrutura de vinculações da Constituição de 1988 e restringindo gastos mínimos em saúde e educação. Tal mecanismo canalizou recursos para o serviço da dívida pública. Entre 2016 e 2019, os orçamentos fiscal e da seguridade cresceram apenas 2,6% acima da inflação, enquanto as despesas com juros e encargos aumentaram 22,57% em termos reais (Salvador, 2020).</w:t>
      </w:r>
    </w:p>
    <w:p w14:paraId="7104232B" w14:textId="47680C32" w:rsidR="00F05B2B" w:rsidRPr="00F05B2B" w:rsidRDefault="00F05B2B" w:rsidP="00F05B2B">
      <w:pPr>
        <w:spacing w:line="360" w:lineRule="auto"/>
        <w:ind w:firstLine="709"/>
        <w:jc w:val="both"/>
        <w:rPr>
          <w:sz w:val="24"/>
          <w:szCs w:val="24"/>
        </w:rPr>
      </w:pPr>
      <w:r w:rsidRPr="00F05B2B">
        <w:rPr>
          <w:sz w:val="24"/>
          <w:szCs w:val="24"/>
        </w:rPr>
        <w:lastRenderedPageBreak/>
        <w:t>A LCP nº 200/2023 substituiu o teto de gastos, resultado de negociação entre o governo e o Congresso, sem diálogo com trabalhadores e movimentos sociais. Como observa Salvador (2024), os interlocutores privilegiados foram Febraban, Fiesp e o mercado financeiro. Trata-se, assim, de um esforço de blindagem da política econômica contra o debate público, mecanismo que, segundo Osorio (2012), favorece a circulação do capital.</w:t>
      </w:r>
    </w:p>
    <w:p w14:paraId="46C61844" w14:textId="77777777" w:rsidR="00F05B2B" w:rsidRDefault="00F05B2B" w:rsidP="00F05B2B">
      <w:pPr>
        <w:spacing w:line="360" w:lineRule="auto"/>
        <w:ind w:firstLine="709"/>
        <w:jc w:val="both"/>
        <w:rPr>
          <w:sz w:val="24"/>
          <w:szCs w:val="24"/>
        </w:rPr>
      </w:pPr>
      <w:r w:rsidRPr="00F05B2B">
        <w:rPr>
          <w:sz w:val="24"/>
          <w:szCs w:val="24"/>
        </w:rPr>
        <w:t>Esse arranjo apoia-se na falsa analogia entre orçamento público e orçamento doméstico ou empresarial. Diferentemente das famílias e empresas, o Estado emite moeda e títulos públicos, além de controlar a taxa de juros por meio do Banco Central (Cardoso Jr.; Raimundo, 2020).</w:t>
      </w:r>
    </w:p>
    <w:p w14:paraId="0ACA8D23" w14:textId="77777777" w:rsidR="00F56C25" w:rsidRPr="00F05B2B" w:rsidRDefault="00F56C25" w:rsidP="00F05B2B">
      <w:pPr>
        <w:spacing w:line="360" w:lineRule="auto"/>
        <w:ind w:firstLine="709"/>
        <w:jc w:val="both"/>
        <w:rPr>
          <w:sz w:val="24"/>
          <w:szCs w:val="24"/>
        </w:rPr>
      </w:pPr>
    </w:p>
    <w:p w14:paraId="7496C14E" w14:textId="662BB1F3" w:rsidR="00985BFA" w:rsidRDefault="00985BFA" w:rsidP="00985BFA">
      <w:pPr>
        <w:spacing w:line="360" w:lineRule="auto"/>
        <w:jc w:val="both"/>
        <w:rPr>
          <w:b/>
          <w:sz w:val="24"/>
          <w:szCs w:val="24"/>
        </w:rPr>
      </w:pPr>
      <w:r>
        <w:rPr>
          <w:b/>
          <w:sz w:val="24"/>
          <w:szCs w:val="24"/>
        </w:rPr>
        <w:t>2.3</w:t>
      </w:r>
      <w:r>
        <w:rPr>
          <w:b/>
          <w:sz w:val="24"/>
          <w:szCs w:val="24"/>
        </w:rPr>
        <w:tab/>
      </w:r>
      <w:r w:rsidR="00D22C35">
        <w:rPr>
          <w:b/>
          <w:sz w:val="24"/>
          <w:szCs w:val="24"/>
        </w:rPr>
        <w:t>NAF</w:t>
      </w:r>
      <w:r>
        <w:rPr>
          <w:b/>
          <w:sz w:val="24"/>
          <w:szCs w:val="24"/>
        </w:rPr>
        <w:t xml:space="preserve"> e os Limites ao financiamento das políticas sociais </w:t>
      </w:r>
    </w:p>
    <w:p w14:paraId="20C7FAB4" w14:textId="77777777" w:rsidR="00394A19" w:rsidRDefault="00394A19" w:rsidP="00985BFA">
      <w:pPr>
        <w:spacing w:line="360" w:lineRule="auto"/>
        <w:jc w:val="both"/>
        <w:rPr>
          <w:sz w:val="24"/>
          <w:szCs w:val="24"/>
        </w:rPr>
      </w:pPr>
    </w:p>
    <w:p w14:paraId="6A29AFEC" w14:textId="77777777" w:rsidR="00A019E5" w:rsidRPr="00A019E5" w:rsidRDefault="00A019E5" w:rsidP="00A019E5">
      <w:pPr>
        <w:spacing w:line="360" w:lineRule="auto"/>
        <w:ind w:firstLine="720"/>
        <w:jc w:val="both"/>
        <w:rPr>
          <w:sz w:val="24"/>
          <w:szCs w:val="24"/>
        </w:rPr>
      </w:pPr>
      <w:r w:rsidRPr="00A019E5">
        <w:rPr>
          <w:sz w:val="24"/>
          <w:szCs w:val="24"/>
        </w:rPr>
        <w:t>A Constituição Federal de 1988 consolidou a vinculação orçamentária de políticas sociais, sobretudo da seguridade, com contribuições exclusivas (art. 195) e pisos em saúde e educação (Ribeiro; Salvador, 2018). Contudo, políticas neoliberais subsequentes promoveram um ajuste fiscal permanente, baseado em contenção de gastos sociais, aumento da tributação indireta e manutenção de juros elevados (Salvador, 2020).</w:t>
      </w:r>
    </w:p>
    <w:p w14:paraId="6EDC0700" w14:textId="091A67B8" w:rsidR="006C100B" w:rsidRDefault="00A019E5" w:rsidP="006C100B">
      <w:pPr>
        <w:spacing w:line="360" w:lineRule="auto"/>
        <w:ind w:firstLine="720"/>
        <w:jc w:val="both"/>
        <w:rPr>
          <w:sz w:val="24"/>
          <w:szCs w:val="24"/>
        </w:rPr>
      </w:pPr>
      <w:r w:rsidRPr="00A019E5">
        <w:rPr>
          <w:sz w:val="24"/>
          <w:szCs w:val="24"/>
        </w:rPr>
        <w:t>Nesse processo, a política fiscal tornou-se central, tanto na arrecadação tributária quanto na alocação orçamentária, priorizando o superávit primário como mecanismo de transferência de recursos do fundo público ao capital rentista. Instrumentos como FSE, FEF, DRU e a LRF</w:t>
      </w:r>
      <w:r w:rsidR="007B6074">
        <w:rPr>
          <w:rStyle w:val="Refdenotaderodap"/>
          <w:sz w:val="24"/>
          <w:szCs w:val="24"/>
        </w:rPr>
        <w:footnoteReference w:id="8"/>
      </w:r>
      <w:r w:rsidRPr="00A019E5">
        <w:rPr>
          <w:sz w:val="24"/>
          <w:szCs w:val="24"/>
        </w:rPr>
        <w:t xml:space="preserve"> institucionalizaram a desvinculação de receitas e a limitação de despesas sociais, lógica recentemente reforçada pelo novo arcabouço fiscal (LC 200/2023).</w:t>
      </w:r>
      <w:r w:rsidR="00F409A6">
        <w:rPr>
          <w:sz w:val="24"/>
          <w:szCs w:val="24"/>
        </w:rPr>
        <w:t xml:space="preserve"> </w:t>
      </w:r>
      <w:r w:rsidRPr="00A019E5">
        <w:rPr>
          <w:sz w:val="24"/>
          <w:szCs w:val="24"/>
        </w:rPr>
        <w:t xml:space="preserve">Entre 1996 e 2014, sucessivos superávits primários </w:t>
      </w:r>
      <w:r w:rsidRPr="00A019E5">
        <w:rPr>
          <w:sz w:val="24"/>
          <w:szCs w:val="24"/>
        </w:rPr>
        <w:lastRenderedPageBreak/>
        <w:t>foram insuficientes para cobrir os altos encargos da dívida, revelando a subordinação da política social à política monetária e a consolidação de um “orçamento do rentismo”.</w:t>
      </w:r>
    </w:p>
    <w:p w14:paraId="32D67035" w14:textId="4FC25FA4" w:rsidR="00F409A6" w:rsidRPr="006C100B" w:rsidRDefault="006C100B" w:rsidP="006C100B">
      <w:pPr>
        <w:spacing w:line="360" w:lineRule="auto"/>
        <w:ind w:firstLine="720"/>
        <w:jc w:val="both"/>
        <w:rPr>
          <w:sz w:val="24"/>
          <w:szCs w:val="24"/>
        </w:rPr>
      </w:pPr>
      <w:r w:rsidRPr="006C100B">
        <w:rPr>
          <w:color w:val="000000"/>
          <w:sz w:val="24"/>
          <w:szCs w:val="24"/>
        </w:rPr>
        <w:t>A LCP 200/2023 estabelece o Regime Fiscal Sustentável (RFS) com a finalidade de promover a estabilidade macroeconômica e criar condições para o desenvolvimento socioeconômico, de acordo com seus idealizadores. O RFS se aplica exclusivamente às receitas e despesas primárias dos orçamentos fiscal e da seguridade social da União. Dessa forma, os limites definidos concentram-se nos gastos sociais do governo, não abrangendo despesas com juros e encargos da dívida pública (Salvador, 2024).</w:t>
      </w:r>
    </w:p>
    <w:p w14:paraId="0B5C37FA" w14:textId="77777777" w:rsidR="00F409A6" w:rsidRPr="00BA4B20" w:rsidRDefault="00F409A6" w:rsidP="00F409A6">
      <w:pPr>
        <w:spacing w:line="360" w:lineRule="auto"/>
        <w:ind w:firstLine="720"/>
        <w:jc w:val="both"/>
        <w:rPr>
          <w:sz w:val="24"/>
          <w:szCs w:val="24"/>
        </w:rPr>
      </w:pPr>
      <w:r w:rsidRPr="00BA4B20">
        <w:rPr>
          <w:sz w:val="24"/>
          <w:szCs w:val="24"/>
        </w:rPr>
        <w:t xml:space="preserve">A LCP nº 200/2023, ainda que mais suave que a EC nº 95, vai na contramão da reconstrução de um Estado social, pois é inibidor da expansão dos gastos, principalmente dos gastos discricionários do orçamento público, o que pode impedir o avanço de gastos não obrigatórios, inclusive na política de educação. Para tanto, a nova lei estabelece mecanismos que inibem o crescimento dos gastos sociais no mesmo patamar da evolução das receitas públicas. </w:t>
      </w:r>
    </w:p>
    <w:p w14:paraId="03514722" w14:textId="77777777" w:rsidR="00F409A6" w:rsidRPr="00BA4B20" w:rsidRDefault="00F409A6" w:rsidP="00F409A6">
      <w:pPr>
        <w:spacing w:line="360" w:lineRule="auto"/>
        <w:ind w:firstLine="720"/>
        <w:jc w:val="both"/>
        <w:rPr>
          <w:sz w:val="24"/>
          <w:szCs w:val="24"/>
        </w:rPr>
      </w:pPr>
      <w:r w:rsidRPr="00BA4B20">
        <w:rPr>
          <w:sz w:val="24"/>
          <w:szCs w:val="24"/>
        </w:rPr>
        <w:t>O primeiro mecanismo estabelece que as despesas primárias, que englobam os gastos sociais do governo federal, ficam limitadas a 70% das receitas. O outro instrumento previsto na lei é que o crescimento real (acima do IPCA) não pode ser superior a 2,5% ao ano e de no mínimo 0,6%. Esses instrumentos são imbricados com as metas de superávits primário, conforme disposto na LCP nº 200/2023.</w:t>
      </w:r>
    </w:p>
    <w:p w14:paraId="5D3CE1DA" w14:textId="77777777" w:rsidR="00F409A6" w:rsidRPr="006C100B" w:rsidRDefault="00F409A6" w:rsidP="00F409A6">
      <w:pPr>
        <w:spacing w:line="360" w:lineRule="auto"/>
        <w:ind w:firstLine="720"/>
        <w:jc w:val="both"/>
        <w:rPr>
          <w:sz w:val="24"/>
          <w:szCs w:val="24"/>
        </w:rPr>
      </w:pPr>
      <w:r w:rsidRPr="00BA4B20">
        <w:rPr>
          <w:sz w:val="24"/>
          <w:szCs w:val="24"/>
        </w:rPr>
        <w:t>Em prazo mais longo que o do antigo teto dos gastos, o NAF vai enfrentar a mesma questão, pois os gastos constitucionais com benefícios previdenciários e a retomada dos pisos constitucionais de educação e saúde vão crescer mais que as despesas discricionárias limitadas pelas novas regras. Essas serão as primeiras a sofrerem o contingenciamento de recursos, mesmo englobando uma parcela importante dos gastos sociais, que são imprescindíveis para a garantia dos direitos sociais determinados no art. 6º da CF.</w:t>
      </w:r>
    </w:p>
    <w:p w14:paraId="76613745" w14:textId="49F59DBC" w:rsidR="001F10D3" w:rsidRPr="002D7728" w:rsidRDefault="001F10D3" w:rsidP="001F10D3">
      <w:pPr>
        <w:spacing w:line="360" w:lineRule="auto"/>
        <w:ind w:firstLine="720"/>
        <w:jc w:val="both"/>
        <w:rPr>
          <w:sz w:val="24"/>
          <w:szCs w:val="24"/>
        </w:rPr>
      </w:pPr>
      <w:r w:rsidRPr="002D7728">
        <w:rPr>
          <w:sz w:val="24"/>
          <w:szCs w:val="24"/>
        </w:rPr>
        <w:t xml:space="preserve">Em caso de dificuldades no cumprimento das metas fiscais, poderão ser restringidos os reajustes do </w:t>
      </w:r>
      <w:r w:rsidR="002D7728" w:rsidRPr="002D7728">
        <w:rPr>
          <w:sz w:val="24"/>
          <w:szCs w:val="24"/>
        </w:rPr>
        <w:t>salário-mínimo</w:t>
      </w:r>
      <w:r w:rsidRPr="002D7728">
        <w:rPr>
          <w:sz w:val="24"/>
          <w:szCs w:val="24"/>
        </w:rPr>
        <w:t xml:space="preserve">, o que repercutiria sobre os benefícios da </w:t>
      </w:r>
      <w:r w:rsidRPr="002D7728">
        <w:rPr>
          <w:sz w:val="24"/>
          <w:szCs w:val="24"/>
        </w:rPr>
        <w:lastRenderedPageBreak/>
        <w:t>seguridade social – como o piso previdenciário e o Benefício de Prestação Continuada (BPC) da assistência social – além da recomposição salarial dos servidores públicos federais. Essas restrições podem alcançar também gastos relevantes em saúde, extrapolando o cumprimento constitucional de aplicação mínima de 15% da Receita Corrente Líquida (RCL), bem como a vinculação de 18% dos impostos federais para a educação.</w:t>
      </w:r>
    </w:p>
    <w:p w14:paraId="0A924024" w14:textId="77777777" w:rsidR="001F10D3" w:rsidRPr="002D7728" w:rsidRDefault="001F10D3" w:rsidP="001F10D3">
      <w:pPr>
        <w:spacing w:line="360" w:lineRule="auto"/>
        <w:ind w:firstLine="720"/>
        <w:jc w:val="both"/>
        <w:rPr>
          <w:sz w:val="24"/>
          <w:szCs w:val="24"/>
        </w:rPr>
      </w:pPr>
      <w:r w:rsidRPr="002D7728">
        <w:rPr>
          <w:sz w:val="24"/>
          <w:szCs w:val="24"/>
        </w:rPr>
        <w:t>A Lei Complementar nº 200/2023 pode representar riscos aos gastos mínimos obrigatórios em saúde e educação. Após a revogação da Emenda Constitucional nº 95, essas duas políticas voltaram a se reger pelos pisos constitucionais que determinam, no caso da União, a obrigação de aplicar 15% da RCL em saúde (art. 198 da CF) e 18% das receitas de impostos em educação (art. 212 da CF).</w:t>
      </w:r>
    </w:p>
    <w:p w14:paraId="27B3521D" w14:textId="77777777" w:rsidR="001F10D3" w:rsidRPr="002D7728" w:rsidRDefault="001F10D3" w:rsidP="001F10D3">
      <w:pPr>
        <w:spacing w:line="360" w:lineRule="auto"/>
        <w:ind w:firstLine="720"/>
        <w:jc w:val="both"/>
        <w:rPr>
          <w:sz w:val="24"/>
          <w:szCs w:val="24"/>
        </w:rPr>
      </w:pPr>
      <w:r w:rsidRPr="002D7728">
        <w:rPr>
          <w:sz w:val="24"/>
          <w:szCs w:val="24"/>
        </w:rPr>
        <w:t>A ameaça a esses pisos constitucionais decorre do fato de que saúde e educação acompanharão integralmente a variação das receitas governamentais, enquanto as demais despesas primárias ficam limitadas a 70% da arrecadação primária. Tal contexto levou o secretário do Tesouro Nacional, Rogério Ceron, a declarar, em entrevista ao portal G1 (Martello; Sant’Ana; Lima, 2023), que o governo prepara uma Proposta de Emenda Constitucional (PEC) para alterar, a partir de 2025, a regra de correção dos pisos de saúde e educação, a fim de adequá-los ao novo arcabouço fiscal.</w:t>
      </w:r>
    </w:p>
    <w:p w14:paraId="2561DC62" w14:textId="77777777" w:rsidR="001F10D3" w:rsidRPr="002D7728" w:rsidRDefault="001F10D3" w:rsidP="001F10D3">
      <w:pPr>
        <w:spacing w:line="360" w:lineRule="auto"/>
        <w:ind w:firstLine="720"/>
        <w:jc w:val="both"/>
        <w:rPr>
          <w:sz w:val="24"/>
          <w:szCs w:val="24"/>
        </w:rPr>
      </w:pPr>
      <w:r w:rsidRPr="002D7728">
        <w:rPr>
          <w:sz w:val="24"/>
          <w:szCs w:val="24"/>
        </w:rPr>
        <w:t>A equipe econômica tem se manifestado publicamente, sobretudo pela imprensa, sobre a necessidade de revisar os pisos constitucionais da saúde e da educação, argumentando que sua manutenção comprometeria o cumprimento das regras fiscais. Entretanto, tais posicionamentos não têm sido acompanhados de diálogo público com as áreas envolvidas, notadamente com os Conselhos dessas políticas.</w:t>
      </w:r>
    </w:p>
    <w:p w14:paraId="365057C5" w14:textId="77777777" w:rsidR="001F10D3" w:rsidRPr="002D7728" w:rsidRDefault="001F10D3" w:rsidP="001F10D3">
      <w:pPr>
        <w:spacing w:line="360" w:lineRule="auto"/>
        <w:ind w:firstLine="720"/>
        <w:jc w:val="both"/>
        <w:rPr>
          <w:sz w:val="24"/>
          <w:szCs w:val="24"/>
        </w:rPr>
      </w:pPr>
      <w:r w:rsidRPr="002D7728">
        <w:rPr>
          <w:sz w:val="24"/>
          <w:szCs w:val="24"/>
        </w:rPr>
        <w:t xml:space="preserve">Em 7 de abril de 2024, o jornal </w:t>
      </w:r>
      <w:r w:rsidRPr="002D7728">
        <w:rPr>
          <w:i/>
          <w:iCs/>
          <w:sz w:val="24"/>
          <w:szCs w:val="24"/>
        </w:rPr>
        <w:t>Folha de S. Paulo</w:t>
      </w:r>
      <w:r w:rsidRPr="002D7728">
        <w:rPr>
          <w:sz w:val="24"/>
          <w:szCs w:val="24"/>
        </w:rPr>
        <w:t xml:space="preserve"> noticiou a intenção do Ministério da Fazenda de extinguir a determinação constitucional que assegura os pisos obrigatórios em educação e saúde (Tesouro Nacional, 2023). Segundo documento do próprio Tesouro Nacional (2023), haveria uma redução drástica de </w:t>
      </w:r>
      <w:r w:rsidRPr="002D7728">
        <w:rPr>
          <w:sz w:val="24"/>
          <w:szCs w:val="24"/>
        </w:rPr>
        <w:lastRenderedPageBreak/>
        <w:t>recursos nessas áreas, que poderia variar entre R$ 190 bilhões e R$ 504 bilhões no período de 2025 a 2033. A partir de 2033, a perda seria estabilizada em até R$ 131 bilhões por ano.</w:t>
      </w:r>
    </w:p>
    <w:p w14:paraId="0673C2F0" w14:textId="77777777" w:rsidR="007C201C" w:rsidRPr="002D7728" w:rsidRDefault="001F10D3" w:rsidP="007C201C">
      <w:pPr>
        <w:spacing w:line="360" w:lineRule="auto"/>
        <w:ind w:firstLine="720"/>
        <w:jc w:val="both"/>
        <w:rPr>
          <w:sz w:val="24"/>
          <w:szCs w:val="24"/>
        </w:rPr>
      </w:pPr>
      <w:r w:rsidRPr="002D7728">
        <w:rPr>
          <w:sz w:val="24"/>
          <w:szCs w:val="24"/>
        </w:rPr>
        <w:t xml:space="preserve">Na prática, o Ministério da Fazenda tem lançado “balões de ensaio” para testar a receptividade da proposta, sem assumir diretamente o desgaste político que poderia provocar. Em abril de 2023, o próprio ministro da Fazenda cogitou, em entrevista ao repórter Vinícius Torres Freire, propor nova regra para os gastos obrigatórios. Em julho do mesmo ano, o </w:t>
      </w:r>
      <w:r w:rsidRPr="002D7728">
        <w:rPr>
          <w:i/>
          <w:iCs/>
          <w:sz w:val="24"/>
          <w:szCs w:val="24"/>
        </w:rPr>
        <w:t>Relatório de Projeções Fiscais</w:t>
      </w:r>
      <w:r w:rsidRPr="002D7728">
        <w:rPr>
          <w:sz w:val="24"/>
          <w:szCs w:val="24"/>
        </w:rPr>
        <w:t xml:space="preserve"> do Tesouro Nacional recomendou medida semelhante. Chegou-se a cogitar o envio de uma PEC nos meses seguintes, o que, contudo, não se concretizou. Por fim, em março de 2024, novo relatório da Secretaria do Tesouro Nacional, no “Boxe 5”, defendeu expressamente a limitação dos recursos orçamentários destinados à saúde e à educação (Tesouro Nacional, 2023).</w:t>
      </w:r>
    </w:p>
    <w:p w14:paraId="68FE57E5" w14:textId="77777777" w:rsidR="00AB267F" w:rsidRPr="002D7728" w:rsidRDefault="007C201C" w:rsidP="00AB267F">
      <w:pPr>
        <w:spacing w:line="360" w:lineRule="auto"/>
        <w:ind w:firstLine="720"/>
        <w:jc w:val="both"/>
        <w:rPr>
          <w:color w:val="000000"/>
          <w:sz w:val="24"/>
          <w:szCs w:val="24"/>
        </w:rPr>
      </w:pPr>
      <w:r w:rsidRPr="002D7728">
        <w:rPr>
          <w:color w:val="000000"/>
          <w:sz w:val="24"/>
          <w:szCs w:val="24"/>
        </w:rPr>
        <w:t>O NAF estabelece que o governo deve cumprir metas de superávit primário, sob risco de responsabilidade fiscal. As metas previstas para o superávit primário do governo brasileiro nos próximos anos incluem R$ 34,3 bilhões (0,25% do PIB) para 2026, equilibrando-se para 2025, com uma previsão de aumento gradual para 0,5% do PIB em 2027 e 1% em 2028, conforme o projeto de lei do Orçamento de 2026 enviado ao Congresso Nacional.</w:t>
      </w:r>
    </w:p>
    <w:p w14:paraId="3803FF74" w14:textId="4C7D4738" w:rsidR="00AB3D70" w:rsidRPr="002D7728" w:rsidRDefault="00AB267F" w:rsidP="00222754">
      <w:pPr>
        <w:spacing w:line="360" w:lineRule="auto"/>
        <w:ind w:firstLine="720"/>
        <w:jc w:val="both"/>
        <w:rPr>
          <w:color w:val="000000"/>
          <w:sz w:val="24"/>
          <w:szCs w:val="24"/>
        </w:rPr>
      </w:pPr>
      <w:r w:rsidRPr="002D7728">
        <w:rPr>
          <w:color w:val="000000"/>
          <w:sz w:val="24"/>
          <w:szCs w:val="24"/>
        </w:rPr>
        <w:t>Para o alcance das metas, o governo pode utilizar bloqueios de recursos ou contingenciamento. O bloqueio ocorre em situações de excesso de gastos, enquanto o contingenciamento é resultado de receitas menores que o esperado, impactando o orçamento de forma imediata. O bloqueio incide sobre despesas discricionárias (não obrigatórias) com o objetivo de respeitar os limites do arcabouço fiscal, ao passo que o contingenciamento busca ajustar as contas para cumprir a meta de resultado primário e pode ser revertido se houver aumento de receitas.</w:t>
      </w:r>
    </w:p>
    <w:p w14:paraId="1F038C2E" w14:textId="77777777" w:rsidR="00AB3D70" w:rsidRPr="002D7728" w:rsidRDefault="00AB3D70" w:rsidP="00AB3D70">
      <w:pPr>
        <w:spacing w:line="360" w:lineRule="auto"/>
        <w:ind w:firstLine="720"/>
        <w:jc w:val="both"/>
        <w:rPr>
          <w:color w:val="000000"/>
          <w:sz w:val="24"/>
          <w:szCs w:val="24"/>
        </w:rPr>
      </w:pPr>
      <w:r w:rsidRPr="002D7728">
        <w:rPr>
          <w:color w:val="000000"/>
          <w:sz w:val="24"/>
          <w:szCs w:val="24"/>
        </w:rPr>
        <w:t xml:space="preserve">A Lei Orçamentária Anual (LOA) de 2025 estimou a receita total dos Orçamentos Fiscal e da Seguridade Social em R$ 5,7 trilhões, sendo R$ 2,6 trilhões destinados ao Orçamento Fiscal e R$ 1,4 trilhão ao Orçamento da Seguridade Social. </w:t>
      </w:r>
      <w:r w:rsidRPr="002D7728">
        <w:rPr>
          <w:color w:val="000000"/>
          <w:sz w:val="24"/>
          <w:szCs w:val="24"/>
        </w:rPr>
        <w:lastRenderedPageBreak/>
        <w:t>Consta, ainda, previsão de refinanciamento da dívida pública federal no montante de R$ 1,7 trilhão.</w:t>
      </w:r>
    </w:p>
    <w:p w14:paraId="66258977" w14:textId="6BF7850C" w:rsidR="00AB3D70" w:rsidRPr="002D7728" w:rsidRDefault="00AB3D70" w:rsidP="00AB3D70">
      <w:pPr>
        <w:spacing w:line="360" w:lineRule="auto"/>
        <w:ind w:firstLine="720"/>
        <w:jc w:val="both"/>
        <w:rPr>
          <w:color w:val="000000"/>
          <w:sz w:val="24"/>
          <w:szCs w:val="24"/>
        </w:rPr>
      </w:pPr>
      <w:r w:rsidRPr="002D7728">
        <w:rPr>
          <w:color w:val="000000"/>
          <w:sz w:val="24"/>
          <w:szCs w:val="24"/>
        </w:rPr>
        <w:t>Ao final do segundo bimestre de 2025, a despesa primária discricionária disponível no Orçamento da União correspondia a R$ 221,20 bilhões. Com o intuito de cumprir a meta de superávit primário e, portanto, as regras estabelecidas no Novo Arcabouço Fiscal (NAF), o Decreto nº 12.477/2025</w:t>
      </w:r>
      <w:r w:rsidR="005F7FEF" w:rsidRPr="002D7728">
        <w:rPr>
          <w:rStyle w:val="Refdenotaderodap"/>
          <w:color w:val="000000"/>
          <w:sz w:val="24"/>
          <w:szCs w:val="24"/>
        </w:rPr>
        <w:footnoteReference w:id="9"/>
      </w:r>
      <w:r w:rsidRPr="002D7728">
        <w:rPr>
          <w:color w:val="000000"/>
          <w:sz w:val="24"/>
          <w:szCs w:val="24"/>
        </w:rPr>
        <w:t>, que altera a programação orçamentária e financeira do Poder Executivo federal, impôs uma contenção total de despesas primárias no valor de R$ 31,3 bilhões. Esse montante representa 14,2% do total previsto para as despesas discricionárias no exercício, sendo R$ 10,6 bilhões decorrentes do bloqueio destinado ao atendimento do limite de despesas primárias fixado pela Lei Complementar nº 200/2023 e R$ 20,7 bilhões relativos à limitação de empenho e movimentação financeira necessária ao cumprimento da meta de resultado primário prevista na Lei de Diretrizes Orçamentárias (LDO). Essas informações constam na Nota Informativa de 2 de junho de 2025, d</w:t>
      </w:r>
      <w:r w:rsidR="00424037" w:rsidRPr="002D7728">
        <w:rPr>
          <w:color w:val="000000"/>
          <w:sz w:val="24"/>
          <w:szCs w:val="24"/>
        </w:rPr>
        <w:t>a Consultoria de Orçamentos, Fiscalização e Controle (</w:t>
      </w:r>
      <w:proofErr w:type="spellStart"/>
      <w:r w:rsidR="00424037" w:rsidRPr="002D7728">
        <w:rPr>
          <w:color w:val="000000"/>
          <w:sz w:val="24"/>
          <w:szCs w:val="24"/>
        </w:rPr>
        <w:t>Conorf</w:t>
      </w:r>
      <w:proofErr w:type="spellEnd"/>
      <w:r w:rsidR="00424037" w:rsidRPr="002D7728">
        <w:rPr>
          <w:color w:val="000000"/>
          <w:sz w:val="24"/>
          <w:szCs w:val="24"/>
        </w:rPr>
        <w:t xml:space="preserve">) do </w:t>
      </w:r>
      <w:r w:rsidRPr="002D7728">
        <w:rPr>
          <w:color w:val="000000"/>
          <w:sz w:val="24"/>
          <w:szCs w:val="24"/>
        </w:rPr>
        <w:t>Senado Federal.</w:t>
      </w:r>
      <w:r w:rsidR="00D56B45" w:rsidRPr="002D7728">
        <w:rPr>
          <w:color w:val="000000"/>
          <w:sz w:val="24"/>
          <w:szCs w:val="24"/>
        </w:rPr>
        <w:t xml:space="preserve"> Uma ilustração dos efeitos do bloqueio pode ser vista no gráfico 1. </w:t>
      </w:r>
    </w:p>
    <w:p w14:paraId="31CEC309" w14:textId="321843A6" w:rsidR="00F478F1" w:rsidRPr="002D7728" w:rsidRDefault="00F478F1" w:rsidP="00F478F1">
      <w:pPr>
        <w:spacing w:line="360" w:lineRule="auto"/>
        <w:ind w:firstLine="720"/>
        <w:jc w:val="center"/>
        <w:rPr>
          <w:color w:val="000000"/>
          <w:sz w:val="24"/>
          <w:szCs w:val="24"/>
        </w:rPr>
      </w:pPr>
      <w:r w:rsidRPr="002D7728">
        <w:rPr>
          <w:b/>
          <w:bCs/>
          <w:color w:val="000000"/>
          <w:sz w:val="24"/>
          <w:szCs w:val="24"/>
        </w:rPr>
        <w:t>Gráfico 1</w:t>
      </w:r>
      <w:r w:rsidRPr="002D7728">
        <w:rPr>
          <w:color w:val="000000"/>
          <w:sz w:val="24"/>
          <w:szCs w:val="24"/>
        </w:rPr>
        <w:t xml:space="preserve"> – Dez maiores</w:t>
      </w:r>
      <w:r w:rsidR="002B0051">
        <w:rPr>
          <w:color w:val="000000"/>
          <w:sz w:val="24"/>
          <w:szCs w:val="24"/>
        </w:rPr>
        <w:t xml:space="preserve"> bloqueios</w:t>
      </w:r>
      <w:r w:rsidRPr="002D7728">
        <w:rPr>
          <w:color w:val="000000"/>
          <w:sz w:val="24"/>
          <w:szCs w:val="24"/>
        </w:rPr>
        <w:t xml:space="preserve"> no orçamento da União, em maio/2025, em R$ bilhões</w:t>
      </w:r>
    </w:p>
    <w:p w14:paraId="2F0869FB" w14:textId="1F10B8AF" w:rsidR="00424037" w:rsidRDefault="00766C19" w:rsidP="00F478F1">
      <w:pPr>
        <w:spacing w:line="360" w:lineRule="auto"/>
        <w:ind w:firstLine="720"/>
        <w:jc w:val="center"/>
        <w:rPr>
          <w:color w:val="000000"/>
        </w:rPr>
      </w:pPr>
      <w:r>
        <w:rPr>
          <w:noProof/>
          <w:color w:val="000000"/>
        </w:rPr>
        <w:drawing>
          <wp:inline distT="0" distB="0" distL="0" distR="0" wp14:anchorId="0827F048" wp14:editId="524AEA70">
            <wp:extent cx="5261610" cy="2310130"/>
            <wp:effectExtent l="0" t="0" r="0" b="0"/>
            <wp:docPr id="18433398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1610" cy="2310130"/>
                    </a:xfrm>
                    <a:prstGeom prst="rect">
                      <a:avLst/>
                    </a:prstGeom>
                    <a:noFill/>
                    <a:ln>
                      <a:noFill/>
                    </a:ln>
                  </pic:spPr>
                </pic:pic>
              </a:graphicData>
            </a:graphic>
          </wp:inline>
        </w:drawing>
      </w:r>
    </w:p>
    <w:p w14:paraId="59F13809" w14:textId="77777777" w:rsidR="00D53F56" w:rsidRDefault="00D53F56" w:rsidP="002D7728">
      <w:pPr>
        <w:spacing w:line="240" w:lineRule="auto"/>
        <w:ind w:firstLine="720"/>
        <w:jc w:val="both"/>
        <w:rPr>
          <w:color w:val="000000"/>
          <w:sz w:val="20"/>
          <w:szCs w:val="20"/>
        </w:rPr>
      </w:pPr>
      <w:r w:rsidRPr="00D53F56">
        <w:rPr>
          <w:color w:val="000000"/>
          <w:sz w:val="20"/>
          <w:szCs w:val="20"/>
        </w:rPr>
        <w:lastRenderedPageBreak/>
        <w:t xml:space="preserve">Fonte: Anexo XX do Decreto 12.448/2025, incluído pelo Decreto 14.777/2025. </w:t>
      </w:r>
    </w:p>
    <w:p w14:paraId="1B885510" w14:textId="1EC3D5E3" w:rsidR="00B5573D" w:rsidRPr="00D53F56" w:rsidRDefault="00D53F56" w:rsidP="002D7728">
      <w:pPr>
        <w:spacing w:line="240" w:lineRule="auto"/>
        <w:ind w:firstLine="720"/>
        <w:jc w:val="both"/>
        <w:rPr>
          <w:color w:val="000000"/>
          <w:sz w:val="20"/>
          <w:szCs w:val="20"/>
        </w:rPr>
      </w:pPr>
      <w:r w:rsidRPr="00D53F56">
        <w:rPr>
          <w:color w:val="000000"/>
          <w:sz w:val="20"/>
          <w:szCs w:val="20"/>
        </w:rPr>
        <w:t xml:space="preserve">Elaboração: </w:t>
      </w:r>
      <w:proofErr w:type="spellStart"/>
      <w:r w:rsidRPr="00D53F56">
        <w:rPr>
          <w:color w:val="000000"/>
          <w:sz w:val="20"/>
          <w:szCs w:val="20"/>
        </w:rPr>
        <w:t>Conorf</w:t>
      </w:r>
      <w:proofErr w:type="spellEnd"/>
      <w:r w:rsidRPr="00D53F56">
        <w:rPr>
          <w:color w:val="000000"/>
          <w:sz w:val="20"/>
          <w:szCs w:val="20"/>
        </w:rPr>
        <w:t>/Senado.</w:t>
      </w:r>
    </w:p>
    <w:p w14:paraId="563599BC" w14:textId="77777777" w:rsidR="002D7728" w:rsidRDefault="002D7728" w:rsidP="00D56B45">
      <w:pPr>
        <w:spacing w:line="360" w:lineRule="auto"/>
        <w:ind w:firstLine="720"/>
        <w:jc w:val="both"/>
        <w:rPr>
          <w:color w:val="000000"/>
        </w:rPr>
      </w:pPr>
    </w:p>
    <w:p w14:paraId="29857438" w14:textId="4092AE4D" w:rsidR="00D56B45" w:rsidRPr="002D7728" w:rsidRDefault="00D56B45" w:rsidP="00D56B45">
      <w:pPr>
        <w:spacing w:line="360" w:lineRule="auto"/>
        <w:ind w:firstLine="720"/>
        <w:jc w:val="both"/>
        <w:rPr>
          <w:color w:val="000000"/>
          <w:sz w:val="24"/>
          <w:szCs w:val="24"/>
        </w:rPr>
      </w:pPr>
      <w:r w:rsidRPr="002D7728">
        <w:rPr>
          <w:color w:val="000000"/>
          <w:sz w:val="24"/>
          <w:szCs w:val="24"/>
        </w:rPr>
        <w:t xml:space="preserve">De acordo com o gráfico 1, é possível visualizar o bloqueio no financiamento das políticas sociais, em particular, na política de saúde, com R$ 5,9 bilhões e na assistência social com R$ 2,2 bilhões. A educação teve um bloqueio de R$ 669 milhões, conforme Senado Federal (2025). </w:t>
      </w:r>
    </w:p>
    <w:p w14:paraId="743E4542" w14:textId="1123509A" w:rsidR="00E42F59" w:rsidRPr="002D7728" w:rsidRDefault="00E42F59" w:rsidP="00E42F59">
      <w:pPr>
        <w:spacing w:line="360" w:lineRule="auto"/>
        <w:ind w:firstLine="720"/>
        <w:jc w:val="both"/>
        <w:rPr>
          <w:color w:val="000000"/>
          <w:sz w:val="24"/>
          <w:szCs w:val="24"/>
        </w:rPr>
      </w:pPr>
      <w:r w:rsidRPr="002D7728">
        <w:rPr>
          <w:color w:val="000000"/>
          <w:sz w:val="24"/>
          <w:szCs w:val="24"/>
        </w:rPr>
        <w:t xml:space="preserve">Dos R$ 2,7 trilhões do orçamento pagos até 13/09/2025, já descontados R$ 1,2 trilhão destinados à rolagem da dívida pública, R$ 318,01 bilhões foram alocados ao pagamento de juros e encargos e R$ 339,17 bilhões à amortização da dívida. Esses valores somam R$ 657,18 bilhões, o que representa 24,72% do orçamento executado no período, conforme dados do </w:t>
      </w:r>
      <w:r w:rsidR="00C8038E" w:rsidRPr="002D7728">
        <w:rPr>
          <w:color w:val="000000"/>
          <w:sz w:val="24"/>
          <w:szCs w:val="24"/>
        </w:rPr>
        <w:t xml:space="preserve">sistema </w:t>
      </w:r>
      <w:r w:rsidRPr="002D7728">
        <w:rPr>
          <w:color w:val="000000"/>
          <w:sz w:val="24"/>
          <w:szCs w:val="24"/>
        </w:rPr>
        <w:t>SIGA Brasil. Tal proporção evidencia o peso expressivo das despesas financeiras no conjunto do gasto público, superando</w:t>
      </w:r>
      <w:r w:rsidR="00C8038E" w:rsidRPr="002D7728">
        <w:rPr>
          <w:color w:val="000000"/>
          <w:sz w:val="24"/>
          <w:szCs w:val="24"/>
        </w:rPr>
        <w:t xml:space="preserve"> </w:t>
      </w:r>
      <w:r w:rsidRPr="002D7728">
        <w:rPr>
          <w:color w:val="000000"/>
          <w:sz w:val="24"/>
          <w:szCs w:val="24"/>
        </w:rPr>
        <w:t>os montantes destinados a áreas sociais essenciais, como saúde, educação e assistência social.</w:t>
      </w:r>
    </w:p>
    <w:p w14:paraId="13F3D81C" w14:textId="54A510FC" w:rsidR="00E42F59" w:rsidRPr="002D7728" w:rsidRDefault="001B2740" w:rsidP="00E42F59">
      <w:pPr>
        <w:spacing w:line="360" w:lineRule="auto"/>
        <w:ind w:firstLine="720"/>
        <w:jc w:val="both"/>
        <w:rPr>
          <w:color w:val="000000"/>
          <w:sz w:val="24"/>
          <w:szCs w:val="24"/>
        </w:rPr>
      </w:pPr>
      <w:r w:rsidRPr="002D7728">
        <w:rPr>
          <w:color w:val="000000"/>
          <w:sz w:val="24"/>
          <w:szCs w:val="24"/>
        </w:rPr>
        <w:t>No campo da disputa pelo fundo público, observa-se desde 2015 a consolidação da captura orçamentária pelas emendas parlamentares, que em 2025 alcançarão R$ 61,7 bilhões. Paralelamente, as renúncias tributárias previstas chegam a R$ 492,47 bilhões (RFB, 2024), evidenciando o peso dos subsídios fiscais frente ao financiamento das políticas sociais. Nesse contexto, contrasta a estagnação, no Congresso Nacional, da proposta de retomada — ainda que parcial — da tributação de lucros e dividendos, revelando a assimetria entre a preservação dos privilégios do capital e as restrições impostas ao gasto social.</w:t>
      </w:r>
    </w:p>
    <w:bookmarkEnd w:id="1"/>
    <w:p w14:paraId="18F168B9" w14:textId="5FD5E904" w:rsidR="00ED2B74" w:rsidRDefault="00ED2B74" w:rsidP="00CD380D">
      <w:pPr>
        <w:spacing w:line="360" w:lineRule="auto"/>
        <w:ind w:firstLine="720"/>
        <w:jc w:val="both"/>
        <w:rPr>
          <w:sz w:val="24"/>
          <w:szCs w:val="24"/>
        </w:rPr>
      </w:pPr>
    </w:p>
    <w:p w14:paraId="54BD16B8"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751D8069" w14:textId="77777777" w:rsidR="004F776F" w:rsidRDefault="004F776F" w:rsidP="004F776F">
      <w:pPr>
        <w:spacing w:line="360" w:lineRule="auto"/>
        <w:jc w:val="both"/>
        <w:rPr>
          <w:sz w:val="24"/>
          <w:szCs w:val="24"/>
        </w:rPr>
      </w:pPr>
    </w:p>
    <w:p w14:paraId="7379E93F" w14:textId="00358483" w:rsidR="008C5FA7" w:rsidRPr="008C5FA7" w:rsidRDefault="008C5FA7" w:rsidP="008C5FA7">
      <w:pPr>
        <w:spacing w:line="360" w:lineRule="auto"/>
        <w:ind w:firstLine="709"/>
        <w:jc w:val="both"/>
        <w:rPr>
          <w:sz w:val="24"/>
          <w:szCs w:val="24"/>
        </w:rPr>
      </w:pPr>
      <w:r w:rsidRPr="008C5FA7">
        <w:rPr>
          <w:sz w:val="24"/>
          <w:szCs w:val="24"/>
        </w:rPr>
        <w:t xml:space="preserve">A análise desenvolvida ao longo do artigo demonstrou que o neoliberalismo, enquanto projeto político de classe, encontra na austeridade fiscal seu principal instrumento de consolidação e de legitimação. No Brasil, a vigência da EC nº 95 e a implementação do NAF ilustram a prevalência da lógica de ajuste permanente, que </w:t>
      </w:r>
      <w:r w:rsidRPr="008C5FA7">
        <w:rPr>
          <w:sz w:val="24"/>
          <w:szCs w:val="24"/>
        </w:rPr>
        <w:lastRenderedPageBreak/>
        <w:t>compromete a efetividade dos direitos sociais inscritos na Constituição Federal de 1988. Ao restringir o crescimento das despesas primárias e ao permitir a expansão contínua dos encargos da dívida, o arcabouço fiscal reafirma a transferência de recursos do fundo público para o setor financeiro, em detrimento das áreas sociais.</w:t>
      </w:r>
    </w:p>
    <w:p w14:paraId="4924C8D4" w14:textId="468B777F" w:rsidR="008C5FA7" w:rsidRPr="008C5FA7" w:rsidRDefault="008C5FA7" w:rsidP="008C5FA7">
      <w:pPr>
        <w:spacing w:line="360" w:lineRule="auto"/>
        <w:ind w:firstLine="709"/>
        <w:jc w:val="both"/>
        <w:rPr>
          <w:sz w:val="24"/>
          <w:szCs w:val="24"/>
        </w:rPr>
      </w:pPr>
      <w:r w:rsidRPr="008C5FA7">
        <w:rPr>
          <w:sz w:val="24"/>
          <w:szCs w:val="24"/>
        </w:rPr>
        <w:t>Os dados apresentados revelam que parcela significativa do orçamento é absorvida por juros e amortizações da dívida, ao passo que políticas essenciais, como saúde, educação e assistência social, sofrem contingenciamentos e bloqueios. Ao mesmo tempo, a manutenção de elevados volumes de renúncias fiscais e a captura do orçamento pelas emendas parlamentares reforçam a assimetria da disputa pelo fundo público, evidenciando a prioridade conferida aos interesses do capital em detrimento da população trabalhadora.</w:t>
      </w:r>
    </w:p>
    <w:p w14:paraId="07D427BF" w14:textId="23393D7E" w:rsidR="004F776F" w:rsidRDefault="008C5FA7" w:rsidP="008C5FA7">
      <w:pPr>
        <w:spacing w:line="360" w:lineRule="auto"/>
        <w:ind w:firstLine="709"/>
        <w:jc w:val="both"/>
        <w:rPr>
          <w:sz w:val="24"/>
          <w:szCs w:val="24"/>
        </w:rPr>
      </w:pPr>
      <w:r w:rsidRPr="008C5FA7">
        <w:rPr>
          <w:sz w:val="24"/>
          <w:szCs w:val="24"/>
        </w:rPr>
        <w:t>Diante desse quadro, a reflexão crítica sobre as bases do financiamento das políticas sociais torna-se urgente. Mais do que ajustes técnicos, trata-se de uma disputa política e ideológica em torno do papel do Estado e da natureza do fundo público. Reafirmar a centralidade dos direitos sociais exige questionar o paradigma da austeridade e resgatar o projeto constitucional de 1988, pautado na universalização e na solidariedade. Somente a partir desse enfrentamento será possível vislumbrar alternativas capazes de promover justiça social e fortalecer a democracia no Brasil.</w:t>
      </w:r>
    </w:p>
    <w:p w14:paraId="71057791" w14:textId="77777777" w:rsidR="004F776F" w:rsidRDefault="004F776F" w:rsidP="004F776F">
      <w:pPr>
        <w:spacing w:line="360" w:lineRule="auto"/>
        <w:jc w:val="center"/>
        <w:rPr>
          <w:b/>
          <w:sz w:val="24"/>
          <w:szCs w:val="24"/>
        </w:rPr>
      </w:pPr>
    </w:p>
    <w:p w14:paraId="1BAABA10" w14:textId="77777777" w:rsidR="00222754" w:rsidRDefault="00222754" w:rsidP="004F776F">
      <w:pPr>
        <w:spacing w:line="360" w:lineRule="auto"/>
        <w:jc w:val="center"/>
        <w:rPr>
          <w:b/>
          <w:sz w:val="24"/>
          <w:szCs w:val="24"/>
        </w:rPr>
      </w:pPr>
    </w:p>
    <w:p w14:paraId="79C8E3D1" w14:textId="617F438F" w:rsidR="004F776F" w:rsidRPr="00CB33DD" w:rsidRDefault="004F776F" w:rsidP="004F776F">
      <w:pPr>
        <w:spacing w:line="360" w:lineRule="auto"/>
        <w:jc w:val="center"/>
        <w:rPr>
          <w:bCs/>
          <w:sz w:val="24"/>
          <w:szCs w:val="24"/>
        </w:rPr>
      </w:pPr>
      <w:r>
        <w:rPr>
          <w:b/>
          <w:sz w:val="24"/>
          <w:szCs w:val="24"/>
        </w:rPr>
        <w:t xml:space="preserve">REFERÊNCIAS </w:t>
      </w:r>
    </w:p>
    <w:p w14:paraId="1A9C47C3" w14:textId="77777777" w:rsidR="00BE0CA6" w:rsidRDefault="00BE0CA6" w:rsidP="00701EEE">
      <w:pPr>
        <w:spacing w:line="240" w:lineRule="auto"/>
        <w:jc w:val="both"/>
        <w:rPr>
          <w:sz w:val="24"/>
          <w:szCs w:val="24"/>
        </w:rPr>
      </w:pPr>
    </w:p>
    <w:p w14:paraId="464EED05" w14:textId="3569101F" w:rsidR="00BE0CA6" w:rsidRDefault="00BE0CA6" w:rsidP="00701EEE">
      <w:pPr>
        <w:spacing w:line="240" w:lineRule="auto"/>
        <w:jc w:val="both"/>
        <w:rPr>
          <w:sz w:val="24"/>
          <w:szCs w:val="24"/>
        </w:rPr>
      </w:pPr>
      <w:r w:rsidRPr="00701EEE">
        <w:rPr>
          <w:sz w:val="24"/>
          <w:szCs w:val="24"/>
        </w:rPr>
        <w:t xml:space="preserve">BRASIL. </w:t>
      </w:r>
      <w:r w:rsidRPr="00701EEE">
        <w:rPr>
          <w:b/>
          <w:bCs/>
          <w:sz w:val="24"/>
          <w:szCs w:val="24"/>
        </w:rPr>
        <w:t>Emenda Constitucional nº 95</w:t>
      </w:r>
      <w:r w:rsidRPr="00701EEE">
        <w:rPr>
          <w:sz w:val="24"/>
          <w:szCs w:val="24"/>
        </w:rPr>
        <w:t xml:space="preserve">, de 15 dezembro de 2016. Altera o Ato das Disposições Constitucionais Transitórias, para instituir o Novo Regime Fiscal, e dá outras providências. Diário Oficial da União, Brasília, Seção 1, 15 dez. 2016. </w:t>
      </w:r>
    </w:p>
    <w:p w14:paraId="70665100" w14:textId="77777777" w:rsidR="00BE0CA6" w:rsidRDefault="00BE0CA6" w:rsidP="00701EEE">
      <w:pPr>
        <w:spacing w:line="240" w:lineRule="auto"/>
        <w:jc w:val="both"/>
        <w:rPr>
          <w:sz w:val="24"/>
          <w:szCs w:val="24"/>
        </w:rPr>
      </w:pPr>
    </w:p>
    <w:p w14:paraId="5CE7A0F9" w14:textId="77777777" w:rsidR="00BE0CA6" w:rsidRDefault="00BE0CA6" w:rsidP="00701EEE">
      <w:pPr>
        <w:spacing w:line="240" w:lineRule="auto"/>
        <w:jc w:val="both"/>
        <w:rPr>
          <w:sz w:val="24"/>
          <w:szCs w:val="24"/>
        </w:rPr>
      </w:pPr>
      <w:r w:rsidRPr="00701EEE">
        <w:rPr>
          <w:sz w:val="24"/>
          <w:szCs w:val="24"/>
        </w:rPr>
        <w:t xml:space="preserve">BRASIL. </w:t>
      </w:r>
      <w:r w:rsidRPr="00701EEE">
        <w:rPr>
          <w:b/>
          <w:bCs/>
          <w:sz w:val="24"/>
          <w:szCs w:val="24"/>
        </w:rPr>
        <w:t>Lei Complementar nº 200</w:t>
      </w:r>
      <w:r w:rsidRPr="00701EEE">
        <w:rPr>
          <w:sz w:val="24"/>
          <w:szCs w:val="24"/>
        </w:rPr>
        <w:t xml:space="preserve">, de 30 de agosto de 2023. Institui regime fiscal sustentável para garantir a estabilidade macroeconômica do País e criar as condições adequadas ao crescimento socioeconômico, com fundamento no art. 6º da Emenda Constitucional nº 126, de 21 de dezembro de 2022, e no inciso VIII do </w:t>
      </w:r>
      <w:r w:rsidRPr="00701EEE">
        <w:rPr>
          <w:i/>
          <w:iCs/>
          <w:sz w:val="24"/>
          <w:szCs w:val="24"/>
        </w:rPr>
        <w:t xml:space="preserve">caput </w:t>
      </w:r>
      <w:r w:rsidRPr="00701EEE">
        <w:rPr>
          <w:sz w:val="24"/>
          <w:szCs w:val="24"/>
        </w:rPr>
        <w:t>e no parágrafo único do art. 163 da Constituição Federal; e altera a Lei Complementar nº 101, de 4 de maio de 2000 (Lei de Responsabilidade Fiscal). Diário Oficial da União, Brasília, Seção 1, 22 ago. 2023.</w:t>
      </w:r>
    </w:p>
    <w:p w14:paraId="1474C6B6" w14:textId="77777777" w:rsidR="00BE0CA6" w:rsidRDefault="00BE0CA6" w:rsidP="00701EEE">
      <w:pPr>
        <w:spacing w:line="240" w:lineRule="auto"/>
        <w:jc w:val="both"/>
        <w:rPr>
          <w:sz w:val="24"/>
          <w:szCs w:val="24"/>
        </w:rPr>
      </w:pPr>
    </w:p>
    <w:p w14:paraId="3D174739" w14:textId="77777777" w:rsidR="00BE0CA6" w:rsidRDefault="00BE0CA6" w:rsidP="00701EEE">
      <w:pPr>
        <w:spacing w:line="240" w:lineRule="auto"/>
        <w:jc w:val="both"/>
        <w:rPr>
          <w:sz w:val="24"/>
          <w:szCs w:val="24"/>
        </w:rPr>
      </w:pPr>
      <w:r w:rsidRPr="00A4026D">
        <w:rPr>
          <w:sz w:val="24"/>
          <w:szCs w:val="24"/>
        </w:rPr>
        <w:t>BRASIL. </w:t>
      </w:r>
      <w:r w:rsidRPr="00A4026D">
        <w:rPr>
          <w:b/>
          <w:bCs/>
          <w:sz w:val="24"/>
          <w:szCs w:val="24"/>
        </w:rPr>
        <w:t>Decreto nº 12.477, de 30 de maio de 2025</w:t>
      </w:r>
      <w:r w:rsidRPr="00A4026D">
        <w:rPr>
          <w:sz w:val="24"/>
          <w:szCs w:val="24"/>
        </w:rPr>
        <w:t>. Altera o Decreto nº 12.448, de 30 de abril de 2025, que dispõe sobre a programação orçamentária e financeira e estabelece o cronograma de execução mensal de desembolso do Poder Executivo federal para o exercício de 2025. Diário Oficial da União, Brasília, DF, 30 de maio de 2025</w:t>
      </w:r>
      <w:r>
        <w:rPr>
          <w:sz w:val="24"/>
          <w:szCs w:val="24"/>
        </w:rPr>
        <w:t>.</w:t>
      </w:r>
    </w:p>
    <w:p w14:paraId="697F0CBD" w14:textId="77777777" w:rsidR="00BE0CA6" w:rsidRDefault="00BE0CA6" w:rsidP="00701EEE">
      <w:pPr>
        <w:spacing w:line="240" w:lineRule="auto"/>
        <w:jc w:val="both"/>
        <w:rPr>
          <w:sz w:val="24"/>
          <w:szCs w:val="24"/>
        </w:rPr>
      </w:pPr>
    </w:p>
    <w:p w14:paraId="41143C95" w14:textId="4A18A5A5" w:rsidR="00BE0CA6" w:rsidRDefault="00BE0CA6" w:rsidP="004F776F">
      <w:pPr>
        <w:spacing w:line="240" w:lineRule="auto"/>
        <w:jc w:val="both"/>
        <w:rPr>
          <w:sz w:val="24"/>
          <w:szCs w:val="24"/>
        </w:rPr>
      </w:pPr>
      <w:r w:rsidRPr="001E451F">
        <w:rPr>
          <w:sz w:val="24"/>
          <w:szCs w:val="24"/>
        </w:rPr>
        <w:t>CARDOSO JÚNIOR, J</w:t>
      </w:r>
      <w:r>
        <w:rPr>
          <w:sz w:val="24"/>
          <w:szCs w:val="24"/>
        </w:rPr>
        <w:t>osé</w:t>
      </w:r>
      <w:r w:rsidRPr="001E451F">
        <w:rPr>
          <w:sz w:val="24"/>
          <w:szCs w:val="24"/>
        </w:rPr>
        <w:t xml:space="preserve">; RAIMUNDO, </w:t>
      </w:r>
      <w:r>
        <w:rPr>
          <w:sz w:val="24"/>
          <w:szCs w:val="24"/>
        </w:rPr>
        <w:t>Lício</w:t>
      </w:r>
      <w:r w:rsidRPr="001E451F">
        <w:rPr>
          <w:sz w:val="24"/>
          <w:szCs w:val="24"/>
        </w:rPr>
        <w:t xml:space="preserve">. Ilusões fiscais: equívocos do monetarismo e colapso histórico do liberalismo econômico. </w:t>
      </w:r>
      <w:r w:rsidRPr="001E451F">
        <w:rPr>
          <w:b/>
          <w:bCs/>
          <w:sz w:val="24"/>
          <w:szCs w:val="24"/>
        </w:rPr>
        <w:t>Revista Brasileira de Planejamento e Orçamento, Brasília (DF)</w:t>
      </w:r>
      <w:r w:rsidRPr="001E451F">
        <w:rPr>
          <w:sz w:val="24"/>
          <w:szCs w:val="24"/>
        </w:rPr>
        <w:t>, v. 10, n. 1, p. 50–65, 2020</w:t>
      </w:r>
      <w:r>
        <w:rPr>
          <w:sz w:val="24"/>
          <w:szCs w:val="24"/>
        </w:rPr>
        <w:t>.</w:t>
      </w:r>
    </w:p>
    <w:p w14:paraId="085D20D8" w14:textId="77777777" w:rsidR="00BE0CA6" w:rsidRPr="001E451F" w:rsidRDefault="00BE0CA6" w:rsidP="004F776F">
      <w:pPr>
        <w:spacing w:line="240" w:lineRule="auto"/>
        <w:jc w:val="both"/>
        <w:rPr>
          <w:sz w:val="24"/>
          <w:szCs w:val="24"/>
        </w:rPr>
      </w:pPr>
    </w:p>
    <w:p w14:paraId="40650907" w14:textId="77777777" w:rsidR="00BE0CA6" w:rsidRDefault="00BE0CA6" w:rsidP="004F776F">
      <w:pPr>
        <w:spacing w:line="240" w:lineRule="auto"/>
        <w:jc w:val="both"/>
        <w:rPr>
          <w:sz w:val="24"/>
          <w:szCs w:val="24"/>
        </w:rPr>
      </w:pPr>
      <w:r w:rsidRPr="00BA3B6B">
        <w:rPr>
          <w:sz w:val="24"/>
          <w:szCs w:val="24"/>
        </w:rPr>
        <w:t xml:space="preserve">DARDOT, Pierre; LAVAL, Christian. </w:t>
      </w:r>
      <w:r w:rsidRPr="00BA3B6B">
        <w:rPr>
          <w:b/>
          <w:bCs/>
          <w:sz w:val="24"/>
          <w:szCs w:val="24"/>
        </w:rPr>
        <w:t>A nova razão do mundo: ensaio sobre a sociedade neoliberal</w:t>
      </w:r>
      <w:r w:rsidRPr="00BA3B6B">
        <w:rPr>
          <w:sz w:val="24"/>
          <w:szCs w:val="24"/>
        </w:rPr>
        <w:t>. São Paulo: Boitempo, 2016.</w:t>
      </w:r>
    </w:p>
    <w:p w14:paraId="2CA5A702" w14:textId="77777777" w:rsidR="00E935FD" w:rsidRDefault="00E935FD" w:rsidP="004F776F">
      <w:pPr>
        <w:spacing w:line="240" w:lineRule="auto"/>
        <w:jc w:val="both"/>
        <w:rPr>
          <w:sz w:val="24"/>
          <w:szCs w:val="24"/>
        </w:rPr>
      </w:pPr>
    </w:p>
    <w:p w14:paraId="51BB2975" w14:textId="26BAB611" w:rsidR="00E935FD" w:rsidRDefault="00E935FD" w:rsidP="004F776F">
      <w:pPr>
        <w:spacing w:line="240" w:lineRule="auto"/>
        <w:jc w:val="both"/>
        <w:rPr>
          <w:sz w:val="24"/>
          <w:szCs w:val="24"/>
        </w:rPr>
      </w:pPr>
      <w:r w:rsidRPr="00E935FD">
        <w:rPr>
          <w:sz w:val="24"/>
          <w:szCs w:val="24"/>
        </w:rPr>
        <w:t xml:space="preserve">MÁRQUEZ, Gabriel Garcia. </w:t>
      </w:r>
      <w:r w:rsidRPr="00E935FD">
        <w:rPr>
          <w:b/>
          <w:bCs/>
          <w:sz w:val="24"/>
          <w:szCs w:val="24"/>
        </w:rPr>
        <w:t>Cem anos de solidão</w:t>
      </w:r>
      <w:r w:rsidRPr="00E935FD">
        <w:rPr>
          <w:sz w:val="24"/>
          <w:szCs w:val="24"/>
        </w:rPr>
        <w:t>. 120ª edição. Rio de Janeiro: Record, 2020.</w:t>
      </w:r>
    </w:p>
    <w:p w14:paraId="5FAE81BC" w14:textId="77777777" w:rsidR="00BE0CA6" w:rsidRDefault="00BE0CA6" w:rsidP="004F776F">
      <w:pPr>
        <w:spacing w:line="240" w:lineRule="auto"/>
        <w:jc w:val="both"/>
        <w:rPr>
          <w:sz w:val="24"/>
          <w:szCs w:val="24"/>
        </w:rPr>
      </w:pPr>
    </w:p>
    <w:p w14:paraId="7F1836C4" w14:textId="482858D4" w:rsidR="00BE0CA6" w:rsidRDefault="00BE0CA6" w:rsidP="00701EEE">
      <w:pPr>
        <w:spacing w:line="240" w:lineRule="auto"/>
        <w:jc w:val="both"/>
        <w:rPr>
          <w:sz w:val="24"/>
          <w:szCs w:val="24"/>
        </w:rPr>
      </w:pPr>
      <w:r w:rsidRPr="008E520E">
        <w:rPr>
          <w:sz w:val="24"/>
          <w:szCs w:val="24"/>
          <w:lang w:val="it-IT"/>
        </w:rPr>
        <w:t xml:space="preserve">MARTELLO, A.; SANT’ANA, J.; LIMA, B.. </w:t>
      </w:r>
      <w:r w:rsidRPr="001E556E">
        <w:rPr>
          <w:sz w:val="24"/>
          <w:szCs w:val="24"/>
        </w:rPr>
        <w:t xml:space="preserve">Governo enviará PEC no 2o semestre para mudar piso de gastos em saúde e educação, diz secretário do Tesouro. </w:t>
      </w:r>
      <w:r w:rsidRPr="001E556E">
        <w:rPr>
          <w:b/>
          <w:bCs/>
          <w:sz w:val="24"/>
          <w:szCs w:val="24"/>
        </w:rPr>
        <w:t>G1</w:t>
      </w:r>
      <w:r w:rsidRPr="001E556E">
        <w:rPr>
          <w:sz w:val="24"/>
          <w:szCs w:val="24"/>
        </w:rPr>
        <w:t>, Brasília, n. 2, 2023. p. 1–8. Disponível em: https://g1.globo.com/economia/de-olho-no-orcamento/noticia/2023/04/11/governo-enviara-pec-no-2o-semestre-para-mudar-piso-de-gastos-em-saude-e-educacao-diz-secretario-do-tesouro.ghtml. Acesso em: 15 maio 2024.</w:t>
      </w:r>
    </w:p>
    <w:p w14:paraId="344DCC48" w14:textId="77777777" w:rsidR="00BE0CA6" w:rsidRDefault="00BE0CA6" w:rsidP="00701EEE">
      <w:pPr>
        <w:spacing w:line="240" w:lineRule="auto"/>
        <w:jc w:val="both"/>
        <w:rPr>
          <w:sz w:val="24"/>
          <w:szCs w:val="24"/>
        </w:rPr>
      </w:pPr>
    </w:p>
    <w:p w14:paraId="5EFA0C9D" w14:textId="77777777" w:rsidR="00BE0CA6" w:rsidRPr="00DD56BB" w:rsidRDefault="00BE0CA6" w:rsidP="004F776F">
      <w:pPr>
        <w:spacing w:line="240" w:lineRule="auto"/>
        <w:jc w:val="both"/>
        <w:rPr>
          <w:sz w:val="24"/>
          <w:szCs w:val="24"/>
        </w:rPr>
      </w:pPr>
      <w:r w:rsidRPr="001A73BA">
        <w:rPr>
          <w:sz w:val="24"/>
          <w:szCs w:val="24"/>
        </w:rPr>
        <w:t xml:space="preserve">MATTEI, Clara. </w:t>
      </w:r>
      <w:r w:rsidRPr="001A73BA">
        <w:rPr>
          <w:b/>
          <w:bCs/>
          <w:sz w:val="24"/>
          <w:szCs w:val="24"/>
        </w:rPr>
        <w:t>A ordem do capital: como economistas inventaram a austeridade e abriram o caminho para o fascismo</w:t>
      </w:r>
      <w:r w:rsidRPr="001A73BA">
        <w:rPr>
          <w:sz w:val="24"/>
          <w:szCs w:val="24"/>
        </w:rPr>
        <w:t xml:space="preserve">. </w:t>
      </w:r>
      <w:r w:rsidRPr="00DD56BB">
        <w:rPr>
          <w:sz w:val="24"/>
          <w:szCs w:val="24"/>
        </w:rPr>
        <w:t>São Paulo: Boitempo Editorial, 2023.</w:t>
      </w:r>
    </w:p>
    <w:p w14:paraId="274B06BA" w14:textId="77777777" w:rsidR="00BE0CA6" w:rsidRPr="00DD56BB" w:rsidRDefault="00BE0CA6" w:rsidP="004F776F">
      <w:pPr>
        <w:spacing w:line="240" w:lineRule="auto"/>
        <w:jc w:val="both"/>
        <w:rPr>
          <w:sz w:val="24"/>
          <w:szCs w:val="24"/>
        </w:rPr>
      </w:pPr>
    </w:p>
    <w:p w14:paraId="39C2D65A" w14:textId="77777777" w:rsidR="00BE0CA6" w:rsidRDefault="00BE0CA6" w:rsidP="004F776F">
      <w:pPr>
        <w:spacing w:line="240" w:lineRule="auto"/>
        <w:jc w:val="both"/>
        <w:rPr>
          <w:sz w:val="24"/>
          <w:szCs w:val="24"/>
        </w:rPr>
      </w:pPr>
      <w:r w:rsidRPr="00D72880">
        <w:rPr>
          <w:sz w:val="24"/>
          <w:szCs w:val="24"/>
        </w:rPr>
        <w:t xml:space="preserve">MÉSZÁROS, István. </w:t>
      </w:r>
      <w:r w:rsidRPr="00D72880">
        <w:rPr>
          <w:b/>
          <w:bCs/>
          <w:sz w:val="24"/>
          <w:szCs w:val="24"/>
        </w:rPr>
        <w:t xml:space="preserve">Para além do capital. </w:t>
      </w:r>
      <w:r w:rsidRPr="00D72880">
        <w:rPr>
          <w:sz w:val="24"/>
          <w:szCs w:val="24"/>
        </w:rPr>
        <w:t>São Paulo: Boitempo, 2002.</w:t>
      </w:r>
    </w:p>
    <w:p w14:paraId="3A54C898" w14:textId="77777777" w:rsidR="00BE0CA6" w:rsidRDefault="00BE0CA6" w:rsidP="004F776F">
      <w:pPr>
        <w:spacing w:line="240" w:lineRule="auto"/>
        <w:jc w:val="both"/>
        <w:rPr>
          <w:sz w:val="24"/>
          <w:szCs w:val="24"/>
        </w:rPr>
      </w:pPr>
    </w:p>
    <w:p w14:paraId="02A60315" w14:textId="77777777" w:rsidR="00BE0CA6" w:rsidRDefault="00BE0CA6" w:rsidP="00701EEE">
      <w:pPr>
        <w:spacing w:line="240" w:lineRule="auto"/>
        <w:jc w:val="both"/>
        <w:rPr>
          <w:sz w:val="24"/>
          <w:szCs w:val="24"/>
        </w:rPr>
      </w:pPr>
      <w:r w:rsidRPr="00B8787A">
        <w:rPr>
          <w:sz w:val="24"/>
          <w:szCs w:val="24"/>
        </w:rPr>
        <w:t>MINISTÉRIO DO PLANEJAMENTO E ORÇAMENTO. </w:t>
      </w:r>
      <w:r w:rsidRPr="00B8787A">
        <w:rPr>
          <w:b/>
          <w:bCs/>
          <w:sz w:val="24"/>
          <w:szCs w:val="24"/>
        </w:rPr>
        <w:t>Projeto de Lei Orçamentária Anual (</w:t>
      </w:r>
      <w:proofErr w:type="spellStart"/>
      <w:r w:rsidRPr="00B8787A">
        <w:rPr>
          <w:b/>
          <w:bCs/>
          <w:sz w:val="24"/>
          <w:szCs w:val="24"/>
        </w:rPr>
        <w:t>Ploa</w:t>
      </w:r>
      <w:proofErr w:type="spellEnd"/>
      <w:r w:rsidRPr="00B8787A">
        <w:rPr>
          <w:b/>
          <w:bCs/>
          <w:sz w:val="24"/>
          <w:szCs w:val="24"/>
        </w:rPr>
        <w:t>) 2026.</w:t>
      </w:r>
      <w:r w:rsidRPr="00B8787A">
        <w:rPr>
          <w:sz w:val="24"/>
          <w:szCs w:val="24"/>
        </w:rPr>
        <w:t xml:space="preserve"> Brasília: Governo Federal, 2025</w:t>
      </w:r>
      <w:r>
        <w:rPr>
          <w:sz w:val="24"/>
          <w:szCs w:val="24"/>
        </w:rPr>
        <w:t>.</w:t>
      </w:r>
    </w:p>
    <w:p w14:paraId="5DA98FE9" w14:textId="77777777" w:rsidR="00BE0CA6" w:rsidRDefault="00BE0CA6" w:rsidP="00701EEE">
      <w:pPr>
        <w:spacing w:line="240" w:lineRule="auto"/>
        <w:jc w:val="both"/>
        <w:rPr>
          <w:sz w:val="24"/>
          <w:szCs w:val="24"/>
        </w:rPr>
      </w:pPr>
    </w:p>
    <w:p w14:paraId="35D0DB93" w14:textId="77777777" w:rsidR="00BE0CA6" w:rsidRPr="00DD56BB" w:rsidRDefault="00BE0CA6" w:rsidP="004F776F">
      <w:pPr>
        <w:spacing w:line="240" w:lineRule="auto"/>
        <w:jc w:val="both"/>
        <w:rPr>
          <w:sz w:val="24"/>
          <w:szCs w:val="24"/>
          <w:lang w:val="es-CO"/>
        </w:rPr>
      </w:pPr>
      <w:r w:rsidRPr="00985BFA">
        <w:rPr>
          <w:sz w:val="24"/>
          <w:szCs w:val="24"/>
        </w:rPr>
        <w:t>OSORIO, J</w:t>
      </w:r>
      <w:r>
        <w:rPr>
          <w:sz w:val="24"/>
          <w:szCs w:val="24"/>
        </w:rPr>
        <w:t>aime.</w:t>
      </w:r>
      <w:r w:rsidRPr="00985BFA">
        <w:rPr>
          <w:sz w:val="24"/>
          <w:szCs w:val="24"/>
        </w:rPr>
        <w:t xml:space="preserve"> Padrão de reprodução do capital: uma proposta teórica. In: FERREIRA, C.; OSORIO, J.; LUCE, J. </w:t>
      </w:r>
      <w:r w:rsidRPr="00985BFA">
        <w:rPr>
          <w:b/>
          <w:bCs/>
          <w:sz w:val="24"/>
          <w:szCs w:val="24"/>
        </w:rPr>
        <w:t>Padrão de reprodução do capital</w:t>
      </w:r>
      <w:r w:rsidRPr="00985BFA">
        <w:rPr>
          <w:sz w:val="24"/>
          <w:szCs w:val="24"/>
        </w:rPr>
        <w:t xml:space="preserve">. </w:t>
      </w:r>
      <w:r w:rsidRPr="00DD56BB">
        <w:rPr>
          <w:sz w:val="24"/>
          <w:szCs w:val="24"/>
          <w:lang w:val="es-CO"/>
        </w:rPr>
        <w:t xml:space="preserve">São Paulo: </w:t>
      </w:r>
      <w:proofErr w:type="spellStart"/>
      <w:r w:rsidRPr="00DD56BB">
        <w:rPr>
          <w:sz w:val="24"/>
          <w:szCs w:val="24"/>
          <w:lang w:val="es-CO"/>
        </w:rPr>
        <w:t>Boitempo</w:t>
      </w:r>
      <w:proofErr w:type="spellEnd"/>
      <w:r w:rsidRPr="00DD56BB">
        <w:rPr>
          <w:sz w:val="24"/>
          <w:szCs w:val="24"/>
          <w:lang w:val="es-CO"/>
        </w:rPr>
        <w:t>, 2012.</w:t>
      </w:r>
    </w:p>
    <w:p w14:paraId="010E6AA1" w14:textId="77777777" w:rsidR="00BE0CA6" w:rsidRPr="00DD56BB" w:rsidRDefault="00BE0CA6" w:rsidP="004F776F">
      <w:pPr>
        <w:spacing w:line="240" w:lineRule="auto"/>
        <w:jc w:val="both"/>
        <w:rPr>
          <w:sz w:val="24"/>
          <w:szCs w:val="24"/>
          <w:lang w:val="es-CO"/>
        </w:rPr>
      </w:pPr>
    </w:p>
    <w:p w14:paraId="288470EB" w14:textId="77777777" w:rsidR="00BE0CA6" w:rsidRDefault="00BE0CA6" w:rsidP="004F776F">
      <w:pPr>
        <w:spacing w:line="240" w:lineRule="auto"/>
        <w:jc w:val="both"/>
        <w:rPr>
          <w:sz w:val="24"/>
          <w:szCs w:val="24"/>
          <w:lang w:val="es-CO"/>
        </w:rPr>
      </w:pPr>
      <w:r w:rsidRPr="00307020">
        <w:rPr>
          <w:sz w:val="24"/>
          <w:szCs w:val="24"/>
          <w:lang w:val="es-CO"/>
        </w:rPr>
        <w:t>PUELLO-SOCARRÁS, J</w:t>
      </w:r>
      <w:r>
        <w:rPr>
          <w:sz w:val="24"/>
          <w:szCs w:val="24"/>
          <w:lang w:val="es-CO"/>
        </w:rPr>
        <w:t xml:space="preserve">osé. </w:t>
      </w:r>
      <w:r w:rsidRPr="00307020">
        <w:rPr>
          <w:sz w:val="24"/>
          <w:szCs w:val="24"/>
          <w:lang w:val="es-CO"/>
        </w:rPr>
        <w:t xml:space="preserve">Neoliberalismo, </w:t>
      </w:r>
      <w:proofErr w:type="spellStart"/>
      <w:r w:rsidRPr="00307020">
        <w:rPr>
          <w:sz w:val="24"/>
          <w:szCs w:val="24"/>
          <w:lang w:val="es-CO"/>
        </w:rPr>
        <w:t>antineoliberalismo</w:t>
      </w:r>
      <w:proofErr w:type="spellEnd"/>
      <w:r w:rsidRPr="00307020">
        <w:rPr>
          <w:sz w:val="24"/>
          <w:szCs w:val="24"/>
          <w:lang w:val="es-CO"/>
        </w:rPr>
        <w:t xml:space="preserve">, nuevo neoliberalismo: episodios y trayectorias económico-políticas suramericanas (1973-2015). In: </w:t>
      </w:r>
      <w:r w:rsidRPr="00307020">
        <w:rPr>
          <w:b/>
          <w:bCs/>
          <w:sz w:val="24"/>
          <w:szCs w:val="24"/>
          <w:lang w:val="es-CO"/>
        </w:rPr>
        <w:t>Neoliberalismo en américa latina. crisis, tendencias y alternativas</w:t>
      </w:r>
      <w:r w:rsidRPr="00307020">
        <w:rPr>
          <w:sz w:val="24"/>
          <w:szCs w:val="24"/>
          <w:lang w:val="es-CO"/>
        </w:rPr>
        <w:t xml:space="preserve">. Buenos Aires: </w:t>
      </w:r>
      <w:proofErr w:type="spellStart"/>
      <w:r w:rsidRPr="00307020">
        <w:rPr>
          <w:sz w:val="24"/>
          <w:szCs w:val="24"/>
          <w:lang w:val="es-CO"/>
        </w:rPr>
        <w:t>Clacso</w:t>
      </w:r>
      <w:proofErr w:type="spellEnd"/>
      <w:r w:rsidRPr="00307020">
        <w:rPr>
          <w:sz w:val="24"/>
          <w:szCs w:val="24"/>
          <w:lang w:val="es-CO"/>
        </w:rPr>
        <w:t>, 2015. p. 19–43.</w:t>
      </w:r>
    </w:p>
    <w:p w14:paraId="7EC52766" w14:textId="77777777" w:rsidR="00BE0CA6" w:rsidRPr="00307020" w:rsidRDefault="00BE0CA6" w:rsidP="004F776F">
      <w:pPr>
        <w:spacing w:line="240" w:lineRule="auto"/>
        <w:jc w:val="both"/>
        <w:rPr>
          <w:sz w:val="24"/>
          <w:szCs w:val="24"/>
          <w:lang w:val="es-CO"/>
        </w:rPr>
      </w:pPr>
    </w:p>
    <w:p w14:paraId="7BECC208" w14:textId="77777777" w:rsidR="00BE0CA6" w:rsidRDefault="00BE0CA6" w:rsidP="00701EEE">
      <w:pPr>
        <w:spacing w:line="240" w:lineRule="auto"/>
        <w:jc w:val="both"/>
        <w:rPr>
          <w:sz w:val="24"/>
          <w:szCs w:val="24"/>
        </w:rPr>
      </w:pPr>
      <w:r>
        <w:rPr>
          <w:sz w:val="24"/>
          <w:szCs w:val="24"/>
        </w:rPr>
        <w:t xml:space="preserve">RFB. </w:t>
      </w:r>
      <w:r>
        <w:rPr>
          <w:b/>
          <w:bCs/>
          <w:sz w:val="24"/>
          <w:szCs w:val="24"/>
        </w:rPr>
        <w:t xml:space="preserve">Demonstrativo dos gastos tributários – PLOA 2025. </w:t>
      </w:r>
      <w:r>
        <w:rPr>
          <w:sz w:val="24"/>
          <w:szCs w:val="24"/>
        </w:rPr>
        <w:t>Brasília: Receita Federal do Brasil, 2024.</w:t>
      </w:r>
    </w:p>
    <w:p w14:paraId="55CB7535" w14:textId="77777777" w:rsidR="00BE0CA6" w:rsidRDefault="00BE0CA6" w:rsidP="00701EEE">
      <w:pPr>
        <w:spacing w:line="240" w:lineRule="auto"/>
        <w:jc w:val="both"/>
        <w:rPr>
          <w:sz w:val="24"/>
          <w:szCs w:val="24"/>
        </w:rPr>
      </w:pPr>
    </w:p>
    <w:p w14:paraId="44DCA4DE" w14:textId="77777777" w:rsidR="00BE0CA6" w:rsidRDefault="00BE0CA6" w:rsidP="004F776F">
      <w:pPr>
        <w:spacing w:line="240" w:lineRule="auto"/>
        <w:jc w:val="both"/>
        <w:rPr>
          <w:sz w:val="24"/>
          <w:szCs w:val="24"/>
        </w:rPr>
      </w:pPr>
      <w:r w:rsidRPr="004E423E">
        <w:rPr>
          <w:sz w:val="24"/>
          <w:szCs w:val="24"/>
        </w:rPr>
        <w:t>RIBEIRO, I</w:t>
      </w:r>
      <w:r>
        <w:rPr>
          <w:sz w:val="24"/>
          <w:szCs w:val="24"/>
        </w:rPr>
        <w:t>sabela</w:t>
      </w:r>
      <w:r w:rsidRPr="004E423E">
        <w:rPr>
          <w:sz w:val="24"/>
          <w:szCs w:val="24"/>
        </w:rPr>
        <w:t>; SALVADOR, E</w:t>
      </w:r>
      <w:r>
        <w:rPr>
          <w:sz w:val="24"/>
          <w:szCs w:val="24"/>
        </w:rPr>
        <w:t>vilasio</w:t>
      </w:r>
      <w:r w:rsidRPr="004E423E">
        <w:rPr>
          <w:sz w:val="24"/>
          <w:szCs w:val="24"/>
        </w:rPr>
        <w:t xml:space="preserve">. Hegemonia e políticas sociais no Brasil: contribuições ao debate sobre vinculação orçamentária. </w:t>
      </w:r>
      <w:r w:rsidRPr="004E423E">
        <w:rPr>
          <w:b/>
          <w:bCs/>
          <w:sz w:val="24"/>
          <w:szCs w:val="24"/>
        </w:rPr>
        <w:t xml:space="preserve">Revista </w:t>
      </w:r>
      <w:proofErr w:type="spellStart"/>
      <w:r w:rsidRPr="004E423E">
        <w:rPr>
          <w:b/>
          <w:bCs/>
          <w:sz w:val="24"/>
          <w:szCs w:val="24"/>
        </w:rPr>
        <w:t>Katálysis</w:t>
      </w:r>
      <w:proofErr w:type="spellEnd"/>
      <w:r w:rsidRPr="004E423E">
        <w:rPr>
          <w:sz w:val="24"/>
          <w:szCs w:val="24"/>
        </w:rPr>
        <w:t>, Florianópolis, v. 21, n. 1, p. 76–85, 2018.</w:t>
      </w:r>
    </w:p>
    <w:p w14:paraId="638CD5A6" w14:textId="77777777" w:rsidR="00BE0CA6" w:rsidRDefault="00BE0CA6" w:rsidP="004F776F">
      <w:pPr>
        <w:spacing w:line="240" w:lineRule="auto"/>
        <w:jc w:val="both"/>
        <w:rPr>
          <w:sz w:val="24"/>
          <w:szCs w:val="24"/>
        </w:rPr>
      </w:pPr>
    </w:p>
    <w:p w14:paraId="5FADAB25" w14:textId="77777777" w:rsidR="00BE0CA6" w:rsidRDefault="00BE0CA6" w:rsidP="004F776F">
      <w:pPr>
        <w:spacing w:line="240" w:lineRule="auto"/>
        <w:jc w:val="both"/>
        <w:rPr>
          <w:sz w:val="24"/>
          <w:szCs w:val="24"/>
        </w:rPr>
      </w:pPr>
      <w:r w:rsidRPr="00553FB8">
        <w:rPr>
          <w:sz w:val="24"/>
          <w:szCs w:val="24"/>
        </w:rPr>
        <w:t>SALVADOR, E</w:t>
      </w:r>
      <w:r>
        <w:rPr>
          <w:sz w:val="24"/>
          <w:szCs w:val="24"/>
        </w:rPr>
        <w:t>vilasio</w:t>
      </w:r>
      <w:r w:rsidRPr="00553FB8">
        <w:rPr>
          <w:sz w:val="24"/>
          <w:szCs w:val="24"/>
        </w:rPr>
        <w:t xml:space="preserve">. Fundo público e conflito distributivo em tempos de ajuste fiscal no Brasil. In: CASTRO, J.; POCHMANN, M. (org.). Brasil: </w:t>
      </w:r>
      <w:r w:rsidRPr="00553FB8">
        <w:rPr>
          <w:b/>
          <w:bCs/>
          <w:sz w:val="24"/>
          <w:szCs w:val="24"/>
        </w:rPr>
        <w:t>Estado Social contra a Barbárie</w:t>
      </w:r>
      <w:r w:rsidRPr="00553FB8">
        <w:rPr>
          <w:sz w:val="24"/>
          <w:szCs w:val="24"/>
        </w:rPr>
        <w:t>. São Paulo: Fundação Perseu Abramo, 2020. p. 367–388.</w:t>
      </w:r>
    </w:p>
    <w:p w14:paraId="23088025" w14:textId="77777777" w:rsidR="00BE0CA6" w:rsidRDefault="00BE0CA6" w:rsidP="004F776F">
      <w:pPr>
        <w:spacing w:line="240" w:lineRule="auto"/>
        <w:jc w:val="both"/>
        <w:rPr>
          <w:sz w:val="24"/>
          <w:szCs w:val="24"/>
        </w:rPr>
      </w:pPr>
    </w:p>
    <w:p w14:paraId="248B83C2" w14:textId="77777777" w:rsidR="00BE0CA6" w:rsidRDefault="00BE0CA6" w:rsidP="004F776F">
      <w:pPr>
        <w:spacing w:line="240" w:lineRule="auto"/>
        <w:jc w:val="both"/>
        <w:rPr>
          <w:sz w:val="24"/>
          <w:szCs w:val="24"/>
        </w:rPr>
      </w:pPr>
      <w:r>
        <w:rPr>
          <w:sz w:val="24"/>
          <w:szCs w:val="24"/>
        </w:rPr>
        <w:t xml:space="preserve">SALVADOR, Evilasio. </w:t>
      </w:r>
      <w:r w:rsidRPr="00967246">
        <w:rPr>
          <w:sz w:val="24"/>
          <w:szCs w:val="24"/>
        </w:rPr>
        <w:t>O arcabouço fiscal e as implicações no financiamento das políticas sociais. </w:t>
      </w:r>
      <w:proofErr w:type="spellStart"/>
      <w:r w:rsidRPr="00967246">
        <w:rPr>
          <w:b/>
          <w:bCs/>
          <w:sz w:val="24"/>
          <w:szCs w:val="24"/>
        </w:rPr>
        <w:t>Argumentum</w:t>
      </w:r>
      <w:proofErr w:type="spellEnd"/>
      <w:r w:rsidRPr="00967246">
        <w:rPr>
          <w:sz w:val="24"/>
          <w:szCs w:val="24"/>
        </w:rPr>
        <w:t>, </w:t>
      </w:r>
      <w:r>
        <w:rPr>
          <w:sz w:val="24"/>
          <w:szCs w:val="24"/>
        </w:rPr>
        <w:t>Vitória</w:t>
      </w:r>
      <w:r w:rsidRPr="00967246">
        <w:rPr>
          <w:sz w:val="24"/>
          <w:szCs w:val="24"/>
        </w:rPr>
        <w:t>, v. 16, n. 1, p. 6–19, 2024</w:t>
      </w:r>
      <w:r>
        <w:rPr>
          <w:sz w:val="24"/>
          <w:szCs w:val="24"/>
        </w:rPr>
        <w:t>.</w:t>
      </w:r>
    </w:p>
    <w:p w14:paraId="70DD3043" w14:textId="77777777" w:rsidR="00BE0CA6" w:rsidRDefault="00BE0CA6" w:rsidP="004F776F">
      <w:pPr>
        <w:spacing w:line="240" w:lineRule="auto"/>
        <w:jc w:val="both"/>
        <w:rPr>
          <w:sz w:val="24"/>
          <w:szCs w:val="24"/>
        </w:rPr>
      </w:pPr>
    </w:p>
    <w:p w14:paraId="174A70BC" w14:textId="77777777" w:rsidR="00BE0CA6" w:rsidRDefault="00BE0CA6" w:rsidP="00701EEE">
      <w:pPr>
        <w:spacing w:line="240" w:lineRule="auto"/>
        <w:jc w:val="both"/>
        <w:rPr>
          <w:sz w:val="24"/>
          <w:szCs w:val="24"/>
        </w:rPr>
      </w:pPr>
      <w:r w:rsidRPr="00B3393E">
        <w:rPr>
          <w:sz w:val="24"/>
          <w:szCs w:val="24"/>
        </w:rPr>
        <w:t xml:space="preserve">TESOURO NACIONAL. </w:t>
      </w:r>
      <w:r w:rsidRPr="00B3393E">
        <w:rPr>
          <w:b/>
          <w:bCs/>
          <w:sz w:val="24"/>
          <w:szCs w:val="24"/>
        </w:rPr>
        <w:t>Relatório de Projeções Fiscais</w:t>
      </w:r>
      <w:r w:rsidRPr="00B3393E">
        <w:rPr>
          <w:sz w:val="24"/>
          <w:szCs w:val="24"/>
        </w:rPr>
        <w:t>. Brasília, julho de 2023.</w:t>
      </w:r>
    </w:p>
    <w:p w14:paraId="60A4CB31" w14:textId="77777777" w:rsidR="000209E8" w:rsidRDefault="000209E8" w:rsidP="00701EEE">
      <w:pPr>
        <w:spacing w:line="240" w:lineRule="auto"/>
        <w:jc w:val="both"/>
        <w:rPr>
          <w:sz w:val="24"/>
          <w:szCs w:val="24"/>
        </w:rPr>
      </w:pPr>
    </w:p>
    <w:p w14:paraId="72202872" w14:textId="092EF96B" w:rsidR="000209E8" w:rsidRPr="006968C3" w:rsidRDefault="000209E8" w:rsidP="00BE0CA6">
      <w:pPr>
        <w:spacing w:line="240" w:lineRule="auto"/>
        <w:jc w:val="both"/>
        <w:rPr>
          <w:sz w:val="24"/>
          <w:szCs w:val="24"/>
        </w:rPr>
      </w:pPr>
      <w:r>
        <w:rPr>
          <w:sz w:val="24"/>
          <w:szCs w:val="24"/>
        </w:rPr>
        <w:t xml:space="preserve">SENADO FEDERAL. </w:t>
      </w:r>
      <w:r w:rsidR="00BE0CA6" w:rsidRPr="00BE0CA6">
        <w:rPr>
          <w:sz w:val="24"/>
          <w:szCs w:val="24"/>
        </w:rPr>
        <w:t>Nota Informativa</w:t>
      </w:r>
      <w:r w:rsidR="00BE0CA6">
        <w:rPr>
          <w:sz w:val="24"/>
          <w:szCs w:val="24"/>
        </w:rPr>
        <w:t xml:space="preserve">: </w:t>
      </w:r>
      <w:r w:rsidR="00BE0CA6" w:rsidRPr="00BE0CA6">
        <w:rPr>
          <w:sz w:val="24"/>
          <w:szCs w:val="24"/>
        </w:rPr>
        <w:t>Decreto de Contingenciamento do Poder Executivo</w:t>
      </w:r>
      <w:r w:rsidR="00BE0CA6">
        <w:rPr>
          <w:sz w:val="24"/>
          <w:szCs w:val="24"/>
        </w:rPr>
        <w:t xml:space="preserve"> </w:t>
      </w:r>
      <w:r w:rsidR="00BE0CA6" w:rsidRPr="00BE0CA6">
        <w:rPr>
          <w:sz w:val="24"/>
          <w:szCs w:val="24"/>
        </w:rPr>
        <w:t>após avaliação do 2º bimestre de 2025</w:t>
      </w:r>
      <w:r w:rsidR="00BE0CA6">
        <w:rPr>
          <w:sz w:val="24"/>
          <w:szCs w:val="24"/>
        </w:rPr>
        <w:t>. Brasília: Senado Federal, 2 de junho de 2025.</w:t>
      </w:r>
    </w:p>
    <w:p w14:paraId="5DD0E033" w14:textId="1B2D94D9" w:rsidR="00B909DA" w:rsidRDefault="00B909DA">
      <w:pPr>
        <w:spacing w:line="240" w:lineRule="auto"/>
        <w:rPr>
          <w:sz w:val="24"/>
          <w:szCs w:val="24"/>
        </w:rPr>
      </w:pPr>
      <w:r>
        <w:rPr>
          <w:sz w:val="24"/>
          <w:szCs w:val="24"/>
        </w:rPr>
        <w:br w:type="page"/>
      </w:r>
    </w:p>
    <w:p w14:paraId="1C81931F" w14:textId="77777777" w:rsidR="00B277CA" w:rsidRDefault="00B277CA">
      <w:pPr>
        <w:jc w:val="center"/>
        <w:rPr>
          <w:b/>
          <w:sz w:val="24"/>
          <w:szCs w:val="24"/>
        </w:rPr>
      </w:pPr>
      <w:r>
        <w:rPr>
          <w:b/>
          <w:sz w:val="24"/>
          <w:szCs w:val="24"/>
        </w:rPr>
        <w:lastRenderedPageBreak/>
        <w:t>Assistência Social e Financiamento Público: Tendências do Governo Lula (2023-2025)</w:t>
      </w:r>
    </w:p>
    <w:p w14:paraId="31F5CFA0" w14:textId="77777777" w:rsidR="00B277CA" w:rsidRDefault="00B277CA">
      <w:pPr>
        <w:jc w:val="center"/>
        <w:rPr>
          <w:sz w:val="24"/>
          <w:szCs w:val="24"/>
        </w:rPr>
      </w:pPr>
    </w:p>
    <w:p w14:paraId="3E2AEBEA" w14:textId="77777777" w:rsidR="00B277CA" w:rsidRDefault="00B277CA" w:rsidP="00642E4A">
      <w:pPr>
        <w:jc w:val="right"/>
        <w:rPr>
          <w:b/>
          <w:sz w:val="24"/>
          <w:szCs w:val="24"/>
        </w:rPr>
      </w:pPr>
      <w:r>
        <w:rPr>
          <w:sz w:val="24"/>
          <w:szCs w:val="24"/>
        </w:rPr>
        <w:t>Jeane Andréia Ferraz Silva</w:t>
      </w:r>
      <w:r>
        <w:rPr>
          <w:rStyle w:val="Refdenotaderodap"/>
          <w:sz w:val="24"/>
          <w:szCs w:val="24"/>
        </w:rPr>
        <w:footnoteReference w:id="10"/>
      </w:r>
    </w:p>
    <w:p w14:paraId="0FA95218" w14:textId="77777777" w:rsidR="00B277CA" w:rsidRDefault="00B277CA" w:rsidP="00642E4A">
      <w:pPr>
        <w:ind w:left="5760"/>
        <w:jc w:val="right"/>
        <w:rPr>
          <w:sz w:val="24"/>
          <w:szCs w:val="24"/>
        </w:rPr>
      </w:pPr>
      <w:proofErr w:type="spellStart"/>
      <w:r w:rsidRPr="004D6C0B">
        <w:rPr>
          <w:bCs/>
          <w:sz w:val="24"/>
          <w:szCs w:val="24"/>
        </w:rPr>
        <w:t>Jeffeson</w:t>
      </w:r>
      <w:proofErr w:type="spellEnd"/>
      <w:r w:rsidRPr="004D6C0B">
        <w:rPr>
          <w:bCs/>
          <w:sz w:val="24"/>
          <w:szCs w:val="24"/>
        </w:rPr>
        <w:t xml:space="preserve"> William Pereira</w:t>
      </w:r>
      <w:r>
        <w:rPr>
          <w:rStyle w:val="Refdenotaderodap"/>
          <w:bCs/>
          <w:sz w:val="24"/>
          <w:szCs w:val="24"/>
        </w:rPr>
        <w:footnoteReference w:id="11"/>
      </w:r>
    </w:p>
    <w:p w14:paraId="6DBF0D47" w14:textId="77777777" w:rsidR="00B277CA" w:rsidRDefault="00B277CA">
      <w:pPr>
        <w:spacing w:line="240" w:lineRule="auto"/>
        <w:ind w:left="2835"/>
        <w:jc w:val="both"/>
        <w:rPr>
          <w:sz w:val="20"/>
          <w:szCs w:val="20"/>
        </w:rPr>
      </w:pPr>
    </w:p>
    <w:p w14:paraId="556D3D3A" w14:textId="77777777" w:rsidR="00B277CA" w:rsidRDefault="00B277CA">
      <w:pPr>
        <w:spacing w:line="240" w:lineRule="auto"/>
        <w:ind w:left="2835"/>
        <w:jc w:val="both"/>
        <w:rPr>
          <w:sz w:val="20"/>
          <w:szCs w:val="20"/>
        </w:rPr>
      </w:pPr>
    </w:p>
    <w:p w14:paraId="5AD2AB37" w14:textId="77777777" w:rsidR="00B277CA" w:rsidRDefault="00B277CA">
      <w:pPr>
        <w:spacing w:line="240" w:lineRule="auto"/>
        <w:ind w:left="2835"/>
        <w:jc w:val="both"/>
        <w:rPr>
          <w:sz w:val="20"/>
          <w:szCs w:val="20"/>
        </w:rPr>
      </w:pPr>
      <w:r>
        <w:rPr>
          <w:b/>
          <w:sz w:val="20"/>
          <w:szCs w:val="20"/>
        </w:rPr>
        <w:t>Resumo</w:t>
      </w:r>
    </w:p>
    <w:p w14:paraId="5EFF5251" w14:textId="77777777" w:rsidR="00B277CA" w:rsidRDefault="00B277CA">
      <w:pPr>
        <w:spacing w:line="240" w:lineRule="auto"/>
        <w:ind w:left="2835"/>
        <w:jc w:val="both"/>
        <w:rPr>
          <w:sz w:val="20"/>
          <w:szCs w:val="20"/>
        </w:rPr>
      </w:pPr>
      <w:r>
        <w:rPr>
          <w:sz w:val="20"/>
          <w:szCs w:val="20"/>
        </w:rPr>
        <w:t xml:space="preserve">O estudo analisa as tendências do orçamento e financiamento da política de assistência social no terceiro mandato do governo Lula, e suas implicações para a oferta dos serviços, programas, projetos e benefícios desta política pública social. Foi realizada revisão bibliográfica e pesquisa documental </w:t>
      </w:r>
      <w:r w:rsidRPr="00103B14">
        <w:rPr>
          <w:sz w:val="20"/>
          <w:szCs w:val="20"/>
        </w:rPr>
        <w:t>considerando o período dos anos de 2023 até junho de 2025.</w:t>
      </w:r>
      <w:r>
        <w:rPr>
          <w:sz w:val="20"/>
          <w:szCs w:val="20"/>
        </w:rPr>
        <w:t xml:space="preserve"> Conclui-se que o governo Lula III mantém a centralidade nos programas de transferência de renda, com ações focalizadas na minimização dos efeitos provocados pelo quadro de pobreza extrema que ainda existe no Brasil cuja materialização perpetua práticas assistencialistas e clientelistas.</w:t>
      </w:r>
    </w:p>
    <w:p w14:paraId="0405D881" w14:textId="77777777" w:rsidR="00B277CA" w:rsidRDefault="00B277CA" w:rsidP="00DF68AC">
      <w:pPr>
        <w:spacing w:line="240" w:lineRule="auto"/>
        <w:ind w:left="2835"/>
        <w:jc w:val="both"/>
        <w:rPr>
          <w:sz w:val="20"/>
          <w:szCs w:val="20"/>
        </w:rPr>
      </w:pPr>
      <w:r>
        <w:rPr>
          <w:sz w:val="20"/>
          <w:szCs w:val="20"/>
        </w:rPr>
        <w:t xml:space="preserve"> </w:t>
      </w:r>
    </w:p>
    <w:p w14:paraId="6F4F6FA1" w14:textId="77777777" w:rsidR="00B277CA" w:rsidRDefault="00B277CA">
      <w:pPr>
        <w:spacing w:line="240" w:lineRule="auto"/>
        <w:ind w:left="2835"/>
        <w:jc w:val="both"/>
        <w:rPr>
          <w:sz w:val="20"/>
          <w:szCs w:val="20"/>
        </w:rPr>
      </w:pPr>
      <w:r>
        <w:rPr>
          <w:b/>
          <w:sz w:val="20"/>
          <w:szCs w:val="20"/>
        </w:rPr>
        <w:t>Palavras-chave</w:t>
      </w:r>
      <w:r>
        <w:rPr>
          <w:sz w:val="20"/>
          <w:szCs w:val="20"/>
        </w:rPr>
        <w:t>: Financiamento; assistência social; governo Lula III.</w:t>
      </w:r>
    </w:p>
    <w:p w14:paraId="557A581E" w14:textId="77777777" w:rsidR="00B277CA" w:rsidRDefault="00B277CA">
      <w:pPr>
        <w:spacing w:line="240" w:lineRule="auto"/>
        <w:ind w:left="2835"/>
        <w:jc w:val="both"/>
        <w:rPr>
          <w:sz w:val="20"/>
          <w:szCs w:val="20"/>
        </w:rPr>
      </w:pPr>
    </w:p>
    <w:p w14:paraId="51934EA4" w14:textId="77777777" w:rsidR="00B277CA" w:rsidRPr="00B277CA" w:rsidRDefault="00B277CA">
      <w:pPr>
        <w:spacing w:line="240" w:lineRule="auto"/>
        <w:ind w:left="2835"/>
        <w:jc w:val="both"/>
        <w:rPr>
          <w:sz w:val="20"/>
          <w:szCs w:val="20"/>
          <w:lang w:val="en-US"/>
        </w:rPr>
      </w:pPr>
      <w:r w:rsidRPr="00B277CA">
        <w:rPr>
          <w:b/>
          <w:sz w:val="20"/>
          <w:szCs w:val="20"/>
          <w:lang w:val="en-US"/>
        </w:rPr>
        <w:t>Abstract</w:t>
      </w:r>
    </w:p>
    <w:p w14:paraId="1B3CB7F5" w14:textId="77777777" w:rsidR="00B277CA" w:rsidRPr="00B277CA" w:rsidRDefault="00B277CA" w:rsidP="00DF68AC">
      <w:pPr>
        <w:spacing w:line="240" w:lineRule="auto"/>
        <w:ind w:left="2835"/>
        <w:jc w:val="both"/>
        <w:rPr>
          <w:sz w:val="20"/>
          <w:szCs w:val="20"/>
          <w:lang w:val="en-US"/>
        </w:rPr>
      </w:pPr>
      <w:r w:rsidRPr="00B277CA">
        <w:rPr>
          <w:sz w:val="20"/>
          <w:szCs w:val="20"/>
          <w:lang w:val="en-US"/>
        </w:rPr>
        <w:t xml:space="preserve">The study analyzes the trends in the budget and funding of social assistance policy during Lula's third term, and its implications for the provision of services, programs, projects, and benefits of this social public policy. A literature review and documentary research were conducted considering the period from 2023 to June 2025. It is concluded that the Lula III government maintains its focus on cash transfer programs, with actions aimed at minimizing the effects caused by the extreme poverty situation that still exists in Brazil, which perpetuates </w:t>
      </w:r>
      <w:proofErr w:type="spellStart"/>
      <w:r w:rsidRPr="00B277CA">
        <w:rPr>
          <w:sz w:val="20"/>
          <w:szCs w:val="20"/>
          <w:lang w:val="en-US"/>
        </w:rPr>
        <w:t>assistentialist</w:t>
      </w:r>
      <w:proofErr w:type="spellEnd"/>
      <w:r w:rsidRPr="00B277CA">
        <w:rPr>
          <w:sz w:val="20"/>
          <w:szCs w:val="20"/>
          <w:lang w:val="en-US"/>
        </w:rPr>
        <w:t xml:space="preserve"> and clientelist practices.</w:t>
      </w:r>
    </w:p>
    <w:p w14:paraId="0369E555" w14:textId="77777777" w:rsidR="00B277CA" w:rsidRPr="00B277CA" w:rsidRDefault="00B277CA" w:rsidP="00DF68AC">
      <w:pPr>
        <w:spacing w:line="240" w:lineRule="auto"/>
        <w:ind w:left="2835"/>
        <w:jc w:val="both"/>
        <w:rPr>
          <w:sz w:val="20"/>
          <w:szCs w:val="20"/>
          <w:lang w:val="en-US"/>
        </w:rPr>
      </w:pPr>
    </w:p>
    <w:p w14:paraId="108FB19E" w14:textId="77777777" w:rsidR="00B277CA" w:rsidRPr="00B277CA" w:rsidRDefault="00B277CA" w:rsidP="00DF68AC">
      <w:pPr>
        <w:spacing w:line="240" w:lineRule="auto"/>
        <w:ind w:left="2835"/>
        <w:jc w:val="both"/>
        <w:rPr>
          <w:sz w:val="24"/>
          <w:szCs w:val="24"/>
          <w:lang w:val="en-US"/>
        </w:rPr>
      </w:pPr>
      <w:r w:rsidRPr="00B277CA">
        <w:rPr>
          <w:b/>
          <w:bCs/>
          <w:sz w:val="20"/>
          <w:szCs w:val="20"/>
          <w:lang w:val="en-US"/>
        </w:rPr>
        <w:t>Keywords</w:t>
      </w:r>
      <w:r w:rsidRPr="00B277CA">
        <w:rPr>
          <w:sz w:val="20"/>
          <w:szCs w:val="20"/>
          <w:lang w:val="en-US"/>
        </w:rPr>
        <w:t>: Funding; social assistance; Lula III government.</w:t>
      </w:r>
    </w:p>
    <w:p w14:paraId="739DB5AA" w14:textId="77777777" w:rsidR="00B277CA" w:rsidRPr="00B277CA" w:rsidRDefault="00B277CA">
      <w:pPr>
        <w:spacing w:line="360" w:lineRule="auto"/>
        <w:jc w:val="both"/>
        <w:rPr>
          <w:sz w:val="24"/>
          <w:szCs w:val="24"/>
          <w:lang w:val="en-US"/>
        </w:rPr>
      </w:pPr>
    </w:p>
    <w:p w14:paraId="044F2E9A" w14:textId="77777777" w:rsidR="00B277CA" w:rsidRPr="00B277CA" w:rsidRDefault="00B277CA">
      <w:pPr>
        <w:spacing w:line="360" w:lineRule="auto"/>
        <w:jc w:val="both"/>
        <w:rPr>
          <w:sz w:val="24"/>
          <w:szCs w:val="24"/>
          <w:lang w:val="en-US"/>
        </w:rPr>
      </w:pPr>
    </w:p>
    <w:p w14:paraId="6CBB7686" w14:textId="77777777" w:rsidR="00B277CA" w:rsidRDefault="00B277CA">
      <w:pPr>
        <w:spacing w:line="360" w:lineRule="auto"/>
        <w:rPr>
          <w:sz w:val="24"/>
          <w:szCs w:val="24"/>
        </w:rPr>
      </w:pPr>
      <w:r w:rsidRPr="00B277CA">
        <w:br w:type="page"/>
      </w:r>
      <w:r>
        <w:rPr>
          <w:b/>
          <w:sz w:val="24"/>
          <w:szCs w:val="24"/>
        </w:rPr>
        <w:lastRenderedPageBreak/>
        <w:t>1</w:t>
      </w:r>
      <w:r>
        <w:rPr>
          <w:b/>
          <w:sz w:val="24"/>
          <w:szCs w:val="24"/>
        </w:rPr>
        <w:tab/>
        <w:t>INTRODUÇÃO</w:t>
      </w:r>
    </w:p>
    <w:p w14:paraId="6EBEF5CD" w14:textId="77777777" w:rsidR="00B277CA" w:rsidRDefault="00B277CA">
      <w:pPr>
        <w:spacing w:line="360" w:lineRule="auto"/>
        <w:jc w:val="both"/>
        <w:rPr>
          <w:sz w:val="24"/>
          <w:szCs w:val="24"/>
        </w:rPr>
      </w:pPr>
      <w:bookmarkStart w:id="2" w:name="_heading=h.hy2jfcedwucw" w:colFirst="0" w:colLast="0"/>
      <w:bookmarkEnd w:id="2"/>
    </w:p>
    <w:p w14:paraId="2EE8B4E2" w14:textId="77777777" w:rsidR="00B277CA" w:rsidRDefault="00B277CA">
      <w:pPr>
        <w:widowControl w:val="0"/>
        <w:spacing w:line="328" w:lineRule="auto"/>
        <w:ind w:left="14" w:right="34" w:firstLine="695"/>
        <w:jc w:val="both"/>
        <w:rPr>
          <w:sz w:val="24"/>
          <w:szCs w:val="24"/>
        </w:rPr>
      </w:pPr>
      <w:r>
        <w:rPr>
          <w:sz w:val="24"/>
          <w:szCs w:val="24"/>
        </w:rPr>
        <w:t>O estudo</w:t>
      </w:r>
      <w:r>
        <w:rPr>
          <w:sz w:val="24"/>
          <w:szCs w:val="24"/>
          <w:vertAlign w:val="superscript"/>
        </w:rPr>
        <w:footnoteReference w:id="12"/>
      </w:r>
      <w:r>
        <w:rPr>
          <w:sz w:val="24"/>
          <w:szCs w:val="24"/>
        </w:rPr>
        <w:t xml:space="preserve"> tem por objetivo analisar as tendências do orçamento e financiamento da política de assistência social no terceiro mandato do governo Lula, e suas implicações para a oferta dos serviços, programas, projetos e benefícios desta política pública social. </w:t>
      </w:r>
    </w:p>
    <w:p w14:paraId="306FFBDF" w14:textId="77777777" w:rsidR="00B277CA" w:rsidRDefault="00B277CA">
      <w:pPr>
        <w:widowControl w:val="0"/>
        <w:spacing w:line="328" w:lineRule="auto"/>
        <w:ind w:left="14" w:right="34" w:firstLine="695"/>
        <w:jc w:val="both"/>
        <w:rPr>
          <w:sz w:val="24"/>
          <w:szCs w:val="24"/>
        </w:rPr>
      </w:pPr>
      <w:r>
        <w:rPr>
          <w:sz w:val="24"/>
          <w:szCs w:val="24"/>
        </w:rPr>
        <w:t>O período histórico</w:t>
      </w:r>
      <w:r>
        <w:rPr>
          <w:sz w:val="24"/>
          <w:szCs w:val="24"/>
          <w:vertAlign w:val="superscript"/>
        </w:rPr>
        <w:footnoteReference w:id="13"/>
      </w:r>
      <w:r>
        <w:rPr>
          <w:sz w:val="24"/>
          <w:szCs w:val="24"/>
        </w:rPr>
        <w:t xml:space="preserve"> em análise contempla os anos de 2023 até junho de 2025, e os procedimentos metodológicos adotados foram a revisão bibliográfica, pesquisa documental de informações públicas divulgadas no </w:t>
      </w:r>
      <w:r w:rsidRPr="00166647">
        <w:rPr>
          <w:i/>
          <w:iCs/>
          <w:sz w:val="24"/>
          <w:szCs w:val="24"/>
        </w:rPr>
        <w:t>site</w:t>
      </w:r>
      <w:r>
        <w:rPr>
          <w:sz w:val="24"/>
          <w:szCs w:val="24"/>
          <w:vertAlign w:val="superscript"/>
        </w:rPr>
        <w:footnoteReference w:id="14"/>
      </w:r>
      <w:r>
        <w:rPr>
          <w:sz w:val="24"/>
          <w:szCs w:val="24"/>
        </w:rPr>
        <w:t xml:space="preserve"> do Fundo Nacional de Assistência Social (MDS/FNAS) e consulta ao SIGA Brasil/Painel especialista</w:t>
      </w:r>
      <w:r>
        <w:rPr>
          <w:sz w:val="24"/>
          <w:szCs w:val="24"/>
          <w:vertAlign w:val="superscript"/>
        </w:rPr>
        <w:footnoteReference w:id="15"/>
      </w:r>
      <w:r>
        <w:rPr>
          <w:sz w:val="24"/>
          <w:szCs w:val="24"/>
        </w:rPr>
        <w:t xml:space="preserve">  do Senado Federal, com enfoque nos recursos do governo federal que tratam do financiamento da política de assistência social (Função 08 do orçamento da Seguridade Social). </w:t>
      </w:r>
    </w:p>
    <w:p w14:paraId="531E7593" w14:textId="77777777" w:rsidR="00B277CA" w:rsidRDefault="00B277CA">
      <w:pPr>
        <w:widowControl w:val="0"/>
        <w:spacing w:line="329" w:lineRule="auto"/>
        <w:ind w:left="11" w:right="34" w:firstLine="851"/>
        <w:jc w:val="both"/>
        <w:rPr>
          <w:sz w:val="24"/>
          <w:szCs w:val="24"/>
        </w:rPr>
      </w:pPr>
      <w:r>
        <w:rPr>
          <w:sz w:val="24"/>
          <w:szCs w:val="24"/>
        </w:rPr>
        <w:t xml:space="preserve">As questões norteadoras versam acerca das implicações para o pacto federativo brasileiro com o crescente desfinanciamento do orçamento da assistência social, e o seu  atual modelo  que privilegia recursos para programas de transferência condicionada de renda (Bolsa família e Benefício de Prestação Continuada), em detrimento dos serviços de proteção social básica e especial da assistência social, o que acaba direcionando os  recursos financeiros para programas focalizados, com o aumento da  prevalência de aspectos gerenciais e contábeis de aplicação dos programas em detrimento dos objetivos mais amplos do bem-estar da cidadania. </w:t>
      </w:r>
    </w:p>
    <w:p w14:paraId="529160E4" w14:textId="77777777" w:rsidR="00B277CA" w:rsidRDefault="00B277CA">
      <w:pPr>
        <w:widowControl w:val="0"/>
        <w:spacing w:line="329" w:lineRule="auto"/>
        <w:ind w:left="11" w:right="34" w:firstLine="851"/>
        <w:jc w:val="both"/>
        <w:rPr>
          <w:color w:val="FF0000"/>
          <w:sz w:val="24"/>
          <w:szCs w:val="24"/>
        </w:rPr>
      </w:pPr>
      <w:r>
        <w:rPr>
          <w:sz w:val="24"/>
          <w:szCs w:val="24"/>
        </w:rPr>
        <w:t xml:space="preserve">A focalização deixa de fora um conjunto de cidadãos sem direitos, que não se enquadram nos critérios de elegibilidade dos programas da assistência social e </w:t>
      </w:r>
      <w:r>
        <w:rPr>
          <w:sz w:val="24"/>
          <w:szCs w:val="24"/>
        </w:rPr>
        <w:lastRenderedPageBreak/>
        <w:t xml:space="preserve">não integram os direitos securitários da previdência social, cada vez mais ameaçados e questionados pela equipe econômica do próprio governo Lula. Acrescido a isso o Novo Arcabouço Fiscal, é um mecanismo que acaba limitando o investimento do governo federal no Sistema Único de Assistência Social (SUAS), e em todos os denominados gastos sociais. </w:t>
      </w:r>
    </w:p>
    <w:p w14:paraId="2E3EF886" w14:textId="77777777" w:rsidR="00B277CA" w:rsidRDefault="00B277CA">
      <w:pPr>
        <w:spacing w:line="360" w:lineRule="auto"/>
        <w:jc w:val="both"/>
        <w:rPr>
          <w:sz w:val="24"/>
          <w:szCs w:val="24"/>
        </w:rPr>
      </w:pPr>
    </w:p>
    <w:p w14:paraId="40D10386" w14:textId="77777777" w:rsidR="00B277CA" w:rsidRDefault="00B277CA">
      <w:pPr>
        <w:spacing w:line="360" w:lineRule="auto"/>
        <w:jc w:val="both"/>
        <w:rPr>
          <w:sz w:val="24"/>
          <w:szCs w:val="24"/>
        </w:rPr>
      </w:pPr>
      <w:r>
        <w:rPr>
          <w:b/>
          <w:sz w:val="24"/>
          <w:szCs w:val="24"/>
        </w:rPr>
        <w:t>2</w:t>
      </w:r>
      <w:r>
        <w:rPr>
          <w:b/>
          <w:sz w:val="24"/>
          <w:szCs w:val="24"/>
        </w:rPr>
        <w:tab/>
        <w:t>GOVERNO LULA III E A MANUTENÇÃO DA AUSTERIDADE</w:t>
      </w:r>
    </w:p>
    <w:p w14:paraId="2D80F32A" w14:textId="77777777" w:rsidR="00B277CA" w:rsidRDefault="00B277CA">
      <w:pPr>
        <w:spacing w:line="360" w:lineRule="auto"/>
        <w:ind w:firstLine="709"/>
        <w:jc w:val="both"/>
        <w:rPr>
          <w:sz w:val="24"/>
          <w:szCs w:val="24"/>
          <w:highlight w:val="yellow"/>
        </w:rPr>
      </w:pPr>
    </w:p>
    <w:p w14:paraId="46FD50AC" w14:textId="77777777" w:rsidR="00B277CA" w:rsidRDefault="00B277CA">
      <w:pPr>
        <w:spacing w:line="360" w:lineRule="auto"/>
        <w:ind w:firstLine="709"/>
        <w:jc w:val="both"/>
        <w:rPr>
          <w:sz w:val="24"/>
          <w:szCs w:val="24"/>
        </w:rPr>
      </w:pPr>
      <w:r>
        <w:rPr>
          <w:sz w:val="24"/>
          <w:szCs w:val="24"/>
        </w:rPr>
        <w:t xml:space="preserve">Iniciamos este item questionando o que há de “novo” no capitalismo? </w:t>
      </w:r>
      <w:proofErr w:type="spellStart"/>
      <w:r>
        <w:rPr>
          <w:sz w:val="24"/>
          <w:szCs w:val="24"/>
        </w:rPr>
        <w:t>Carcanholo</w:t>
      </w:r>
      <w:proofErr w:type="spellEnd"/>
      <w:r>
        <w:rPr>
          <w:sz w:val="24"/>
          <w:szCs w:val="24"/>
        </w:rPr>
        <w:t xml:space="preserve"> e </w:t>
      </w:r>
      <w:proofErr w:type="spellStart"/>
      <w:r>
        <w:rPr>
          <w:sz w:val="24"/>
          <w:szCs w:val="24"/>
        </w:rPr>
        <w:t>Nakatani</w:t>
      </w:r>
      <w:proofErr w:type="spellEnd"/>
      <w:r>
        <w:rPr>
          <w:sz w:val="24"/>
          <w:szCs w:val="24"/>
        </w:rPr>
        <w:t xml:space="preserve"> (2015, p. 31-34) definem que uma das características básicas do capitalismo contemporâneo “consiste na financeirização ou generalização do movimento especulativo do capital”. Ou seja, é a “lógica especulativa do capital sobre sua circulação e reprodução no espaço internacional que define esta nova etapa”. No processo de acumulação de riquezas no capitalismo contemporâneo temos a dominância do capital fictício sobre o capital produtivo e as outras formas de capital, assim como o aumento da exploração dos trabalhadores assalariados e a ampliação do consumo de produtos dispensáveis (</w:t>
      </w:r>
      <w:proofErr w:type="spellStart"/>
      <w:r>
        <w:rPr>
          <w:sz w:val="24"/>
          <w:szCs w:val="24"/>
        </w:rPr>
        <w:t>Carcanholo</w:t>
      </w:r>
      <w:proofErr w:type="spellEnd"/>
      <w:r>
        <w:rPr>
          <w:sz w:val="24"/>
          <w:szCs w:val="24"/>
        </w:rPr>
        <w:t xml:space="preserve"> e </w:t>
      </w:r>
      <w:proofErr w:type="spellStart"/>
      <w:r>
        <w:rPr>
          <w:sz w:val="24"/>
          <w:szCs w:val="24"/>
        </w:rPr>
        <w:t>Nakatani</w:t>
      </w:r>
      <w:proofErr w:type="spellEnd"/>
      <w:r>
        <w:rPr>
          <w:sz w:val="24"/>
          <w:szCs w:val="24"/>
        </w:rPr>
        <w:t xml:space="preserve">, 2015). </w:t>
      </w:r>
    </w:p>
    <w:p w14:paraId="7F0CBC15" w14:textId="77777777" w:rsidR="00B277CA" w:rsidRPr="00D64D75" w:rsidRDefault="00B277CA" w:rsidP="00D64D75">
      <w:pPr>
        <w:spacing w:line="360" w:lineRule="auto"/>
        <w:ind w:firstLine="709"/>
        <w:jc w:val="both"/>
        <w:rPr>
          <w:sz w:val="24"/>
          <w:szCs w:val="24"/>
        </w:rPr>
      </w:pPr>
      <w:r>
        <w:rPr>
          <w:sz w:val="24"/>
          <w:szCs w:val="24"/>
        </w:rPr>
        <w:t>Neste contexto, os autores destacam que o predomínio do capital especulativo parasitário só pode prevalecer marcado por profundas e recorrentes crises financeiras e “por uma polarização de magnífica riqueza material de um lado e profunda e crescente miséria em grande parte do mundo” (</w:t>
      </w:r>
      <w:proofErr w:type="spellStart"/>
      <w:r>
        <w:rPr>
          <w:sz w:val="24"/>
          <w:szCs w:val="24"/>
        </w:rPr>
        <w:t>Carcanholo</w:t>
      </w:r>
      <w:proofErr w:type="spellEnd"/>
      <w:r>
        <w:rPr>
          <w:sz w:val="24"/>
          <w:szCs w:val="24"/>
        </w:rPr>
        <w:t xml:space="preserve"> e </w:t>
      </w:r>
      <w:proofErr w:type="spellStart"/>
      <w:r>
        <w:rPr>
          <w:sz w:val="24"/>
          <w:szCs w:val="24"/>
        </w:rPr>
        <w:t>Nakatani</w:t>
      </w:r>
      <w:proofErr w:type="spellEnd"/>
      <w:r>
        <w:rPr>
          <w:sz w:val="24"/>
          <w:szCs w:val="24"/>
        </w:rPr>
        <w:t xml:space="preserve">, 2015, p. 57). </w:t>
      </w:r>
    </w:p>
    <w:p w14:paraId="26987D86" w14:textId="77777777" w:rsidR="00B277CA" w:rsidRDefault="00B277CA" w:rsidP="001A1076">
      <w:pPr>
        <w:spacing w:line="360" w:lineRule="auto"/>
        <w:ind w:firstLine="709"/>
        <w:jc w:val="both"/>
        <w:rPr>
          <w:sz w:val="24"/>
          <w:szCs w:val="24"/>
        </w:rPr>
      </w:pPr>
      <w:proofErr w:type="spellStart"/>
      <w:r>
        <w:rPr>
          <w:sz w:val="24"/>
          <w:szCs w:val="24"/>
        </w:rPr>
        <w:t>Nakatani</w:t>
      </w:r>
      <w:proofErr w:type="spellEnd"/>
      <w:r>
        <w:rPr>
          <w:sz w:val="24"/>
          <w:szCs w:val="24"/>
        </w:rPr>
        <w:t xml:space="preserve"> e Marques (2020, p. 93-94) apontam que o destaque dado à crise de 2007-2008 deve-se ao fato dela “ter tido como centro o país hegemônico do capitalismo, como na crise de 1929”. A crise de 2007-2008 é caracterizada “como uma crise financeira, que teria contaminado o lado real da economia”. </w:t>
      </w:r>
    </w:p>
    <w:p w14:paraId="431435F3" w14:textId="77777777" w:rsidR="00B277CA" w:rsidRDefault="00B277CA" w:rsidP="001A1076">
      <w:pPr>
        <w:spacing w:line="360" w:lineRule="auto"/>
        <w:ind w:firstLine="709"/>
        <w:jc w:val="both"/>
        <w:rPr>
          <w:sz w:val="24"/>
          <w:szCs w:val="24"/>
        </w:rPr>
      </w:pPr>
    </w:p>
    <w:p w14:paraId="796694EC" w14:textId="77777777" w:rsidR="00B277CA" w:rsidRDefault="00B277CA" w:rsidP="001A1076">
      <w:pPr>
        <w:spacing w:line="240" w:lineRule="auto"/>
        <w:ind w:left="2268"/>
        <w:jc w:val="both"/>
        <w:rPr>
          <w:color w:val="000000"/>
          <w:sz w:val="20"/>
          <w:szCs w:val="20"/>
        </w:rPr>
      </w:pPr>
      <w:r>
        <w:rPr>
          <w:color w:val="000000"/>
          <w:sz w:val="20"/>
          <w:szCs w:val="20"/>
        </w:rPr>
        <w:t xml:space="preserve">O capital se movimenta de forma cíclica, com períodos de expansão e de crise. Um dos determinantes da crise é a superacumulação de capital, que acompanha a concentração e a centralização de capitais e pressiona para baixo a taxa de lucro. Os momentos de crise são aqueles em que o capital se livra de suas escórias, daquela parte ineficiente e pouco produtiva. Com exceção das duas grandes guerras em que ocorreram a destruição maciça </w:t>
      </w:r>
      <w:r>
        <w:rPr>
          <w:color w:val="000000"/>
          <w:sz w:val="20"/>
          <w:szCs w:val="20"/>
        </w:rPr>
        <w:lastRenderedPageBreak/>
        <w:t>de capital na sua forma física, nos outros momentos as crises costumam desvalorizar o capital em sua forma dinheiro. Essa é uma das razões pela qual as crises do capital aparecem como crises financeiras (</w:t>
      </w:r>
      <w:proofErr w:type="spellStart"/>
      <w:r>
        <w:rPr>
          <w:color w:val="000000"/>
          <w:sz w:val="20"/>
          <w:szCs w:val="20"/>
        </w:rPr>
        <w:t>Nakatani</w:t>
      </w:r>
      <w:proofErr w:type="spellEnd"/>
      <w:r>
        <w:rPr>
          <w:color w:val="000000"/>
          <w:sz w:val="20"/>
          <w:szCs w:val="20"/>
        </w:rPr>
        <w:t xml:space="preserve"> e Marques (2020, p. 70).</w:t>
      </w:r>
    </w:p>
    <w:p w14:paraId="6F6C2648" w14:textId="77777777" w:rsidR="00B277CA" w:rsidRDefault="00B277CA" w:rsidP="006F37CA">
      <w:pPr>
        <w:spacing w:line="360" w:lineRule="auto"/>
        <w:jc w:val="both"/>
        <w:rPr>
          <w:sz w:val="24"/>
          <w:szCs w:val="24"/>
        </w:rPr>
      </w:pPr>
    </w:p>
    <w:p w14:paraId="23057E6F" w14:textId="77777777" w:rsidR="00B277CA" w:rsidRDefault="00B277CA">
      <w:pPr>
        <w:spacing w:line="360" w:lineRule="auto"/>
        <w:ind w:firstLine="709"/>
        <w:jc w:val="both"/>
        <w:rPr>
          <w:sz w:val="24"/>
          <w:szCs w:val="24"/>
        </w:rPr>
      </w:pPr>
      <w:r>
        <w:rPr>
          <w:sz w:val="24"/>
          <w:szCs w:val="24"/>
        </w:rPr>
        <w:t xml:space="preserve">As novas repercussões da crise na última década, conduziram diferentes países (centrais e periféricos) à implementação de um agressivo processo de contrarreformas – como parte das propostas de ajuste estrutural neoliberal e a austeridade se apresenta como resposta às crises do capitalismo em defesa dos interesses desse sistema. </w:t>
      </w:r>
    </w:p>
    <w:p w14:paraId="24D03FEB" w14:textId="77777777" w:rsidR="00B277CA" w:rsidRDefault="00B277CA">
      <w:pPr>
        <w:spacing w:line="360" w:lineRule="auto"/>
        <w:ind w:firstLine="720"/>
        <w:jc w:val="both"/>
        <w:rPr>
          <w:sz w:val="24"/>
          <w:szCs w:val="24"/>
        </w:rPr>
      </w:pPr>
      <w:r>
        <w:rPr>
          <w:sz w:val="24"/>
          <w:szCs w:val="24"/>
        </w:rPr>
        <w:t xml:space="preserve">Segundo Mattei (2023) a austeridade não é nova e nem produto da chamada era neoliberal pós 1970. Surgiu após a 1ª Guerra Mundial enquanto método para prevenir o colapso do capitalismo, articulada ao fascismo, sendo, portanto, mais que uma política econômica, é também política. “É um sustentáculo do capitalismo moderno (Mattei, p.19) e configura-se como resposta não somente às crises econômicas, mas às crises do capitalismo, ou seja, a defesa deste sistema. </w:t>
      </w:r>
    </w:p>
    <w:p w14:paraId="6430DACF" w14:textId="77777777" w:rsidR="00B277CA" w:rsidRDefault="00B277CA">
      <w:pPr>
        <w:spacing w:line="360" w:lineRule="auto"/>
        <w:jc w:val="both"/>
        <w:rPr>
          <w:sz w:val="24"/>
          <w:szCs w:val="24"/>
        </w:rPr>
      </w:pPr>
      <w:r>
        <w:rPr>
          <w:sz w:val="24"/>
          <w:szCs w:val="24"/>
        </w:rPr>
        <w:tab/>
        <w:t>Mattei (2023) apresenta a austeridade como um conjunto de barreiras de proteção fiscais, monetárias e industriais. Neste sentido, a autora apresenta ao que denomina de tríade da austeridade, ou as três formas de políticas de austeridade: fiscal, monetária e industrial, que atuam “em uníssono para desarmar as classes trabalhadoras e exercer pressão pela redução dos salários” (Mattei, 2023, p. 189).</w:t>
      </w:r>
    </w:p>
    <w:p w14:paraId="41471921" w14:textId="77777777" w:rsidR="00B277CA" w:rsidRDefault="00B277CA">
      <w:pPr>
        <w:spacing w:line="360" w:lineRule="auto"/>
        <w:jc w:val="both"/>
        <w:rPr>
          <w:sz w:val="24"/>
          <w:szCs w:val="24"/>
        </w:rPr>
      </w:pPr>
      <w:r>
        <w:rPr>
          <w:sz w:val="24"/>
          <w:szCs w:val="24"/>
        </w:rPr>
        <w:tab/>
        <w:t xml:space="preserve">A austeridade fiscal tem por objetivo restabelecer a estabilidade monetária e o domínio das instituições tecnocráticas, com tributação regressiva, salvaguardar a propriedade privada dos meios de produção e cortes nos gastos públicos como saúde, educação, etc. (Mattei, 2023). </w:t>
      </w:r>
    </w:p>
    <w:p w14:paraId="5F9BF056" w14:textId="77777777" w:rsidR="00B277CA" w:rsidRDefault="00B277CA">
      <w:pPr>
        <w:spacing w:line="360" w:lineRule="auto"/>
        <w:jc w:val="both"/>
        <w:rPr>
          <w:sz w:val="24"/>
          <w:szCs w:val="24"/>
        </w:rPr>
      </w:pPr>
      <w:r>
        <w:rPr>
          <w:sz w:val="24"/>
          <w:szCs w:val="24"/>
        </w:rPr>
        <w:tab/>
        <w:t>A austeridade monetária protege os credores e molda o comportamento dos agentes econômicos de forma favorável à acumulação do capital, aumentando a taxa de juros, redução da oferta da moeda e autonomia do Banco Central (Mattei, 2023).</w:t>
      </w:r>
    </w:p>
    <w:p w14:paraId="7C5FFBEA" w14:textId="77777777" w:rsidR="00B277CA" w:rsidRDefault="00B277CA" w:rsidP="00637E79">
      <w:pPr>
        <w:spacing w:line="360" w:lineRule="auto"/>
        <w:ind w:firstLine="720"/>
        <w:jc w:val="both"/>
        <w:rPr>
          <w:sz w:val="24"/>
          <w:szCs w:val="24"/>
        </w:rPr>
      </w:pPr>
      <w:r>
        <w:rPr>
          <w:sz w:val="24"/>
          <w:szCs w:val="24"/>
        </w:rPr>
        <w:t xml:space="preserve">A austeridade industrial compõe um conjunto de políticas industriais autoritárias como contrarreformas trabalhistas, suspensão de contratos de trabalho, reduções salariais, enfraquecimento dos movimentos dos trabalhadores como greves e os </w:t>
      </w:r>
      <w:r>
        <w:rPr>
          <w:sz w:val="24"/>
          <w:szCs w:val="24"/>
        </w:rPr>
        <w:lastRenderedPageBreak/>
        <w:t>sindicatos, com objetivos de disciplinar os trabalhadores, amansar os conflitos de classe e produz aumento da taxa de exploração dos trabalhadores e um aumento nos lucros para os proprietários (Mattei, 2023).</w:t>
      </w:r>
    </w:p>
    <w:p w14:paraId="095036B3" w14:textId="77777777" w:rsidR="00B277CA" w:rsidRDefault="00B277CA">
      <w:pPr>
        <w:spacing w:line="360" w:lineRule="auto"/>
        <w:jc w:val="both"/>
        <w:rPr>
          <w:sz w:val="24"/>
          <w:szCs w:val="24"/>
        </w:rPr>
      </w:pPr>
      <w:r>
        <w:rPr>
          <w:sz w:val="24"/>
          <w:szCs w:val="24"/>
        </w:rPr>
        <w:tab/>
        <w:t>Para Mattei (2023) a austeridade é um movimento carente de realização democrática, pois asfixia as promessas constitucionais de efetivação de direitos fundamentais, esvaziando o Estado social</w:t>
      </w:r>
      <w:r>
        <w:rPr>
          <w:sz w:val="24"/>
          <w:szCs w:val="24"/>
          <w:vertAlign w:val="superscript"/>
        </w:rPr>
        <w:footnoteReference w:id="16"/>
      </w:r>
      <w:r>
        <w:rPr>
          <w:sz w:val="24"/>
          <w:szCs w:val="24"/>
        </w:rPr>
        <w:t>.</w:t>
      </w:r>
    </w:p>
    <w:p w14:paraId="654F19B6" w14:textId="77777777" w:rsidR="00B277CA" w:rsidRDefault="00B277CA">
      <w:pPr>
        <w:spacing w:line="360" w:lineRule="auto"/>
        <w:ind w:firstLine="708"/>
        <w:jc w:val="both"/>
        <w:rPr>
          <w:sz w:val="24"/>
          <w:szCs w:val="24"/>
        </w:rPr>
      </w:pPr>
      <w:r>
        <w:rPr>
          <w:sz w:val="24"/>
          <w:szCs w:val="24"/>
        </w:rPr>
        <w:t>No Brasil, o “Estado social” e seu capitalismo periférico e dependente, sustenta-se em relações de superexploração da classe trabalhadora, contribuindo “de modo mais contundente para o processo de acumulação do capital, pois estimula fortemente a mercantilização de bens e serviços básicos como saúde, educação, previdência, habitação, transporte, água, energia” (Boschetti, 2016, p. 74). Estes processos são aprofundados no contexto do neoliberalismo e do neoconservadorismo.</w:t>
      </w:r>
    </w:p>
    <w:p w14:paraId="269A4D29" w14:textId="77777777" w:rsidR="00B277CA" w:rsidRDefault="00B277CA">
      <w:pPr>
        <w:spacing w:line="360" w:lineRule="auto"/>
        <w:ind w:firstLine="709"/>
        <w:jc w:val="both"/>
        <w:rPr>
          <w:sz w:val="24"/>
          <w:szCs w:val="24"/>
        </w:rPr>
      </w:pPr>
      <w:r>
        <w:rPr>
          <w:sz w:val="24"/>
          <w:szCs w:val="24"/>
        </w:rPr>
        <w:t xml:space="preserve">Conforme Filgueiras, Sena Júnior e Felipe Miguel (2023, p. 3) o governo Lula III não se constitui como nos períodos anteriores (Lula I e Lula II), no sentido de “não mais conter o governo, esvaziar seu ímpeto transformador, obrigá-lo a compromissos com o </w:t>
      </w:r>
      <w:r>
        <w:rPr>
          <w:i/>
          <w:sz w:val="24"/>
          <w:szCs w:val="24"/>
        </w:rPr>
        <w:t>status quo</w:t>
      </w:r>
      <w:r>
        <w:rPr>
          <w:sz w:val="24"/>
          <w:szCs w:val="24"/>
        </w:rPr>
        <w:t>”. Trata-se neste governo, de uma “tentativa de destruí-lo, de impedi-lo de exercer, de fato, a tarefa [...] governar”. Ainda de acordo com os autores, a questão da governabilidade passou a ser central neste governo, no qual “o Executivo garante apoio e aprovação para seus projetos distribuindo verbas, ministérios e nacos de influência nos órgãos estatais federais aos parlamentares”. Nesta direção, o governo Lula III</w:t>
      </w:r>
    </w:p>
    <w:p w14:paraId="088EE2E8" w14:textId="77777777" w:rsidR="00B277CA" w:rsidRDefault="00B277CA">
      <w:pPr>
        <w:spacing w:line="240" w:lineRule="auto"/>
        <w:ind w:left="2268"/>
        <w:jc w:val="both"/>
        <w:rPr>
          <w:sz w:val="24"/>
          <w:szCs w:val="24"/>
        </w:rPr>
      </w:pPr>
      <w:r w:rsidRPr="00896534">
        <w:rPr>
          <w:color w:val="000000" w:themeColor="text1"/>
          <w:sz w:val="20"/>
          <w:szCs w:val="20"/>
        </w:rPr>
        <w:t xml:space="preserve">[...] constituído por uma ampla frente, será permanentemente tenso e objeto de disputa, em todas as áreas, entre as diferentes forças políticas que o compõem. Para além do embate orçamentário, do ponto de vista setorial – destacadamente saúde, educação, meio ambiente e energia – o </w:t>
      </w:r>
      <w:r>
        <w:rPr>
          <w:sz w:val="20"/>
          <w:szCs w:val="20"/>
        </w:rPr>
        <w:t xml:space="preserve">enfrentamento entre os interesses públicos e privados (de classes) se explicitam a cada momento tendo por objeto, entre outras, as políticas a </w:t>
      </w:r>
      <w:r>
        <w:rPr>
          <w:sz w:val="20"/>
          <w:szCs w:val="20"/>
        </w:rPr>
        <w:lastRenderedPageBreak/>
        <w:t>serem adotadas para o SUS, para o ensino médio e superior e para o desenvolvimento da Amazônia e os povos originários, além do estatuto e da política de preços da Petrobras (Filgueiras, Sena Júnior &amp; Felipe Miguel, 2003, p. 6).</w:t>
      </w:r>
    </w:p>
    <w:p w14:paraId="6CA39CEB" w14:textId="77777777" w:rsidR="00B277CA" w:rsidRDefault="00B277CA">
      <w:pPr>
        <w:spacing w:line="360" w:lineRule="auto"/>
        <w:jc w:val="both"/>
        <w:rPr>
          <w:sz w:val="24"/>
          <w:szCs w:val="24"/>
        </w:rPr>
      </w:pPr>
    </w:p>
    <w:p w14:paraId="5BC7DDE1" w14:textId="77777777" w:rsidR="00B277CA" w:rsidRDefault="00B277CA">
      <w:pPr>
        <w:spacing w:line="360" w:lineRule="auto"/>
        <w:ind w:firstLine="720"/>
        <w:jc w:val="both"/>
        <w:rPr>
          <w:sz w:val="24"/>
          <w:szCs w:val="24"/>
        </w:rPr>
      </w:pPr>
      <w:r>
        <w:rPr>
          <w:sz w:val="24"/>
          <w:szCs w:val="24"/>
        </w:rPr>
        <w:t>De acordo com Alencar Júnior (2024), a transição do governo Bolsonaro para o governo Lula III no Brasil foi marcada por um debate sobre a mudança no regime fiscal vigente, pois o Novo Arcabouço Fiscal (NAF) estabelecido pelo governo Temer não atingiu seu objetivo de reduzir ou estabilizar a dívida pública.</w:t>
      </w:r>
    </w:p>
    <w:p w14:paraId="1D97D9FB" w14:textId="77777777" w:rsidR="00B277CA" w:rsidRDefault="00B277CA">
      <w:pPr>
        <w:spacing w:line="360" w:lineRule="auto"/>
        <w:ind w:firstLine="720"/>
        <w:jc w:val="both"/>
        <w:rPr>
          <w:color w:val="0D0D0D"/>
          <w:sz w:val="24"/>
          <w:szCs w:val="24"/>
        </w:rPr>
      </w:pPr>
      <w:r>
        <w:rPr>
          <w:sz w:val="24"/>
          <w:szCs w:val="24"/>
          <w:highlight w:val="white"/>
        </w:rPr>
        <w:t xml:space="preserve">O </w:t>
      </w:r>
      <w:r>
        <w:rPr>
          <w:sz w:val="24"/>
          <w:szCs w:val="24"/>
        </w:rPr>
        <w:t xml:space="preserve">NAF, conforme Silva (2024) é </w:t>
      </w:r>
      <w:r>
        <w:rPr>
          <w:color w:val="000000"/>
          <w:sz w:val="24"/>
          <w:szCs w:val="24"/>
        </w:rPr>
        <w:t xml:space="preserve">um marco na política econômica do primeiro ano do terceiro mandato do presidente </w:t>
      </w:r>
      <w:r>
        <w:rPr>
          <w:sz w:val="24"/>
          <w:szCs w:val="24"/>
        </w:rPr>
        <w:t>Luiz</w:t>
      </w:r>
      <w:r>
        <w:rPr>
          <w:color w:val="000000"/>
          <w:sz w:val="24"/>
          <w:szCs w:val="24"/>
        </w:rPr>
        <w:t xml:space="preserve"> Inácio Lula da Silva (2023-2026) e de continuidade das políticas de austeridade no Brasil instituídas desde os anos 1990, in</w:t>
      </w:r>
      <w:r>
        <w:rPr>
          <w:color w:val="0D0D0D"/>
          <w:sz w:val="24"/>
          <w:szCs w:val="24"/>
        </w:rPr>
        <w:t>tegrando um conjunto de proposições e recomendações, de caráter econômico e político-institucional, dos organismos financeiros multilaterais como o Banco Mundial, o Banco Internacional para a Reconstrução e Desenvolvimento (BIRD), o Banco Interamericano de Desenvolvimento (BID) e o Fundo Monetário Internacional (FMI), entre as quais destacam-se: a retração estatal na área social, com restrição/corte dos gastos públicos para conter o déficit fiscal e gerar superávit primário; a privatização de serviços públicos e estatais e, a desnacionalização de empresas públicas, com transferência para o capital privado transnacional.</w:t>
      </w:r>
    </w:p>
    <w:p w14:paraId="65923278" w14:textId="77777777" w:rsidR="00B277CA" w:rsidRDefault="00B277CA" w:rsidP="0086307E">
      <w:pPr>
        <w:spacing w:line="240" w:lineRule="auto"/>
        <w:ind w:firstLine="720"/>
        <w:jc w:val="both"/>
        <w:rPr>
          <w:color w:val="0D0D0D"/>
          <w:sz w:val="24"/>
          <w:szCs w:val="24"/>
        </w:rPr>
      </w:pPr>
      <w:r w:rsidRPr="0086307E">
        <w:rPr>
          <w:color w:val="0D0D0D"/>
          <w:sz w:val="24"/>
          <w:szCs w:val="24"/>
        </w:rPr>
        <w:t>Salvador (2024, p. 16) sintetiza que o NAF </w:t>
      </w:r>
    </w:p>
    <w:p w14:paraId="34A71FF4" w14:textId="77777777" w:rsidR="00B277CA" w:rsidRPr="0086307E" w:rsidRDefault="00B277CA" w:rsidP="0086307E">
      <w:pPr>
        <w:spacing w:line="240" w:lineRule="auto"/>
        <w:ind w:firstLine="720"/>
        <w:jc w:val="both"/>
        <w:rPr>
          <w:color w:val="0D0D0D"/>
          <w:sz w:val="24"/>
          <w:szCs w:val="24"/>
        </w:rPr>
      </w:pPr>
    </w:p>
    <w:p w14:paraId="0A819EDF" w14:textId="77777777" w:rsidR="00B277CA" w:rsidRPr="00F511FD" w:rsidRDefault="00B277CA" w:rsidP="0086307E">
      <w:pPr>
        <w:spacing w:line="240" w:lineRule="auto"/>
        <w:ind w:left="2268"/>
        <w:jc w:val="both"/>
        <w:rPr>
          <w:color w:val="000000" w:themeColor="text1"/>
          <w:sz w:val="24"/>
          <w:szCs w:val="24"/>
        </w:rPr>
      </w:pPr>
      <w:r w:rsidRPr="00F511FD">
        <w:rPr>
          <w:color w:val="000000" w:themeColor="text1"/>
          <w:sz w:val="20"/>
          <w:szCs w:val="20"/>
        </w:rPr>
        <w:t>[...] ao mesmo tempo em que os rentistas das dívidas são beneficiados com a política fiscal e monetária, as políticas sociais sofreram fortes impactos dos instrumentos de ajuste fiscal adotados desde então: desvinculação de recursos destinados obrigatoriamente a áreas como Saúde e Educação (...), Lei de Responsabilidade Fiscal e desonerações tributárias, cujos resultados são contrarreformas previdenciárias e trabalhistas, mercantilização e privatização de políticas sociais, subfinanciamento das políticas sociais, em especial da seguridade social (previdência, assistência social e saúde).</w:t>
      </w:r>
    </w:p>
    <w:p w14:paraId="29B89293" w14:textId="77777777" w:rsidR="00B277CA" w:rsidRDefault="00B277CA" w:rsidP="00974CDB">
      <w:pPr>
        <w:spacing w:line="360" w:lineRule="auto"/>
        <w:ind w:firstLine="720"/>
        <w:jc w:val="both"/>
        <w:rPr>
          <w:sz w:val="24"/>
          <w:szCs w:val="24"/>
        </w:rPr>
      </w:pPr>
    </w:p>
    <w:p w14:paraId="28DBE8C5" w14:textId="77777777" w:rsidR="00B277CA" w:rsidRDefault="00B277CA" w:rsidP="0086307E">
      <w:pPr>
        <w:spacing w:line="360" w:lineRule="auto"/>
        <w:ind w:firstLine="720"/>
        <w:jc w:val="both"/>
        <w:rPr>
          <w:sz w:val="24"/>
          <w:szCs w:val="24"/>
        </w:rPr>
      </w:pPr>
      <w:r>
        <w:rPr>
          <w:sz w:val="24"/>
          <w:szCs w:val="24"/>
        </w:rPr>
        <w:t>Temos no Brasil no governo Lula III o aprofundamento das políticas de austeridade que vão impactar no financiamento das políticas sociais, da seguridade social e, particularmente, da assistência social.</w:t>
      </w:r>
    </w:p>
    <w:p w14:paraId="177D9F77" w14:textId="77777777" w:rsidR="00B277CA" w:rsidRDefault="00B277CA">
      <w:pPr>
        <w:spacing w:line="360" w:lineRule="auto"/>
        <w:jc w:val="both"/>
        <w:rPr>
          <w:b/>
          <w:sz w:val="24"/>
          <w:szCs w:val="24"/>
        </w:rPr>
      </w:pPr>
      <w:r>
        <w:rPr>
          <w:b/>
          <w:sz w:val="24"/>
          <w:szCs w:val="24"/>
        </w:rPr>
        <w:lastRenderedPageBreak/>
        <w:t>3 TENDÊNCIAS DO FINANCIAMENTO DA ASSISTÊNCIA SOCIAL NO GOVERNO LULA III</w:t>
      </w:r>
    </w:p>
    <w:p w14:paraId="495B6029" w14:textId="77777777" w:rsidR="00B277CA" w:rsidRDefault="00B277CA">
      <w:pPr>
        <w:spacing w:line="360" w:lineRule="auto"/>
        <w:jc w:val="both"/>
        <w:rPr>
          <w:b/>
          <w:sz w:val="24"/>
          <w:szCs w:val="24"/>
        </w:rPr>
      </w:pPr>
    </w:p>
    <w:p w14:paraId="5184ED1E" w14:textId="77777777" w:rsidR="00B277CA" w:rsidRDefault="00B277CA">
      <w:pPr>
        <w:spacing w:line="360" w:lineRule="auto"/>
        <w:ind w:firstLine="708"/>
        <w:jc w:val="both"/>
        <w:rPr>
          <w:sz w:val="24"/>
          <w:szCs w:val="24"/>
        </w:rPr>
      </w:pPr>
      <w:r>
        <w:rPr>
          <w:sz w:val="24"/>
          <w:szCs w:val="24"/>
        </w:rPr>
        <w:t xml:space="preserve">No capitalismo contemporâneo com a dominância do capital fictício a política de assistência social, como uma política integrante do sistema de seguridade social brasileira, passa a ser a única política com o papel de proteção social, voltada prioritariamente para o atendimento dos mais pobres. Neste sentido, é uma política compatível com o capital especulativo parasitário, pois o combate à pobreza é operado por uma política específica e não articulada às demais políticas econômicas e sociais. </w:t>
      </w:r>
    </w:p>
    <w:p w14:paraId="73898B23" w14:textId="77777777" w:rsidR="00B277CA" w:rsidRPr="0086307E" w:rsidRDefault="00B277CA">
      <w:pPr>
        <w:spacing w:line="360" w:lineRule="auto"/>
        <w:ind w:firstLine="708"/>
        <w:jc w:val="both"/>
        <w:rPr>
          <w:sz w:val="24"/>
          <w:szCs w:val="24"/>
        </w:rPr>
      </w:pPr>
      <w:r w:rsidRPr="0086307E">
        <w:rPr>
          <w:sz w:val="24"/>
          <w:szCs w:val="24"/>
        </w:rPr>
        <w:t xml:space="preserve">Desde 2012, a política de assistência social é regida pela Norma Operacional Básica do SUAS (Resolução CNAS N.33,12/12/2012), cujos princípios e diretrizes em consonância com a Lei Orgânica da Assistência Social (Lei 8.742/1993), define e regulamenta o financiamento, o controle social e democrático e a organização e gestão do Sistema Único de Assistência (SUAS) em todo o território nacional, atribuindo para cada ente federado deveres e responsabilidades para a materialização do sistema.    </w:t>
      </w:r>
    </w:p>
    <w:p w14:paraId="7EABA57D" w14:textId="77777777" w:rsidR="00B277CA" w:rsidRPr="0086307E" w:rsidRDefault="00B277CA">
      <w:pPr>
        <w:spacing w:line="360" w:lineRule="auto"/>
        <w:ind w:firstLine="708"/>
        <w:jc w:val="both"/>
        <w:rPr>
          <w:sz w:val="24"/>
          <w:szCs w:val="24"/>
        </w:rPr>
      </w:pPr>
      <w:r w:rsidRPr="0086307E">
        <w:rPr>
          <w:sz w:val="24"/>
          <w:szCs w:val="24"/>
        </w:rPr>
        <w:t>Segundo o INESC (2024, p.20), o governo Lula em seu terceiro mandato enfrenta dificuldades para financiar as política públicas, porque o  Novo Arcabouço Fiscal (NAF/Lei Complementar N. 200, 22/08/2023) mantém a lógica restritiva de acompanhar bimestralmente os resultados da projeção realizada no ano anterior, e com isso os ministérios acabam fazendo contingenciamento proporcional, ou seja, na prática os gastos são contingenciados durante parte do ano até que a receita tributária efetiva garanta o cumprimento da meta de resultado primário.</w:t>
      </w:r>
    </w:p>
    <w:p w14:paraId="19F89C48" w14:textId="77777777" w:rsidR="00B277CA" w:rsidRPr="0086307E" w:rsidRDefault="00B277CA" w:rsidP="00D64D75">
      <w:pPr>
        <w:spacing w:line="360" w:lineRule="auto"/>
        <w:ind w:firstLine="708"/>
        <w:jc w:val="both"/>
        <w:rPr>
          <w:sz w:val="24"/>
          <w:szCs w:val="24"/>
        </w:rPr>
      </w:pPr>
      <w:r w:rsidRPr="0086307E">
        <w:rPr>
          <w:sz w:val="24"/>
          <w:szCs w:val="24"/>
        </w:rPr>
        <w:t>Ao analisarmos os dados do SIGA Brasil</w:t>
      </w:r>
      <w:r w:rsidRPr="0086307E">
        <w:rPr>
          <w:sz w:val="24"/>
          <w:szCs w:val="24"/>
          <w:vertAlign w:val="superscript"/>
        </w:rPr>
        <w:footnoteReference w:id="17"/>
      </w:r>
      <w:r w:rsidRPr="0086307E">
        <w:rPr>
          <w:sz w:val="24"/>
          <w:szCs w:val="24"/>
        </w:rPr>
        <w:t xml:space="preserve">,  usando como filtro a Função 08, da política de assistência social, no painel de especialistas, exercício fiscal de janeiro de </w:t>
      </w:r>
      <w:r w:rsidRPr="0086307E">
        <w:rPr>
          <w:sz w:val="24"/>
          <w:szCs w:val="24"/>
        </w:rPr>
        <w:lastRenderedPageBreak/>
        <w:t>2020 até dezembro de 2024, encontramos a seguinte evolução do orçamento do S</w:t>
      </w:r>
      <w:r>
        <w:rPr>
          <w:sz w:val="24"/>
          <w:szCs w:val="24"/>
        </w:rPr>
        <w:t>istema Único de Assistência Social (SUAS)</w:t>
      </w:r>
      <w:r w:rsidRPr="0086307E">
        <w:rPr>
          <w:sz w:val="24"/>
          <w:szCs w:val="24"/>
        </w:rPr>
        <w:t xml:space="preserve">:  </w:t>
      </w:r>
    </w:p>
    <w:p w14:paraId="719030F9" w14:textId="77777777" w:rsidR="00B277CA" w:rsidRPr="0086307E" w:rsidRDefault="00B277CA">
      <w:pPr>
        <w:spacing w:line="360" w:lineRule="auto"/>
        <w:ind w:firstLine="708"/>
        <w:jc w:val="center"/>
        <w:rPr>
          <w:sz w:val="24"/>
          <w:szCs w:val="24"/>
        </w:rPr>
      </w:pPr>
    </w:p>
    <w:p w14:paraId="43B3B0D9" w14:textId="77777777" w:rsidR="00B277CA" w:rsidRPr="0086307E" w:rsidRDefault="00B277CA" w:rsidP="00D253C9">
      <w:pPr>
        <w:spacing w:line="360" w:lineRule="auto"/>
        <w:ind w:firstLine="708"/>
        <w:jc w:val="center"/>
        <w:rPr>
          <w:sz w:val="24"/>
          <w:szCs w:val="24"/>
        </w:rPr>
      </w:pPr>
      <w:r w:rsidRPr="00F4259A">
        <w:rPr>
          <w:b/>
          <w:bCs/>
          <w:sz w:val="24"/>
          <w:szCs w:val="24"/>
        </w:rPr>
        <w:t>Tabela 01</w:t>
      </w:r>
      <w:r w:rsidRPr="0086307E">
        <w:rPr>
          <w:sz w:val="24"/>
          <w:szCs w:val="24"/>
        </w:rPr>
        <w:t xml:space="preserve"> - Evolução do Orçamento da </w:t>
      </w:r>
      <w:r>
        <w:rPr>
          <w:sz w:val="24"/>
          <w:szCs w:val="24"/>
        </w:rPr>
        <w:t>F</w:t>
      </w:r>
      <w:r w:rsidRPr="0086307E">
        <w:rPr>
          <w:sz w:val="24"/>
          <w:szCs w:val="24"/>
        </w:rPr>
        <w:t>unção 08 Assistência Social</w:t>
      </w:r>
    </w:p>
    <w:p w14:paraId="5F94605A" w14:textId="77777777" w:rsidR="00B277CA" w:rsidRPr="0086307E" w:rsidRDefault="00B277CA" w:rsidP="00D253C9">
      <w:pPr>
        <w:spacing w:line="360" w:lineRule="auto"/>
        <w:ind w:firstLine="708"/>
        <w:jc w:val="center"/>
        <w:rPr>
          <w:sz w:val="24"/>
          <w:szCs w:val="24"/>
        </w:rPr>
      </w:pPr>
      <w:r w:rsidRPr="0086307E">
        <w:rPr>
          <w:sz w:val="24"/>
          <w:szCs w:val="24"/>
        </w:rPr>
        <w:t>(2020 e 2024)</w:t>
      </w:r>
    </w:p>
    <w:tbl>
      <w:tblPr>
        <w:tblW w:w="9070" w:type="dxa"/>
        <w:tblBorders>
          <w:top w:val="nil"/>
          <w:left w:val="nil"/>
          <w:bottom w:val="nil"/>
          <w:right w:val="nil"/>
          <w:insideH w:val="nil"/>
          <w:insideV w:val="nil"/>
        </w:tblBorders>
        <w:tblLayout w:type="fixed"/>
        <w:tblLook w:val="0600" w:firstRow="0" w:lastRow="0" w:firstColumn="0" w:lastColumn="0" w:noHBand="1" w:noVBand="1"/>
      </w:tblPr>
      <w:tblGrid>
        <w:gridCol w:w="1427"/>
        <w:gridCol w:w="1240"/>
        <w:gridCol w:w="806"/>
        <w:gridCol w:w="1063"/>
        <w:gridCol w:w="1718"/>
        <w:gridCol w:w="1472"/>
        <w:gridCol w:w="1344"/>
      </w:tblGrid>
      <w:tr w:rsidR="00B277CA" w:rsidRPr="0086307E" w14:paraId="502136E2" w14:textId="77777777">
        <w:trPr>
          <w:trHeight w:val="315"/>
        </w:trPr>
        <w:tc>
          <w:tcPr>
            <w:tcW w:w="1426" w:type="dxa"/>
            <w:tcBorders>
              <w:top w:val="nil"/>
              <w:left w:val="nil"/>
              <w:bottom w:val="nil"/>
              <w:right w:val="nil"/>
            </w:tcBorders>
            <w:shd w:val="clear" w:color="auto" w:fill="FFFFFF"/>
            <w:tcMar>
              <w:top w:w="0" w:type="dxa"/>
              <w:left w:w="40" w:type="dxa"/>
              <w:bottom w:w="0" w:type="dxa"/>
              <w:right w:w="40" w:type="dxa"/>
            </w:tcMar>
            <w:vAlign w:val="bottom"/>
          </w:tcPr>
          <w:p w14:paraId="5A414FA2"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Ano</w:t>
            </w:r>
          </w:p>
        </w:tc>
        <w:tc>
          <w:tcPr>
            <w:tcW w:w="1239" w:type="dxa"/>
            <w:tcBorders>
              <w:top w:val="nil"/>
              <w:left w:val="nil"/>
              <w:bottom w:val="nil"/>
              <w:right w:val="nil"/>
            </w:tcBorders>
            <w:shd w:val="clear" w:color="auto" w:fill="FFFFFF"/>
            <w:tcMar>
              <w:top w:w="0" w:type="dxa"/>
              <w:left w:w="40" w:type="dxa"/>
              <w:bottom w:w="0" w:type="dxa"/>
              <w:right w:w="40" w:type="dxa"/>
            </w:tcMar>
            <w:vAlign w:val="bottom"/>
          </w:tcPr>
          <w:p w14:paraId="1698EC1F"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Autorizado</w:t>
            </w:r>
          </w:p>
        </w:tc>
        <w:tc>
          <w:tcPr>
            <w:tcW w:w="806" w:type="dxa"/>
            <w:tcBorders>
              <w:top w:val="nil"/>
              <w:left w:val="nil"/>
              <w:bottom w:val="nil"/>
              <w:right w:val="nil"/>
            </w:tcBorders>
            <w:shd w:val="clear" w:color="auto" w:fill="FFFFFF"/>
            <w:tcMar>
              <w:top w:w="0" w:type="dxa"/>
              <w:left w:w="40" w:type="dxa"/>
              <w:bottom w:w="0" w:type="dxa"/>
              <w:right w:w="40" w:type="dxa"/>
            </w:tcMar>
            <w:vAlign w:val="bottom"/>
          </w:tcPr>
          <w:p w14:paraId="03A714D1"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Pago</w:t>
            </w:r>
          </w:p>
        </w:tc>
        <w:tc>
          <w:tcPr>
            <w:tcW w:w="1063" w:type="dxa"/>
            <w:tcBorders>
              <w:top w:val="nil"/>
              <w:left w:val="nil"/>
              <w:bottom w:val="nil"/>
              <w:right w:val="nil"/>
            </w:tcBorders>
            <w:shd w:val="clear" w:color="auto" w:fill="FFFFFF"/>
            <w:tcMar>
              <w:top w:w="0" w:type="dxa"/>
              <w:left w:w="40" w:type="dxa"/>
              <w:bottom w:w="0" w:type="dxa"/>
              <w:right w:w="40" w:type="dxa"/>
            </w:tcMar>
            <w:vAlign w:val="bottom"/>
          </w:tcPr>
          <w:p w14:paraId="3BD64834"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RP Pago</w:t>
            </w:r>
          </w:p>
        </w:tc>
        <w:tc>
          <w:tcPr>
            <w:tcW w:w="1718" w:type="dxa"/>
            <w:tcBorders>
              <w:top w:val="nil"/>
              <w:left w:val="nil"/>
              <w:bottom w:val="nil"/>
              <w:right w:val="nil"/>
            </w:tcBorders>
            <w:shd w:val="clear" w:color="auto" w:fill="FFFFFF"/>
            <w:tcMar>
              <w:top w:w="0" w:type="dxa"/>
              <w:left w:w="40" w:type="dxa"/>
              <w:bottom w:w="0" w:type="dxa"/>
              <w:right w:w="40" w:type="dxa"/>
            </w:tcMar>
            <w:vAlign w:val="bottom"/>
          </w:tcPr>
          <w:p w14:paraId="269CC829"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Ex. Orçamentária</w:t>
            </w:r>
          </w:p>
        </w:tc>
        <w:tc>
          <w:tcPr>
            <w:tcW w:w="1472" w:type="dxa"/>
            <w:tcBorders>
              <w:top w:val="nil"/>
              <w:left w:val="nil"/>
              <w:bottom w:val="nil"/>
              <w:right w:val="nil"/>
            </w:tcBorders>
            <w:shd w:val="clear" w:color="auto" w:fill="FFFFFF"/>
            <w:tcMar>
              <w:top w:w="0" w:type="dxa"/>
              <w:left w:w="40" w:type="dxa"/>
              <w:bottom w:w="0" w:type="dxa"/>
              <w:right w:w="40" w:type="dxa"/>
            </w:tcMar>
            <w:vAlign w:val="bottom"/>
          </w:tcPr>
          <w:p w14:paraId="67B79B7E"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Ex. Financeira</w:t>
            </w:r>
          </w:p>
        </w:tc>
        <w:tc>
          <w:tcPr>
            <w:tcW w:w="1344" w:type="dxa"/>
            <w:tcBorders>
              <w:top w:val="nil"/>
              <w:left w:val="nil"/>
              <w:bottom w:val="nil"/>
              <w:right w:val="nil"/>
            </w:tcBorders>
            <w:shd w:val="clear" w:color="auto" w:fill="FFFFFF"/>
            <w:tcMar>
              <w:top w:w="0" w:type="dxa"/>
              <w:left w:w="40" w:type="dxa"/>
              <w:bottom w:w="0" w:type="dxa"/>
              <w:right w:w="40" w:type="dxa"/>
            </w:tcMar>
            <w:vAlign w:val="bottom"/>
          </w:tcPr>
          <w:p w14:paraId="09D51F5F"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Participação</w:t>
            </w:r>
          </w:p>
        </w:tc>
      </w:tr>
      <w:tr w:rsidR="00B277CA" w:rsidRPr="0086307E" w14:paraId="25C4FB07" w14:textId="77777777">
        <w:trPr>
          <w:trHeight w:val="315"/>
        </w:trPr>
        <w:tc>
          <w:tcPr>
            <w:tcW w:w="1426" w:type="dxa"/>
            <w:tcBorders>
              <w:top w:val="nil"/>
              <w:left w:val="nil"/>
              <w:bottom w:val="nil"/>
              <w:right w:val="nil"/>
            </w:tcBorders>
            <w:shd w:val="clear" w:color="auto" w:fill="D8D8D8"/>
            <w:tcMar>
              <w:top w:w="0" w:type="dxa"/>
              <w:left w:w="40" w:type="dxa"/>
              <w:bottom w:w="0" w:type="dxa"/>
              <w:right w:w="40" w:type="dxa"/>
            </w:tcMar>
            <w:vAlign w:val="bottom"/>
          </w:tcPr>
          <w:p w14:paraId="25435EDC"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2020</w:t>
            </w:r>
          </w:p>
        </w:tc>
        <w:tc>
          <w:tcPr>
            <w:tcW w:w="1239" w:type="dxa"/>
            <w:tcBorders>
              <w:top w:val="nil"/>
              <w:left w:val="nil"/>
              <w:bottom w:val="nil"/>
              <w:right w:val="nil"/>
            </w:tcBorders>
            <w:shd w:val="clear" w:color="auto" w:fill="D8D8D8"/>
            <w:tcMar>
              <w:top w:w="0" w:type="dxa"/>
              <w:left w:w="40" w:type="dxa"/>
              <w:bottom w:w="0" w:type="dxa"/>
              <w:right w:w="40" w:type="dxa"/>
            </w:tcMar>
            <w:vAlign w:val="bottom"/>
          </w:tcPr>
          <w:p w14:paraId="249AE0D6"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618,15</w:t>
            </w:r>
          </w:p>
        </w:tc>
        <w:tc>
          <w:tcPr>
            <w:tcW w:w="806" w:type="dxa"/>
            <w:tcBorders>
              <w:top w:val="nil"/>
              <w:left w:val="nil"/>
              <w:bottom w:val="nil"/>
              <w:right w:val="nil"/>
            </w:tcBorders>
            <w:shd w:val="clear" w:color="auto" w:fill="D8D8D8"/>
            <w:tcMar>
              <w:top w:w="0" w:type="dxa"/>
              <w:left w:w="40" w:type="dxa"/>
              <w:bottom w:w="0" w:type="dxa"/>
              <w:right w:w="40" w:type="dxa"/>
            </w:tcMar>
            <w:vAlign w:val="bottom"/>
          </w:tcPr>
          <w:p w14:paraId="64B02D15"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547,11</w:t>
            </w:r>
          </w:p>
        </w:tc>
        <w:tc>
          <w:tcPr>
            <w:tcW w:w="1063" w:type="dxa"/>
            <w:tcBorders>
              <w:top w:val="nil"/>
              <w:left w:val="nil"/>
              <w:bottom w:val="nil"/>
              <w:right w:val="nil"/>
            </w:tcBorders>
            <w:shd w:val="clear" w:color="auto" w:fill="D8D8D8"/>
            <w:tcMar>
              <w:top w:w="0" w:type="dxa"/>
              <w:left w:w="40" w:type="dxa"/>
              <w:bottom w:w="0" w:type="dxa"/>
              <w:right w:w="40" w:type="dxa"/>
            </w:tcMar>
            <w:vAlign w:val="bottom"/>
          </w:tcPr>
          <w:p w14:paraId="55BE796F"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3,64</w:t>
            </w:r>
          </w:p>
        </w:tc>
        <w:tc>
          <w:tcPr>
            <w:tcW w:w="1718" w:type="dxa"/>
            <w:tcBorders>
              <w:top w:val="nil"/>
              <w:left w:val="nil"/>
              <w:bottom w:val="nil"/>
              <w:right w:val="nil"/>
            </w:tcBorders>
            <w:shd w:val="clear" w:color="auto" w:fill="D8D8D8"/>
            <w:tcMar>
              <w:top w:w="0" w:type="dxa"/>
              <w:left w:w="40" w:type="dxa"/>
              <w:bottom w:w="0" w:type="dxa"/>
              <w:right w:w="40" w:type="dxa"/>
            </w:tcMar>
            <w:vAlign w:val="bottom"/>
          </w:tcPr>
          <w:p w14:paraId="07458C5E"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88,51%</w:t>
            </w:r>
          </w:p>
        </w:tc>
        <w:tc>
          <w:tcPr>
            <w:tcW w:w="1472" w:type="dxa"/>
            <w:tcBorders>
              <w:top w:val="nil"/>
              <w:left w:val="nil"/>
              <w:bottom w:val="nil"/>
              <w:right w:val="nil"/>
            </w:tcBorders>
            <w:shd w:val="clear" w:color="auto" w:fill="D8D8D8"/>
            <w:tcMar>
              <w:top w:w="0" w:type="dxa"/>
              <w:left w:w="40" w:type="dxa"/>
              <w:bottom w:w="0" w:type="dxa"/>
              <w:right w:w="40" w:type="dxa"/>
            </w:tcMar>
            <w:vAlign w:val="bottom"/>
          </w:tcPr>
          <w:p w14:paraId="12269AFD"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89%</w:t>
            </w:r>
          </w:p>
        </w:tc>
        <w:tc>
          <w:tcPr>
            <w:tcW w:w="1344" w:type="dxa"/>
            <w:tcBorders>
              <w:top w:val="nil"/>
              <w:left w:val="nil"/>
              <w:bottom w:val="nil"/>
              <w:right w:val="nil"/>
            </w:tcBorders>
            <w:shd w:val="clear" w:color="auto" w:fill="D8D8D8"/>
            <w:tcMar>
              <w:top w:w="0" w:type="dxa"/>
              <w:left w:w="40" w:type="dxa"/>
              <w:bottom w:w="0" w:type="dxa"/>
              <w:right w:w="40" w:type="dxa"/>
            </w:tcMar>
            <w:vAlign w:val="bottom"/>
          </w:tcPr>
          <w:p w14:paraId="6E148F29"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32,04%</w:t>
            </w:r>
          </w:p>
        </w:tc>
      </w:tr>
      <w:tr w:rsidR="00B277CA" w:rsidRPr="0086307E" w14:paraId="41486783" w14:textId="77777777">
        <w:trPr>
          <w:trHeight w:val="315"/>
        </w:trPr>
        <w:tc>
          <w:tcPr>
            <w:tcW w:w="1426" w:type="dxa"/>
            <w:tcBorders>
              <w:top w:val="nil"/>
              <w:left w:val="nil"/>
              <w:bottom w:val="nil"/>
              <w:right w:val="nil"/>
            </w:tcBorders>
            <w:shd w:val="clear" w:color="auto" w:fill="B4C6E7"/>
            <w:tcMar>
              <w:top w:w="0" w:type="dxa"/>
              <w:left w:w="40" w:type="dxa"/>
              <w:bottom w:w="0" w:type="dxa"/>
              <w:right w:w="40" w:type="dxa"/>
            </w:tcMar>
            <w:vAlign w:val="bottom"/>
          </w:tcPr>
          <w:p w14:paraId="10DEFB03"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2021</w:t>
            </w:r>
          </w:p>
        </w:tc>
        <w:tc>
          <w:tcPr>
            <w:tcW w:w="1239" w:type="dxa"/>
            <w:tcBorders>
              <w:top w:val="nil"/>
              <w:left w:val="nil"/>
              <w:bottom w:val="nil"/>
              <w:right w:val="nil"/>
            </w:tcBorders>
            <w:shd w:val="clear" w:color="auto" w:fill="B4C6E7"/>
            <w:tcMar>
              <w:top w:w="0" w:type="dxa"/>
              <w:left w:w="40" w:type="dxa"/>
              <w:bottom w:w="0" w:type="dxa"/>
              <w:right w:w="40" w:type="dxa"/>
            </w:tcMar>
            <w:vAlign w:val="bottom"/>
          </w:tcPr>
          <w:p w14:paraId="55504FCC"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222,62</w:t>
            </w:r>
          </w:p>
        </w:tc>
        <w:tc>
          <w:tcPr>
            <w:tcW w:w="806" w:type="dxa"/>
            <w:tcBorders>
              <w:top w:val="nil"/>
              <w:left w:val="nil"/>
              <w:bottom w:val="nil"/>
              <w:right w:val="nil"/>
            </w:tcBorders>
            <w:shd w:val="clear" w:color="auto" w:fill="B4C6E7"/>
            <w:tcMar>
              <w:top w:w="0" w:type="dxa"/>
              <w:left w:w="40" w:type="dxa"/>
              <w:bottom w:w="0" w:type="dxa"/>
              <w:right w:w="40" w:type="dxa"/>
            </w:tcMar>
            <w:vAlign w:val="bottom"/>
          </w:tcPr>
          <w:p w14:paraId="0512174F"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202,52</w:t>
            </w:r>
          </w:p>
        </w:tc>
        <w:tc>
          <w:tcPr>
            <w:tcW w:w="1063" w:type="dxa"/>
            <w:tcBorders>
              <w:top w:val="nil"/>
              <w:left w:val="nil"/>
              <w:bottom w:val="nil"/>
              <w:right w:val="nil"/>
            </w:tcBorders>
            <w:shd w:val="clear" w:color="auto" w:fill="B4C6E7"/>
            <w:tcMar>
              <w:top w:w="0" w:type="dxa"/>
              <w:left w:w="40" w:type="dxa"/>
              <w:bottom w:w="0" w:type="dxa"/>
              <w:right w:w="40" w:type="dxa"/>
            </w:tcMar>
            <w:vAlign w:val="bottom"/>
          </w:tcPr>
          <w:p w14:paraId="2214EF24"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6,20</w:t>
            </w:r>
          </w:p>
        </w:tc>
        <w:tc>
          <w:tcPr>
            <w:tcW w:w="1718" w:type="dxa"/>
            <w:tcBorders>
              <w:top w:val="nil"/>
              <w:left w:val="nil"/>
              <w:bottom w:val="nil"/>
              <w:right w:val="nil"/>
            </w:tcBorders>
            <w:shd w:val="clear" w:color="auto" w:fill="B4C6E7"/>
            <w:tcMar>
              <w:top w:w="0" w:type="dxa"/>
              <w:left w:w="40" w:type="dxa"/>
              <w:bottom w:w="0" w:type="dxa"/>
              <w:right w:w="40" w:type="dxa"/>
            </w:tcMar>
            <w:vAlign w:val="bottom"/>
          </w:tcPr>
          <w:p w14:paraId="18270FD2"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90,97%</w:t>
            </w:r>
          </w:p>
        </w:tc>
        <w:tc>
          <w:tcPr>
            <w:tcW w:w="1472" w:type="dxa"/>
            <w:tcBorders>
              <w:top w:val="nil"/>
              <w:left w:val="nil"/>
              <w:bottom w:val="nil"/>
              <w:right w:val="nil"/>
            </w:tcBorders>
            <w:shd w:val="clear" w:color="auto" w:fill="B4C6E7"/>
            <w:tcMar>
              <w:top w:w="0" w:type="dxa"/>
              <w:left w:w="40" w:type="dxa"/>
              <w:bottom w:w="0" w:type="dxa"/>
              <w:right w:w="40" w:type="dxa"/>
            </w:tcMar>
            <w:vAlign w:val="bottom"/>
          </w:tcPr>
          <w:p w14:paraId="2D96B9AA"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94%</w:t>
            </w:r>
          </w:p>
        </w:tc>
        <w:tc>
          <w:tcPr>
            <w:tcW w:w="1344" w:type="dxa"/>
            <w:tcBorders>
              <w:top w:val="nil"/>
              <w:left w:val="nil"/>
              <w:bottom w:val="nil"/>
              <w:right w:val="nil"/>
            </w:tcBorders>
            <w:shd w:val="clear" w:color="auto" w:fill="B4C6E7"/>
            <w:tcMar>
              <w:top w:w="0" w:type="dxa"/>
              <w:left w:w="40" w:type="dxa"/>
              <w:bottom w:w="0" w:type="dxa"/>
              <w:right w:w="40" w:type="dxa"/>
            </w:tcMar>
            <w:vAlign w:val="bottom"/>
          </w:tcPr>
          <w:p w14:paraId="0A5D8873"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14,74%</w:t>
            </w:r>
          </w:p>
        </w:tc>
      </w:tr>
      <w:tr w:rsidR="00B277CA" w:rsidRPr="0086307E" w14:paraId="6180466E" w14:textId="77777777">
        <w:trPr>
          <w:trHeight w:val="315"/>
        </w:trPr>
        <w:tc>
          <w:tcPr>
            <w:tcW w:w="1426" w:type="dxa"/>
            <w:tcBorders>
              <w:top w:val="nil"/>
              <w:left w:val="nil"/>
              <w:bottom w:val="nil"/>
              <w:right w:val="nil"/>
            </w:tcBorders>
            <w:shd w:val="clear" w:color="auto" w:fill="D8D8D8"/>
            <w:tcMar>
              <w:top w:w="0" w:type="dxa"/>
              <w:left w:w="40" w:type="dxa"/>
              <w:bottom w:w="0" w:type="dxa"/>
              <w:right w:w="40" w:type="dxa"/>
            </w:tcMar>
            <w:vAlign w:val="bottom"/>
          </w:tcPr>
          <w:p w14:paraId="11B7EE39"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2022</w:t>
            </w:r>
          </w:p>
        </w:tc>
        <w:tc>
          <w:tcPr>
            <w:tcW w:w="1239" w:type="dxa"/>
            <w:tcBorders>
              <w:top w:val="nil"/>
              <w:left w:val="nil"/>
              <w:bottom w:val="nil"/>
              <w:right w:val="nil"/>
            </w:tcBorders>
            <w:shd w:val="clear" w:color="auto" w:fill="D8D8D8"/>
            <w:tcMar>
              <w:top w:w="0" w:type="dxa"/>
              <w:left w:w="40" w:type="dxa"/>
              <w:bottom w:w="0" w:type="dxa"/>
              <w:right w:w="40" w:type="dxa"/>
            </w:tcMar>
            <w:vAlign w:val="bottom"/>
          </w:tcPr>
          <w:p w14:paraId="583ACE2F"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231,33</w:t>
            </w:r>
          </w:p>
        </w:tc>
        <w:tc>
          <w:tcPr>
            <w:tcW w:w="806" w:type="dxa"/>
            <w:tcBorders>
              <w:top w:val="nil"/>
              <w:left w:val="nil"/>
              <w:bottom w:val="nil"/>
              <w:right w:val="nil"/>
            </w:tcBorders>
            <w:shd w:val="clear" w:color="auto" w:fill="D8D8D8"/>
            <w:tcMar>
              <w:top w:w="0" w:type="dxa"/>
              <w:left w:w="40" w:type="dxa"/>
              <w:bottom w:w="0" w:type="dxa"/>
              <w:right w:w="40" w:type="dxa"/>
            </w:tcMar>
            <w:vAlign w:val="bottom"/>
          </w:tcPr>
          <w:p w14:paraId="6304B3DE"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224,50</w:t>
            </w:r>
          </w:p>
        </w:tc>
        <w:tc>
          <w:tcPr>
            <w:tcW w:w="1063" w:type="dxa"/>
            <w:tcBorders>
              <w:top w:val="nil"/>
              <w:left w:val="nil"/>
              <w:bottom w:val="nil"/>
              <w:right w:val="nil"/>
            </w:tcBorders>
            <w:shd w:val="clear" w:color="auto" w:fill="D8D8D8"/>
            <w:tcMar>
              <w:top w:w="0" w:type="dxa"/>
              <w:left w:w="40" w:type="dxa"/>
              <w:bottom w:w="0" w:type="dxa"/>
              <w:right w:w="40" w:type="dxa"/>
            </w:tcMar>
            <w:vAlign w:val="bottom"/>
          </w:tcPr>
          <w:p w14:paraId="467540D6"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9,59</w:t>
            </w:r>
          </w:p>
        </w:tc>
        <w:tc>
          <w:tcPr>
            <w:tcW w:w="1718" w:type="dxa"/>
            <w:tcBorders>
              <w:top w:val="nil"/>
              <w:left w:val="nil"/>
              <w:bottom w:val="nil"/>
              <w:right w:val="nil"/>
            </w:tcBorders>
            <w:shd w:val="clear" w:color="auto" w:fill="D8D8D8"/>
            <w:tcMar>
              <w:top w:w="0" w:type="dxa"/>
              <w:left w:w="40" w:type="dxa"/>
              <w:bottom w:w="0" w:type="dxa"/>
              <w:right w:w="40" w:type="dxa"/>
            </w:tcMar>
            <w:vAlign w:val="bottom"/>
          </w:tcPr>
          <w:p w14:paraId="1B452EE1"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97,05%</w:t>
            </w:r>
          </w:p>
        </w:tc>
        <w:tc>
          <w:tcPr>
            <w:tcW w:w="1472" w:type="dxa"/>
            <w:tcBorders>
              <w:top w:val="nil"/>
              <w:left w:val="nil"/>
              <w:bottom w:val="nil"/>
              <w:right w:val="nil"/>
            </w:tcBorders>
            <w:shd w:val="clear" w:color="auto" w:fill="D8D8D8"/>
            <w:tcMar>
              <w:top w:w="0" w:type="dxa"/>
              <w:left w:w="40" w:type="dxa"/>
              <w:bottom w:w="0" w:type="dxa"/>
              <w:right w:w="40" w:type="dxa"/>
            </w:tcMar>
            <w:vAlign w:val="bottom"/>
          </w:tcPr>
          <w:p w14:paraId="48243F1C"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101%</w:t>
            </w:r>
          </w:p>
        </w:tc>
        <w:tc>
          <w:tcPr>
            <w:tcW w:w="1344" w:type="dxa"/>
            <w:tcBorders>
              <w:top w:val="nil"/>
              <w:left w:val="nil"/>
              <w:bottom w:val="nil"/>
              <w:right w:val="nil"/>
            </w:tcBorders>
            <w:shd w:val="clear" w:color="auto" w:fill="D8D8D8"/>
            <w:tcMar>
              <w:top w:w="0" w:type="dxa"/>
              <w:left w:w="40" w:type="dxa"/>
              <w:bottom w:w="0" w:type="dxa"/>
              <w:right w:w="40" w:type="dxa"/>
            </w:tcMar>
            <w:vAlign w:val="bottom"/>
          </w:tcPr>
          <w:p w14:paraId="3195F90D"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16,53%</w:t>
            </w:r>
          </w:p>
        </w:tc>
      </w:tr>
      <w:tr w:rsidR="00B277CA" w:rsidRPr="0086307E" w14:paraId="4FF242E3" w14:textId="77777777">
        <w:trPr>
          <w:trHeight w:val="315"/>
        </w:trPr>
        <w:tc>
          <w:tcPr>
            <w:tcW w:w="1426" w:type="dxa"/>
            <w:tcBorders>
              <w:top w:val="nil"/>
              <w:left w:val="nil"/>
              <w:bottom w:val="nil"/>
              <w:right w:val="nil"/>
            </w:tcBorders>
            <w:shd w:val="clear" w:color="auto" w:fill="B4C6E7"/>
            <w:tcMar>
              <w:top w:w="0" w:type="dxa"/>
              <w:left w:w="40" w:type="dxa"/>
              <w:bottom w:w="0" w:type="dxa"/>
              <w:right w:w="40" w:type="dxa"/>
            </w:tcMar>
            <w:vAlign w:val="bottom"/>
          </w:tcPr>
          <w:p w14:paraId="111ADA95"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2023</w:t>
            </w:r>
          </w:p>
        </w:tc>
        <w:tc>
          <w:tcPr>
            <w:tcW w:w="1239" w:type="dxa"/>
            <w:tcBorders>
              <w:top w:val="nil"/>
              <w:left w:val="nil"/>
              <w:bottom w:val="nil"/>
              <w:right w:val="nil"/>
            </w:tcBorders>
            <w:shd w:val="clear" w:color="auto" w:fill="B4C6E7"/>
            <w:tcMar>
              <w:top w:w="0" w:type="dxa"/>
              <w:left w:w="40" w:type="dxa"/>
              <w:bottom w:w="0" w:type="dxa"/>
              <w:right w:w="40" w:type="dxa"/>
            </w:tcMar>
            <w:vAlign w:val="bottom"/>
          </w:tcPr>
          <w:p w14:paraId="4E4039D4"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294,47</w:t>
            </w:r>
          </w:p>
        </w:tc>
        <w:tc>
          <w:tcPr>
            <w:tcW w:w="806" w:type="dxa"/>
            <w:tcBorders>
              <w:top w:val="nil"/>
              <w:left w:val="nil"/>
              <w:bottom w:val="nil"/>
              <w:right w:val="nil"/>
            </w:tcBorders>
            <w:shd w:val="clear" w:color="auto" w:fill="B4C6E7"/>
            <w:tcMar>
              <w:top w:w="0" w:type="dxa"/>
              <w:left w:w="40" w:type="dxa"/>
              <w:bottom w:w="0" w:type="dxa"/>
              <w:right w:w="40" w:type="dxa"/>
            </w:tcMar>
            <w:vAlign w:val="bottom"/>
          </w:tcPr>
          <w:p w14:paraId="10F76098"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286,56</w:t>
            </w:r>
          </w:p>
        </w:tc>
        <w:tc>
          <w:tcPr>
            <w:tcW w:w="1063" w:type="dxa"/>
            <w:tcBorders>
              <w:top w:val="nil"/>
              <w:left w:val="nil"/>
              <w:bottom w:val="nil"/>
              <w:right w:val="nil"/>
            </w:tcBorders>
            <w:shd w:val="clear" w:color="auto" w:fill="B4C6E7"/>
            <w:tcMar>
              <w:top w:w="0" w:type="dxa"/>
              <w:left w:w="40" w:type="dxa"/>
              <w:bottom w:w="0" w:type="dxa"/>
              <w:right w:w="40" w:type="dxa"/>
            </w:tcMar>
            <w:vAlign w:val="bottom"/>
          </w:tcPr>
          <w:p w14:paraId="7D41743E"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4,74</w:t>
            </w:r>
          </w:p>
        </w:tc>
        <w:tc>
          <w:tcPr>
            <w:tcW w:w="1718" w:type="dxa"/>
            <w:tcBorders>
              <w:top w:val="nil"/>
              <w:left w:val="nil"/>
              <w:bottom w:val="nil"/>
              <w:right w:val="nil"/>
            </w:tcBorders>
            <w:shd w:val="clear" w:color="auto" w:fill="B4C6E7"/>
            <w:tcMar>
              <w:top w:w="0" w:type="dxa"/>
              <w:left w:w="40" w:type="dxa"/>
              <w:bottom w:w="0" w:type="dxa"/>
              <w:right w:w="40" w:type="dxa"/>
            </w:tcMar>
            <w:vAlign w:val="bottom"/>
          </w:tcPr>
          <w:p w14:paraId="5315643C"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97,31%</w:t>
            </w:r>
          </w:p>
        </w:tc>
        <w:tc>
          <w:tcPr>
            <w:tcW w:w="1472" w:type="dxa"/>
            <w:tcBorders>
              <w:top w:val="nil"/>
              <w:left w:val="nil"/>
              <w:bottom w:val="nil"/>
              <w:right w:val="nil"/>
            </w:tcBorders>
            <w:shd w:val="clear" w:color="auto" w:fill="B4C6E7"/>
            <w:tcMar>
              <w:top w:w="0" w:type="dxa"/>
              <w:left w:w="40" w:type="dxa"/>
              <w:bottom w:w="0" w:type="dxa"/>
              <w:right w:w="40" w:type="dxa"/>
            </w:tcMar>
            <w:vAlign w:val="bottom"/>
          </w:tcPr>
          <w:p w14:paraId="76B3396B"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99%</w:t>
            </w:r>
          </w:p>
        </w:tc>
        <w:tc>
          <w:tcPr>
            <w:tcW w:w="1344" w:type="dxa"/>
            <w:tcBorders>
              <w:top w:val="nil"/>
              <w:left w:val="nil"/>
              <w:bottom w:val="nil"/>
              <w:right w:val="nil"/>
            </w:tcBorders>
            <w:shd w:val="clear" w:color="auto" w:fill="B4C6E7"/>
            <w:tcMar>
              <w:top w:w="0" w:type="dxa"/>
              <w:left w:w="40" w:type="dxa"/>
              <w:bottom w:w="0" w:type="dxa"/>
              <w:right w:w="40" w:type="dxa"/>
            </w:tcMar>
            <w:vAlign w:val="bottom"/>
          </w:tcPr>
          <w:p w14:paraId="54AEC617"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19,55%</w:t>
            </w:r>
          </w:p>
        </w:tc>
      </w:tr>
      <w:tr w:rsidR="00B277CA" w:rsidRPr="0086307E" w14:paraId="6D41FE9E" w14:textId="77777777">
        <w:trPr>
          <w:trHeight w:val="315"/>
        </w:trPr>
        <w:tc>
          <w:tcPr>
            <w:tcW w:w="1426" w:type="dxa"/>
            <w:tcBorders>
              <w:top w:val="nil"/>
              <w:left w:val="nil"/>
              <w:bottom w:val="nil"/>
              <w:right w:val="nil"/>
            </w:tcBorders>
            <w:shd w:val="clear" w:color="auto" w:fill="D8D8D8"/>
            <w:tcMar>
              <w:top w:w="0" w:type="dxa"/>
              <w:left w:w="40" w:type="dxa"/>
              <w:bottom w:w="0" w:type="dxa"/>
              <w:right w:w="40" w:type="dxa"/>
            </w:tcMar>
            <w:vAlign w:val="bottom"/>
          </w:tcPr>
          <w:p w14:paraId="1BFCD2D6"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2024</w:t>
            </w:r>
          </w:p>
        </w:tc>
        <w:tc>
          <w:tcPr>
            <w:tcW w:w="1239" w:type="dxa"/>
            <w:tcBorders>
              <w:top w:val="nil"/>
              <w:left w:val="nil"/>
              <w:bottom w:val="nil"/>
              <w:right w:val="nil"/>
            </w:tcBorders>
            <w:shd w:val="clear" w:color="auto" w:fill="D8D8D8"/>
            <w:tcMar>
              <w:top w:w="0" w:type="dxa"/>
              <w:left w:w="40" w:type="dxa"/>
              <w:bottom w:w="0" w:type="dxa"/>
              <w:right w:w="40" w:type="dxa"/>
            </w:tcMar>
            <w:vAlign w:val="bottom"/>
          </w:tcPr>
          <w:p w14:paraId="4D312373"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298,50</w:t>
            </w:r>
          </w:p>
        </w:tc>
        <w:tc>
          <w:tcPr>
            <w:tcW w:w="806" w:type="dxa"/>
            <w:tcBorders>
              <w:top w:val="nil"/>
              <w:left w:val="nil"/>
              <w:bottom w:val="nil"/>
              <w:right w:val="nil"/>
            </w:tcBorders>
            <w:shd w:val="clear" w:color="auto" w:fill="D8D8D8"/>
            <w:tcMar>
              <w:top w:w="0" w:type="dxa"/>
              <w:left w:w="40" w:type="dxa"/>
              <w:bottom w:w="0" w:type="dxa"/>
              <w:right w:w="40" w:type="dxa"/>
            </w:tcMar>
            <w:vAlign w:val="bottom"/>
          </w:tcPr>
          <w:p w14:paraId="7129C618"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291,61</w:t>
            </w:r>
          </w:p>
        </w:tc>
        <w:tc>
          <w:tcPr>
            <w:tcW w:w="1063" w:type="dxa"/>
            <w:tcBorders>
              <w:top w:val="nil"/>
              <w:left w:val="nil"/>
              <w:bottom w:val="nil"/>
              <w:right w:val="nil"/>
            </w:tcBorders>
            <w:shd w:val="clear" w:color="auto" w:fill="D8D8D8"/>
            <w:tcMar>
              <w:top w:w="0" w:type="dxa"/>
              <w:left w:w="40" w:type="dxa"/>
              <w:bottom w:w="0" w:type="dxa"/>
              <w:right w:w="40" w:type="dxa"/>
            </w:tcMar>
            <w:vAlign w:val="bottom"/>
          </w:tcPr>
          <w:p w14:paraId="6AA18652"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6,32</w:t>
            </w:r>
          </w:p>
        </w:tc>
        <w:tc>
          <w:tcPr>
            <w:tcW w:w="1718" w:type="dxa"/>
            <w:tcBorders>
              <w:top w:val="nil"/>
              <w:left w:val="nil"/>
              <w:bottom w:val="nil"/>
              <w:right w:val="nil"/>
            </w:tcBorders>
            <w:shd w:val="clear" w:color="auto" w:fill="D8D8D8"/>
            <w:tcMar>
              <w:top w:w="0" w:type="dxa"/>
              <w:left w:w="40" w:type="dxa"/>
              <w:bottom w:w="0" w:type="dxa"/>
              <w:right w:w="40" w:type="dxa"/>
            </w:tcMar>
            <w:vAlign w:val="bottom"/>
          </w:tcPr>
          <w:p w14:paraId="51AADE84"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97,69%</w:t>
            </w:r>
          </w:p>
        </w:tc>
        <w:tc>
          <w:tcPr>
            <w:tcW w:w="1472" w:type="dxa"/>
            <w:tcBorders>
              <w:top w:val="nil"/>
              <w:left w:val="nil"/>
              <w:bottom w:val="nil"/>
              <w:right w:val="nil"/>
            </w:tcBorders>
            <w:shd w:val="clear" w:color="auto" w:fill="D8D8D8"/>
            <w:tcMar>
              <w:top w:w="0" w:type="dxa"/>
              <w:left w:w="40" w:type="dxa"/>
              <w:bottom w:w="0" w:type="dxa"/>
              <w:right w:w="40" w:type="dxa"/>
            </w:tcMar>
            <w:vAlign w:val="bottom"/>
          </w:tcPr>
          <w:p w14:paraId="232748EB"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100%</w:t>
            </w:r>
          </w:p>
        </w:tc>
        <w:tc>
          <w:tcPr>
            <w:tcW w:w="1344" w:type="dxa"/>
            <w:tcBorders>
              <w:top w:val="nil"/>
              <w:left w:val="nil"/>
              <w:bottom w:val="nil"/>
              <w:right w:val="nil"/>
            </w:tcBorders>
            <w:shd w:val="clear" w:color="auto" w:fill="D8D8D8"/>
            <w:tcMar>
              <w:top w:w="0" w:type="dxa"/>
              <w:left w:w="40" w:type="dxa"/>
              <w:bottom w:w="0" w:type="dxa"/>
              <w:right w:w="40" w:type="dxa"/>
            </w:tcMar>
            <w:vAlign w:val="bottom"/>
          </w:tcPr>
          <w:p w14:paraId="3525267B" w14:textId="77777777" w:rsidR="00B277CA" w:rsidRPr="0086307E" w:rsidRDefault="00B277CA" w:rsidP="00D253C9">
            <w:pPr>
              <w:widowControl w:val="0"/>
              <w:ind w:hanging="2"/>
              <w:jc w:val="center"/>
              <w:rPr>
                <w:rFonts w:ascii="Times New Roman" w:eastAsia="Times New Roman" w:hAnsi="Times New Roman" w:cs="Times New Roman"/>
                <w:sz w:val="24"/>
                <w:szCs w:val="24"/>
              </w:rPr>
            </w:pPr>
            <w:r w:rsidRPr="0086307E">
              <w:rPr>
                <w:rFonts w:ascii="Times New Roman" w:eastAsia="Times New Roman" w:hAnsi="Times New Roman" w:cs="Times New Roman"/>
                <w:sz w:val="20"/>
                <w:szCs w:val="20"/>
              </w:rPr>
              <w:t>19,12%</w:t>
            </w:r>
          </w:p>
        </w:tc>
      </w:tr>
    </w:tbl>
    <w:p w14:paraId="17D1ED9C" w14:textId="77777777" w:rsidR="00B277CA" w:rsidRDefault="00B277CA" w:rsidP="00E03588">
      <w:pPr>
        <w:spacing w:line="240" w:lineRule="auto"/>
        <w:jc w:val="both"/>
        <w:rPr>
          <w:sz w:val="20"/>
          <w:szCs w:val="20"/>
        </w:rPr>
      </w:pPr>
    </w:p>
    <w:p w14:paraId="6B953709" w14:textId="77777777" w:rsidR="00B277CA" w:rsidRPr="0086307E" w:rsidRDefault="00B277CA" w:rsidP="00E03588">
      <w:pPr>
        <w:spacing w:line="240" w:lineRule="auto"/>
        <w:jc w:val="both"/>
        <w:rPr>
          <w:sz w:val="20"/>
          <w:szCs w:val="20"/>
        </w:rPr>
      </w:pPr>
      <w:r w:rsidRPr="0086307E">
        <w:rPr>
          <w:sz w:val="20"/>
          <w:szCs w:val="20"/>
        </w:rPr>
        <w:t>Fonte: Siga Brasil. Elaboração própria. Exclui o refinanciamento da dívida pública. Os valores estão em bilhões de reais a preços de dezembro de 2024.</w:t>
      </w:r>
    </w:p>
    <w:p w14:paraId="566D4B68" w14:textId="77777777" w:rsidR="00B277CA" w:rsidRPr="0086307E" w:rsidRDefault="00B277CA">
      <w:pPr>
        <w:spacing w:line="360" w:lineRule="auto"/>
        <w:ind w:firstLine="708"/>
        <w:jc w:val="both"/>
        <w:rPr>
          <w:sz w:val="24"/>
          <w:szCs w:val="24"/>
        </w:rPr>
      </w:pPr>
    </w:p>
    <w:p w14:paraId="39F2A76E" w14:textId="77777777" w:rsidR="00B277CA" w:rsidRPr="0086307E" w:rsidRDefault="00B277CA">
      <w:pPr>
        <w:spacing w:line="360" w:lineRule="auto"/>
        <w:ind w:firstLine="708"/>
        <w:jc w:val="both"/>
        <w:rPr>
          <w:sz w:val="24"/>
          <w:szCs w:val="24"/>
        </w:rPr>
      </w:pPr>
      <w:r w:rsidRPr="0086307E">
        <w:rPr>
          <w:sz w:val="24"/>
          <w:szCs w:val="24"/>
        </w:rPr>
        <w:t>Após o ano de 2020, os valores pagos diminuíram em 2021 (R$202,52 bilhões) e 2022 (R$224,50 bilhões). Em 2023, primeiro ano do mandato de Lula III, sob a égide da Proposta de Emenda Constitucional da transição, houve flexibilização do denominado teto dos gastos sociais, em vigor desde 2016</w:t>
      </w:r>
      <w:r w:rsidRPr="0086307E">
        <w:rPr>
          <w:sz w:val="24"/>
          <w:szCs w:val="24"/>
          <w:vertAlign w:val="superscript"/>
        </w:rPr>
        <w:footnoteReference w:id="18"/>
      </w:r>
      <w:r w:rsidRPr="0086307E">
        <w:rPr>
          <w:sz w:val="24"/>
          <w:szCs w:val="24"/>
        </w:rPr>
        <w:t xml:space="preserve">, e a função 08 recebeu R$286,56 bilhões. Em 2024 os dados demonstram uma recuperação, atingindo R$291,61 bilhões em 2024, contudo, permanecendo abaixo do pico de 2020. </w:t>
      </w:r>
    </w:p>
    <w:p w14:paraId="2D0DE7DA" w14:textId="77777777" w:rsidR="00B277CA" w:rsidRPr="0086307E" w:rsidRDefault="00B277CA" w:rsidP="004C3F8D">
      <w:pPr>
        <w:spacing w:line="360" w:lineRule="auto"/>
        <w:ind w:firstLine="708"/>
        <w:jc w:val="both"/>
        <w:rPr>
          <w:sz w:val="24"/>
          <w:szCs w:val="24"/>
        </w:rPr>
      </w:pPr>
      <w:r w:rsidRPr="0086307E">
        <w:rPr>
          <w:sz w:val="24"/>
          <w:szCs w:val="24"/>
        </w:rPr>
        <w:t xml:space="preserve">Ainda acerca dos valores pagos, em relação ao autorizado e pago, ao longo de todo o período, os valores pagos mantiveram-se consistentemente próximos e em percentuais elevados dos valores autorizados, com a execução orçamentária geralmente acima de 90%, indicando uma alta taxa de utilização dos recursos previstos. No entanto, os valores pagos são insuficientes para recompor as perdas orçamentárias acumuladas ao longo dos anos anteriores e ampliar a abrangência dos direitos socioassistenciais sob a responsabilidade do SUAS, e isso  compromete  </w:t>
      </w:r>
      <w:r>
        <w:rPr>
          <w:sz w:val="24"/>
          <w:szCs w:val="24"/>
        </w:rPr>
        <w:t xml:space="preserve">a manutenção e </w:t>
      </w:r>
      <w:r w:rsidRPr="0086307E">
        <w:rPr>
          <w:sz w:val="24"/>
          <w:szCs w:val="24"/>
        </w:rPr>
        <w:t>ampliação dos</w:t>
      </w:r>
      <w:r>
        <w:rPr>
          <w:sz w:val="24"/>
          <w:szCs w:val="24"/>
        </w:rPr>
        <w:t xml:space="preserve"> </w:t>
      </w:r>
      <w:r w:rsidRPr="004C3F8D">
        <w:rPr>
          <w:sz w:val="24"/>
          <w:szCs w:val="24"/>
        </w:rPr>
        <w:t>Centro de Referência de Assistência Social</w:t>
      </w:r>
      <w:r w:rsidRPr="0086307E">
        <w:rPr>
          <w:sz w:val="24"/>
          <w:szCs w:val="24"/>
        </w:rPr>
        <w:t xml:space="preserve"> </w:t>
      </w:r>
      <w:r>
        <w:rPr>
          <w:sz w:val="24"/>
          <w:szCs w:val="24"/>
        </w:rPr>
        <w:t>(</w:t>
      </w:r>
      <w:r w:rsidRPr="0086307E">
        <w:rPr>
          <w:sz w:val="24"/>
          <w:szCs w:val="24"/>
        </w:rPr>
        <w:t>CRAS</w:t>
      </w:r>
      <w:r>
        <w:rPr>
          <w:sz w:val="24"/>
          <w:szCs w:val="24"/>
        </w:rPr>
        <w:t>)</w:t>
      </w:r>
      <w:r w:rsidRPr="0086307E">
        <w:rPr>
          <w:sz w:val="24"/>
          <w:szCs w:val="24"/>
        </w:rPr>
        <w:t xml:space="preserve"> e </w:t>
      </w:r>
      <w:r>
        <w:rPr>
          <w:sz w:val="24"/>
          <w:szCs w:val="24"/>
        </w:rPr>
        <w:lastRenderedPageBreak/>
        <w:t xml:space="preserve">dos </w:t>
      </w:r>
      <w:r w:rsidRPr="004C3F8D">
        <w:rPr>
          <w:sz w:val="24"/>
          <w:szCs w:val="24"/>
        </w:rPr>
        <w:t>Centro de Referência Especializado de Assistência Social</w:t>
      </w:r>
      <w:r>
        <w:rPr>
          <w:sz w:val="24"/>
          <w:szCs w:val="24"/>
        </w:rPr>
        <w:t xml:space="preserve"> (</w:t>
      </w:r>
      <w:r w:rsidRPr="0086307E">
        <w:rPr>
          <w:sz w:val="24"/>
          <w:szCs w:val="24"/>
        </w:rPr>
        <w:t>CREAS</w:t>
      </w:r>
      <w:r>
        <w:rPr>
          <w:sz w:val="24"/>
          <w:szCs w:val="24"/>
        </w:rPr>
        <w:t>)</w:t>
      </w:r>
      <w:r w:rsidRPr="004C3F8D">
        <w:rPr>
          <w:sz w:val="24"/>
          <w:szCs w:val="24"/>
        </w:rPr>
        <w:t>,</w:t>
      </w:r>
      <w:r>
        <w:rPr>
          <w:sz w:val="24"/>
          <w:szCs w:val="24"/>
        </w:rPr>
        <w:t xml:space="preserve"> </w:t>
      </w:r>
      <w:r w:rsidRPr="0086307E">
        <w:rPr>
          <w:sz w:val="24"/>
          <w:szCs w:val="24"/>
        </w:rPr>
        <w:t>unidades responsáveis pela oferta dos serviços socioassistenciais de ação continuada da proteção social básica</w:t>
      </w:r>
      <w:r>
        <w:rPr>
          <w:sz w:val="24"/>
          <w:szCs w:val="24"/>
        </w:rPr>
        <w:t xml:space="preserve"> e</w:t>
      </w:r>
      <w:r w:rsidRPr="0086307E">
        <w:rPr>
          <w:sz w:val="24"/>
          <w:szCs w:val="24"/>
        </w:rPr>
        <w:t xml:space="preserve"> especial, </w:t>
      </w:r>
      <w:r>
        <w:rPr>
          <w:sz w:val="24"/>
          <w:szCs w:val="24"/>
        </w:rPr>
        <w:t xml:space="preserve">ressaltamos ainda que </w:t>
      </w:r>
      <w:r w:rsidRPr="0086307E">
        <w:rPr>
          <w:sz w:val="24"/>
          <w:szCs w:val="24"/>
        </w:rPr>
        <w:t>os valores de cofinanciamento da rede de serviços socioassistenciais não são reajustados desde  a sua criação (CNM, 2024), como é caso das equipes volantes que não recebem reajustes desde 2011.</w:t>
      </w:r>
    </w:p>
    <w:p w14:paraId="09845537" w14:textId="77777777" w:rsidR="00B277CA" w:rsidRDefault="00B277CA" w:rsidP="009F1A11">
      <w:pPr>
        <w:spacing w:line="360" w:lineRule="auto"/>
        <w:ind w:firstLine="708"/>
        <w:jc w:val="both"/>
        <w:rPr>
          <w:sz w:val="24"/>
          <w:szCs w:val="24"/>
        </w:rPr>
      </w:pPr>
      <w:r w:rsidRPr="0086307E">
        <w:rPr>
          <w:sz w:val="24"/>
          <w:szCs w:val="24"/>
        </w:rPr>
        <w:t>Ao analisarmos os dados que abrangem o período de 2020 até dezembro de 2024 na destinação dos recursos do financiamento do SUAS por programas, identificamos que a maior parte dos recursos é historicamente direcionada para os programas de transferências de renda direta (Benefício de Prestação Continuada e Programa Bolsa Família). E essa tendência foi mantida durante todo o exercício de 2025</w:t>
      </w:r>
      <w:r w:rsidRPr="0086307E">
        <w:rPr>
          <w:sz w:val="24"/>
          <w:szCs w:val="24"/>
          <w:vertAlign w:val="superscript"/>
        </w:rPr>
        <w:footnoteReference w:id="19"/>
      </w:r>
      <w:r w:rsidRPr="0086307E">
        <w:rPr>
          <w:sz w:val="24"/>
          <w:szCs w:val="24"/>
        </w:rPr>
        <w:t>.</w:t>
      </w:r>
      <w:r>
        <w:rPr>
          <w:sz w:val="24"/>
          <w:szCs w:val="24"/>
        </w:rPr>
        <w:t xml:space="preserve"> </w:t>
      </w:r>
      <w:r w:rsidRPr="00C669EC">
        <w:rPr>
          <w:sz w:val="24"/>
          <w:szCs w:val="24"/>
        </w:rPr>
        <w:t xml:space="preserve">Ressaltamos que a publicação da </w:t>
      </w:r>
      <w:hyperlink r:id="rId9" w:history="1">
        <w:r w:rsidRPr="00C669EC">
          <w:rPr>
            <w:rStyle w:val="Forte"/>
            <w:color w:val="000000" w:themeColor="text1"/>
            <w:sz w:val="24"/>
            <w:szCs w:val="24"/>
            <w:shd w:val="clear" w:color="auto" w:fill="FFFFFF"/>
          </w:rPr>
          <w:t>Portaria SOF/MPO nº 169/2024</w:t>
        </w:r>
      </w:hyperlink>
      <w:r>
        <w:rPr>
          <w:rStyle w:val="Forte"/>
          <w:sz w:val="24"/>
          <w:szCs w:val="24"/>
        </w:rPr>
        <w:t xml:space="preserve"> expressa uma </w:t>
      </w:r>
      <w:r w:rsidRPr="00C669EC">
        <w:rPr>
          <w:color w:val="000000" w:themeColor="text1"/>
          <w:sz w:val="24"/>
          <w:szCs w:val="24"/>
        </w:rPr>
        <w:t xml:space="preserve">conquista </w:t>
      </w:r>
      <w:r>
        <w:rPr>
          <w:color w:val="000000" w:themeColor="text1"/>
          <w:sz w:val="24"/>
          <w:szCs w:val="24"/>
        </w:rPr>
        <w:t xml:space="preserve"> a partir d</w:t>
      </w:r>
      <w:r w:rsidRPr="00C669EC">
        <w:rPr>
          <w:color w:val="000000" w:themeColor="text1"/>
          <w:sz w:val="24"/>
          <w:szCs w:val="24"/>
        </w:rPr>
        <w:t xml:space="preserve">a articulação da Comissão de Orçamento e Financiamento do Conselho Nacional de Assistência Social (CNAS), </w:t>
      </w:r>
      <w:r>
        <w:rPr>
          <w:color w:val="000000" w:themeColor="text1"/>
          <w:sz w:val="24"/>
          <w:szCs w:val="24"/>
        </w:rPr>
        <w:t xml:space="preserve">do </w:t>
      </w:r>
      <w:r w:rsidRPr="00C669EC">
        <w:rPr>
          <w:color w:val="000000" w:themeColor="text1"/>
          <w:sz w:val="24"/>
          <w:szCs w:val="24"/>
        </w:rPr>
        <w:t>Fundo Nacional de Assistência Social (FNAS)</w:t>
      </w:r>
      <w:r>
        <w:rPr>
          <w:color w:val="000000" w:themeColor="text1"/>
          <w:sz w:val="24"/>
          <w:szCs w:val="24"/>
        </w:rPr>
        <w:t xml:space="preserve"> </w:t>
      </w:r>
      <w:r w:rsidRPr="00C669EC">
        <w:rPr>
          <w:color w:val="000000" w:themeColor="text1"/>
          <w:sz w:val="24"/>
          <w:szCs w:val="24"/>
        </w:rPr>
        <w:t>e</w:t>
      </w:r>
      <w:r>
        <w:rPr>
          <w:color w:val="000000" w:themeColor="text1"/>
          <w:sz w:val="24"/>
          <w:szCs w:val="24"/>
        </w:rPr>
        <w:t xml:space="preserve"> do</w:t>
      </w:r>
      <w:r w:rsidRPr="00C669EC">
        <w:rPr>
          <w:color w:val="000000" w:themeColor="text1"/>
          <w:sz w:val="24"/>
          <w:szCs w:val="24"/>
        </w:rPr>
        <w:t xml:space="preserve"> Ministério do Desenvolvimento e Assistência Social (MDS)</w:t>
      </w:r>
      <w:r>
        <w:rPr>
          <w:color w:val="000000" w:themeColor="text1"/>
          <w:sz w:val="24"/>
          <w:szCs w:val="24"/>
        </w:rPr>
        <w:t>.</w:t>
      </w:r>
    </w:p>
    <w:p w14:paraId="34C5C93E" w14:textId="77777777" w:rsidR="00B277CA" w:rsidRPr="0086307E" w:rsidRDefault="00B277CA" w:rsidP="00805E46">
      <w:pPr>
        <w:spacing w:line="360" w:lineRule="auto"/>
        <w:ind w:firstLine="708"/>
        <w:jc w:val="both"/>
        <w:rPr>
          <w:sz w:val="24"/>
          <w:szCs w:val="24"/>
        </w:rPr>
      </w:pPr>
      <w:r>
        <w:rPr>
          <w:sz w:val="24"/>
          <w:szCs w:val="24"/>
        </w:rPr>
        <w:t>Por sua vez, a</w:t>
      </w:r>
      <w:r w:rsidRPr="0086307E">
        <w:rPr>
          <w:sz w:val="24"/>
          <w:szCs w:val="24"/>
        </w:rPr>
        <w:t>o analisarmos o Relatório de Execução Orçamentária e Financeira do Fundo Nacional da Assistência Social, segundo trimestre d</w:t>
      </w:r>
      <w:r>
        <w:rPr>
          <w:sz w:val="24"/>
          <w:szCs w:val="24"/>
        </w:rPr>
        <w:t>o</w:t>
      </w:r>
      <w:r w:rsidRPr="0086307E">
        <w:rPr>
          <w:sz w:val="24"/>
          <w:szCs w:val="24"/>
        </w:rPr>
        <w:t xml:space="preserve"> exercício de 2025</w:t>
      </w:r>
      <w:r w:rsidRPr="0086307E">
        <w:rPr>
          <w:sz w:val="24"/>
          <w:szCs w:val="24"/>
          <w:vertAlign w:val="superscript"/>
        </w:rPr>
        <w:footnoteReference w:id="20"/>
      </w:r>
      <w:r w:rsidRPr="0086307E">
        <w:rPr>
          <w:sz w:val="24"/>
          <w:szCs w:val="24"/>
        </w:rPr>
        <w:t>, identificamos três programas que mais possuem recursos com dotação empenhada: Proteção Social no âmbito do Sistema Único de Assistência Social/BPC (R$ 109.348.079.969); Serviço de Apoio à Gestão Descentralizada ao Programa Bolsa Família IGD PBF (</w:t>
      </w:r>
      <w:r w:rsidRPr="0086307E">
        <w:rPr>
          <w:sz w:val="24"/>
          <w:szCs w:val="24"/>
          <w:highlight w:val="white"/>
        </w:rPr>
        <w:t xml:space="preserve">R$ 877.058.000) e por fim, </w:t>
      </w:r>
      <w:r w:rsidRPr="0086307E">
        <w:rPr>
          <w:sz w:val="24"/>
          <w:szCs w:val="24"/>
        </w:rPr>
        <w:t>Operações Especiais: Cumprimento de Sentenças Judiciais (</w:t>
      </w:r>
      <w:r w:rsidRPr="0086307E">
        <w:rPr>
          <w:sz w:val="24"/>
          <w:szCs w:val="24"/>
          <w:highlight w:val="white"/>
        </w:rPr>
        <w:t xml:space="preserve"> R$ 5.176.834.202). </w:t>
      </w:r>
      <w:r w:rsidRPr="0086307E">
        <w:rPr>
          <w:sz w:val="24"/>
          <w:szCs w:val="24"/>
        </w:rPr>
        <w:t xml:space="preserve"> </w:t>
      </w:r>
    </w:p>
    <w:p w14:paraId="22C61416" w14:textId="77777777" w:rsidR="00B277CA" w:rsidRPr="0086307E" w:rsidRDefault="00B277CA">
      <w:pPr>
        <w:spacing w:line="360" w:lineRule="auto"/>
        <w:ind w:firstLine="708"/>
        <w:jc w:val="both"/>
        <w:rPr>
          <w:sz w:val="24"/>
          <w:szCs w:val="24"/>
        </w:rPr>
      </w:pPr>
      <w:r w:rsidRPr="0086307E">
        <w:rPr>
          <w:sz w:val="24"/>
          <w:szCs w:val="24"/>
        </w:rPr>
        <w:lastRenderedPageBreak/>
        <w:t>E, em junho de 2025</w:t>
      </w:r>
      <w:r>
        <w:rPr>
          <w:sz w:val="24"/>
          <w:szCs w:val="24"/>
        </w:rPr>
        <w:t>,</w:t>
      </w:r>
      <w:r w:rsidRPr="0086307E">
        <w:rPr>
          <w:sz w:val="24"/>
          <w:szCs w:val="24"/>
          <w:vertAlign w:val="superscript"/>
        </w:rPr>
        <w:footnoteReference w:id="21"/>
      </w:r>
      <w:r w:rsidRPr="0086307E">
        <w:rPr>
          <w:sz w:val="24"/>
          <w:szCs w:val="24"/>
        </w:rPr>
        <w:t xml:space="preserve"> o CNAS aprovou a Resolução CNAS/MDS Nº 196, de 19/06/2025, com os Parâmetros da Proposta Orçamentária para a Assistência Social, relativo ao orçamento do exercício 2026, e para a Proteção Social Básica e Especial indica a recomposição dos valores considerando </w:t>
      </w:r>
      <w:r>
        <w:rPr>
          <w:sz w:val="24"/>
          <w:szCs w:val="24"/>
        </w:rPr>
        <w:t xml:space="preserve">a </w:t>
      </w:r>
      <w:r w:rsidRPr="0086307E">
        <w:rPr>
          <w:sz w:val="24"/>
          <w:szCs w:val="24"/>
        </w:rPr>
        <w:t xml:space="preserve">rede existente em 2025. </w:t>
      </w:r>
    </w:p>
    <w:p w14:paraId="23FD4B30" w14:textId="77777777" w:rsidR="00B277CA" w:rsidRPr="0086307E" w:rsidRDefault="00B277CA">
      <w:pPr>
        <w:spacing w:line="360" w:lineRule="auto"/>
        <w:ind w:firstLine="708"/>
        <w:jc w:val="both"/>
        <w:rPr>
          <w:sz w:val="24"/>
          <w:szCs w:val="24"/>
        </w:rPr>
      </w:pPr>
      <w:r w:rsidRPr="0086307E">
        <w:rPr>
          <w:sz w:val="24"/>
          <w:szCs w:val="24"/>
        </w:rPr>
        <w:t>Além desse cenário de desfinanciamento da rede socioassistencial</w:t>
      </w:r>
      <w:r>
        <w:rPr>
          <w:sz w:val="24"/>
          <w:szCs w:val="24"/>
        </w:rPr>
        <w:t>,</w:t>
      </w:r>
      <w:r w:rsidRPr="0086307E">
        <w:rPr>
          <w:sz w:val="24"/>
          <w:szCs w:val="24"/>
        </w:rPr>
        <w:t xml:space="preserve"> parte do repasse dos recursos federais do SUAS para os municípios brasileiros começa a ser repassado</w:t>
      </w:r>
      <w:r>
        <w:rPr>
          <w:sz w:val="24"/>
          <w:szCs w:val="24"/>
        </w:rPr>
        <w:t xml:space="preserve"> </w:t>
      </w:r>
      <w:r w:rsidRPr="0086307E">
        <w:rPr>
          <w:sz w:val="24"/>
          <w:szCs w:val="24"/>
        </w:rPr>
        <w:t>via emendas parlamentares desde 2018, e em 2022 aumentou drasticamente, cerca de 762% maior do que a média dos anos anteriores.</w:t>
      </w:r>
    </w:p>
    <w:p w14:paraId="473A36F2" w14:textId="77777777" w:rsidR="00B277CA" w:rsidRPr="0086307E" w:rsidRDefault="00B277CA">
      <w:pPr>
        <w:spacing w:line="360" w:lineRule="auto"/>
        <w:ind w:firstLine="708"/>
        <w:jc w:val="both"/>
        <w:rPr>
          <w:sz w:val="24"/>
          <w:szCs w:val="24"/>
        </w:rPr>
      </w:pPr>
      <w:r w:rsidRPr="0086307E">
        <w:rPr>
          <w:sz w:val="24"/>
          <w:szCs w:val="24"/>
        </w:rPr>
        <w:t>Extraímos alguns trechos do Acórdão 899/2025</w:t>
      </w:r>
      <w:r w:rsidRPr="0086307E">
        <w:rPr>
          <w:sz w:val="24"/>
          <w:szCs w:val="24"/>
          <w:vertAlign w:val="superscript"/>
        </w:rPr>
        <w:footnoteReference w:id="22"/>
      </w:r>
      <w:r w:rsidRPr="0086307E">
        <w:rPr>
          <w:sz w:val="24"/>
          <w:szCs w:val="24"/>
        </w:rPr>
        <w:t>do Tribunal de Contas da União</w:t>
      </w:r>
      <w:r>
        <w:rPr>
          <w:sz w:val="24"/>
          <w:szCs w:val="24"/>
        </w:rPr>
        <w:t xml:space="preserve"> (TCU)</w:t>
      </w:r>
      <w:r w:rsidRPr="0086307E">
        <w:rPr>
          <w:sz w:val="24"/>
          <w:szCs w:val="24"/>
        </w:rPr>
        <w:t>, cujo relatório alerta para o risco do uso dessa modalidade de transferência de recursos federais para municípios:</w:t>
      </w:r>
    </w:p>
    <w:p w14:paraId="1F5AB8D5" w14:textId="77777777" w:rsidR="00B277CA" w:rsidRPr="0086307E" w:rsidRDefault="00B277CA">
      <w:pPr>
        <w:spacing w:line="360" w:lineRule="auto"/>
        <w:ind w:firstLine="708"/>
        <w:jc w:val="both"/>
        <w:rPr>
          <w:sz w:val="24"/>
          <w:szCs w:val="24"/>
        </w:rPr>
      </w:pPr>
    </w:p>
    <w:p w14:paraId="767191D3" w14:textId="77777777" w:rsidR="00B277CA" w:rsidRPr="00BD1AE8" w:rsidRDefault="00B277CA">
      <w:pPr>
        <w:spacing w:line="240" w:lineRule="auto"/>
        <w:ind w:left="2196"/>
        <w:jc w:val="both"/>
        <w:rPr>
          <w:color w:val="000000" w:themeColor="text1"/>
          <w:sz w:val="20"/>
          <w:szCs w:val="20"/>
        </w:rPr>
      </w:pPr>
      <w:r w:rsidRPr="00BD1AE8">
        <w:rPr>
          <w:color w:val="000000" w:themeColor="text1"/>
          <w:sz w:val="20"/>
          <w:szCs w:val="20"/>
        </w:rPr>
        <w:t>[...] Destaca-se o aumento substancial nos valores, principalmente a partir de 2022. Além disso, o valor recebido por meio de emendas em 2023 é comparável ao valor repassado por meio dos blocos de financiamento. A soma desses valores atinge R$</w:t>
      </w:r>
      <w:r>
        <w:rPr>
          <w:color w:val="000000" w:themeColor="text1"/>
          <w:sz w:val="20"/>
          <w:szCs w:val="20"/>
        </w:rPr>
        <w:t xml:space="preserve"> </w:t>
      </w:r>
      <w:r w:rsidRPr="00BD1AE8">
        <w:rPr>
          <w:color w:val="000000" w:themeColor="text1"/>
          <w:sz w:val="20"/>
          <w:szCs w:val="20"/>
        </w:rPr>
        <w:t xml:space="preserve">4.512.800.834,07 no ano de 2023, e as emendas representam 42,9% do total. Essa situação, apesar de aumentar os recursos repassados aos municípios, gera distorções nas pactuações realizadas nas </w:t>
      </w:r>
      <w:proofErr w:type="spellStart"/>
      <w:r w:rsidRPr="00BD1AE8">
        <w:rPr>
          <w:color w:val="000000" w:themeColor="text1"/>
          <w:sz w:val="20"/>
          <w:szCs w:val="20"/>
        </w:rPr>
        <w:t>CIBs</w:t>
      </w:r>
      <w:proofErr w:type="spellEnd"/>
      <w:r w:rsidRPr="00BD1AE8">
        <w:rPr>
          <w:color w:val="000000" w:themeColor="text1"/>
          <w:sz w:val="20"/>
          <w:szCs w:val="20"/>
        </w:rPr>
        <w:t xml:space="preserve"> e na CIT, e aprovadas nos Conselhos Municipais por meio dos planos de ação, visto que os parlamentares possuem discricionariedade para indicar as instituições que receberão dos recursos, desde que atendam aos pré-requisitos indicados na visão geral deste relatório (TCU,</w:t>
      </w:r>
      <w:r>
        <w:rPr>
          <w:color w:val="000000" w:themeColor="text1"/>
          <w:sz w:val="20"/>
          <w:szCs w:val="20"/>
        </w:rPr>
        <w:t xml:space="preserve"> </w:t>
      </w:r>
      <w:r w:rsidRPr="00BD1AE8">
        <w:rPr>
          <w:color w:val="000000" w:themeColor="text1"/>
          <w:sz w:val="20"/>
          <w:szCs w:val="20"/>
        </w:rPr>
        <w:t xml:space="preserve">2025). </w:t>
      </w:r>
    </w:p>
    <w:p w14:paraId="7DF452AB" w14:textId="77777777" w:rsidR="00B277CA" w:rsidRPr="0086307E" w:rsidRDefault="00B277CA">
      <w:pPr>
        <w:spacing w:line="360" w:lineRule="auto"/>
        <w:ind w:left="2196"/>
        <w:jc w:val="both"/>
        <w:rPr>
          <w:sz w:val="20"/>
          <w:szCs w:val="20"/>
        </w:rPr>
      </w:pPr>
    </w:p>
    <w:p w14:paraId="2114769D" w14:textId="77777777" w:rsidR="00B277CA" w:rsidRPr="0086307E" w:rsidRDefault="00B277CA">
      <w:pPr>
        <w:spacing w:line="360" w:lineRule="auto"/>
        <w:ind w:firstLine="708"/>
        <w:jc w:val="both"/>
        <w:rPr>
          <w:sz w:val="24"/>
          <w:szCs w:val="24"/>
        </w:rPr>
      </w:pPr>
      <w:r w:rsidRPr="0086307E">
        <w:rPr>
          <w:sz w:val="24"/>
          <w:szCs w:val="24"/>
        </w:rPr>
        <w:t xml:space="preserve">Apontamos, assim, que dentre as tendências do financiamento da assistência social no governo Lula III, as informações até aqui levantadas apontam que o financiamento do SUAS mantém a centralidade nos programas de transferência de renda, com ações focalizadas na minimização dos efeitos provocados pelo quadro de pobreza extrema que ainda existe no Brasil cuja materialização perpetua práticas assistencialistas e clientelistas, e as emendas parlamentares fortalecem essas tendências na medida em que não dialogam com instrumentos gerais de planejamento </w:t>
      </w:r>
      <w:r w:rsidRPr="0086307E">
        <w:rPr>
          <w:sz w:val="24"/>
          <w:szCs w:val="24"/>
        </w:rPr>
        <w:lastRenderedPageBreak/>
        <w:t xml:space="preserve">em vigor no Brasil como o Plano Plurianual, não possuem mecanismos para a transparência do uso dos recursos, e ignoram pactuações em vigor como o II Plano Decenal da Assistência Social (2016-2026). </w:t>
      </w:r>
    </w:p>
    <w:p w14:paraId="29172EB1" w14:textId="77777777" w:rsidR="00B277CA" w:rsidRPr="0086307E" w:rsidRDefault="00B277CA">
      <w:pPr>
        <w:spacing w:line="360" w:lineRule="auto"/>
        <w:ind w:firstLine="708"/>
        <w:jc w:val="both"/>
        <w:rPr>
          <w:sz w:val="24"/>
          <w:szCs w:val="24"/>
        </w:rPr>
      </w:pPr>
    </w:p>
    <w:p w14:paraId="796704FA" w14:textId="77777777" w:rsidR="00B277CA" w:rsidRDefault="00B277CA" w:rsidP="008B1265">
      <w:pPr>
        <w:spacing w:line="360" w:lineRule="auto"/>
        <w:jc w:val="both"/>
        <w:rPr>
          <w:b/>
          <w:sz w:val="24"/>
          <w:szCs w:val="24"/>
        </w:rPr>
      </w:pPr>
      <w:r>
        <w:rPr>
          <w:b/>
          <w:sz w:val="24"/>
          <w:szCs w:val="24"/>
        </w:rPr>
        <w:t>4</w:t>
      </w:r>
      <w:r>
        <w:rPr>
          <w:b/>
          <w:sz w:val="24"/>
          <w:szCs w:val="24"/>
        </w:rPr>
        <w:tab/>
        <w:t>CONCLUSÃO</w:t>
      </w:r>
    </w:p>
    <w:p w14:paraId="0036F25F" w14:textId="77777777" w:rsidR="00B277CA" w:rsidRDefault="00B277CA" w:rsidP="008B1265">
      <w:pPr>
        <w:spacing w:line="360" w:lineRule="auto"/>
        <w:jc w:val="both"/>
        <w:rPr>
          <w:b/>
          <w:sz w:val="24"/>
          <w:szCs w:val="24"/>
        </w:rPr>
      </w:pPr>
    </w:p>
    <w:p w14:paraId="56FCCA40" w14:textId="77777777" w:rsidR="00B277CA" w:rsidRPr="001C3BC9" w:rsidRDefault="00B277CA" w:rsidP="008B1265">
      <w:pPr>
        <w:spacing w:line="360" w:lineRule="auto"/>
        <w:ind w:firstLine="720"/>
        <w:jc w:val="both"/>
        <w:rPr>
          <w:color w:val="000000" w:themeColor="text1"/>
          <w:sz w:val="24"/>
          <w:szCs w:val="24"/>
        </w:rPr>
      </w:pPr>
      <w:r w:rsidRPr="001C3BC9">
        <w:rPr>
          <w:color w:val="000000" w:themeColor="text1"/>
          <w:sz w:val="24"/>
          <w:szCs w:val="24"/>
        </w:rPr>
        <w:t>O terceiro mandato do Governo Lula prolonga as políticas de austeridade no Brasil, além disso, mantém a centralidade nos programas de transferência de renda, com ações focalizadas na minimização dos efeitos provocados pelo quadro de pobreza extrema, cuja materialização perpetua práticas assistencialistas e clientelistas e com o financiamento por meio das emendas parlamentares há o fortalecimento dessas tendências, adensado com o aumento da  prevalência de aspectos gerenciais e contábeis de aplicação dos programas em detrimento dos objetivos mais amplos do bem-estar da cidadania.</w:t>
      </w:r>
    </w:p>
    <w:p w14:paraId="3AE7EBBE" w14:textId="77777777" w:rsidR="00B277CA" w:rsidRPr="001C3BC9" w:rsidRDefault="00B277CA" w:rsidP="000A1745">
      <w:pPr>
        <w:spacing w:line="360" w:lineRule="auto"/>
        <w:ind w:firstLine="720"/>
        <w:jc w:val="both"/>
        <w:rPr>
          <w:color w:val="000000" w:themeColor="text1"/>
          <w:sz w:val="24"/>
          <w:szCs w:val="24"/>
        </w:rPr>
      </w:pPr>
      <w:r w:rsidRPr="001C3BC9">
        <w:rPr>
          <w:color w:val="000000" w:themeColor="text1"/>
          <w:sz w:val="24"/>
          <w:szCs w:val="24"/>
        </w:rPr>
        <w:t>Destarte, o enfraquecimento do modelo de financiamento via fundo a fundo, que por décadas</w:t>
      </w:r>
      <w:r>
        <w:rPr>
          <w:color w:val="000000" w:themeColor="text1"/>
          <w:sz w:val="24"/>
          <w:szCs w:val="24"/>
        </w:rPr>
        <w:t>,</w:t>
      </w:r>
      <w:r w:rsidRPr="001C3BC9">
        <w:rPr>
          <w:color w:val="000000" w:themeColor="text1"/>
          <w:sz w:val="24"/>
          <w:szCs w:val="24"/>
        </w:rPr>
        <w:t xml:space="preserve"> representou um mecanismo de repasse de recursos contínuos e regulares, defrontam-se com o exponencial aumento das emendas parlamentares, que carecem de maior transparência na aplicação do erário público e representam a priorização de nichos eleitorais pautados nos interesses políticos, o que nos leva a refletir sobre a correlação de forças entre os poderes executivo e legislativo e nos consequentes desafios para a gestão do SUAS, mediante a insegurança financeira e a descontinuidade dos serviços que fragiliza</w:t>
      </w:r>
      <w:r>
        <w:rPr>
          <w:color w:val="000000" w:themeColor="text1"/>
          <w:sz w:val="24"/>
          <w:szCs w:val="24"/>
        </w:rPr>
        <w:t>m</w:t>
      </w:r>
      <w:r w:rsidRPr="001C3BC9">
        <w:rPr>
          <w:color w:val="000000" w:themeColor="text1"/>
          <w:sz w:val="24"/>
          <w:szCs w:val="24"/>
        </w:rPr>
        <w:t xml:space="preserve"> a concepção de assistência social como direito e retrocede à perspectiva do clientelismo partidário.  </w:t>
      </w:r>
    </w:p>
    <w:p w14:paraId="6E4BAEDD" w14:textId="77777777" w:rsidR="00B277CA" w:rsidRDefault="00B277CA">
      <w:pPr>
        <w:spacing w:line="360" w:lineRule="auto"/>
        <w:jc w:val="both"/>
        <w:rPr>
          <w:b/>
          <w:sz w:val="24"/>
          <w:szCs w:val="24"/>
        </w:rPr>
      </w:pPr>
    </w:p>
    <w:p w14:paraId="68804221" w14:textId="77777777" w:rsidR="00B277CA" w:rsidRDefault="00B277CA" w:rsidP="00960723">
      <w:pPr>
        <w:spacing w:line="360" w:lineRule="auto"/>
        <w:rPr>
          <w:sz w:val="24"/>
          <w:szCs w:val="24"/>
        </w:rPr>
      </w:pPr>
      <w:r>
        <w:rPr>
          <w:b/>
          <w:sz w:val="24"/>
          <w:szCs w:val="24"/>
        </w:rPr>
        <w:t xml:space="preserve">REFERÊNCIAS </w:t>
      </w:r>
    </w:p>
    <w:p w14:paraId="1B75D0EB" w14:textId="77777777" w:rsidR="00B277CA" w:rsidRDefault="00B277CA">
      <w:pPr>
        <w:spacing w:line="240" w:lineRule="auto"/>
        <w:jc w:val="both"/>
        <w:rPr>
          <w:sz w:val="24"/>
          <w:szCs w:val="24"/>
        </w:rPr>
      </w:pPr>
    </w:p>
    <w:p w14:paraId="11DC948D" w14:textId="77777777" w:rsidR="00B277CA" w:rsidRDefault="00B277CA">
      <w:pPr>
        <w:spacing w:line="240" w:lineRule="auto"/>
        <w:jc w:val="both"/>
        <w:rPr>
          <w:sz w:val="24"/>
          <w:szCs w:val="24"/>
        </w:rPr>
      </w:pPr>
      <w:r>
        <w:rPr>
          <w:sz w:val="24"/>
          <w:szCs w:val="24"/>
        </w:rPr>
        <w:t xml:space="preserve">ALENCAR JÚNIOR, Osmar Gomes de. Novo Arcabouço Fiscal: regime fiscal sustentável para o capital e destrutivo para o trabalho. </w:t>
      </w:r>
      <w:proofErr w:type="spellStart"/>
      <w:r>
        <w:rPr>
          <w:b/>
          <w:sz w:val="24"/>
          <w:szCs w:val="24"/>
        </w:rPr>
        <w:t>Argumentum</w:t>
      </w:r>
      <w:proofErr w:type="spellEnd"/>
      <w:r>
        <w:rPr>
          <w:sz w:val="24"/>
          <w:szCs w:val="24"/>
        </w:rPr>
        <w:t>, [S. l.], v. 16, n. 1, p. 20–29, 2024. DOI: 10.47456/</w:t>
      </w:r>
      <w:proofErr w:type="gramStart"/>
      <w:r>
        <w:rPr>
          <w:sz w:val="24"/>
          <w:szCs w:val="24"/>
        </w:rPr>
        <w:t>argumentum.v</w:t>
      </w:r>
      <w:proofErr w:type="gramEnd"/>
      <w:r>
        <w:rPr>
          <w:sz w:val="24"/>
          <w:szCs w:val="24"/>
        </w:rPr>
        <w:t>16i1.44445. Disponível em: https://periodicos.ufes.br/argumentum/article/view/44445. Acesso em: 4 agosto. 2025</w:t>
      </w:r>
    </w:p>
    <w:p w14:paraId="563B9C25" w14:textId="77777777" w:rsidR="00B277CA" w:rsidRDefault="00B277CA">
      <w:pPr>
        <w:spacing w:line="240" w:lineRule="auto"/>
        <w:jc w:val="both"/>
        <w:rPr>
          <w:sz w:val="24"/>
          <w:szCs w:val="24"/>
        </w:rPr>
      </w:pPr>
    </w:p>
    <w:p w14:paraId="47E216C0" w14:textId="77777777" w:rsidR="00B277CA" w:rsidRDefault="00B277CA">
      <w:pPr>
        <w:spacing w:line="240" w:lineRule="auto"/>
        <w:jc w:val="both"/>
        <w:rPr>
          <w:sz w:val="24"/>
          <w:szCs w:val="24"/>
        </w:rPr>
      </w:pPr>
      <w:r>
        <w:rPr>
          <w:sz w:val="24"/>
          <w:szCs w:val="24"/>
        </w:rPr>
        <w:lastRenderedPageBreak/>
        <w:t xml:space="preserve">BOSCHETTI, Ivanete. </w:t>
      </w:r>
      <w:r>
        <w:rPr>
          <w:b/>
          <w:sz w:val="24"/>
          <w:szCs w:val="24"/>
        </w:rPr>
        <w:t>Assistência social e trabalho no capitalismo.</w:t>
      </w:r>
      <w:r>
        <w:rPr>
          <w:sz w:val="24"/>
          <w:szCs w:val="24"/>
        </w:rPr>
        <w:t xml:space="preserve"> São Paulo: Cortez, 2016.</w:t>
      </w:r>
    </w:p>
    <w:p w14:paraId="478F9F63" w14:textId="77777777" w:rsidR="00B277CA" w:rsidRDefault="00B277CA">
      <w:pPr>
        <w:spacing w:line="240" w:lineRule="auto"/>
        <w:jc w:val="both"/>
        <w:rPr>
          <w:sz w:val="24"/>
          <w:szCs w:val="24"/>
        </w:rPr>
      </w:pPr>
    </w:p>
    <w:p w14:paraId="6BE2786C" w14:textId="77777777" w:rsidR="00B277CA" w:rsidRDefault="00B277CA">
      <w:pPr>
        <w:spacing w:line="240" w:lineRule="auto"/>
        <w:jc w:val="both"/>
        <w:rPr>
          <w:sz w:val="24"/>
          <w:szCs w:val="24"/>
        </w:rPr>
      </w:pPr>
      <w:r>
        <w:rPr>
          <w:sz w:val="24"/>
          <w:szCs w:val="24"/>
        </w:rPr>
        <w:t xml:space="preserve">CARCANHOLO, R.; NAKATANI, P. O capital especulativo parasitário: uma precisão teórica sobre o capital financeiro, característico da globalização. Em: Gomes, H. (Org.). </w:t>
      </w:r>
      <w:r>
        <w:rPr>
          <w:b/>
          <w:sz w:val="24"/>
          <w:szCs w:val="24"/>
        </w:rPr>
        <w:t>Especulação e lucros fictícios</w:t>
      </w:r>
      <w:r>
        <w:rPr>
          <w:sz w:val="24"/>
          <w:szCs w:val="24"/>
        </w:rPr>
        <w:t>: formas parasitárias de acumulação contemporânea. São Paulo: Outras Expressões, p. 31-59, 2015.</w:t>
      </w:r>
    </w:p>
    <w:p w14:paraId="6A32B0CE" w14:textId="77777777" w:rsidR="00B277CA" w:rsidRDefault="00B277CA">
      <w:pPr>
        <w:spacing w:line="240" w:lineRule="auto"/>
        <w:jc w:val="both"/>
        <w:rPr>
          <w:sz w:val="24"/>
          <w:szCs w:val="24"/>
        </w:rPr>
      </w:pPr>
    </w:p>
    <w:p w14:paraId="35B5CC7E" w14:textId="77777777" w:rsidR="00B277CA" w:rsidRDefault="00B277CA">
      <w:pPr>
        <w:spacing w:line="240" w:lineRule="auto"/>
        <w:jc w:val="both"/>
        <w:rPr>
          <w:sz w:val="24"/>
          <w:szCs w:val="24"/>
        </w:rPr>
      </w:pPr>
      <w:r>
        <w:rPr>
          <w:sz w:val="24"/>
          <w:szCs w:val="24"/>
        </w:rPr>
        <w:t>CONFEDERAÇÃO NACIONAL DOS MUNICÍPIOS (CNM). Cenário orçamento: Sistema Único de Assistência Social (Suas). Brasília, 2024.</w:t>
      </w:r>
    </w:p>
    <w:p w14:paraId="1A72C8B4" w14:textId="77777777" w:rsidR="00B277CA" w:rsidRDefault="00B277CA">
      <w:pPr>
        <w:spacing w:line="240" w:lineRule="auto"/>
        <w:jc w:val="both"/>
        <w:rPr>
          <w:sz w:val="24"/>
          <w:szCs w:val="24"/>
        </w:rPr>
      </w:pPr>
    </w:p>
    <w:p w14:paraId="408A6D71" w14:textId="77777777" w:rsidR="00B277CA" w:rsidRDefault="00B277CA">
      <w:pPr>
        <w:spacing w:line="240" w:lineRule="auto"/>
        <w:jc w:val="both"/>
        <w:rPr>
          <w:sz w:val="24"/>
          <w:szCs w:val="24"/>
        </w:rPr>
      </w:pPr>
      <w:r>
        <w:rPr>
          <w:sz w:val="24"/>
          <w:szCs w:val="24"/>
        </w:rPr>
        <w:t>FILGUEIRAS, L., SENA JÚNIOR, C. Z. de, &amp; FELIPE MIGUEL, L. (2023). O terceiro governo Lula: limites e perspectivas. </w:t>
      </w:r>
      <w:r>
        <w:rPr>
          <w:i/>
          <w:sz w:val="24"/>
          <w:szCs w:val="24"/>
        </w:rPr>
        <w:t>Caderno CRH</w:t>
      </w:r>
      <w:r>
        <w:rPr>
          <w:sz w:val="24"/>
          <w:szCs w:val="24"/>
        </w:rPr>
        <w:t>, </w:t>
      </w:r>
      <w:r>
        <w:rPr>
          <w:i/>
          <w:sz w:val="24"/>
          <w:szCs w:val="24"/>
        </w:rPr>
        <w:t>36</w:t>
      </w:r>
      <w:r>
        <w:rPr>
          <w:sz w:val="24"/>
          <w:szCs w:val="24"/>
        </w:rPr>
        <w:t xml:space="preserve">, e023024. </w:t>
      </w:r>
      <w:hyperlink r:id="rId10">
        <w:r>
          <w:rPr>
            <w:color w:val="467886"/>
            <w:sz w:val="24"/>
            <w:szCs w:val="24"/>
            <w:u w:val="single"/>
          </w:rPr>
          <w:t>https://doi.org/10.9771/ccrh.v36i0.55403</w:t>
        </w:r>
      </w:hyperlink>
      <w:r>
        <w:rPr>
          <w:sz w:val="24"/>
          <w:szCs w:val="24"/>
        </w:rPr>
        <w:t>. Disponível em: https://</w:t>
      </w:r>
      <w:r>
        <w:t xml:space="preserve"> </w:t>
      </w:r>
      <w:r>
        <w:rPr>
          <w:sz w:val="24"/>
          <w:szCs w:val="24"/>
        </w:rPr>
        <w:t>periodicos.ufba.br/</w:t>
      </w:r>
      <w:proofErr w:type="spellStart"/>
      <w:r>
        <w:rPr>
          <w:sz w:val="24"/>
          <w:szCs w:val="24"/>
        </w:rPr>
        <w:t>index.php</w:t>
      </w:r>
      <w:proofErr w:type="spellEnd"/>
      <w:r>
        <w:rPr>
          <w:sz w:val="24"/>
          <w:szCs w:val="24"/>
        </w:rPr>
        <w:t>/</w:t>
      </w:r>
      <w:proofErr w:type="spellStart"/>
      <w:r>
        <w:rPr>
          <w:sz w:val="24"/>
          <w:szCs w:val="24"/>
        </w:rPr>
        <w:t>crh</w:t>
      </w:r>
      <w:proofErr w:type="spellEnd"/>
      <w:r>
        <w:rPr>
          <w:sz w:val="24"/>
          <w:szCs w:val="24"/>
        </w:rPr>
        <w:t>/</w:t>
      </w:r>
      <w:proofErr w:type="spellStart"/>
      <w:r>
        <w:rPr>
          <w:sz w:val="24"/>
          <w:szCs w:val="24"/>
        </w:rPr>
        <w:t>article</w:t>
      </w:r>
      <w:proofErr w:type="spellEnd"/>
      <w:r>
        <w:rPr>
          <w:sz w:val="24"/>
          <w:szCs w:val="24"/>
        </w:rPr>
        <w:t>/</w:t>
      </w:r>
      <w:proofErr w:type="spellStart"/>
      <w:r>
        <w:rPr>
          <w:sz w:val="24"/>
          <w:szCs w:val="24"/>
        </w:rPr>
        <w:t>view</w:t>
      </w:r>
      <w:proofErr w:type="spellEnd"/>
      <w:r>
        <w:rPr>
          <w:sz w:val="24"/>
          <w:szCs w:val="24"/>
        </w:rPr>
        <w:t>/55403. Acesso em 04 agosto 2025.</w:t>
      </w:r>
    </w:p>
    <w:p w14:paraId="19956FE7" w14:textId="77777777" w:rsidR="00B277CA" w:rsidRDefault="00B277CA" w:rsidP="0086307E">
      <w:pPr>
        <w:spacing w:line="240" w:lineRule="auto"/>
        <w:jc w:val="both"/>
        <w:rPr>
          <w:sz w:val="24"/>
          <w:szCs w:val="24"/>
        </w:rPr>
      </w:pPr>
    </w:p>
    <w:p w14:paraId="14F2C152" w14:textId="77777777" w:rsidR="00B277CA" w:rsidRPr="0086307E" w:rsidRDefault="00B277CA" w:rsidP="0086307E">
      <w:pPr>
        <w:spacing w:line="240" w:lineRule="auto"/>
        <w:jc w:val="both"/>
        <w:rPr>
          <w:sz w:val="24"/>
          <w:szCs w:val="24"/>
        </w:rPr>
      </w:pPr>
      <w:r w:rsidRPr="0086307E">
        <w:rPr>
          <w:sz w:val="24"/>
          <w:szCs w:val="24"/>
        </w:rPr>
        <w:t>INESC, Orçamento e Direitos: Balanço da execução de Políticas Públicas (2024</w:t>
      </w:r>
      <w:proofErr w:type="gramStart"/>
      <w:r w:rsidRPr="0086307E">
        <w:rPr>
          <w:sz w:val="24"/>
          <w:szCs w:val="24"/>
        </w:rPr>
        <w:t>)  Disponível</w:t>
      </w:r>
      <w:proofErr w:type="gramEnd"/>
      <w:r w:rsidRPr="0086307E">
        <w:rPr>
          <w:sz w:val="24"/>
          <w:szCs w:val="24"/>
        </w:rPr>
        <w:t xml:space="preserve"> em: </w:t>
      </w:r>
      <w:hyperlink r:id="rId11" w:history="1">
        <w:r w:rsidRPr="00F90D15">
          <w:rPr>
            <w:rStyle w:val="Hyperlink"/>
            <w:position w:val="0"/>
            <w:sz w:val="24"/>
            <w:szCs w:val="24"/>
          </w:rPr>
          <w:t>https://inesc.org.br/orcamento-e-direitos-2024/. Acesso</w:t>
        </w:r>
      </w:hyperlink>
      <w:r w:rsidRPr="0086307E">
        <w:rPr>
          <w:sz w:val="24"/>
          <w:szCs w:val="24"/>
        </w:rPr>
        <w:t xml:space="preserve"> 15/08/2025. </w:t>
      </w:r>
    </w:p>
    <w:p w14:paraId="3FEF1672" w14:textId="77777777" w:rsidR="00B277CA" w:rsidRPr="0086307E" w:rsidRDefault="00B277CA" w:rsidP="0086307E">
      <w:pPr>
        <w:spacing w:line="240" w:lineRule="auto"/>
        <w:jc w:val="both"/>
        <w:rPr>
          <w:sz w:val="24"/>
          <w:szCs w:val="24"/>
        </w:rPr>
      </w:pPr>
    </w:p>
    <w:p w14:paraId="523CDAF8" w14:textId="77777777" w:rsidR="00B277CA" w:rsidRDefault="00B277CA">
      <w:pPr>
        <w:spacing w:line="240" w:lineRule="auto"/>
        <w:jc w:val="both"/>
        <w:rPr>
          <w:sz w:val="24"/>
          <w:szCs w:val="24"/>
        </w:rPr>
      </w:pPr>
      <w:r>
        <w:rPr>
          <w:sz w:val="24"/>
          <w:szCs w:val="24"/>
        </w:rPr>
        <w:t xml:space="preserve">MATTEI, Clara E. O significado da austeridade. In: </w:t>
      </w:r>
      <w:r>
        <w:rPr>
          <w:b/>
          <w:sz w:val="24"/>
          <w:szCs w:val="24"/>
        </w:rPr>
        <w:t>A ordem do capital:</w:t>
      </w:r>
      <w:r>
        <w:rPr>
          <w:sz w:val="24"/>
          <w:szCs w:val="24"/>
        </w:rPr>
        <w:t xml:space="preserve"> como economistas inventaram a austeridade e abriram caminho para o </w:t>
      </w:r>
      <w:proofErr w:type="spellStart"/>
      <w:r>
        <w:rPr>
          <w:sz w:val="24"/>
          <w:szCs w:val="24"/>
        </w:rPr>
        <w:t>facismo</w:t>
      </w:r>
      <w:proofErr w:type="spellEnd"/>
      <w:r>
        <w:rPr>
          <w:sz w:val="24"/>
          <w:szCs w:val="24"/>
        </w:rPr>
        <w:t xml:space="preserve">. (tradução </w:t>
      </w:r>
      <w:proofErr w:type="spellStart"/>
      <w:r>
        <w:rPr>
          <w:sz w:val="24"/>
          <w:szCs w:val="24"/>
        </w:rPr>
        <w:t>Heci</w:t>
      </w:r>
      <w:proofErr w:type="spellEnd"/>
      <w:r>
        <w:rPr>
          <w:sz w:val="24"/>
          <w:szCs w:val="24"/>
        </w:rPr>
        <w:t xml:space="preserve"> </w:t>
      </w:r>
      <w:proofErr w:type="spellStart"/>
      <w:r>
        <w:rPr>
          <w:sz w:val="24"/>
          <w:szCs w:val="24"/>
        </w:rPr>
        <w:t>Candiani</w:t>
      </w:r>
      <w:proofErr w:type="spellEnd"/>
      <w:r>
        <w:rPr>
          <w:sz w:val="24"/>
          <w:szCs w:val="24"/>
        </w:rPr>
        <w:t>). 1 ed. São Paulo: Boitempo, 2023.</w:t>
      </w:r>
    </w:p>
    <w:p w14:paraId="03A947D8" w14:textId="77777777" w:rsidR="00B277CA" w:rsidRDefault="00B277CA">
      <w:pPr>
        <w:spacing w:line="240" w:lineRule="auto"/>
        <w:jc w:val="both"/>
        <w:rPr>
          <w:sz w:val="24"/>
          <w:szCs w:val="24"/>
        </w:rPr>
      </w:pPr>
    </w:p>
    <w:p w14:paraId="1035E497" w14:textId="77777777" w:rsidR="00B277CA" w:rsidRDefault="00B277CA">
      <w:pPr>
        <w:spacing w:line="240" w:lineRule="auto"/>
        <w:jc w:val="both"/>
        <w:rPr>
          <w:sz w:val="24"/>
          <w:szCs w:val="24"/>
        </w:rPr>
      </w:pPr>
      <w:r>
        <w:rPr>
          <w:sz w:val="24"/>
          <w:szCs w:val="24"/>
        </w:rPr>
        <w:t xml:space="preserve">NAKATANI, Paulo, MARQUES, Rosa Maria. </w:t>
      </w:r>
      <w:r>
        <w:rPr>
          <w:b/>
          <w:sz w:val="24"/>
          <w:szCs w:val="24"/>
        </w:rPr>
        <w:t xml:space="preserve">Capitalismo em crise. </w:t>
      </w:r>
      <w:r>
        <w:rPr>
          <w:sz w:val="24"/>
          <w:szCs w:val="24"/>
        </w:rPr>
        <w:t>1ª Ed. São Paulo: Expressão Popular, 2020.</w:t>
      </w:r>
    </w:p>
    <w:p w14:paraId="7E8F3464" w14:textId="77777777" w:rsidR="00B277CA" w:rsidRDefault="00B277CA">
      <w:pPr>
        <w:spacing w:line="240" w:lineRule="auto"/>
        <w:jc w:val="both"/>
        <w:rPr>
          <w:sz w:val="24"/>
          <w:szCs w:val="24"/>
        </w:rPr>
      </w:pPr>
    </w:p>
    <w:p w14:paraId="56D9E1BA" w14:textId="77777777" w:rsidR="00B277CA" w:rsidRDefault="00B277CA">
      <w:pPr>
        <w:spacing w:line="240" w:lineRule="auto"/>
        <w:jc w:val="both"/>
        <w:rPr>
          <w:sz w:val="24"/>
          <w:szCs w:val="24"/>
        </w:rPr>
      </w:pPr>
      <w:r>
        <w:rPr>
          <w:sz w:val="24"/>
          <w:szCs w:val="24"/>
        </w:rPr>
        <w:t xml:space="preserve">SALVADOR, Evilásio. O arcabouço fiscal e as implicações no financiamento das políticas sociais. </w:t>
      </w:r>
      <w:proofErr w:type="spellStart"/>
      <w:r>
        <w:rPr>
          <w:b/>
          <w:sz w:val="24"/>
          <w:szCs w:val="24"/>
        </w:rPr>
        <w:t>Argumentum</w:t>
      </w:r>
      <w:proofErr w:type="spellEnd"/>
      <w:r>
        <w:rPr>
          <w:sz w:val="24"/>
          <w:szCs w:val="24"/>
        </w:rPr>
        <w:t>, [S. l.], v. 16, n. 1, p. 6–19, 2024. DOI: 10.47456/</w:t>
      </w:r>
      <w:proofErr w:type="gramStart"/>
      <w:r>
        <w:rPr>
          <w:sz w:val="24"/>
          <w:szCs w:val="24"/>
        </w:rPr>
        <w:t>argumentum.v</w:t>
      </w:r>
      <w:proofErr w:type="gramEnd"/>
      <w:r>
        <w:rPr>
          <w:sz w:val="24"/>
          <w:szCs w:val="24"/>
        </w:rPr>
        <w:t>16i1.44218. Disponível em: https://periodicos.ufes.br/argumentum/article/view/44218. Acesso em: 4 agosto. 2025.</w:t>
      </w:r>
    </w:p>
    <w:p w14:paraId="7FB59115" w14:textId="77777777" w:rsidR="00B277CA" w:rsidRDefault="00B277CA">
      <w:pPr>
        <w:spacing w:line="240" w:lineRule="auto"/>
        <w:jc w:val="both"/>
        <w:rPr>
          <w:sz w:val="24"/>
          <w:szCs w:val="24"/>
        </w:rPr>
      </w:pPr>
    </w:p>
    <w:p w14:paraId="738BBDC6" w14:textId="77777777" w:rsidR="00B277CA" w:rsidRDefault="00B277CA">
      <w:pPr>
        <w:spacing w:line="240" w:lineRule="auto"/>
        <w:jc w:val="both"/>
        <w:rPr>
          <w:sz w:val="24"/>
          <w:szCs w:val="24"/>
        </w:rPr>
      </w:pPr>
      <w:r>
        <w:rPr>
          <w:sz w:val="24"/>
          <w:szCs w:val="24"/>
        </w:rPr>
        <w:t xml:space="preserve">SILVA, J. A. F. Privatização das políticas sociais, avanço do conservadorismo, desafios para o serviço social. Editorial. </w:t>
      </w:r>
      <w:proofErr w:type="spellStart"/>
      <w:r>
        <w:rPr>
          <w:b/>
          <w:sz w:val="24"/>
          <w:szCs w:val="24"/>
        </w:rPr>
        <w:t>Argumentum</w:t>
      </w:r>
      <w:proofErr w:type="spellEnd"/>
      <w:r>
        <w:rPr>
          <w:sz w:val="24"/>
          <w:szCs w:val="24"/>
        </w:rPr>
        <w:t>, [S. l.], v. 16, n. 1, p. 4-5, 2024. DOI: 10.47456/</w:t>
      </w:r>
      <w:proofErr w:type="gramStart"/>
      <w:r>
        <w:rPr>
          <w:sz w:val="24"/>
          <w:szCs w:val="24"/>
        </w:rPr>
        <w:t>argumentum.v</w:t>
      </w:r>
      <w:proofErr w:type="gramEnd"/>
      <w:r>
        <w:rPr>
          <w:sz w:val="24"/>
          <w:szCs w:val="24"/>
        </w:rPr>
        <w:t>16i1.44218. Disponível em: https://periodicos.ufes.br/argumentum/article/view/44218. Acesso em: 4 agosto. 2025.</w:t>
      </w:r>
    </w:p>
    <w:p w14:paraId="52FC4B8A" w14:textId="77777777" w:rsidR="00B277CA" w:rsidRDefault="00B277CA">
      <w:pPr>
        <w:spacing w:line="240" w:lineRule="auto"/>
        <w:jc w:val="both"/>
        <w:rPr>
          <w:color w:val="4A86E8"/>
          <w:sz w:val="24"/>
          <w:szCs w:val="24"/>
        </w:rPr>
      </w:pPr>
    </w:p>
    <w:p w14:paraId="33EADBA7" w14:textId="77777777" w:rsidR="00B277CA" w:rsidRDefault="00B277CA">
      <w:pPr>
        <w:spacing w:line="360" w:lineRule="auto"/>
        <w:jc w:val="center"/>
        <w:rPr>
          <w:color w:val="4A86E8"/>
          <w:sz w:val="24"/>
          <w:szCs w:val="24"/>
        </w:rPr>
      </w:pPr>
    </w:p>
    <w:p w14:paraId="53F96C6F" w14:textId="77777777" w:rsidR="00B277CA" w:rsidRDefault="00B277CA">
      <w:pPr>
        <w:spacing w:line="240" w:lineRule="auto"/>
        <w:jc w:val="both"/>
        <w:rPr>
          <w:sz w:val="24"/>
          <w:szCs w:val="24"/>
        </w:rPr>
      </w:pPr>
    </w:p>
    <w:p w14:paraId="22C1C534" w14:textId="77777777" w:rsidR="00B277CA" w:rsidRDefault="00B277CA">
      <w:pPr>
        <w:spacing w:line="240" w:lineRule="auto"/>
        <w:jc w:val="both"/>
        <w:rPr>
          <w:rFonts w:ascii="Calibri" w:eastAsia="Calibri" w:hAnsi="Calibri" w:cs="Calibri"/>
          <w:sz w:val="24"/>
          <w:szCs w:val="24"/>
        </w:rPr>
      </w:pPr>
    </w:p>
    <w:p w14:paraId="3EB40021" w14:textId="77777777" w:rsidR="00FF4348" w:rsidRDefault="00FF4348" w:rsidP="00BE0CA6">
      <w:pPr>
        <w:spacing w:line="240" w:lineRule="auto"/>
        <w:jc w:val="both"/>
        <w:rPr>
          <w:sz w:val="24"/>
          <w:szCs w:val="24"/>
        </w:rPr>
      </w:pPr>
    </w:p>
    <w:p w14:paraId="34A3460F" w14:textId="77777777" w:rsidR="00B277CA" w:rsidRDefault="00B277CA" w:rsidP="00BE0CA6">
      <w:pPr>
        <w:spacing w:line="240" w:lineRule="auto"/>
        <w:jc w:val="both"/>
        <w:rPr>
          <w:sz w:val="24"/>
          <w:szCs w:val="24"/>
        </w:rPr>
      </w:pPr>
    </w:p>
    <w:p w14:paraId="47634575" w14:textId="77777777" w:rsidR="00B277CA" w:rsidRDefault="00B277CA" w:rsidP="00BE0CA6">
      <w:pPr>
        <w:spacing w:line="240" w:lineRule="auto"/>
        <w:jc w:val="both"/>
        <w:rPr>
          <w:sz w:val="24"/>
          <w:szCs w:val="24"/>
        </w:rPr>
      </w:pPr>
    </w:p>
    <w:p w14:paraId="4B2FB604" w14:textId="77777777" w:rsidR="00B277CA" w:rsidRDefault="00B277CA" w:rsidP="00BE0CA6">
      <w:pPr>
        <w:spacing w:line="240" w:lineRule="auto"/>
        <w:jc w:val="both"/>
        <w:rPr>
          <w:sz w:val="24"/>
          <w:szCs w:val="24"/>
        </w:rPr>
      </w:pPr>
    </w:p>
    <w:p w14:paraId="436AD48B" w14:textId="77777777" w:rsidR="00B277CA" w:rsidRDefault="00B277CA" w:rsidP="00CF3EBC">
      <w:pPr>
        <w:pStyle w:val="Standard"/>
        <w:jc w:val="center"/>
      </w:pPr>
      <w:r>
        <w:rPr>
          <w:rFonts w:ascii="Arial" w:hAnsi="Arial" w:cs="Arial"/>
          <w:b/>
          <w:bCs/>
        </w:rPr>
        <w:t>FUNDO PÚBLICO E O REGIME FISCAL SUSTENTÁVEL AO CAPITAL NO GOVERNO LULA 3</w:t>
      </w:r>
    </w:p>
    <w:p w14:paraId="7468A778" w14:textId="77777777" w:rsidR="00B277CA" w:rsidRDefault="00B277CA" w:rsidP="004F776F">
      <w:pPr>
        <w:spacing w:line="240" w:lineRule="auto"/>
        <w:ind w:left="2835"/>
        <w:jc w:val="both"/>
        <w:rPr>
          <w:b/>
          <w:sz w:val="20"/>
          <w:szCs w:val="20"/>
        </w:rPr>
      </w:pPr>
    </w:p>
    <w:p w14:paraId="6DED91AA" w14:textId="77777777" w:rsidR="00B277CA" w:rsidRDefault="00B277CA" w:rsidP="0029491A">
      <w:pPr>
        <w:spacing w:line="240" w:lineRule="auto"/>
        <w:ind w:left="2835"/>
        <w:jc w:val="right"/>
        <w:rPr>
          <w:bCs/>
          <w:sz w:val="20"/>
          <w:szCs w:val="20"/>
        </w:rPr>
      </w:pPr>
    </w:p>
    <w:p w14:paraId="4DFA1653" w14:textId="77777777" w:rsidR="00B277CA" w:rsidRPr="0029491A" w:rsidRDefault="00B277CA" w:rsidP="0029491A">
      <w:pPr>
        <w:spacing w:line="240" w:lineRule="auto"/>
        <w:ind w:left="2835"/>
        <w:jc w:val="right"/>
        <w:rPr>
          <w:bCs/>
          <w:sz w:val="20"/>
          <w:szCs w:val="20"/>
        </w:rPr>
      </w:pPr>
      <w:r w:rsidRPr="0029491A">
        <w:rPr>
          <w:bCs/>
          <w:sz w:val="20"/>
          <w:szCs w:val="20"/>
        </w:rPr>
        <w:t>Osmar Gomes de Alencar Júnior</w:t>
      </w:r>
      <w:r>
        <w:rPr>
          <w:rStyle w:val="Refdenotaderodap"/>
          <w:bCs/>
          <w:sz w:val="20"/>
          <w:szCs w:val="20"/>
        </w:rPr>
        <w:footnoteReference w:id="23"/>
      </w:r>
    </w:p>
    <w:p w14:paraId="0E3759D4" w14:textId="77777777" w:rsidR="00B277CA" w:rsidRDefault="00B277CA" w:rsidP="004F776F">
      <w:pPr>
        <w:spacing w:line="240" w:lineRule="auto"/>
        <w:ind w:left="2835"/>
        <w:jc w:val="both"/>
        <w:rPr>
          <w:b/>
          <w:sz w:val="20"/>
          <w:szCs w:val="20"/>
        </w:rPr>
      </w:pPr>
    </w:p>
    <w:p w14:paraId="7C7DCE2A" w14:textId="77777777" w:rsidR="00B277CA" w:rsidRDefault="00B277CA" w:rsidP="004F776F">
      <w:pPr>
        <w:spacing w:line="240" w:lineRule="auto"/>
        <w:ind w:left="2835"/>
        <w:jc w:val="both"/>
        <w:rPr>
          <w:b/>
          <w:sz w:val="20"/>
          <w:szCs w:val="20"/>
        </w:rPr>
      </w:pPr>
    </w:p>
    <w:p w14:paraId="015B0B49" w14:textId="77777777" w:rsidR="00B277CA" w:rsidRDefault="00B277CA" w:rsidP="004F776F">
      <w:pPr>
        <w:spacing w:line="240" w:lineRule="auto"/>
        <w:ind w:left="2835"/>
        <w:jc w:val="both"/>
        <w:rPr>
          <w:b/>
          <w:sz w:val="20"/>
          <w:szCs w:val="20"/>
        </w:rPr>
      </w:pPr>
    </w:p>
    <w:p w14:paraId="1CCCA3E6" w14:textId="77777777" w:rsidR="00B277CA" w:rsidRDefault="00B277CA" w:rsidP="004F776F">
      <w:pPr>
        <w:spacing w:line="240" w:lineRule="auto"/>
        <w:ind w:left="2835"/>
        <w:jc w:val="both"/>
        <w:rPr>
          <w:b/>
          <w:sz w:val="20"/>
          <w:szCs w:val="20"/>
        </w:rPr>
      </w:pPr>
      <w:r>
        <w:rPr>
          <w:b/>
          <w:sz w:val="20"/>
          <w:szCs w:val="20"/>
        </w:rPr>
        <w:t>Resumo</w:t>
      </w:r>
    </w:p>
    <w:p w14:paraId="71B860C1" w14:textId="77777777" w:rsidR="00B277CA" w:rsidRDefault="00B277CA" w:rsidP="007E2326">
      <w:pPr>
        <w:spacing w:line="240" w:lineRule="auto"/>
        <w:ind w:left="2835"/>
        <w:jc w:val="both"/>
        <w:rPr>
          <w:sz w:val="20"/>
          <w:szCs w:val="20"/>
        </w:rPr>
      </w:pPr>
      <w:r>
        <w:rPr>
          <w:sz w:val="20"/>
          <w:szCs w:val="20"/>
        </w:rPr>
        <w:t xml:space="preserve">O artigo busca revelar a dinâmica da disputa de classe no interior do fundo público, </w:t>
      </w:r>
      <w:r w:rsidRPr="007E2326">
        <w:rPr>
          <w:sz w:val="20"/>
          <w:szCs w:val="20"/>
        </w:rPr>
        <w:t>identifica</w:t>
      </w:r>
      <w:r>
        <w:rPr>
          <w:sz w:val="20"/>
          <w:szCs w:val="20"/>
        </w:rPr>
        <w:t>ndo</w:t>
      </w:r>
      <w:r w:rsidRPr="007E2326">
        <w:rPr>
          <w:sz w:val="20"/>
          <w:szCs w:val="20"/>
        </w:rPr>
        <w:t xml:space="preserve"> as classes e frações de classes mais beneficiadas na alocação de recursos orçamentários da União nos dois primeiros anos do governo Lula 3.</w:t>
      </w:r>
      <w:r>
        <w:rPr>
          <w:sz w:val="20"/>
          <w:szCs w:val="20"/>
        </w:rPr>
        <w:t xml:space="preserve"> Para tanto utilizou a estatística descritiva e categorias do materialismo histórico-dialético para analisar, de forma crítica, a execução orçamentária da despesa federal paga em um contexto de ajuste fiscal permanente, a partir da coleta de dados orçamentários no SIGA BRASIL. E concluiu que a fração da burguesia financeira e rentista tem sido priorizada na alocação de recursos orçamentários federais.</w:t>
      </w:r>
    </w:p>
    <w:p w14:paraId="4964CC47" w14:textId="77777777" w:rsidR="00B277CA" w:rsidRPr="007E2326" w:rsidRDefault="00B277CA" w:rsidP="007E2326">
      <w:pPr>
        <w:spacing w:line="240" w:lineRule="auto"/>
        <w:ind w:left="2835"/>
        <w:jc w:val="both"/>
        <w:rPr>
          <w:sz w:val="20"/>
          <w:szCs w:val="20"/>
        </w:rPr>
      </w:pPr>
    </w:p>
    <w:p w14:paraId="3AFDA146" w14:textId="77777777" w:rsidR="00B277CA" w:rsidRDefault="00B277CA" w:rsidP="004F776F">
      <w:pPr>
        <w:spacing w:line="240" w:lineRule="auto"/>
        <w:ind w:left="2835"/>
        <w:jc w:val="both"/>
        <w:rPr>
          <w:sz w:val="20"/>
          <w:szCs w:val="20"/>
        </w:rPr>
      </w:pPr>
    </w:p>
    <w:p w14:paraId="2F20E055" w14:textId="77777777" w:rsidR="00B277CA" w:rsidRPr="00B277CA" w:rsidRDefault="00B277CA" w:rsidP="004F776F">
      <w:pPr>
        <w:spacing w:line="240" w:lineRule="auto"/>
        <w:ind w:left="2835"/>
        <w:jc w:val="both"/>
        <w:rPr>
          <w:sz w:val="20"/>
          <w:szCs w:val="20"/>
          <w:lang w:val="en-US"/>
        </w:rPr>
      </w:pPr>
      <w:r>
        <w:rPr>
          <w:b/>
          <w:sz w:val="20"/>
          <w:szCs w:val="20"/>
        </w:rPr>
        <w:t>Palavras-chave</w:t>
      </w:r>
      <w:r>
        <w:rPr>
          <w:sz w:val="20"/>
          <w:szCs w:val="20"/>
        </w:rPr>
        <w:t xml:space="preserve">: Fundo Público; Classes Sociais. </w:t>
      </w:r>
      <w:proofErr w:type="spellStart"/>
      <w:r w:rsidRPr="00B277CA">
        <w:rPr>
          <w:sz w:val="20"/>
          <w:szCs w:val="20"/>
          <w:lang w:val="en-US"/>
        </w:rPr>
        <w:t>Despesa</w:t>
      </w:r>
      <w:proofErr w:type="spellEnd"/>
      <w:r w:rsidRPr="00B277CA">
        <w:rPr>
          <w:sz w:val="20"/>
          <w:szCs w:val="20"/>
          <w:lang w:val="en-US"/>
        </w:rPr>
        <w:t xml:space="preserve"> </w:t>
      </w:r>
      <w:proofErr w:type="spellStart"/>
      <w:r w:rsidRPr="00B277CA">
        <w:rPr>
          <w:sz w:val="20"/>
          <w:szCs w:val="20"/>
          <w:lang w:val="en-US"/>
        </w:rPr>
        <w:t>Pública</w:t>
      </w:r>
      <w:proofErr w:type="spellEnd"/>
      <w:r w:rsidRPr="00B277CA">
        <w:rPr>
          <w:sz w:val="20"/>
          <w:szCs w:val="20"/>
          <w:lang w:val="en-US"/>
        </w:rPr>
        <w:t>. Governo Lula 3</w:t>
      </w:r>
    </w:p>
    <w:p w14:paraId="1B4AF7EB" w14:textId="77777777" w:rsidR="00B277CA" w:rsidRPr="00B277CA" w:rsidRDefault="00B277CA" w:rsidP="004F776F">
      <w:pPr>
        <w:spacing w:line="240" w:lineRule="auto"/>
        <w:ind w:left="2835"/>
        <w:jc w:val="both"/>
        <w:rPr>
          <w:sz w:val="20"/>
          <w:szCs w:val="20"/>
          <w:lang w:val="en-US"/>
        </w:rPr>
      </w:pPr>
    </w:p>
    <w:p w14:paraId="2615C073" w14:textId="77777777" w:rsidR="00B277CA" w:rsidRDefault="00B277CA" w:rsidP="004F776F">
      <w:pPr>
        <w:spacing w:line="240" w:lineRule="auto"/>
        <w:ind w:left="2835"/>
        <w:jc w:val="both"/>
        <w:rPr>
          <w:b/>
          <w:sz w:val="20"/>
          <w:szCs w:val="20"/>
          <w:lang w:val="en-US"/>
        </w:rPr>
      </w:pPr>
      <w:r w:rsidRPr="005E3576">
        <w:rPr>
          <w:b/>
          <w:sz w:val="20"/>
          <w:szCs w:val="20"/>
          <w:lang w:val="en-US"/>
        </w:rPr>
        <w:t>Abstract</w:t>
      </w:r>
    </w:p>
    <w:p w14:paraId="2B84B998" w14:textId="77777777" w:rsidR="00B277CA" w:rsidRPr="001B25B0" w:rsidRDefault="00B277CA" w:rsidP="001B25B0">
      <w:pPr>
        <w:spacing w:line="240" w:lineRule="auto"/>
        <w:ind w:left="2835"/>
        <w:jc w:val="both"/>
        <w:rPr>
          <w:bCs/>
          <w:sz w:val="20"/>
          <w:szCs w:val="20"/>
          <w:lang w:val="en-US"/>
        </w:rPr>
      </w:pPr>
      <w:r w:rsidRPr="001B25B0">
        <w:rPr>
          <w:bCs/>
          <w:sz w:val="20"/>
          <w:szCs w:val="20"/>
          <w:lang w:val="en-US"/>
        </w:rPr>
        <w:t>This article seeks to reveal the dynamics of class struggle within the public fund, identifying the classes and class groups most benefited by the allocation of federal budgetary resources in the first two years of the Lula III administration. To this end, it used descriptive statistics and categories of historical-dialectical materialism to critically analyze the budgetary execution of federal expenditures paid in a context of permanent fiscal adjustment, based on budgetary data collected by SIGA BRASIL. The article concluded that the financial and rentier bourgeoisie has been prioritized in the allocation of federal budgetary resources.</w:t>
      </w:r>
    </w:p>
    <w:p w14:paraId="1DD0D071" w14:textId="77777777" w:rsidR="00B277CA" w:rsidRPr="001B25B0" w:rsidRDefault="00B277CA" w:rsidP="001B25B0">
      <w:pPr>
        <w:spacing w:line="240" w:lineRule="auto"/>
        <w:ind w:left="2835"/>
        <w:jc w:val="both"/>
        <w:rPr>
          <w:b/>
          <w:sz w:val="20"/>
          <w:szCs w:val="20"/>
          <w:lang w:val="en-US"/>
        </w:rPr>
      </w:pPr>
    </w:p>
    <w:p w14:paraId="6ED938D1" w14:textId="77777777" w:rsidR="00B277CA" w:rsidRPr="00B277CA" w:rsidRDefault="00B277CA" w:rsidP="001B25B0">
      <w:pPr>
        <w:spacing w:line="240" w:lineRule="auto"/>
        <w:ind w:left="2835"/>
        <w:jc w:val="both"/>
        <w:rPr>
          <w:bCs/>
          <w:sz w:val="20"/>
          <w:szCs w:val="20"/>
        </w:rPr>
      </w:pPr>
      <w:r w:rsidRPr="00B277CA">
        <w:rPr>
          <w:b/>
          <w:sz w:val="20"/>
          <w:szCs w:val="20"/>
        </w:rPr>
        <w:t xml:space="preserve">Keywords: </w:t>
      </w:r>
      <w:proofErr w:type="spellStart"/>
      <w:r w:rsidRPr="00B277CA">
        <w:rPr>
          <w:bCs/>
          <w:sz w:val="20"/>
          <w:szCs w:val="20"/>
        </w:rPr>
        <w:t>Public</w:t>
      </w:r>
      <w:proofErr w:type="spellEnd"/>
      <w:r w:rsidRPr="00B277CA">
        <w:rPr>
          <w:bCs/>
          <w:sz w:val="20"/>
          <w:szCs w:val="20"/>
        </w:rPr>
        <w:t xml:space="preserve"> Fund; Social Classes; </w:t>
      </w:r>
      <w:proofErr w:type="spellStart"/>
      <w:r w:rsidRPr="00B277CA">
        <w:rPr>
          <w:bCs/>
          <w:sz w:val="20"/>
          <w:szCs w:val="20"/>
        </w:rPr>
        <w:t>Public</w:t>
      </w:r>
      <w:proofErr w:type="spellEnd"/>
      <w:r w:rsidRPr="00B277CA">
        <w:rPr>
          <w:bCs/>
          <w:sz w:val="20"/>
          <w:szCs w:val="20"/>
        </w:rPr>
        <w:t xml:space="preserve"> </w:t>
      </w:r>
      <w:proofErr w:type="spellStart"/>
      <w:r w:rsidRPr="00B277CA">
        <w:rPr>
          <w:bCs/>
          <w:sz w:val="20"/>
          <w:szCs w:val="20"/>
        </w:rPr>
        <w:t>Expenditure</w:t>
      </w:r>
      <w:proofErr w:type="spellEnd"/>
      <w:r w:rsidRPr="00B277CA">
        <w:rPr>
          <w:bCs/>
          <w:sz w:val="20"/>
          <w:szCs w:val="20"/>
        </w:rPr>
        <w:t xml:space="preserve">; Lula III </w:t>
      </w:r>
      <w:proofErr w:type="spellStart"/>
      <w:r w:rsidRPr="00B277CA">
        <w:rPr>
          <w:bCs/>
          <w:sz w:val="20"/>
          <w:szCs w:val="20"/>
        </w:rPr>
        <w:t>Administration</w:t>
      </w:r>
      <w:proofErr w:type="spellEnd"/>
    </w:p>
    <w:p w14:paraId="1E65ABDB" w14:textId="77777777" w:rsidR="00B277CA" w:rsidRPr="00B277CA" w:rsidRDefault="00B277CA" w:rsidP="004F776F">
      <w:pPr>
        <w:spacing w:line="360" w:lineRule="auto"/>
        <w:jc w:val="both"/>
        <w:rPr>
          <w:sz w:val="24"/>
          <w:szCs w:val="24"/>
        </w:rPr>
      </w:pPr>
    </w:p>
    <w:p w14:paraId="3D7EA2D6" w14:textId="77777777" w:rsidR="00B277CA" w:rsidRPr="007E2326" w:rsidRDefault="00B277CA" w:rsidP="004F776F">
      <w:pPr>
        <w:spacing w:line="360" w:lineRule="auto"/>
        <w:jc w:val="both"/>
        <w:rPr>
          <w:sz w:val="24"/>
          <w:szCs w:val="24"/>
        </w:rPr>
      </w:pPr>
    </w:p>
    <w:p w14:paraId="3E39C103" w14:textId="77777777" w:rsidR="00B277CA" w:rsidRDefault="00B277CA" w:rsidP="00F2735F">
      <w:pPr>
        <w:spacing w:line="360" w:lineRule="auto"/>
        <w:rPr>
          <w:b/>
          <w:sz w:val="24"/>
          <w:szCs w:val="24"/>
        </w:rPr>
      </w:pPr>
      <w:r w:rsidRPr="007E2326">
        <w:rPr>
          <w:b/>
          <w:sz w:val="24"/>
          <w:szCs w:val="24"/>
        </w:rPr>
        <w:br w:type="page"/>
      </w:r>
      <w:r>
        <w:rPr>
          <w:b/>
          <w:sz w:val="24"/>
          <w:szCs w:val="24"/>
        </w:rPr>
        <w:lastRenderedPageBreak/>
        <w:t>1</w:t>
      </w:r>
      <w:r>
        <w:rPr>
          <w:b/>
          <w:sz w:val="24"/>
          <w:szCs w:val="24"/>
        </w:rPr>
        <w:tab/>
        <w:t>INTRODUÇÃO</w:t>
      </w:r>
    </w:p>
    <w:p w14:paraId="48AE5EB0" w14:textId="77777777" w:rsidR="00B277CA" w:rsidRDefault="00B277CA" w:rsidP="00F2735F">
      <w:pPr>
        <w:spacing w:line="360" w:lineRule="auto"/>
        <w:jc w:val="both"/>
        <w:rPr>
          <w:sz w:val="24"/>
          <w:szCs w:val="24"/>
        </w:rPr>
      </w:pPr>
    </w:p>
    <w:p w14:paraId="64737488" w14:textId="77777777" w:rsidR="00B277CA" w:rsidRDefault="00B277CA" w:rsidP="00CF3EBC">
      <w:pPr>
        <w:pStyle w:val="Standard"/>
        <w:ind w:firstLine="708"/>
        <w:jc w:val="both"/>
        <w:rPr>
          <w:rFonts w:ascii="Arial" w:hAnsi="Arial"/>
        </w:rPr>
      </w:pPr>
      <w:r>
        <w:rPr>
          <w:rFonts w:ascii="Arial" w:hAnsi="Arial"/>
        </w:rPr>
        <w:t>O Estado capitalista nessa fase de mundialização imperialista cada vez mais utiliza o fundo público como instrumento a favor da reprodução ampliada do capital, quer seja pela aceleração da rotação do capital, quer seja pela apropriação da arrecadação tributária por meio da dívida pública e/ou pela desoneração fiscal sobre o capital. Mecanismos que buscam reduzir a queda tendencial da taxa de lucro e manter a dominação da classe burguesa.</w:t>
      </w:r>
    </w:p>
    <w:p w14:paraId="3C4A6324" w14:textId="77777777" w:rsidR="00B277CA" w:rsidRDefault="00B277CA" w:rsidP="00C51034">
      <w:pPr>
        <w:pStyle w:val="Standard"/>
        <w:ind w:firstLine="708"/>
        <w:jc w:val="both"/>
        <w:rPr>
          <w:rFonts w:ascii="Arial" w:hAnsi="Arial"/>
        </w:rPr>
      </w:pPr>
      <w:r>
        <w:rPr>
          <w:rFonts w:ascii="Arial" w:hAnsi="Arial"/>
        </w:rPr>
        <w:t>Nesse cenário mundial de aprofundamento da apropriação do fundo público pelo capital, de hegemonia da fração financeira e rentista da burguesia no bloco do poder e de retração da organização da classe trabalhadora, as disputas políticas pela alocação de recursos orçamentários têm beneficiado a quais classes sociais e frações de classes nos dois primeiros anos do governo Lula 3?</w:t>
      </w:r>
    </w:p>
    <w:p w14:paraId="0CCA3ED6" w14:textId="77777777" w:rsidR="00B277CA" w:rsidRDefault="00B277CA" w:rsidP="008102D8">
      <w:pPr>
        <w:pStyle w:val="Standard"/>
        <w:ind w:firstLine="708"/>
        <w:jc w:val="both"/>
        <w:rPr>
          <w:rFonts w:ascii="Arial" w:hAnsi="Arial"/>
        </w:rPr>
      </w:pPr>
      <w:r>
        <w:rPr>
          <w:rFonts w:ascii="Arial" w:hAnsi="Arial"/>
        </w:rPr>
        <w:t xml:space="preserve">Para responder a essa questão, o artigo tem como objetivo identificar as classes e frações de classes mais beneficiadas na alocação de recursos orçamentários da União nos dois primeiros anos do governo Lula 3. </w:t>
      </w:r>
    </w:p>
    <w:p w14:paraId="45D95AA7" w14:textId="77777777" w:rsidR="00B277CA" w:rsidRDefault="00B277CA" w:rsidP="008102D8">
      <w:pPr>
        <w:pStyle w:val="Standard"/>
        <w:ind w:firstLine="708"/>
        <w:jc w:val="both"/>
        <w:rPr>
          <w:rFonts w:ascii="Arial" w:hAnsi="Arial"/>
        </w:rPr>
      </w:pPr>
      <w:r>
        <w:rPr>
          <w:rFonts w:ascii="Arial" w:hAnsi="Arial"/>
        </w:rPr>
        <w:t>Nesse sentido, combinou categorias de análise retirada do materialismo histórico-dialético com categorias do método da estatística descritiva para realizar uma análise crítica dos dados coletados sobre a execução orçamentária da despesa paga pelo governo federal no período de 2022-2024 e sua repercussão na luta de classe.</w:t>
      </w:r>
      <w:r w:rsidRPr="008102D8">
        <w:rPr>
          <w:rFonts w:ascii="Arial" w:hAnsi="Arial"/>
        </w:rPr>
        <w:t xml:space="preserve"> </w:t>
      </w:r>
      <w:r>
        <w:rPr>
          <w:rFonts w:ascii="Arial" w:hAnsi="Arial"/>
        </w:rPr>
        <w:t xml:space="preserve">Os dados coletados dizem respeito aos montantes das variáveis gasto orçamentário total, despesas não financeira e financeira, gasto social em educação, previdência social e saúde e os gastos financeiros em serviço da dívida pública. Não foram considerados as despesas com restos a pagar pagos no ano analisado. </w:t>
      </w:r>
    </w:p>
    <w:p w14:paraId="3E779A60" w14:textId="77777777" w:rsidR="00B277CA" w:rsidRDefault="00B277CA" w:rsidP="008102D8">
      <w:pPr>
        <w:pStyle w:val="Standard"/>
        <w:ind w:firstLine="708"/>
        <w:jc w:val="both"/>
        <w:rPr>
          <w:rFonts w:ascii="Arial" w:hAnsi="Arial"/>
        </w:rPr>
      </w:pPr>
      <w:r>
        <w:rPr>
          <w:rFonts w:ascii="Arial" w:hAnsi="Arial"/>
        </w:rPr>
        <w:t xml:space="preserve">As informações orçamentárias foram retiradas do banco de dados do SIGA BRASIL do Senado Federal, deflacionadas pelo IGP-DI da Fundação Getúlio Vargas, tendo como o ano base 2024. </w:t>
      </w:r>
    </w:p>
    <w:p w14:paraId="0D6A2953" w14:textId="77777777" w:rsidR="00B277CA" w:rsidRDefault="00B277CA" w:rsidP="008102D8">
      <w:pPr>
        <w:pStyle w:val="Standard"/>
        <w:ind w:firstLine="708"/>
        <w:jc w:val="both"/>
        <w:rPr>
          <w:rFonts w:ascii="Arial" w:hAnsi="Arial"/>
        </w:rPr>
      </w:pPr>
    </w:p>
    <w:p w14:paraId="3CBFFD77" w14:textId="77777777" w:rsidR="00B277CA" w:rsidRDefault="00B277CA" w:rsidP="00F2735F">
      <w:pPr>
        <w:spacing w:line="360" w:lineRule="auto"/>
        <w:jc w:val="both"/>
        <w:rPr>
          <w:sz w:val="24"/>
          <w:szCs w:val="24"/>
        </w:rPr>
      </w:pPr>
    </w:p>
    <w:p w14:paraId="2C6B8D6E" w14:textId="77777777" w:rsidR="00B277CA" w:rsidRDefault="00B277CA" w:rsidP="00F2735F">
      <w:pPr>
        <w:spacing w:line="360" w:lineRule="auto"/>
        <w:jc w:val="both"/>
        <w:rPr>
          <w:b/>
          <w:sz w:val="24"/>
          <w:szCs w:val="24"/>
        </w:rPr>
      </w:pPr>
      <w:r>
        <w:rPr>
          <w:b/>
          <w:sz w:val="24"/>
          <w:szCs w:val="24"/>
        </w:rPr>
        <w:lastRenderedPageBreak/>
        <w:t>2</w:t>
      </w:r>
      <w:r>
        <w:rPr>
          <w:b/>
          <w:sz w:val="24"/>
          <w:szCs w:val="24"/>
        </w:rPr>
        <w:tab/>
      </w:r>
      <w:r>
        <w:rPr>
          <w:b/>
          <w:bCs/>
        </w:rPr>
        <w:t>FUNDO PÚBLICO E REGIME FISCAL SUSTENTÁVEL AO CAPITAL</w:t>
      </w:r>
    </w:p>
    <w:p w14:paraId="351D8E93" w14:textId="77777777" w:rsidR="00B277CA" w:rsidRDefault="00B277CA" w:rsidP="00F2735F">
      <w:pPr>
        <w:spacing w:line="360" w:lineRule="auto"/>
        <w:jc w:val="both"/>
        <w:rPr>
          <w:sz w:val="24"/>
          <w:szCs w:val="24"/>
        </w:rPr>
      </w:pPr>
    </w:p>
    <w:p w14:paraId="49F38088" w14:textId="77777777" w:rsidR="00B277CA" w:rsidRPr="00CF3EBC" w:rsidRDefault="00B277CA" w:rsidP="00CF3EBC">
      <w:pPr>
        <w:suppressAutoHyphens/>
        <w:autoSpaceDN w:val="0"/>
        <w:spacing w:line="360" w:lineRule="auto"/>
        <w:ind w:firstLine="709"/>
        <w:jc w:val="both"/>
        <w:textAlignment w:val="baseline"/>
        <w:rPr>
          <w:rFonts w:eastAsia="Times New Roman"/>
          <w:kern w:val="3"/>
          <w:sz w:val="24"/>
          <w:szCs w:val="24"/>
          <w:lang w:eastAsia="en-US"/>
        </w:rPr>
      </w:pPr>
      <w:r w:rsidRPr="00CF3EBC">
        <w:rPr>
          <w:rFonts w:eastAsia="Times New Roman"/>
          <w:kern w:val="3"/>
          <w:sz w:val="24"/>
          <w:szCs w:val="24"/>
          <w:lang w:eastAsia="en-US"/>
        </w:rPr>
        <w:t>O fundo público no Estado capitalista cumpre a função de reprodução do capital e da força de trabalho, de regular um equilíbrio instável entre os interesses contraditórios de classes e frações de classe, porém mantendo a hegemonia da classe burguesa (</w:t>
      </w:r>
      <w:proofErr w:type="spellStart"/>
      <w:r w:rsidRPr="00CF3EBC">
        <w:rPr>
          <w:rFonts w:eastAsia="Times New Roman"/>
          <w:kern w:val="3"/>
          <w:sz w:val="24"/>
          <w:szCs w:val="24"/>
          <w:lang w:eastAsia="en-US"/>
        </w:rPr>
        <w:t>Poulantzas</w:t>
      </w:r>
      <w:proofErr w:type="spellEnd"/>
      <w:r w:rsidRPr="00CF3EBC">
        <w:rPr>
          <w:rFonts w:eastAsia="Times New Roman"/>
          <w:kern w:val="3"/>
          <w:sz w:val="24"/>
          <w:szCs w:val="24"/>
          <w:lang w:eastAsia="en-US"/>
        </w:rPr>
        <w:t>, 1977). Faz isso por meio da sua capacidade de arrecadação ou não de recursos para financiamento das políticas públicas.</w:t>
      </w:r>
    </w:p>
    <w:p w14:paraId="1D96C729" w14:textId="77777777" w:rsidR="00B277CA" w:rsidRPr="00CF3EBC" w:rsidRDefault="00B277CA" w:rsidP="00CF3EBC">
      <w:pPr>
        <w:suppressAutoHyphens/>
        <w:autoSpaceDN w:val="0"/>
        <w:spacing w:line="360" w:lineRule="auto"/>
        <w:ind w:firstLine="709"/>
        <w:jc w:val="both"/>
        <w:textAlignment w:val="baseline"/>
        <w:rPr>
          <w:rFonts w:eastAsia="Times New Roman"/>
          <w:kern w:val="3"/>
          <w:sz w:val="24"/>
          <w:szCs w:val="24"/>
          <w:lang w:eastAsia="en-US"/>
        </w:rPr>
      </w:pPr>
      <w:r w:rsidRPr="00CF3EBC">
        <w:rPr>
          <w:rFonts w:eastAsia="Times New Roman"/>
          <w:kern w:val="3"/>
          <w:sz w:val="24"/>
          <w:szCs w:val="24"/>
          <w:lang w:eastAsia="en-US"/>
        </w:rPr>
        <w:t>Essa capacidade de arrecadação, na prática, se expressa no orçamento público por meio de receitas tributárias, de operações de crédito e de outras formas de ingresso no patrimônio público. Mas pode ser minimizada pelas renúncias de receitas de acordo com as escolhas políticas.</w:t>
      </w:r>
    </w:p>
    <w:p w14:paraId="3C633CFF" w14:textId="77777777" w:rsidR="00B277CA" w:rsidRPr="00CF3EBC" w:rsidRDefault="00B277CA" w:rsidP="00CF3EBC">
      <w:pPr>
        <w:suppressAutoHyphens/>
        <w:autoSpaceDN w:val="0"/>
        <w:spacing w:line="360" w:lineRule="auto"/>
        <w:ind w:firstLine="709"/>
        <w:jc w:val="both"/>
        <w:textAlignment w:val="baseline"/>
        <w:rPr>
          <w:rFonts w:eastAsia="Times New Roman"/>
          <w:kern w:val="3"/>
          <w:sz w:val="24"/>
          <w:szCs w:val="24"/>
          <w:lang w:eastAsia="en-US"/>
        </w:rPr>
      </w:pPr>
      <w:r w:rsidRPr="00CF3EBC">
        <w:rPr>
          <w:rFonts w:eastAsia="Times New Roman"/>
          <w:kern w:val="3"/>
          <w:sz w:val="24"/>
          <w:szCs w:val="24"/>
          <w:lang w:eastAsia="en-US"/>
        </w:rPr>
        <w:t xml:space="preserve">As receitas arrecadadas financiam os serviços oferecidos pelo Estado e as renunciadas </w:t>
      </w:r>
      <w:r>
        <w:rPr>
          <w:rFonts w:eastAsia="Times New Roman"/>
          <w:kern w:val="3"/>
          <w:sz w:val="24"/>
          <w:szCs w:val="24"/>
          <w:lang w:eastAsia="en-US"/>
        </w:rPr>
        <w:t>à</w:t>
      </w:r>
      <w:r w:rsidRPr="00CF3EBC">
        <w:rPr>
          <w:rFonts w:eastAsia="Times New Roman"/>
          <w:kern w:val="3"/>
          <w:sz w:val="24"/>
          <w:szCs w:val="24"/>
          <w:lang w:eastAsia="en-US"/>
        </w:rPr>
        <w:t xml:space="preserve"> acumulação capitalista. Elas dão sustentação para a realização do gasto público e, em particular, do gasto tributário não contabilizado no orçamento.</w:t>
      </w:r>
    </w:p>
    <w:p w14:paraId="4627D8F4" w14:textId="77777777" w:rsidR="00B277CA" w:rsidRPr="00CF3EBC" w:rsidRDefault="00B277CA" w:rsidP="00CF3EBC">
      <w:pPr>
        <w:suppressAutoHyphens/>
        <w:autoSpaceDN w:val="0"/>
        <w:spacing w:line="360" w:lineRule="auto"/>
        <w:ind w:firstLine="709"/>
        <w:jc w:val="both"/>
        <w:textAlignment w:val="baseline"/>
        <w:rPr>
          <w:rFonts w:eastAsia="Times New Roman"/>
          <w:kern w:val="3"/>
          <w:sz w:val="24"/>
          <w:szCs w:val="24"/>
          <w:lang w:eastAsia="en-US"/>
        </w:rPr>
      </w:pPr>
      <w:r w:rsidRPr="00CF3EBC">
        <w:rPr>
          <w:rFonts w:eastAsia="Times New Roman"/>
          <w:kern w:val="3"/>
          <w:sz w:val="24"/>
          <w:szCs w:val="24"/>
          <w:lang w:eastAsia="en-US"/>
        </w:rPr>
        <w:t>O gasto público ou gasto orçamentário é o “dispêndio de recursos do patrimônio público, representado essencialmente por uma saída de recursos financeiros, imediata, com redução de disponibilidades – ou mediata – com reconhecimento dessa obrigação” (</w:t>
      </w:r>
      <w:proofErr w:type="spellStart"/>
      <w:r w:rsidRPr="00CF3EBC">
        <w:rPr>
          <w:rFonts w:eastAsia="Times New Roman"/>
          <w:kern w:val="3"/>
          <w:sz w:val="24"/>
          <w:szCs w:val="24"/>
          <w:lang w:eastAsia="en-US"/>
        </w:rPr>
        <w:t>Pisciteli</w:t>
      </w:r>
      <w:proofErr w:type="spellEnd"/>
      <w:r w:rsidRPr="00CF3EBC">
        <w:rPr>
          <w:rFonts w:eastAsia="Times New Roman"/>
          <w:kern w:val="3"/>
          <w:sz w:val="24"/>
          <w:szCs w:val="24"/>
          <w:lang w:eastAsia="en-US"/>
        </w:rPr>
        <w:t>; Timbó, 2014, p. 157). E de acordo com Oliveira (2009) e Alencar Jr (2021), os gastos estão relacionados às decisões políticas, aos critérios político-ideológicos na disputa pelo poder governamental.</w:t>
      </w:r>
    </w:p>
    <w:p w14:paraId="01BAEC13" w14:textId="77777777" w:rsidR="00B277CA" w:rsidRPr="00CF3EBC" w:rsidRDefault="00B277CA" w:rsidP="00CF3EBC">
      <w:pPr>
        <w:suppressAutoHyphens/>
        <w:autoSpaceDN w:val="0"/>
        <w:spacing w:line="360" w:lineRule="auto"/>
        <w:ind w:firstLine="709"/>
        <w:jc w:val="both"/>
        <w:textAlignment w:val="baseline"/>
        <w:rPr>
          <w:rFonts w:eastAsia="Times New Roman"/>
          <w:kern w:val="3"/>
          <w:sz w:val="24"/>
          <w:szCs w:val="24"/>
          <w:lang w:eastAsia="en-US"/>
        </w:rPr>
      </w:pPr>
      <w:r w:rsidRPr="00CF3EBC">
        <w:rPr>
          <w:rFonts w:eastAsia="Times New Roman"/>
          <w:kern w:val="3"/>
          <w:sz w:val="24"/>
          <w:szCs w:val="24"/>
          <w:lang w:eastAsia="en-US"/>
        </w:rPr>
        <w:t xml:space="preserve">No entanto, para maior transparência e controle social, o gasto orçamentário total (GOT) pode ser classificado de diversas formas, em despesas não financeira (DNF) e financeira (DF); por programa, função e subfunção, dentre outras formas. Pode, ainda, na sua contabilidade e de forma extraorçamentária, ter adicionado no seu montante </w:t>
      </w:r>
      <w:r w:rsidRPr="00BD2CA7">
        <w:rPr>
          <w:rFonts w:eastAsia="Times New Roman"/>
          <w:kern w:val="3"/>
          <w:sz w:val="24"/>
          <w:szCs w:val="24"/>
          <w:lang w:eastAsia="en-US"/>
        </w:rPr>
        <w:t xml:space="preserve">o </w:t>
      </w:r>
      <w:r w:rsidRPr="00CF3EBC">
        <w:rPr>
          <w:rFonts w:eastAsia="Times New Roman"/>
          <w:kern w:val="3"/>
          <w:sz w:val="24"/>
          <w:szCs w:val="24"/>
          <w:lang w:eastAsia="en-US"/>
        </w:rPr>
        <w:t xml:space="preserve">volume do gasto tributário (Oliveira, 2009; </w:t>
      </w:r>
      <w:proofErr w:type="spellStart"/>
      <w:r w:rsidRPr="00CF3EBC">
        <w:rPr>
          <w:rFonts w:eastAsia="Times New Roman"/>
          <w:kern w:val="3"/>
          <w:sz w:val="24"/>
          <w:szCs w:val="24"/>
          <w:lang w:eastAsia="en-US"/>
        </w:rPr>
        <w:t>Giacomoni</w:t>
      </w:r>
      <w:proofErr w:type="spellEnd"/>
      <w:r w:rsidRPr="00CF3EBC">
        <w:rPr>
          <w:rFonts w:eastAsia="Times New Roman"/>
          <w:kern w:val="3"/>
          <w:sz w:val="24"/>
          <w:szCs w:val="24"/>
          <w:lang w:eastAsia="en-US"/>
        </w:rPr>
        <w:t xml:space="preserve">, 2010). Quando ao GOT se adiciona o montante do gasto tributário, a essência do fundo público é revelada. </w:t>
      </w:r>
    </w:p>
    <w:p w14:paraId="7AFF49CC" w14:textId="77777777" w:rsidR="00B277CA" w:rsidRPr="00CF3EBC" w:rsidRDefault="00B277CA" w:rsidP="00CF3EBC">
      <w:pPr>
        <w:suppressAutoHyphens/>
        <w:autoSpaceDN w:val="0"/>
        <w:spacing w:line="360" w:lineRule="auto"/>
        <w:ind w:firstLine="709"/>
        <w:jc w:val="both"/>
        <w:textAlignment w:val="baseline"/>
        <w:rPr>
          <w:rFonts w:eastAsia="Times New Roman"/>
          <w:kern w:val="3"/>
          <w:sz w:val="24"/>
          <w:szCs w:val="24"/>
          <w:lang w:eastAsia="en-US"/>
        </w:rPr>
      </w:pPr>
      <w:r w:rsidRPr="00CF3EBC">
        <w:rPr>
          <w:rFonts w:eastAsia="Times New Roman"/>
          <w:kern w:val="3"/>
          <w:sz w:val="24"/>
          <w:szCs w:val="24"/>
          <w:lang w:eastAsia="en-US"/>
        </w:rPr>
        <w:lastRenderedPageBreak/>
        <w:t>Ora, se o fundo público tem a função de arrecadar ou não recursos para financiar os seus gastos não financeiros</w:t>
      </w:r>
      <w:r>
        <w:rPr>
          <w:rFonts w:eastAsia="Times New Roman"/>
          <w:kern w:val="3"/>
          <w:sz w:val="24"/>
          <w:szCs w:val="24"/>
          <w:lang w:eastAsia="en-US"/>
        </w:rPr>
        <w:t xml:space="preserve"> (</w:t>
      </w:r>
      <w:r w:rsidRPr="00CF3EBC">
        <w:rPr>
          <w:rFonts w:eastAsia="Times New Roman"/>
          <w:kern w:val="3"/>
          <w:sz w:val="24"/>
          <w:szCs w:val="24"/>
          <w:lang w:eastAsia="en-US"/>
        </w:rPr>
        <w:t>primários</w:t>
      </w:r>
      <w:r>
        <w:rPr>
          <w:rFonts w:eastAsia="Times New Roman"/>
          <w:kern w:val="3"/>
          <w:sz w:val="24"/>
          <w:szCs w:val="24"/>
          <w:lang w:eastAsia="en-US"/>
        </w:rPr>
        <w:t>)</w:t>
      </w:r>
      <w:r w:rsidRPr="00CF3EBC">
        <w:rPr>
          <w:rFonts w:eastAsia="Times New Roman"/>
          <w:kern w:val="3"/>
          <w:sz w:val="24"/>
          <w:szCs w:val="24"/>
          <w:lang w:eastAsia="en-US"/>
        </w:rPr>
        <w:t xml:space="preserve"> e financeiros, </w:t>
      </w:r>
      <w:r>
        <w:rPr>
          <w:rFonts w:eastAsia="Times New Roman"/>
          <w:kern w:val="3"/>
          <w:sz w:val="24"/>
          <w:szCs w:val="24"/>
          <w:lang w:eastAsia="en-US"/>
        </w:rPr>
        <w:t xml:space="preserve">como tem sido utilizado pelo Estado capitalista </w:t>
      </w:r>
      <w:r w:rsidRPr="00CF3EBC">
        <w:rPr>
          <w:rFonts w:eastAsia="Times New Roman"/>
          <w:kern w:val="3"/>
          <w:sz w:val="24"/>
          <w:szCs w:val="24"/>
          <w:lang w:eastAsia="en-US"/>
        </w:rPr>
        <w:t>num contexto de austeridade fiscal</w:t>
      </w:r>
      <w:r>
        <w:rPr>
          <w:rFonts w:eastAsia="Times New Roman"/>
          <w:kern w:val="3"/>
          <w:sz w:val="24"/>
          <w:szCs w:val="24"/>
          <w:lang w:eastAsia="en-US"/>
        </w:rPr>
        <w:t>?</w:t>
      </w:r>
    </w:p>
    <w:p w14:paraId="2EBF2075" w14:textId="77777777" w:rsidR="00B277CA" w:rsidRPr="00CF3EBC" w:rsidRDefault="00B277CA" w:rsidP="00CF3EBC">
      <w:pPr>
        <w:suppressAutoHyphens/>
        <w:autoSpaceDN w:val="0"/>
        <w:spacing w:line="360" w:lineRule="auto"/>
        <w:ind w:firstLine="709"/>
        <w:jc w:val="both"/>
        <w:textAlignment w:val="baseline"/>
        <w:rPr>
          <w:rFonts w:eastAsia="Times New Roman"/>
          <w:kern w:val="3"/>
          <w:sz w:val="24"/>
          <w:szCs w:val="24"/>
          <w:lang w:eastAsia="en-US"/>
        </w:rPr>
      </w:pPr>
      <w:r w:rsidRPr="00CF3EBC">
        <w:rPr>
          <w:rFonts w:eastAsia="Times New Roman"/>
          <w:kern w:val="3"/>
          <w:sz w:val="24"/>
          <w:szCs w:val="24"/>
          <w:lang w:eastAsia="en-US"/>
        </w:rPr>
        <w:t>Na atual fase do modo de produção capitalista, o fundo público passou a cumprir muito mais a função de reprodução do capital do que a de reprodução da força de trabalho.</w:t>
      </w:r>
      <w:r>
        <w:rPr>
          <w:rFonts w:eastAsia="Times New Roman"/>
          <w:kern w:val="3"/>
          <w:sz w:val="24"/>
          <w:szCs w:val="24"/>
          <w:lang w:eastAsia="en-US"/>
        </w:rPr>
        <w:t xml:space="preserve"> </w:t>
      </w:r>
      <w:r w:rsidRPr="00CF3EBC">
        <w:rPr>
          <w:rFonts w:eastAsia="Times New Roman"/>
          <w:kern w:val="3"/>
          <w:sz w:val="24"/>
          <w:szCs w:val="24"/>
          <w:lang w:eastAsia="en-US"/>
        </w:rPr>
        <w:t xml:space="preserve">Faz isso mediante, uma tributação regressiva, que impõe maior ônus tributário para a classe trabalhadora; um incremento </w:t>
      </w:r>
      <w:r>
        <w:rPr>
          <w:rFonts w:eastAsia="Times New Roman"/>
          <w:kern w:val="3"/>
          <w:sz w:val="24"/>
          <w:szCs w:val="24"/>
          <w:lang w:eastAsia="en-US"/>
        </w:rPr>
        <w:t>n</w:t>
      </w:r>
      <w:r w:rsidRPr="00CF3EBC">
        <w:rPr>
          <w:rFonts w:eastAsia="Times New Roman"/>
          <w:kern w:val="3"/>
          <w:sz w:val="24"/>
          <w:szCs w:val="24"/>
          <w:lang w:eastAsia="en-US"/>
        </w:rPr>
        <w:t>a rotação do capital por meio da ampliação de compras públicas</w:t>
      </w:r>
      <w:r>
        <w:rPr>
          <w:rFonts w:eastAsia="Times New Roman"/>
          <w:kern w:val="3"/>
          <w:sz w:val="24"/>
          <w:szCs w:val="24"/>
          <w:lang w:eastAsia="en-US"/>
        </w:rPr>
        <w:t>; o crescimento</w:t>
      </w:r>
      <w:r w:rsidRPr="00CF3EBC">
        <w:rPr>
          <w:rFonts w:eastAsia="Times New Roman"/>
          <w:kern w:val="3"/>
          <w:sz w:val="24"/>
          <w:szCs w:val="24"/>
          <w:lang w:eastAsia="en-US"/>
        </w:rPr>
        <w:t xml:space="preserve"> da dívida pública e do gasto tributário e; a realização de gastos sociais</w:t>
      </w:r>
      <w:r>
        <w:rPr>
          <w:rFonts w:eastAsia="Times New Roman"/>
          <w:kern w:val="3"/>
          <w:sz w:val="24"/>
          <w:szCs w:val="24"/>
          <w:lang w:eastAsia="en-US"/>
        </w:rPr>
        <w:t xml:space="preserve"> numa quantidade cada vez menor</w:t>
      </w:r>
      <w:r w:rsidRPr="00CF3EBC">
        <w:rPr>
          <w:rFonts w:eastAsia="Times New Roman"/>
          <w:kern w:val="3"/>
          <w:sz w:val="24"/>
          <w:szCs w:val="24"/>
          <w:lang w:eastAsia="en-US"/>
        </w:rPr>
        <w:t>.</w:t>
      </w:r>
    </w:p>
    <w:p w14:paraId="754CF0F5" w14:textId="77777777" w:rsidR="00B277CA" w:rsidRDefault="00B277CA" w:rsidP="00CF3EBC">
      <w:pPr>
        <w:suppressAutoHyphens/>
        <w:autoSpaceDN w:val="0"/>
        <w:spacing w:line="360" w:lineRule="auto"/>
        <w:ind w:firstLine="709"/>
        <w:jc w:val="both"/>
        <w:textAlignment w:val="baseline"/>
        <w:rPr>
          <w:rFonts w:eastAsia="Times New Roman"/>
          <w:kern w:val="3"/>
          <w:sz w:val="24"/>
          <w:szCs w:val="24"/>
          <w:lang w:eastAsia="en-US"/>
        </w:rPr>
      </w:pPr>
      <w:r w:rsidRPr="00CF3EBC">
        <w:rPr>
          <w:rFonts w:eastAsia="Times New Roman"/>
          <w:kern w:val="3"/>
          <w:sz w:val="24"/>
          <w:szCs w:val="24"/>
          <w:lang w:eastAsia="en-US"/>
        </w:rPr>
        <w:t>Diante do papel estratégico do fundo público para o Estado capitalista na atual fase da mundialização imperialista</w:t>
      </w:r>
      <w:r>
        <w:rPr>
          <w:rFonts w:eastAsia="Times New Roman"/>
          <w:kern w:val="3"/>
          <w:sz w:val="24"/>
          <w:szCs w:val="24"/>
          <w:lang w:eastAsia="en-US"/>
        </w:rPr>
        <w:t xml:space="preserve"> </w:t>
      </w:r>
      <w:r w:rsidRPr="00CF3EBC">
        <w:rPr>
          <w:rFonts w:eastAsia="Times New Roman"/>
          <w:kern w:val="3"/>
          <w:sz w:val="24"/>
          <w:szCs w:val="24"/>
          <w:lang w:eastAsia="en-US"/>
        </w:rPr>
        <w:t>com hegemonia da finança, o gasto tributário tem sido uma das expressões mais significativas da apropriação privada do fundo público pelo capital, como forma de mitigar a tendência decrescente da taxa de lucr</w:t>
      </w:r>
      <w:r>
        <w:rPr>
          <w:rFonts w:eastAsia="Times New Roman"/>
          <w:kern w:val="3"/>
          <w:sz w:val="24"/>
          <w:szCs w:val="24"/>
          <w:lang w:eastAsia="en-US"/>
        </w:rPr>
        <w:t>o.</w:t>
      </w:r>
    </w:p>
    <w:p w14:paraId="23C4D9A5" w14:textId="77777777" w:rsidR="00B277CA" w:rsidRPr="00CF3EBC" w:rsidRDefault="00B277CA" w:rsidP="00CF3EBC">
      <w:pPr>
        <w:suppressAutoHyphens/>
        <w:autoSpaceDN w:val="0"/>
        <w:spacing w:line="360" w:lineRule="auto"/>
        <w:ind w:firstLine="709"/>
        <w:jc w:val="both"/>
        <w:textAlignment w:val="baseline"/>
        <w:rPr>
          <w:rFonts w:eastAsia="Times New Roman"/>
          <w:kern w:val="3"/>
          <w:sz w:val="24"/>
          <w:szCs w:val="24"/>
          <w:lang w:eastAsia="en-US"/>
        </w:rPr>
      </w:pPr>
      <w:r>
        <w:rPr>
          <w:rFonts w:eastAsia="Times New Roman"/>
          <w:kern w:val="3"/>
          <w:sz w:val="24"/>
          <w:szCs w:val="24"/>
          <w:lang w:eastAsia="en-US"/>
        </w:rPr>
        <w:t xml:space="preserve">Para evidenciar essa </w:t>
      </w:r>
      <w:r w:rsidRPr="00BD2CA7">
        <w:rPr>
          <w:rFonts w:eastAsia="Times New Roman"/>
          <w:kern w:val="3"/>
          <w:sz w:val="24"/>
          <w:szCs w:val="24"/>
          <w:lang w:eastAsia="en-US"/>
        </w:rPr>
        <w:t xml:space="preserve">dinâmica, </w:t>
      </w:r>
      <w:r w:rsidRPr="00CF3EBC">
        <w:rPr>
          <w:rFonts w:eastAsia="Times New Roman"/>
          <w:kern w:val="3"/>
          <w:sz w:val="24"/>
          <w:szCs w:val="24"/>
          <w:lang w:eastAsia="en-US"/>
        </w:rPr>
        <w:t>Saiki (2023) mostrou que o montante do gasto tributário federal brasileiro correspondia a 17,38% da sua receita tributária em 2008 e atingiu 22,02% em 2019, um crescimento de 27% no período de 2008 a 2019, como pode ser visto no gráfico 1.</w:t>
      </w:r>
    </w:p>
    <w:p w14:paraId="51DE657C" w14:textId="77777777" w:rsidR="00B277CA" w:rsidRPr="00CF3EBC" w:rsidRDefault="00B277CA" w:rsidP="00CF3EBC">
      <w:pPr>
        <w:suppressAutoHyphens/>
        <w:autoSpaceDN w:val="0"/>
        <w:spacing w:line="360" w:lineRule="auto"/>
        <w:ind w:firstLine="709"/>
        <w:jc w:val="both"/>
        <w:textAlignment w:val="baseline"/>
        <w:rPr>
          <w:rFonts w:eastAsia="Times New Roman"/>
          <w:kern w:val="3"/>
          <w:sz w:val="24"/>
          <w:szCs w:val="24"/>
          <w:shd w:val="clear" w:color="auto" w:fill="FFFF00"/>
          <w:lang w:eastAsia="en-US"/>
        </w:rPr>
      </w:pPr>
    </w:p>
    <w:p w14:paraId="5BE81804" w14:textId="77777777" w:rsidR="00B277CA" w:rsidRPr="00CF3EBC" w:rsidRDefault="00B277CA" w:rsidP="00CF3EBC">
      <w:pPr>
        <w:suppressAutoHyphens/>
        <w:autoSpaceDN w:val="0"/>
        <w:spacing w:line="240" w:lineRule="auto"/>
        <w:ind w:left="1134" w:hanging="1134"/>
        <w:jc w:val="both"/>
        <w:textAlignment w:val="baseline"/>
        <w:rPr>
          <w:rFonts w:eastAsia="Times New Roman"/>
          <w:kern w:val="3"/>
          <w:sz w:val="24"/>
          <w:szCs w:val="24"/>
          <w:lang w:eastAsia="en-US"/>
        </w:rPr>
      </w:pPr>
      <w:r w:rsidRPr="00CF3EBC">
        <w:rPr>
          <w:rFonts w:eastAsia="Times New Roman"/>
          <w:kern w:val="3"/>
          <w:sz w:val="24"/>
          <w:szCs w:val="24"/>
          <w:lang w:eastAsia="en-US"/>
        </w:rPr>
        <w:t>Gráfico 1 - Evolução da participação dos gastos tributários do governo federal em relação à receita tributária e ao PIB, no período de 2008-2019 (em %)</w:t>
      </w:r>
    </w:p>
    <w:p w14:paraId="71EE46B7" w14:textId="77777777" w:rsidR="00B277CA" w:rsidRPr="00CF3EBC" w:rsidRDefault="00B277CA" w:rsidP="00CF3EBC">
      <w:pPr>
        <w:suppressAutoHyphens/>
        <w:autoSpaceDN w:val="0"/>
        <w:spacing w:line="360" w:lineRule="auto"/>
        <w:jc w:val="center"/>
        <w:textAlignment w:val="baseline"/>
        <w:rPr>
          <w:rFonts w:ascii="Aptos" w:eastAsia="Times New Roman" w:hAnsi="Aptos" w:cs="F"/>
          <w:kern w:val="3"/>
          <w:sz w:val="24"/>
          <w:szCs w:val="24"/>
          <w:lang w:eastAsia="en-US"/>
        </w:rPr>
      </w:pPr>
      <w:r w:rsidRPr="00CF3EBC">
        <w:rPr>
          <w:rFonts w:ascii="Aptos" w:eastAsia="Times New Roman" w:hAnsi="Aptos" w:cs="F"/>
          <w:noProof/>
          <w:kern w:val="3"/>
          <w:sz w:val="24"/>
          <w:szCs w:val="24"/>
          <w:lang w:eastAsia="en-US"/>
        </w:rPr>
        <w:drawing>
          <wp:inline distT="0" distB="0" distL="0" distR="0" wp14:anchorId="29FAEE49" wp14:editId="1A942204">
            <wp:extent cx="4137660" cy="1059180"/>
            <wp:effectExtent l="0" t="0" r="0" b="0"/>
            <wp:docPr id="1165408616"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7660" cy="1059180"/>
                    </a:xfrm>
                    <a:prstGeom prst="rect">
                      <a:avLst/>
                    </a:prstGeom>
                    <a:noFill/>
                    <a:ln>
                      <a:noFill/>
                    </a:ln>
                  </pic:spPr>
                </pic:pic>
              </a:graphicData>
            </a:graphic>
          </wp:inline>
        </w:drawing>
      </w:r>
    </w:p>
    <w:p w14:paraId="5D1BBE95" w14:textId="77777777" w:rsidR="00B277CA" w:rsidRPr="00CF3EBC" w:rsidRDefault="00B277CA" w:rsidP="00CF3EBC">
      <w:pPr>
        <w:suppressAutoHyphens/>
        <w:autoSpaceDN w:val="0"/>
        <w:spacing w:line="360" w:lineRule="auto"/>
        <w:jc w:val="center"/>
        <w:textAlignment w:val="baseline"/>
        <w:rPr>
          <w:rFonts w:ascii="Aptos" w:eastAsia="Times New Roman" w:hAnsi="Aptos" w:cs="F"/>
          <w:kern w:val="3"/>
          <w:sz w:val="24"/>
          <w:szCs w:val="24"/>
          <w:lang w:eastAsia="en-US"/>
        </w:rPr>
      </w:pPr>
      <w:r w:rsidRPr="00CF3EBC">
        <w:rPr>
          <w:rFonts w:eastAsia="Times New Roman" w:cs="F"/>
          <w:kern w:val="3"/>
          <w:sz w:val="20"/>
          <w:szCs w:val="20"/>
          <w:lang w:eastAsia="en-US"/>
        </w:rPr>
        <w:t>Fonte: Saiki (2023).</w:t>
      </w:r>
    </w:p>
    <w:p w14:paraId="0C6B4DBF" w14:textId="77777777" w:rsidR="00B277CA" w:rsidRPr="00CF3EBC" w:rsidRDefault="00B277CA" w:rsidP="004B4170">
      <w:pPr>
        <w:suppressAutoHyphens/>
        <w:autoSpaceDN w:val="0"/>
        <w:spacing w:line="360" w:lineRule="auto"/>
        <w:ind w:firstLine="709"/>
        <w:jc w:val="both"/>
        <w:textAlignment w:val="baseline"/>
        <w:rPr>
          <w:rFonts w:ascii="Aptos" w:eastAsia="Times New Roman" w:hAnsi="Aptos" w:cs="F"/>
          <w:kern w:val="3"/>
          <w:sz w:val="24"/>
          <w:szCs w:val="24"/>
          <w:lang w:eastAsia="en-US"/>
        </w:rPr>
      </w:pPr>
      <w:r w:rsidRPr="00CF3EBC">
        <w:rPr>
          <w:rFonts w:eastAsia="Times New Roman"/>
          <w:kern w:val="3"/>
          <w:sz w:val="24"/>
          <w:szCs w:val="24"/>
          <w:lang w:eastAsia="en-US"/>
        </w:rPr>
        <w:t>Ainda segundo a autora, a participação do</w:t>
      </w:r>
      <w:r w:rsidRPr="00CF3EBC">
        <w:rPr>
          <w:rFonts w:eastAsia="Times New Roman" w:cs="F"/>
          <w:kern w:val="3"/>
          <w:sz w:val="24"/>
          <w:szCs w:val="24"/>
          <w:lang w:eastAsia="en-US"/>
        </w:rPr>
        <w:t xml:space="preserve"> gasto tributário federal no PIB da União passou de 3,9% em 2008 para 4,3% em 2019, um crescimento de 12% no período 2008-2019 (Saiki, 2023).</w:t>
      </w:r>
      <w:r>
        <w:rPr>
          <w:rFonts w:eastAsia="Times New Roman" w:cs="F"/>
          <w:kern w:val="3"/>
          <w:sz w:val="24"/>
          <w:szCs w:val="24"/>
          <w:lang w:eastAsia="en-US"/>
        </w:rPr>
        <w:t xml:space="preserve"> </w:t>
      </w:r>
      <w:r w:rsidRPr="00CF3EBC">
        <w:rPr>
          <w:rFonts w:eastAsia="Times New Roman"/>
          <w:kern w:val="3"/>
          <w:sz w:val="24"/>
          <w:szCs w:val="24"/>
          <w:lang w:eastAsia="en-US"/>
        </w:rPr>
        <w:t xml:space="preserve">Portanto, o governo federal, ao incrementar a política de renúncia de receita comprometeu, em média, 20% da arrecadação tributária e </w:t>
      </w:r>
      <w:r w:rsidRPr="00CF3EBC">
        <w:rPr>
          <w:rFonts w:eastAsia="Times New Roman"/>
          <w:kern w:val="3"/>
          <w:sz w:val="24"/>
          <w:szCs w:val="24"/>
          <w:lang w:eastAsia="en-US"/>
        </w:rPr>
        <w:lastRenderedPageBreak/>
        <w:t>4,07% do PIB no período 2008-2019, instituindo uma verdadeira trava na receita pública.</w:t>
      </w:r>
    </w:p>
    <w:p w14:paraId="0B925648" w14:textId="77777777" w:rsidR="00B277CA" w:rsidRPr="00CF3EBC" w:rsidRDefault="00B277CA" w:rsidP="00CF3EBC">
      <w:pPr>
        <w:suppressAutoHyphens/>
        <w:autoSpaceDN w:val="0"/>
        <w:spacing w:line="360" w:lineRule="auto"/>
        <w:ind w:firstLine="708"/>
        <w:jc w:val="both"/>
        <w:textAlignment w:val="baseline"/>
        <w:rPr>
          <w:rFonts w:eastAsia="Times New Roman" w:cs="F"/>
          <w:kern w:val="3"/>
          <w:sz w:val="24"/>
          <w:szCs w:val="24"/>
          <w:lang w:eastAsia="en-US"/>
        </w:rPr>
      </w:pPr>
      <w:r w:rsidRPr="00CF3EBC">
        <w:rPr>
          <w:rFonts w:eastAsia="Times New Roman" w:cs="F"/>
          <w:kern w:val="3"/>
          <w:sz w:val="24"/>
          <w:szCs w:val="24"/>
          <w:lang w:eastAsia="en-US"/>
        </w:rPr>
        <w:t>Essa política de renúncia fiscal travou a receita orçamentária, para de forma disfarçada exigir a compressão da despesa primária via desfinanciamento das políticas sociais e dos investimentos públicos, ao mesmo tempo em que invisibilizou esse mecanismo de trava na receita e de expansão do gasto tributário (Alencar Jr, 2024).</w:t>
      </w:r>
    </w:p>
    <w:p w14:paraId="0804BCFC" w14:textId="77777777" w:rsidR="00B277CA" w:rsidRPr="00CF3EBC" w:rsidRDefault="00B277CA" w:rsidP="00CF3EBC">
      <w:pPr>
        <w:suppressAutoHyphens/>
        <w:autoSpaceDN w:val="0"/>
        <w:spacing w:line="360" w:lineRule="auto"/>
        <w:ind w:firstLine="708"/>
        <w:jc w:val="both"/>
        <w:textAlignment w:val="baseline"/>
        <w:rPr>
          <w:rFonts w:eastAsia="Times New Roman" w:cs="F"/>
          <w:kern w:val="3"/>
          <w:sz w:val="24"/>
          <w:szCs w:val="24"/>
          <w:lang w:eastAsia="en-US"/>
        </w:rPr>
      </w:pPr>
      <w:r w:rsidRPr="00CF3EBC">
        <w:rPr>
          <w:rFonts w:eastAsia="Times New Roman" w:cs="F"/>
          <w:kern w:val="3"/>
          <w:sz w:val="24"/>
          <w:szCs w:val="24"/>
          <w:lang w:eastAsia="en-US"/>
        </w:rPr>
        <w:t>Ao realizar esse movimento, a política fiscal é usada ideologicamente para escamotear os verdadeiros fatores determinantes do desequilíbrio fiscal e convencer a sociedade, principalmente a classe trabalhadora, de que a única alternativa para o equilíbrio fiscal é o controle da despesa primária, por meio do discurso de que o governo é perdulário e ineficiente no gasto público, principalmente naqueles diretamente relacionados aos direitos dos trabalhadores (Alencar Jr, 2024).</w:t>
      </w:r>
    </w:p>
    <w:p w14:paraId="38D2C532" w14:textId="77777777" w:rsidR="00B277CA" w:rsidRPr="00CF3EBC" w:rsidRDefault="00B277CA" w:rsidP="00CF3EBC">
      <w:pPr>
        <w:suppressAutoHyphens/>
        <w:autoSpaceDN w:val="0"/>
        <w:spacing w:line="360" w:lineRule="auto"/>
        <w:ind w:firstLine="708"/>
        <w:jc w:val="both"/>
        <w:textAlignment w:val="baseline"/>
        <w:rPr>
          <w:rFonts w:eastAsia="Times New Roman" w:cs="F"/>
          <w:kern w:val="3"/>
          <w:sz w:val="24"/>
          <w:szCs w:val="24"/>
          <w:lang w:eastAsia="en-US"/>
        </w:rPr>
      </w:pPr>
      <w:r w:rsidRPr="00CF3EBC">
        <w:rPr>
          <w:rFonts w:eastAsia="Times New Roman" w:cs="F"/>
          <w:kern w:val="3"/>
          <w:sz w:val="24"/>
          <w:szCs w:val="24"/>
          <w:lang w:eastAsia="en-US"/>
        </w:rPr>
        <w:t>A utilização ideológica da política fiscal pelos neoliberais impõe a necessidade permanente de conter a despesa para promover o equilíbrio fiscal, e o faz por meio de ajustes fiscais permanentes.</w:t>
      </w:r>
    </w:p>
    <w:p w14:paraId="08E3EB1B" w14:textId="77777777" w:rsidR="00B277CA" w:rsidRPr="00CF3EBC" w:rsidRDefault="00B277CA" w:rsidP="00CF3EBC">
      <w:pPr>
        <w:suppressAutoHyphens/>
        <w:autoSpaceDN w:val="0"/>
        <w:spacing w:line="360" w:lineRule="auto"/>
        <w:ind w:firstLine="708"/>
        <w:jc w:val="both"/>
        <w:textAlignment w:val="baseline"/>
        <w:rPr>
          <w:rFonts w:eastAsia="Times New Roman" w:cs="F"/>
          <w:kern w:val="3"/>
          <w:sz w:val="24"/>
          <w:szCs w:val="24"/>
          <w:lang w:eastAsia="en-US"/>
        </w:rPr>
      </w:pPr>
      <w:r w:rsidRPr="00CF3EBC">
        <w:rPr>
          <w:rFonts w:eastAsia="Times New Roman" w:cs="F"/>
          <w:kern w:val="3"/>
          <w:sz w:val="24"/>
          <w:szCs w:val="24"/>
          <w:lang w:eastAsia="en-US"/>
        </w:rPr>
        <w:t>Porém, os ajustes fiscais que impõem limites apenas na despesa primária, excluindo do seu foco as renúncias tributárias, as despesas financeiras e a promoção da progressividade na arrecadação tributária, não buscam garantir o equilíbrio sustentável das contas públicas, mas promover continuamente o desequilíbrio sustentável (Alencar Jr, 2024).</w:t>
      </w:r>
    </w:p>
    <w:p w14:paraId="2ABF196A" w14:textId="77777777" w:rsidR="00B277CA" w:rsidRPr="00CF3EBC" w:rsidRDefault="00B277CA" w:rsidP="00CF3EBC">
      <w:pPr>
        <w:suppressAutoHyphens/>
        <w:autoSpaceDN w:val="0"/>
        <w:spacing w:line="360" w:lineRule="auto"/>
        <w:ind w:firstLine="708"/>
        <w:jc w:val="both"/>
        <w:textAlignment w:val="baseline"/>
        <w:rPr>
          <w:rFonts w:eastAsia="Times New Roman" w:cs="F"/>
          <w:kern w:val="3"/>
          <w:sz w:val="24"/>
          <w:szCs w:val="24"/>
          <w:lang w:eastAsia="en-US"/>
        </w:rPr>
      </w:pPr>
      <w:r w:rsidRPr="00CF3EBC">
        <w:rPr>
          <w:rFonts w:eastAsia="Times New Roman" w:cs="F"/>
          <w:kern w:val="3"/>
          <w:sz w:val="24"/>
          <w:szCs w:val="24"/>
          <w:lang w:eastAsia="en-US"/>
        </w:rPr>
        <w:t>Essa prática desmedida de ajuste fiscal pela despesa, instituída pelo Novo Arcabouço Fiscal (NAF) ou Regime Fiscal Sustentável (RFS) no governo Lula 3, repetiu o</w:t>
      </w:r>
      <w:r>
        <w:rPr>
          <w:rFonts w:eastAsia="Times New Roman" w:cs="F"/>
          <w:kern w:val="3"/>
          <w:sz w:val="24"/>
          <w:szCs w:val="24"/>
          <w:lang w:eastAsia="en-US"/>
        </w:rPr>
        <w:t>s</w:t>
      </w:r>
      <w:r w:rsidRPr="00CF3EBC">
        <w:rPr>
          <w:rFonts w:eastAsia="Times New Roman" w:cs="F"/>
          <w:kern w:val="3"/>
          <w:sz w:val="24"/>
          <w:szCs w:val="24"/>
          <w:lang w:eastAsia="en-US"/>
        </w:rPr>
        <w:t xml:space="preserve"> mesmo</w:t>
      </w:r>
      <w:r>
        <w:rPr>
          <w:rFonts w:eastAsia="Times New Roman" w:cs="F"/>
          <w:kern w:val="3"/>
          <w:sz w:val="24"/>
          <w:szCs w:val="24"/>
          <w:lang w:eastAsia="en-US"/>
        </w:rPr>
        <w:t>s</w:t>
      </w:r>
      <w:r w:rsidRPr="00CF3EBC">
        <w:rPr>
          <w:rFonts w:eastAsia="Times New Roman" w:cs="F"/>
          <w:kern w:val="3"/>
          <w:sz w:val="24"/>
          <w:szCs w:val="24"/>
          <w:lang w:eastAsia="en-US"/>
        </w:rPr>
        <w:t xml:space="preserve"> erro</w:t>
      </w:r>
      <w:r>
        <w:rPr>
          <w:rFonts w:eastAsia="Times New Roman" w:cs="F"/>
          <w:kern w:val="3"/>
          <w:sz w:val="24"/>
          <w:szCs w:val="24"/>
          <w:lang w:eastAsia="en-US"/>
        </w:rPr>
        <w:t>s</w:t>
      </w:r>
      <w:r w:rsidRPr="00CF3EBC">
        <w:rPr>
          <w:rFonts w:eastAsia="Times New Roman" w:cs="F"/>
          <w:kern w:val="3"/>
          <w:sz w:val="24"/>
          <w:szCs w:val="24"/>
          <w:lang w:eastAsia="en-US"/>
        </w:rPr>
        <w:t xml:space="preserve"> da Emenda Constitucional (EC) 95 do governo Temer, a de ser </w:t>
      </w:r>
      <w:r w:rsidRPr="00B65A54">
        <w:rPr>
          <w:rFonts w:eastAsia="Times New Roman" w:cs="F"/>
          <w:kern w:val="3"/>
          <w:sz w:val="24"/>
          <w:szCs w:val="24"/>
          <w:lang w:eastAsia="en-US"/>
        </w:rPr>
        <w:t xml:space="preserve">No </w:t>
      </w:r>
      <w:proofErr w:type="spellStart"/>
      <w:r w:rsidRPr="00B65A54">
        <w:rPr>
          <w:rFonts w:eastAsia="Times New Roman" w:cs="F"/>
          <w:kern w:val="3"/>
          <w:sz w:val="24"/>
          <w:szCs w:val="24"/>
          <w:lang w:eastAsia="en-US"/>
        </w:rPr>
        <w:t>allowed</w:t>
      </w:r>
      <w:proofErr w:type="spellEnd"/>
      <w:r w:rsidRPr="00B65A54">
        <w:rPr>
          <w:rFonts w:eastAsia="Times New Roman" w:cs="F"/>
          <w:kern w:val="3"/>
          <w:sz w:val="24"/>
          <w:szCs w:val="24"/>
          <w:lang w:eastAsia="en-US"/>
        </w:rPr>
        <w:t xml:space="preserve"> clipboard </w:t>
      </w:r>
      <w:proofErr w:type="spellStart"/>
      <w:r w:rsidRPr="00B65A54">
        <w:rPr>
          <w:rFonts w:eastAsia="Times New Roman" w:cs="F"/>
          <w:kern w:val="3"/>
          <w:sz w:val="24"/>
          <w:szCs w:val="24"/>
          <w:lang w:eastAsia="en-US"/>
        </w:rPr>
        <w:t>formats</w:t>
      </w:r>
      <w:proofErr w:type="spellEnd"/>
      <w:r w:rsidRPr="00B65A54">
        <w:rPr>
          <w:rFonts w:eastAsia="Times New Roman" w:cs="F"/>
          <w:kern w:val="3"/>
          <w:sz w:val="24"/>
          <w:szCs w:val="24"/>
          <w:lang w:eastAsia="en-US"/>
        </w:rPr>
        <w:t xml:space="preserve"> </w:t>
      </w:r>
      <w:proofErr w:type="spellStart"/>
      <w:r w:rsidRPr="00B65A54">
        <w:rPr>
          <w:rFonts w:eastAsia="Times New Roman" w:cs="F"/>
          <w:kern w:val="3"/>
          <w:sz w:val="24"/>
          <w:szCs w:val="24"/>
          <w:lang w:eastAsia="en-US"/>
        </w:rPr>
        <w:t>could</w:t>
      </w:r>
      <w:proofErr w:type="spellEnd"/>
      <w:r w:rsidRPr="00B65A54">
        <w:rPr>
          <w:rFonts w:eastAsia="Times New Roman" w:cs="F"/>
          <w:kern w:val="3"/>
          <w:sz w:val="24"/>
          <w:szCs w:val="24"/>
          <w:lang w:eastAsia="en-US"/>
        </w:rPr>
        <w:t xml:space="preserve"> </w:t>
      </w:r>
      <w:proofErr w:type="spellStart"/>
      <w:r w:rsidRPr="00B65A54">
        <w:rPr>
          <w:rFonts w:eastAsia="Times New Roman" w:cs="F"/>
          <w:kern w:val="3"/>
          <w:sz w:val="24"/>
          <w:szCs w:val="24"/>
          <w:lang w:eastAsia="en-US"/>
        </w:rPr>
        <w:t>have</w:t>
      </w:r>
      <w:proofErr w:type="spellEnd"/>
      <w:r w:rsidRPr="00B65A54">
        <w:rPr>
          <w:rFonts w:eastAsia="Times New Roman" w:cs="F"/>
          <w:kern w:val="3"/>
          <w:sz w:val="24"/>
          <w:szCs w:val="24"/>
          <w:lang w:eastAsia="en-US"/>
        </w:rPr>
        <w:t xml:space="preserve"> </w:t>
      </w:r>
      <w:proofErr w:type="spellStart"/>
      <w:r w:rsidRPr="00B65A54">
        <w:rPr>
          <w:rFonts w:eastAsia="Times New Roman" w:cs="F"/>
          <w:kern w:val="3"/>
          <w:sz w:val="24"/>
          <w:szCs w:val="24"/>
          <w:lang w:eastAsia="en-US"/>
        </w:rPr>
        <w:t>been</w:t>
      </w:r>
      <w:proofErr w:type="spellEnd"/>
      <w:r w:rsidRPr="00B65A54">
        <w:rPr>
          <w:rFonts w:eastAsia="Times New Roman" w:cs="F"/>
          <w:kern w:val="3"/>
          <w:sz w:val="24"/>
          <w:szCs w:val="24"/>
          <w:lang w:eastAsia="en-US"/>
        </w:rPr>
        <w:t xml:space="preserve"> </w:t>
      </w:r>
      <w:proofErr w:type="spellStart"/>
      <w:r w:rsidRPr="00B65A54">
        <w:rPr>
          <w:rFonts w:eastAsia="Times New Roman" w:cs="F"/>
          <w:kern w:val="3"/>
          <w:sz w:val="24"/>
          <w:szCs w:val="24"/>
          <w:lang w:eastAsia="en-US"/>
        </w:rPr>
        <w:t>pasted.</w:t>
      </w:r>
      <w:r w:rsidRPr="00CF3EBC">
        <w:rPr>
          <w:rFonts w:eastAsia="Times New Roman" w:cs="F"/>
          <w:kern w:val="3"/>
          <w:sz w:val="24"/>
          <w:szCs w:val="24"/>
          <w:lang w:eastAsia="en-US"/>
        </w:rPr>
        <w:t>pró</w:t>
      </w:r>
      <w:proofErr w:type="spellEnd"/>
      <w:r w:rsidRPr="00CF3EBC">
        <w:rPr>
          <w:rFonts w:eastAsia="Times New Roman" w:cs="F"/>
          <w:kern w:val="3"/>
          <w:sz w:val="24"/>
          <w:szCs w:val="24"/>
          <w:lang w:eastAsia="en-US"/>
        </w:rPr>
        <w:t xml:space="preserve">-cíclica e potencializar, por um lado, a recessão econômica, à redução da receita pública e o déficit fiscal, e, por outro, a necessidade de financiamento do déficit público, mais contratação de dívida e ampliação do pagamento do seu serviço junto aos credores nacionais e internacionais (Alencar Jr, 2024). </w:t>
      </w:r>
    </w:p>
    <w:p w14:paraId="003ED09A" w14:textId="77777777" w:rsidR="00B277CA" w:rsidRPr="00CF3EBC" w:rsidRDefault="00B277CA" w:rsidP="0029491A">
      <w:pPr>
        <w:suppressAutoHyphens/>
        <w:autoSpaceDN w:val="0"/>
        <w:spacing w:line="360" w:lineRule="auto"/>
        <w:ind w:firstLine="708"/>
        <w:jc w:val="both"/>
        <w:textAlignment w:val="baseline"/>
        <w:rPr>
          <w:rFonts w:eastAsia="Times New Roman" w:cs="F"/>
          <w:kern w:val="3"/>
          <w:sz w:val="24"/>
          <w:szCs w:val="24"/>
          <w:lang w:eastAsia="en-US"/>
        </w:rPr>
      </w:pPr>
      <w:r w:rsidRPr="00CF3EBC">
        <w:rPr>
          <w:rFonts w:eastAsia="Times New Roman" w:cs="F"/>
          <w:kern w:val="3"/>
          <w:sz w:val="24"/>
          <w:szCs w:val="24"/>
          <w:lang w:eastAsia="en-US"/>
        </w:rPr>
        <w:lastRenderedPageBreak/>
        <w:t>Assim corroboro com a tese de Bastos (2023</w:t>
      </w:r>
      <w:r>
        <w:rPr>
          <w:rFonts w:eastAsia="Times New Roman" w:cs="F"/>
          <w:kern w:val="3"/>
          <w:sz w:val="24"/>
          <w:szCs w:val="24"/>
          <w:lang w:eastAsia="en-US"/>
        </w:rPr>
        <w:t>, p. 4</w:t>
      </w:r>
      <w:r w:rsidRPr="00CF3EBC">
        <w:rPr>
          <w:rFonts w:eastAsia="Times New Roman" w:cs="F"/>
          <w:kern w:val="3"/>
          <w:sz w:val="24"/>
          <w:szCs w:val="24"/>
          <w:lang w:eastAsia="en-US"/>
        </w:rPr>
        <w:t>)</w:t>
      </w:r>
      <w:r>
        <w:rPr>
          <w:rFonts w:eastAsia="Times New Roman" w:cs="F"/>
          <w:kern w:val="3"/>
          <w:sz w:val="24"/>
          <w:szCs w:val="24"/>
          <w:lang w:eastAsia="en-US"/>
        </w:rPr>
        <w:t xml:space="preserve">, de </w:t>
      </w:r>
      <w:r w:rsidRPr="0029491A">
        <w:rPr>
          <w:rFonts w:eastAsia="Times New Roman" w:cs="F"/>
          <w:kern w:val="3"/>
          <w:sz w:val="24"/>
          <w:szCs w:val="24"/>
          <w:lang w:eastAsia="en-US"/>
        </w:rPr>
        <w:t>que</w:t>
      </w:r>
      <w:r>
        <w:rPr>
          <w:rFonts w:eastAsia="Times New Roman" w:cs="F"/>
          <w:kern w:val="3"/>
          <w:sz w:val="24"/>
          <w:szCs w:val="24"/>
          <w:lang w:eastAsia="en-US"/>
        </w:rPr>
        <w:t xml:space="preserve"> o</w:t>
      </w:r>
      <w:r w:rsidRPr="00CF3EBC">
        <w:rPr>
          <w:rFonts w:eastAsia="Times New Roman" w:cs="F"/>
          <w:kern w:val="3"/>
          <w:sz w:val="24"/>
          <w:szCs w:val="24"/>
          <w:lang w:eastAsia="en-US"/>
        </w:rPr>
        <w:t xml:space="preserve"> NAF/NRF </w:t>
      </w:r>
      <w:r>
        <w:rPr>
          <w:rFonts w:eastAsia="Times New Roman" w:cs="F"/>
          <w:kern w:val="3"/>
          <w:sz w:val="24"/>
          <w:szCs w:val="24"/>
          <w:lang w:eastAsia="en-US"/>
        </w:rPr>
        <w:t>“</w:t>
      </w:r>
      <w:r w:rsidRPr="00CF3EBC">
        <w:rPr>
          <w:rFonts w:eastAsia="Times New Roman" w:cs="F"/>
          <w:kern w:val="3"/>
          <w:sz w:val="24"/>
          <w:szCs w:val="24"/>
          <w:lang w:eastAsia="en-US"/>
        </w:rPr>
        <w:t>não é anticíclico em um momento de desaceleração da economia, mas apenas modera a redução da taxa de crescimento do gasto público quando a economia freia e perde velocidade</w:t>
      </w:r>
      <w:r>
        <w:rPr>
          <w:rFonts w:eastAsia="Times New Roman" w:cs="F"/>
          <w:kern w:val="3"/>
          <w:sz w:val="24"/>
          <w:szCs w:val="24"/>
          <w:lang w:eastAsia="en-US"/>
        </w:rPr>
        <w:t xml:space="preserve">”. </w:t>
      </w:r>
    </w:p>
    <w:p w14:paraId="04D5564D" w14:textId="77777777" w:rsidR="00B277CA" w:rsidRPr="00CF3EBC" w:rsidRDefault="00B277CA" w:rsidP="0029491A">
      <w:pPr>
        <w:suppressAutoHyphens/>
        <w:autoSpaceDN w:val="0"/>
        <w:spacing w:line="360" w:lineRule="auto"/>
        <w:jc w:val="both"/>
        <w:textAlignment w:val="baseline"/>
        <w:rPr>
          <w:rFonts w:eastAsia="Times New Roman" w:cs="F"/>
          <w:kern w:val="3"/>
          <w:sz w:val="24"/>
          <w:szCs w:val="24"/>
          <w:lang w:eastAsia="en-US"/>
        </w:rPr>
      </w:pPr>
      <w:r w:rsidRPr="00CF3EBC">
        <w:rPr>
          <w:rFonts w:eastAsia="Times New Roman" w:cs="F"/>
          <w:kern w:val="3"/>
          <w:sz w:val="24"/>
          <w:szCs w:val="24"/>
          <w:lang w:eastAsia="en-US"/>
        </w:rPr>
        <w:tab/>
        <w:t>Esses argumentos são reafirmados por Salvador (2024</w:t>
      </w:r>
      <w:r>
        <w:rPr>
          <w:rFonts w:eastAsia="Times New Roman" w:cs="F"/>
          <w:kern w:val="3"/>
          <w:sz w:val="24"/>
          <w:szCs w:val="24"/>
          <w:lang w:eastAsia="en-US"/>
        </w:rPr>
        <w:t>, p. 16</w:t>
      </w:r>
      <w:r w:rsidRPr="00CF3EBC">
        <w:rPr>
          <w:rFonts w:eastAsia="Times New Roman" w:cs="F"/>
          <w:kern w:val="3"/>
          <w:sz w:val="24"/>
          <w:szCs w:val="24"/>
          <w:lang w:eastAsia="en-US"/>
        </w:rPr>
        <w:t>), de que o NAF/RFS</w:t>
      </w:r>
      <w:r>
        <w:rPr>
          <w:rFonts w:eastAsia="Times New Roman" w:cs="F"/>
          <w:kern w:val="3"/>
          <w:sz w:val="24"/>
          <w:szCs w:val="24"/>
          <w:lang w:eastAsia="en-US"/>
        </w:rPr>
        <w:t xml:space="preserve"> “</w:t>
      </w:r>
      <w:r w:rsidRPr="00CF3EBC">
        <w:rPr>
          <w:rFonts w:eastAsia="Times New Roman" w:cs="F"/>
          <w:kern w:val="3"/>
          <w:sz w:val="24"/>
          <w:szCs w:val="24"/>
          <w:lang w:eastAsia="en-US"/>
        </w:rPr>
        <w:t>ainda que mais flexível no ajuste fiscal quando comparado à EC 95, segue a política de austeridade</w:t>
      </w:r>
      <w:r w:rsidRPr="0029491A">
        <w:rPr>
          <w:rFonts w:eastAsia="Times New Roman" w:cs="F"/>
          <w:kern w:val="3"/>
          <w:sz w:val="24"/>
          <w:szCs w:val="24"/>
          <w:lang w:eastAsia="en-US"/>
        </w:rPr>
        <w:t xml:space="preserve"> [...]</w:t>
      </w:r>
      <w:r w:rsidRPr="00CF3EBC">
        <w:rPr>
          <w:rFonts w:eastAsia="Times New Roman" w:cs="F"/>
          <w:kern w:val="3"/>
          <w:sz w:val="24"/>
          <w:szCs w:val="24"/>
          <w:lang w:eastAsia="en-US"/>
        </w:rPr>
        <w:t>. Tudo isso, para viabilizar a retomada de resultados primários positivos, a fim de garantir a sustentabilidade da dívida pública e a captura do fundo público para o pagamento de juros e encargos para os rentistas.</w:t>
      </w:r>
    </w:p>
    <w:p w14:paraId="075C7DDA" w14:textId="77777777" w:rsidR="00B277CA" w:rsidRPr="00CF3EBC" w:rsidRDefault="00B277CA" w:rsidP="00CF3EBC">
      <w:pPr>
        <w:suppressAutoHyphens/>
        <w:autoSpaceDN w:val="0"/>
        <w:spacing w:line="360" w:lineRule="auto"/>
        <w:ind w:firstLine="708"/>
        <w:jc w:val="both"/>
        <w:textAlignment w:val="baseline"/>
        <w:rPr>
          <w:rFonts w:eastAsia="Times New Roman" w:cs="F"/>
          <w:kern w:val="3"/>
          <w:sz w:val="24"/>
          <w:szCs w:val="24"/>
          <w:lang w:eastAsia="en-US"/>
        </w:rPr>
      </w:pPr>
      <w:r w:rsidRPr="00CF3EBC">
        <w:rPr>
          <w:rFonts w:eastAsia="Times New Roman" w:cs="F"/>
          <w:kern w:val="3"/>
          <w:sz w:val="24"/>
          <w:szCs w:val="24"/>
          <w:lang w:eastAsia="en-US"/>
        </w:rPr>
        <w:t>Diante das teses expostas</w:t>
      </w:r>
      <w:r>
        <w:rPr>
          <w:rFonts w:eastAsia="Times New Roman" w:cs="F"/>
          <w:kern w:val="3"/>
          <w:sz w:val="24"/>
          <w:szCs w:val="24"/>
          <w:lang w:eastAsia="en-US"/>
        </w:rPr>
        <w:t xml:space="preserve">, </w:t>
      </w:r>
      <w:r w:rsidRPr="00CF3EBC">
        <w:rPr>
          <w:rFonts w:eastAsia="Times New Roman" w:cs="F"/>
          <w:kern w:val="3"/>
          <w:sz w:val="24"/>
          <w:szCs w:val="24"/>
          <w:lang w:eastAsia="en-US"/>
        </w:rPr>
        <w:t>o NAF/RFS não visa a sustentabilidade fiscal, isto é, a estabilização da dívida bruta do governo em relação ao PIB, mas controlar a parte maior da despesa, fazendo com que ela cresça numa proporção menor que o incremento da receita, poupando recursos para transferir o maior volume de receitas para o pagamento do serviço da dívida pública.</w:t>
      </w:r>
    </w:p>
    <w:p w14:paraId="0254C6B0" w14:textId="77777777" w:rsidR="00B277CA" w:rsidRDefault="00B277CA" w:rsidP="004F776F">
      <w:pPr>
        <w:spacing w:line="360" w:lineRule="auto"/>
        <w:jc w:val="both"/>
        <w:rPr>
          <w:sz w:val="24"/>
          <w:szCs w:val="24"/>
        </w:rPr>
      </w:pPr>
    </w:p>
    <w:p w14:paraId="0956FADC" w14:textId="77777777" w:rsidR="00B277CA" w:rsidRDefault="00B277CA" w:rsidP="004F776F">
      <w:pPr>
        <w:spacing w:line="360" w:lineRule="auto"/>
        <w:jc w:val="both"/>
        <w:rPr>
          <w:b/>
          <w:bCs/>
        </w:rPr>
      </w:pPr>
      <w:r>
        <w:rPr>
          <w:b/>
          <w:sz w:val="24"/>
          <w:szCs w:val="24"/>
        </w:rPr>
        <w:t>3</w:t>
      </w:r>
      <w:r>
        <w:rPr>
          <w:b/>
          <w:sz w:val="24"/>
          <w:szCs w:val="24"/>
        </w:rPr>
        <w:tab/>
      </w:r>
      <w:r>
        <w:rPr>
          <w:b/>
          <w:bCs/>
        </w:rPr>
        <w:t>A DISPUTA POLÍTICA PELO FUNDO PÚBLICO NO GOVERNO LULA  3</w:t>
      </w:r>
    </w:p>
    <w:p w14:paraId="68E28C7F" w14:textId="77777777" w:rsidR="00B277CA" w:rsidRDefault="00B277CA" w:rsidP="004F776F">
      <w:pPr>
        <w:spacing w:line="360" w:lineRule="auto"/>
        <w:jc w:val="both"/>
        <w:rPr>
          <w:b/>
          <w:bCs/>
        </w:rPr>
      </w:pPr>
    </w:p>
    <w:p w14:paraId="5634D0A9" w14:textId="77777777" w:rsidR="00B277CA" w:rsidRDefault="00B277CA" w:rsidP="00CF3EBC">
      <w:pPr>
        <w:pStyle w:val="Standard"/>
        <w:ind w:firstLine="708"/>
        <w:jc w:val="both"/>
        <w:rPr>
          <w:rFonts w:ascii="Arial" w:hAnsi="Arial"/>
        </w:rPr>
      </w:pPr>
      <w:r>
        <w:rPr>
          <w:rFonts w:ascii="Arial" w:hAnsi="Arial"/>
        </w:rPr>
        <w:t>Diante de uma conjuntura de ajuste fiscal permanente sobre a despesa primária e de disputa política cada vez mais acirrada entre as classes e frações pelos recursos orçamentários do fundo público federal, como o governo Lula 3 atuou para regular os interesses contraditórios entre o capital e o trabalho na alocação de recursos federais no período 2023-2024?</w:t>
      </w:r>
    </w:p>
    <w:p w14:paraId="4335C540" w14:textId="77777777" w:rsidR="00B277CA" w:rsidRDefault="00B277CA" w:rsidP="00CF3EBC">
      <w:pPr>
        <w:pStyle w:val="Standard"/>
        <w:ind w:firstLine="708"/>
        <w:jc w:val="both"/>
        <w:rPr>
          <w:rFonts w:ascii="Arial" w:hAnsi="Arial"/>
        </w:rPr>
      </w:pPr>
      <w:r>
        <w:rPr>
          <w:rFonts w:ascii="Arial" w:hAnsi="Arial"/>
        </w:rPr>
        <w:t>A resposta a esse questionamento iniciou com a análise do comportamento do GOT da União e a repercussão na sua composição em termos de despesa não financeira e despesa financeira. Em seguida tratou do comportamento dos gastos sociais em educação, previdência social e saúde e dos gastos com o serviço da dívida pública num cenário de ajuste fiscal permanente,</w:t>
      </w:r>
    </w:p>
    <w:p w14:paraId="00DD0AA3" w14:textId="77777777" w:rsidR="00B277CA" w:rsidRDefault="00B277CA" w:rsidP="00CF3EBC">
      <w:pPr>
        <w:pStyle w:val="Standard"/>
        <w:jc w:val="both"/>
      </w:pPr>
      <w:r>
        <w:rPr>
          <w:rFonts w:ascii="Arial" w:hAnsi="Arial" w:cs="Arial"/>
        </w:rPr>
        <w:lastRenderedPageBreak/>
        <w:tab/>
        <w:t>O gasto orçamentário total da União no último ano do governo Bolsonaro foi de R$ 2,72 trilhões, seguidos, respectivamente, de R$ 3,09 trilhões e R$ 3,37 trilhões nos dois primeiros anos do governo Lula 3, conforme gráfico 2.</w:t>
      </w:r>
    </w:p>
    <w:p w14:paraId="3AEDAF49" w14:textId="77777777" w:rsidR="00B277CA" w:rsidRDefault="00B277CA" w:rsidP="00CF3EBC">
      <w:pPr>
        <w:pStyle w:val="Standard"/>
        <w:jc w:val="both"/>
        <w:rPr>
          <w:rFonts w:ascii="Arial" w:hAnsi="Arial" w:cs="Arial"/>
        </w:rPr>
      </w:pPr>
    </w:p>
    <w:p w14:paraId="4B6A5378" w14:textId="77777777" w:rsidR="00B277CA" w:rsidRDefault="00B277CA" w:rsidP="00CF3EBC">
      <w:pPr>
        <w:pStyle w:val="Standard"/>
        <w:spacing w:line="240" w:lineRule="auto"/>
        <w:jc w:val="center"/>
      </w:pPr>
      <w:r>
        <w:rPr>
          <w:rFonts w:ascii="Arial" w:hAnsi="Arial" w:cs="Arial"/>
        </w:rPr>
        <w:t>Gráfico 2 – Evolução do gasto orçamentário total da União no período 2022-2024 deflacionado pelo IGP-DI, ano base 2024</w:t>
      </w:r>
    </w:p>
    <w:p w14:paraId="491100A1" w14:textId="77777777" w:rsidR="00B277CA" w:rsidRDefault="00B277CA" w:rsidP="00CF3EBC">
      <w:pPr>
        <w:pStyle w:val="Standard"/>
        <w:spacing w:line="240" w:lineRule="auto"/>
        <w:jc w:val="center"/>
      </w:pPr>
      <w:r w:rsidRPr="00922DB9">
        <w:rPr>
          <w:noProof/>
        </w:rPr>
        <w:drawing>
          <wp:inline distT="0" distB="0" distL="0" distR="0" wp14:anchorId="3FE9AF79" wp14:editId="02FD7B65">
            <wp:extent cx="3101340" cy="1365250"/>
            <wp:effectExtent l="0" t="0" r="0" b="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51F8C1" w14:textId="77777777" w:rsidR="00B277CA" w:rsidRDefault="00B277CA" w:rsidP="00CF3EBC">
      <w:pPr>
        <w:pStyle w:val="Standard"/>
        <w:spacing w:line="240" w:lineRule="auto"/>
        <w:jc w:val="center"/>
      </w:pPr>
      <w:r>
        <w:rPr>
          <w:rFonts w:ascii="Arial" w:hAnsi="Arial" w:cs="Arial"/>
          <w:sz w:val="20"/>
          <w:szCs w:val="20"/>
        </w:rPr>
        <w:t>Fonte: Elaboração própria a partir dos dados do SIGA BRASIL, Brasil (2025)</w:t>
      </w:r>
    </w:p>
    <w:p w14:paraId="5FC0DCE7" w14:textId="77777777" w:rsidR="00B277CA" w:rsidRDefault="00B277CA" w:rsidP="0029491A">
      <w:pPr>
        <w:pStyle w:val="Standard"/>
        <w:ind w:firstLine="720"/>
        <w:jc w:val="both"/>
        <w:rPr>
          <w:rFonts w:ascii="Arial" w:hAnsi="Arial" w:cs="Arial"/>
        </w:rPr>
      </w:pPr>
    </w:p>
    <w:p w14:paraId="04E76D21" w14:textId="77777777" w:rsidR="00B277CA" w:rsidRDefault="00B277CA" w:rsidP="0029491A">
      <w:pPr>
        <w:pStyle w:val="Standard"/>
        <w:ind w:firstLine="720"/>
        <w:jc w:val="both"/>
      </w:pPr>
      <w:r>
        <w:rPr>
          <w:rFonts w:ascii="Arial" w:hAnsi="Arial" w:cs="Arial"/>
        </w:rPr>
        <w:t>A evolução do GOT evidenciou um crescimento de 24% no período 2022-2024, sendo mais acelerado (14%) entre os anos 2022-2023 e menos acelerado (9%) entre 2023-2024. Isso demonstra que o Regime Fiscal Sustentável implementado pelo governo Lula 3, ao colocar uma trava na despesa primária, começou a alcançar um dos seus objetivos, o de desacelerar o crescimento do gasto público federal.</w:t>
      </w:r>
    </w:p>
    <w:p w14:paraId="3D522AFC" w14:textId="77777777" w:rsidR="00B277CA" w:rsidRDefault="00B277CA" w:rsidP="00CF3EBC">
      <w:pPr>
        <w:pStyle w:val="Standard"/>
        <w:jc w:val="both"/>
      </w:pPr>
      <w:r>
        <w:rPr>
          <w:rFonts w:ascii="Arial" w:hAnsi="Arial" w:cs="Arial"/>
        </w:rPr>
        <w:tab/>
        <w:t>Essa desaceleração do crescimento do gasto orçamentário total da União atingiu de que forma a sua composição? Favoreceu mais as despesas não financeiras ou as financeiras?</w:t>
      </w:r>
    </w:p>
    <w:p w14:paraId="1447CE88" w14:textId="77777777" w:rsidR="00B277CA" w:rsidRDefault="00B277CA" w:rsidP="00CF3EBC">
      <w:pPr>
        <w:pStyle w:val="Standard"/>
        <w:jc w:val="both"/>
        <w:rPr>
          <w:rFonts w:ascii="Arial" w:hAnsi="Arial" w:cs="Arial"/>
        </w:rPr>
      </w:pPr>
      <w:r>
        <w:rPr>
          <w:rFonts w:ascii="Arial" w:hAnsi="Arial" w:cs="Arial"/>
        </w:rPr>
        <w:tab/>
        <w:t>O gasto orçamentário da União é composto pelo somatório das despesas não financeira e financeira. O montante da despesa não financeira somou R$ 2,25 trilhões e o da despesa financeira atingiu R$ 469,57 bilhões em 2022; elas atingiram, respectivamente, R$ 2,64 trilhões e R$ 448,24 bilhões em 2023; e R$ R$ 2,69 trilhões e R$ 682,19 bilhões em 2024, de acordo com o gráfico 3.</w:t>
      </w:r>
    </w:p>
    <w:p w14:paraId="7AAAEB9D" w14:textId="77777777" w:rsidR="00B277CA" w:rsidRDefault="00B277CA" w:rsidP="00CF3EBC">
      <w:pPr>
        <w:pStyle w:val="Standard"/>
        <w:jc w:val="both"/>
        <w:rPr>
          <w:rFonts w:ascii="Arial" w:hAnsi="Arial" w:cs="Arial"/>
        </w:rPr>
      </w:pPr>
    </w:p>
    <w:p w14:paraId="347EAD4B" w14:textId="77777777" w:rsidR="00B277CA" w:rsidRDefault="00B277CA" w:rsidP="00CF3EBC">
      <w:pPr>
        <w:pStyle w:val="Standard"/>
        <w:jc w:val="both"/>
        <w:rPr>
          <w:rFonts w:ascii="Arial" w:hAnsi="Arial" w:cs="Arial"/>
        </w:rPr>
      </w:pPr>
    </w:p>
    <w:p w14:paraId="53CB8BCC" w14:textId="77777777" w:rsidR="00B277CA" w:rsidRDefault="00B277CA" w:rsidP="00CF3EBC">
      <w:pPr>
        <w:pStyle w:val="Standard"/>
        <w:jc w:val="both"/>
      </w:pPr>
    </w:p>
    <w:p w14:paraId="21CAE7BD" w14:textId="77777777" w:rsidR="00B277CA" w:rsidRDefault="00B277CA" w:rsidP="00CF3EBC">
      <w:pPr>
        <w:pStyle w:val="Standard"/>
        <w:spacing w:line="240" w:lineRule="auto"/>
        <w:jc w:val="center"/>
        <w:rPr>
          <w:rFonts w:ascii="Arial" w:hAnsi="Arial" w:cs="Arial"/>
        </w:rPr>
      </w:pPr>
    </w:p>
    <w:p w14:paraId="0028F736" w14:textId="77777777" w:rsidR="00B277CA" w:rsidRDefault="00B277CA" w:rsidP="00CF3EBC">
      <w:pPr>
        <w:pStyle w:val="Standard"/>
        <w:spacing w:line="240" w:lineRule="auto"/>
        <w:jc w:val="center"/>
      </w:pPr>
      <w:r>
        <w:rPr>
          <w:rFonts w:ascii="Arial" w:hAnsi="Arial" w:cs="Arial"/>
        </w:rPr>
        <w:lastRenderedPageBreak/>
        <w:t>Gráfico 3 – Evolução das despesas não financeira e financeira da União no período 2022-2024, deflacionadas pelo IGP-DI, ano base 2024</w:t>
      </w:r>
    </w:p>
    <w:p w14:paraId="3EA072E9" w14:textId="77777777" w:rsidR="00B277CA" w:rsidRDefault="00B277CA" w:rsidP="00CF3EBC">
      <w:pPr>
        <w:pStyle w:val="Standard"/>
        <w:jc w:val="center"/>
      </w:pPr>
      <w:r w:rsidRPr="00922DB9">
        <w:rPr>
          <w:noProof/>
        </w:rPr>
        <w:drawing>
          <wp:inline distT="0" distB="0" distL="0" distR="0" wp14:anchorId="51737B47" wp14:editId="564D255E">
            <wp:extent cx="3404235" cy="1351280"/>
            <wp:effectExtent l="0" t="0" r="0" b="0"/>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653980" w14:textId="77777777" w:rsidR="00B277CA" w:rsidRDefault="00B277CA" w:rsidP="00CF3EBC">
      <w:pPr>
        <w:pStyle w:val="Standard"/>
        <w:spacing w:line="240" w:lineRule="auto"/>
        <w:jc w:val="center"/>
      </w:pPr>
      <w:r>
        <w:rPr>
          <w:rFonts w:ascii="Arial" w:hAnsi="Arial" w:cs="Arial"/>
          <w:sz w:val="20"/>
          <w:szCs w:val="20"/>
        </w:rPr>
        <w:t>Fonte: Elaboração própria a partir dos dados do SIGA BRASIL, Brasil (2025)</w:t>
      </w:r>
    </w:p>
    <w:p w14:paraId="425BB818" w14:textId="77777777" w:rsidR="00B277CA" w:rsidRDefault="00B277CA" w:rsidP="00EC6CD1">
      <w:pPr>
        <w:pStyle w:val="Standard"/>
        <w:jc w:val="both"/>
        <w:rPr>
          <w:rFonts w:ascii="Arial" w:hAnsi="Arial" w:cs="Arial"/>
        </w:rPr>
      </w:pPr>
      <w:r>
        <w:rPr>
          <w:rFonts w:ascii="Arial" w:hAnsi="Arial" w:cs="Arial"/>
        </w:rPr>
        <w:tab/>
      </w:r>
    </w:p>
    <w:p w14:paraId="53B24D54" w14:textId="77777777" w:rsidR="00B277CA" w:rsidRDefault="00B277CA" w:rsidP="00EC6CD1">
      <w:pPr>
        <w:pStyle w:val="Standard"/>
        <w:ind w:firstLine="720"/>
        <w:jc w:val="both"/>
      </w:pPr>
      <w:r>
        <w:rPr>
          <w:rFonts w:ascii="Arial" w:hAnsi="Arial" w:cs="Arial"/>
        </w:rPr>
        <w:t>Apesar do maior volume de recursos alocados na despesa não financeira, o montante da DF cresceu 45% e o da DNF incrementou 19% no período 2022-2024. Nem mesmo a redução de 5% na despesa financeira e o incremento de 18% na despesa não financeira no primeiro ano do governo Lula 3 foram suficientes para impedir o ímpeto de crescimento de 52% da DF e o crescimento desacelerado de 2% da DNF em 2024, quando comparado com os anos anteriores.</w:t>
      </w:r>
    </w:p>
    <w:p w14:paraId="7A4D7CD5" w14:textId="77777777" w:rsidR="00B277CA" w:rsidRDefault="00B277CA" w:rsidP="00EC6CD1">
      <w:pPr>
        <w:pStyle w:val="Standard"/>
        <w:ind w:firstLine="720"/>
        <w:jc w:val="both"/>
      </w:pPr>
      <w:r>
        <w:rPr>
          <w:rFonts w:ascii="Arial" w:hAnsi="Arial" w:cs="Arial"/>
        </w:rPr>
        <w:t>Esses números demonstram que nos dois anos iniciais do governo Lula, a despesa financeira cresceu 25 vezes mais do que a despesa não financeira, fruto de um regime fiscal que prioriza o pagamento das despesas financeiras e de uma política monetária restritiva, que eleva os juros e potencializa os gastos com o serviço da dívida pública.</w:t>
      </w:r>
    </w:p>
    <w:p w14:paraId="09BAF81C" w14:textId="77777777" w:rsidR="00B277CA" w:rsidRDefault="00B277CA" w:rsidP="00CF3EBC">
      <w:pPr>
        <w:pStyle w:val="Standard"/>
        <w:jc w:val="both"/>
      </w:pPr>
      <w:r>
        <w:rPr>
          <w:rFonts w:ascii="Arial" w:hAnsi="Arial" w:cs="Arial"/>
        </w:rPr>
        <w:tab/>
        <w:t>A dinâmica de crescimento acelerado no montante da despesa financeira foi reafirmada quando analisado a participação dessa variável no gasto orçamentário total. Nesse sentido, o montante do gasto com a DF representou 17,25% do GOT, enquanto o da DNF atingiu 82,75% em 2022. Nos dois primeiros anos do governo Lula 3, essas participações foram alteradas, respectivamente, para 14,47% e 85,53% em 2023 e; para 20,22% e 79,78% em 2024.</w:t>
      </w:r>
    </w:p>
    <w:p w14:paraId="64CD000B" w14:textId="77777777" w:rsidR="00B277CA" w:rsidRDefault="00B277CA" w:rsidP="00CF3EBC">
      <w:pPr>
        <w:pStyle w:val="Standard"/>
        <w:jc w:val="both"/>
      </w:pPr>
      <w:r>
        <w:rPr>
          <w:rFonts w:ascii="Arial" w:hAnsi="Arial" w:cs="Arial"/>
        </w:rPr>
        <w:tab/>
        <w:t>Portanto, enquanto a participação da DF foi incrementada em 17,29%, a da DNF foi reduzida em 3,59% no período 2022-2024.</w:t>
      </w:r>
    </w:p>
    <w:p w14:paraId="278796D7" w14:textId="77777777" w:rsidR="00B277CA" w:rsidRDefault="00B277CA" w:rsidP="00CF3EBC">
      <w:pPr>
        <w:pStyle w:val="Standard"/>
        <w:jc w:val="both"/>
        <w:rPr>
          <w:rFonts w:ascii="Arial" w:hAnsi="Arial" w:cs="Arial"/>
        </w:rPr>
      </w:pPr>
      <w:r>
        <w:rPr>
          <w:rFonts w:ascii="Arial" w:hAnsi="Arial" w:cs="Arial"/>
        </w:rPr>
        <w:lastRenderedPageBreak/>
        <w:tab/>
        <w:t>Ora, como a redução da participação da DNF e o incremento da DF no montante do gasto orçamentário federal afetou o gasto social em educação, previdência social e saúde e o gasto com o serviço da dívida pública no período analisado?</w:t>
      </w:r>
    </w:p>
    <w:p w14:paraId="17B27EB7" w14:textId="77777777" w:rsidR="00B277CA" w:rsidRDefault="00B277CA" w:rsidP="00BF79B0">
      <w:pPr>
        <w:pStyle w:val="Standard"/>
        <w:ind w:firstLine="720"/>
        <w:jc w:val="both"/>
      </w:pPr>
      <w:r>
        <w:rPr>
          <w:rFonts w:ascii="Arial" w:hAnsi="Arial" w:cs="Arial"/>
        </w:rPr>
        <w:t>O montante do gasto social em educação foi de R$ 113,44 bilhões em 2022. Nos dois primeiros anos do governo Lula 3, esse valor pago passou de R$ 138,34 bilhões em 2023 para R$ 136,99 bilhões em 2024, de acordo com o gráfico 4.</w:t>
      </w:r>
    </w:p>
    <w:p w14:paraId="35B3E655" w14:textId="77777777" w:rsidR="00B277CA" w:rsidRDefault="00B277CA" w:rsidP="00CF3EBC">
      <w:pPr>
        <w:pStyle w:val="Standard"/>
        <w:jc w:val="center"/>
        <w:rPr>
          <w:rFonts w:ascii="Arial" w:hAnsi="Arial" w:cs="Arial"/>
          <w:b/>
          <w:bCs/>
        </w:rPr>
      </w:pPr>
    </w:p>
    <w:p w14:paraId="51981907" w14:textId="77777777" w:rsidR="00B277CA" w:rsidRDefault="00B277CA" w:rsidP="00CF3EBC">
      <w:pPr>
        <w:pStyle w:val="Standard"/>
        <w:spacing w:line="240" w:lineRule="auto"/>
        <w:jc w:val="center"/>
      </w:pPr>
      <w:r>
        <w:rPr>
          <w:rFonts w:ascii="Arial" w:hAnsi="Arial" w:cs="Arial"/>
        </w:rPr>
        <w:t>Gráfico 4 – Evolução do gasto social da União com educação, previdência social e saúde no período 2022-2024, deflacionados pelo IGP-DI, ano base 2024</w:t>
      </w:r>
    </w:p>
    <w:p w14:paraId="53050CB1" w14:textId="77777777" w:rsidR="00B277CA" w:rsidRDefault="00B277CA" w:rsidP="00CF3EBC">
      <w:pPr>
        <w:pStyle w:val="Standard"/>
        <w:spacing w:line="240" w:lineRule="auto"/>
        <w:jc w:val="center"/>
      </w:pPr>
      <w:r w:rsidRPr="00922DB9">
        <w:rPr>
          <w:noProof/>
        </w:rPr>
        <w:drawing>
          <wp:inline distT="0" distB="0" distL="0" distR="0" wp14:anchorId="689F5812" wp14:editId="44028AF9">
            <wp:extent cx="3071495" cy="1540510"/>
            <wp:effectExtent l="0" t="0" r="0" b="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C4B267" w14:textId="77777777" w:rsidR="00B277CA" w:rsidRDefault="00B277CA" w:rsidP="00BF79B0">
      <w:pPr>
        <w:pStyle w:val="Standard"/>
        <w:spacing w:line="240" w:lineRule="auto"/>
        <w:jc w:val="center"/>
      </w:pPr>
      <w:r>
        <w:rPr>
          <w:rFonts w:ascii="Arial" w:hAnsi="Arial" w:cs="Arial"/>
          <w:sz w:val="20"/>
          <w:szCs w:val="20"/>
        </w:rPr>
        <w:t>Fonte: Elaboração própria a partir dos dados do SIGA BRASIL, Brasil (2025)</w:t>
      </w:r>
    </w:p>
    <w:p w14:paraId="2BFCD390" w14:textId="77777777" w:rsidR="00B277CA" w:rsidRDefault="00B277CA" w:rsidP="0029491A">
      <w:pPr>
        <w:pStyle w:val="Standard"/>
        <w:ind w:firstLine="720"/>
        <w:jc w:val="both"/>
        <w:rPr>
          <w:rFonts w:ascii="Arial" w:hAnsi="Arial" w:cs="Arial"/>
        </w:rPr>
      </w:pPr>
    </w:p>
    <w:p w14:paraId="1D4D135B" w14:textId="77777777" w:rsidR="00B277CA" w:rsidRDefault="00B277CA" w:rsidP="0029491A">
      <w:pPr>
        <w:pStyle w:val="Standard"/>
        <w:ind w:firstLine="720"/>
        <w:jc w:val="both"/>
      </w:pPr>
      <w:r>
        <w:rPr>
          <w:rFonts w:ascii="Arial" w:hAnsi="Arial" w:cs="Arial"/>
        </w:rPr>
        <w:t>Quando comparado o gasto em educação nos dois anos do governo Lula 3 com o dos anos anteriores, este cresceu 22% em 2023, mas decresceu 1% em 2024. Essa redução promovida nos gastos em educação pelo governo do PT foi fruto da austeridade imposta na despesa primaria pelo Regime Fiscal Sustentável.</w:t>
      </w:r>
    </w:p>
    <w:p w14:paraId="30EC4DF2" w14:textId="77777777" w:rsidR="00B277CA" w:rsidRDefault="00B277CA" w:rsidP="007E2326">
      <w:pPr>
        <w:pStyle w:val="Standard"/>
        <w:ind w:firstLine="720"/>
        <w:jc w:val="both"/>
      </w:pPr>
      <w:r>
        <w:rPr>
          <w:rFonts w:ascii="Arial" w:hAnsi="Arial" w:cs="Arial"/>
        </w:rPr>
        <w:t>No que diz respeito ao montante do gasto em previdência social, este atingiu R$ 868,56 bilhões no último ano do governo Bolsonaro; R$ 976,40 bilhões e R$ 983,40 bilhões nos dois primeiros anos do governo Lula 3.</w:t>
      </w:r>
    </w:p>
    <w:p w14:paraId="7477061E" w14:textId="77777777" w:rsidR="00B277CA" w:rsidRDefault="00B277CA" w:rsidP="007E2326">
      <w:pPr>
        <w:pStyle w:val="Standard"/>
        <w:ind w:firstLine="720"/>
        <w:jc w:val="both"/>
      </w:pPr>
      <w:r>
        <w:rPr>
          <w:rFonts w:ascii="Arial" w:hAnsi="Arial" w:cs="Arial"/>
        </w:rPr>
        <w:t>Apesar do crescimento da despesa previdenciária ter atingido 12% no ano de 2023, em relação ao ano anterior, no ano seguinte, o incremento foi de, apenas, 1% em relação ao ano de 2023. Esses dados demonstraram uma forte desaceleração no crescimento, uma quase estagnação, dos gastos previdenciários nos dois primeiros anos do governo Lula 3.</w:t>
      </w:r>
    </w:p>
    <w:p w14:paraId="15329880" w14:textId="77777777" w:rsidR="00B277CA" w:rsidRDefault="00B277CA" w:rsidP="00CF3EBC">
      <w:pPr>
        <w:pStyle w:val="Standard"/>
        <w:jc w:val="both"/>
      </w:pPr>
      <w:r>
        <w:rPr>
          <w:rFonts w:ascii="Arial" w:hAnsi="Arial" w:cs="Arial"/>
          <w:b/>
          <w:bCs/>
        </w:rPr>
        <w:lastRenderedPageBreak/>
        <w:tab/>
      </w:r>
      <w:r>
        <w:rPr>
          <w:rFonts w:ascii="Arial" w:hAnsi="Arial" w:cs="Arial"/>
        </w:rPr>
        <w:t>Em relação ao montante do gasto orçamentário em saúde, este passou de R$ 141,42 bilhões em 2022, para R$ 172,28 bilhões em 2023 e R$ 193,46 bilhões em 2024.</w:t>
      </w:r>
    </w:p>
    <w:p w14:paraId="511113AE" w14:textId="77777777" w:rsidR="00B277CA" w:rsidRDefault="00B277CA" w:rsidP="00CF3EBC">
      <w:pPr>
        <w:pStyle w:val="Standard"/>
        <w:jc w:val="both"/>
      </w:pPr>
      <w:r>
        <w:rPr>
          <w:rFonts w:ascii="Arial" w:hAnsi="Arial" w:cs="Arial"/>
        </w:rPr>
        <w:tab/>
        <w:t>Assim, o gasto em saúde pública federal cresceu 22% no primeiro ano e 12% no segundo ano do governo Lula 3, quando comparado com os anos anteriores. Esses dados evidenciaram uma desaceleração no crescimento do gasto em saúde pública nesse governo.</w:t>
      </w:r>
    </w:p>
    <w:p w14:paraId="172CE85C" w14:textId="77777777" w:rsidR="00B277CA" w:rsidRDefault="00B277CA" w:rsidP="00CF3EBC">
      <w:pPr>
        <w:pStyle w:val="Standard"/>
        <w:jc w:val="both"/>
      </w:pPr>
      <w:r>
        <w:rPr>
          <w:rFonts w:ascii="Arial" w:hAnsi="Arial" w:cs="Arial"/>
        </w:rPr>
        <w:tab/>
        <w:t>No que diz respeito aos gastos financeiros, isto é, ao comportamento das despesas com o serviço da dívida pública interna e com o serviço da dívida pública externa, estes tiveram incrementos, respectivos, de 46% e 33% no período de 2022 a 2024.</w:t>
      </w:r>
    </w:p>
    <w:p w14:paraId="30DAC559" w14:textId="77777777" w:rsidR="00B277CA" w:rsidRDefault="00B277CA" w:rsidP="00CF3EBC">
      <w:pPr>
        <w:pStyle w:val="Standard"/>
        <w:jc w:val="both"/>
      </w:pPr>
      <w:r>
        <w:rPr>
          <w:rFonts w:ascii="Arial" w:hAnsi="Arial" w:cs="Arial"/>
        </w:rPr>
        <w:tab/>
        <w:t>Vale ressaltar que o montante gasto no serviço da dívida interna era R$ 455,71 bilhões em 2022 e passou para R$ 431,54 bilhões em 2023, um recuo 5% no primeiro ano do governo Lula 3; no segundo ano foi para R$ 663,78 bilhões, um crescimento de 54% em relação ao ano anterior, conforme gráfico 5.</w:t>
      </w:r>
    </w:p>
    <w:p w14:paraId="53D1BC73" w14:textId="77777777" w:rsidR="00B277CA" w:rsidRDefault="00B277CA" w:rsidP="00CF3EBC">
      <w:pPr>
        <w:pStyle w:val="Standard"/>
        <w:jc w:val="both"/>
        <w:rPr>
          <w:rFonts w:ascii="Arial" w:hAnsi="Arial" w:cs="Arial"/>
          <w:b/>
          <w:bCs/>
        </w:rPr>
      </w:pPr>
    </w:p>
    <w:p w14:paraId="30376ECE" w14:textId="77777777" w:rsidR="00B277CA" w:rsidRDefault="00B277CA" w:rsidP="00CF3EBC">
      <w:pPr>
        <w:pStyle w:val="Standard"/>
        <w:spacing w:line="240" w:lineRule="auto"/>
        <w:jc w:val="center"/>
      </w:pPr>
      <w:r>
        <w:rPr>
          <w:rFonts w:ascii="Arial" w:hAnsi="Arial" w:cs="Arial"/>
        </w:rPr>
        <w:t>Gráfico 5 – Evolução do montante gasto com os serviços das dívidas interna e externa da União no período 2022-2024, deflacionados pelo IGP-DI, ano base 2024</w:t>
      </w:r>
    </w:p>
    <w:p w14:paraId="59A2A54F" w14:textId="77777777" w:rsidR="00B277CA" w:rsidRDefault="00B277CA" w:rsidP="00CF3EBC">
      <w:pPr>
        <w:pStyle w:val="Standard"/>
        <w:spacing w:line="240" w:lineRule="auto"/>
        <w:jc w:val="center"/>
      </w:pPr>
      <w:r w:rsidRPr="00922DB9">
        <w:rPr>
          <w:noProof/>
        </w:rPr>
        <w:drawing>
          <wp:inline distT="0" distB="0" distL="0" distR="0" wp14:anchorId="309A4388" wp14:editId="291D806A">
            <wp:extent cx="3289300" cy="1677670"/>
            <wp:effectExtent l="0" t="0" r="0" b="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ACA4AF" w14:textId="77777777" w:rsidR="00B277CA" w:rsidRDefault="00B277CA" w:rsidP="00EC6CD1">
      <w:pPr>
        <w:pStyle w:val="Standard"/>
        <w:spacing w:line="240" w:lineRule="auto"/>
        <w:jc w:val="center"/>
      </w:pPr>
      <w:r>
        <w:rPr>
          <w:rFonts w:ascii="Arial" w:hAnsi="Arial" w:cs="Arial"/>
          <w:sz w:val="20"/>
          <w:szCs w:val="20"/>
        </w:rPr>
        <w:t>Fonte: Elaboração própria a partir dos dados do SIGA BRASIL, Brasil (2025)</w:t>
      </w:r>
    </w:p>
    <w:p w14:paraId="2D36B760" w14:textId="77777777" w:rsidR="00B277CA" w:rsidRDefault="00B277CA" w:rsidP="00CF3EBC">
      <w:pPr>
        <w:pStyle w:val="Standard"/>
        <w:jc w:val="both"/>
        <w:rPr>
          <w:rFonts w:ascii="Arial" w:hAnsi="Arial" w:cs="Arial"/>
          <w:b/>
          <w:bCs/>
        </w:rPr>
      </w:pPr>
    </w:p>
    <w:p w14:paraId="2725A3A3" w14:textId="77777777" w:rsidR="00B277CA" w:rsidRDefault="00B277CA" w:rsidP="0049185E">
      <w:pPr>
        <w:pStyle w:val="Standard"/>
        <w:ind w:firstLine="720"/>
        <w:jc w:val="both"/>
      </w:pPr>
      <w:r>
        <w:rPr>
          <w:rFonts w:ascii="Arial" w:hAnsi="Arial" w:cs="Arial"/>
        </w:rPr>
        <w:t>O montante do serviço da dívida externa era R$ 13,86 bilhões em 2022 e passou para R$ 16,70 bilhões em 2023, um crescimento de 20% no primeiro ano do governo Lula 3. No segundo ano atingiu R$ 18,40 bilhões, incremento de 10%.</w:t>
      </w:r>
    </w:p>
    <w:p w14:paraId="6A035BCF" w14:textId="77777777" w:rsidR="00B277CA" w:rsidRDefault="00B277CA" w:rsidP="0049185E">
      <w:pPr>
        <w:pStyle w:val="Standard"/>
        <w:ind w:firstLine="720"/>
        <w:jc w:val="both"/>
        <w:rPr>
          <w:rFonts w:ascii="Arial" w:hAnsi="Arial" w:cs="Arial"/>
        </w:rPr>
      </w:pPr>
      <w:r>
        <w:rPr>
          <w:rFonts w:ascii="Arial" w:hAnsi="Arial" w:cs="Arial"/>
        </w:rPr>
        <w:lastRenderedPageBreak/>
        <w:t xml:space="preserve">Esses dados anunciam a contínua ampliação das operações de crédito pelo governo federal, com destaque para os empréstimos externos no primeiro ano e para os empréstimos internos no segundo ano do governo Lula 3, como uma das alternativas estratégicas para o financiamento do gasto público federal. </w:t>
      </w:r>
    </w:p>
    <w:p w14:paraId="1DE60BDD" w14:textId="77777777" w:rsidR="00B277CA" w:rsidRDefault="00B277CA" w:rsidP="00147398">
      <w:pPr>
        <w:pStyle w:val="Standard"/>
        <w:ind w:firstLine="720"/>
        <w:jc w:val="both"/>
        <w:rPr>
          <w:rFonts w:ascii="Arial" w:hAnsi="Arial" w:cs="Arial"/>
        </w:rPr>
      </w:pPr>
      <w:r>
        <w:rPr>
          <w:rFonts w:ascii="Arial" w:hAnsi="Arial" w:cs="Arial"/>
        </w:rPr>
        <w:t xml:space="preserve">No entanto, o que essa estratégia produz, na sua essência, é um processo de endividamento público crescente, que precisa ser sanado por ajustes fiscais permanentes para, ao mesmo tempo, garantir a prioridade no pagamento da dívida e reverter a tendência de desequilíbrio fiscal. O resultado dessa dinâmica aponta de forma contraditória para o subfinanciamento/desfinanciamento das políticas sociais e para o </w:t>
      </w:r>
      <w:proofErr w:type="spellStart"/>
      <w:r>
        <w:rPr>
          <w:rFonts w:ascii="Arial" w:hAnsi="Arial" w:cs="Arial"/>
        </w:rPr>
        <w:t>superfinanciamento</w:t>
      </w:r>
      <w:proofErr w:type="spellEnd"/>
      <w:r>
        <w:rPr>
          <w:rFonts w:ascii="Arial" w:hAnsi="Arial" w:cs="Arial"/>
        </w:rPr>
        <w:t xml:space="preserve"> dos credores da dívida pública.</w:t>
      </w:r>
    </w:p>
    <w:p w14:paraId="1D61D3D6" w14:textId="77777777" w:rsidR="00B277CA" w:rsidRDefault="00B277CA" w:rsidP="00CF3EBC">
      <w:pPr>
        <w:spacing w:line="360" w:lineRule="auto"/>
        <w:jc w:val="both"/>
        <w:rPr>
          <w:b/>
          <w:sz w:val="24"/>
          <w:szCs w:val="24"/>
        </w:rPr>
      </w:pPr>
    </w:p>
    <w:p w14:paraId="4D087535" w14:textId="77777777" w:rsidR="00B277CA" w:rsidRDefault="00B277CA" w:rsidP="00CF3EBC">
      <w:pPr>
        <w:spacing w:line="360" w:lineRule="auto"/>
        <w:jc w:val="both"/>
        <w:rPr>
          <w:b/>
          <w:sz w:val="24"/>
          <w:szCs w:val="24"/>
        </w:rPr>
      </w:pPr>
      <w:r>
        <w:rPr>
          <w:b/>
          <w:sz w:val="24"/>
          <w:szCs w:val="24"/>
        </w:rPr>
        <w:t>4</w:t>
      </w:r>
      <w:r>
        <w:rPr>
          <w:b/>
          <w:sz w:val="24"/>
          <w:szCs w:val="24"/>
        </w:rPr>
        <w:tab/>
        <w:t>CONCLUSÃO</w:t>
      </w:r>
    </w:p>
    <w:p w14:paraId="5885627F" w14:textId="77777777" w:rsidR="00B277CA" w:rsidRDefault="00B277CA" w:rsidP="00CF3EBC">
      <w:pPr>
        <w:suppressAutoHyphens/>
        <w:autoSpaceDN w:val="0"/>
        <w:spacing w:line="360" w:lineRule="auto"/>
        <w:ind w:firstLine="708"/>
        <w:jc w:val="both"/>
        <w:textAlignment w:val="baseline"/>
        <w:rPr>
          <w:rFonts w:eastAsia="Times New Roman"/>
          <w:kern w:val="3"/>
          <w:sz w:val="24"/>
          <w:szCs w:val="24"/>
          <w:lang w:eastAsia="en-US"/>
        </w:rPr>
      </w:pPr>
    </w:p>
    <w:p w14:paraId="10207FBA" w14:textId="77777777" w:rsidR="00B277CA" w:rsidRPr="00CF3EBC" w:rsidRDefault="00B277CA" w:rsidP="00CF3EBC">
      <w:pPr>
        <w:suppressAutoHyphens/>
        <w:autoSpaceDN w:val="0"/>
        <w:spacing w:line="360" w:lineRule="auto"/>
        <w:ind w:firstLine="708"/>
        <w:jc w:val="both"/>
        <w:textAlignment w:val="baseline"/>
        <w:rPr>
          <w:rFonts w:eastAsia="Times New Roman"/>
          <w:kern w:val="3"/>
          <w:sz w:val="24"/>
          <w:szCs w:val="24"/>
          <w:lang w:eastAsia="en-US"/>
        </w:rPr>
      </w:pPr>
      <w:r w:rsidRPr="00CF3EBC">
        <w:rPr>
          <w:rFonts w:eastAsia="Times New Roman"/>
          <w:kern w:val="3"/>
          <w:sz w:val="24"/>
          <w:szCs w:val="24"/>
          <w:lang w:eastAsia="en-US"/>
        </w:rPr>
        <w:t>Em resposta a questão central e ao objetivo de identificar a classe mais beneficiada na alocação de recursos orçamentários nos dois primeiros anos do governo Lula 3, passo a apresentar as constatações da pesquisa.</w:t>
      </w:r>
    </w:p>
    <w:p w14:paraId="49D0B107" w14:textId="77777777" w:rsidR="00B277CA" w:rsidRPr="00CF3EBC" w:rsidRDefault="00B277CA" w:rsidP="00CF3EBC">
      <w:pPr>
        <w:suppressAutoHyphens/>
        <w:autoSpaceDN w:val="0"/>
        <w:spacing w:line="360" w:lineRule="auto"/>
        <w:ind w:firstLine="708"/>
        <w:jc w:val="both"/>
        <w:textAlignment w:val="baseline"/>
        <w:rPr>
          <w:rFonts w:eastAsia="Times New Roman"/>
          <w:kern w:val="3"/>
          <w:sz w:val="24"/>
          <w:szCs w:val="24"/>
          <w:lang w:eastAsia="en-US"/>
        </w:rPr>
      </w:pPr>
      <w:r w:rsidRPr="00CF3EBC">
        <w:rPr>
          <w:rFonts w:eastAsia="Times New Roman"/>
          <w:kern w:val="3"/>
          <w:sz w:val="24"/>
          <w:szCs w:val="24"/>
          <w:lang w:eastAsia="en-US"/>
        </w:rPr>
        <w:t>A decisão política do governo Lula 3 de implementar o Regime Fiscal Sustentável com o objetivo de travar o crescimento da despesa primária começou a alcançar um dos seus objetivos, o de desacelerar o crescimento do gasto público federal.</w:t>
      </w:r>
    </w:p>
    <w:p w14:paraId="662424B2" w14:textId="77777777" w:rsidR="00B277CA" w:rsidRPr="00CF3EBC" w:rsidRDefault="00B277CA" w:rsidP="00CF3EBC">
      <w:pPr>
        <w:suppressAutoHyphens/>
        <w:autoSpaceDN w:val="0"/>
        <w:spacing w:line="360" w:lineRule="auto"/>
        <w:ind w:firstLine="708"/>
        <w:jc w:val="both"/>
        <w:textAlignment w:val="baseline"/>
        <w:rPr>
          <w:rFonts w:ascii="Aptos" w:eastAsia="Times New Roman" w:hAnsi="Aptos" w:cs="F"/>
          <w:kern w:val="3"/>
          <w:sz w:val="24"/>
          <w:szCs w:val="24"/>
          <w:lang w:eastAsia="en-US"/>
        </w:rPr>
      </w:pPr>
      <w:r w:rsidRPr="00CF3EBC">
        <w:rPr>
          <w:rFonts w:eastAsia="Times New Roman"/>
          <w:kern w:val="3"/>
          <w:sz w:val="24"/>
          <w:szCs w:val="24"/>
          <w:lang w:eastAsia="en-US"/>
        </w:rPr>
        <w:t>Essa desaceleração do gasto orçamentário, provocou mudanças na sua composição, a despesa financeira cresceu 25 vezes mais do que a despesa não financeira, incrementando a participação da DF e reduzindo a da DNF no montante despendido pela União no período 2023-2024.</w:t>
      </w:r>
    </w:p>
    <w:p w14:paraId="13A0A1A0" w14:textId="77777777" w:rsidR="00B277CA" w:rsidRPr="00CF3EBC" w:rsidRDefault="00B277CA" w:rsidP="00CF3EBC">
      <w:pPr>
        <w:suppressAutoHyphens/>
        <w:autoSpaceDN w:val="0"/>
        <w:spacing w:line="360" w:lineRule="auto"/>
        <w:ind w:firstLine="708"/>
        <w:jc w:val="both"/>
        <w:textAlignment w:val="baseline"/>
        <w:rPr>
          <w:rFonts w:ascii="Aptos" w:eastAsia="Times New Roman" w:hAnsi="Aptos" w:cs="F"/>
          <w:kern w:val="3"/>
          <w:sz w:val="24"/>
          <w:szCs w:val="24"/>
          <w:lang w:eastAsia="en-US"/>
        </w:rPr>
      </w:pPr>
      <w:r w:rsidRPr="00CF3EBC">
        <w:rPr>
          <w:rFonts w:eastAsia="Times New Roman"/>
          <w:kern w:val="3"/>
          <w:sz w:val="24"/>
          <w:szCs w:val="24"/>
          <w:lang w:eastAsia="en-US"/>
        </w:rPr>
        <w:t>A mudança na composição do gasto em desfavor da DNF implicou na redução dos gastos em educação, na desaceleração do crescimento das despesas em saúde e na estagnação dos gastos em previdência social.</w:t>
      </w:r>
    </w:p>
    <w:p w14:paraId="14652C41" w14:textId="77777777" w:rsidR="00B277CA" w:rsidRPr="00CF3EBC" w:rsidRDefault="00B277CA" w:rsidP="00CF3EBC">
      <w:pPr>
        <w:suppressAutoHyphens/>
        <w:autoSpaceDN w:val="0"/>
        <w:spacing w:line="360" w:lineRule="auto"/>
        <w:ind w:firstLine="708"/>
        <w:jc w:val="both"/>
        <w:textAlignment w:val="baseline"/>
        <w:rPr>
          <w:rFonts w:eastAsia="Times New Roman"/>
          <w:kern w:val="3"/>
          <w:sz w:val="24"/>
          <w:szCs w:val="24"/>
          <w:lang w:eastAsia="en-US"/>
        </w:rPr>
      </w:pPr>
      <w:r w:rsidRPr="00CF3EBC">
        <w:rPr>
          <w:rFonts w:eastAsia="Times New Roman"/>
          <w:kern w:val="3"/>
          <w:sz w:val="24"/>
          <w:szCs w:val="24"/>
          <w:lang w:eastAsia="en-US"/>
        </w:rPr>
        <w:lastRenderedPageBreak/>
        <w:t>Por outro lado, o crescimento superior dos gastos financeiros ocorreu muito mais influenciado pela dinâmica de elevação da dívida interna, que foi incrementada em mais de 50%, do que da dívida externa nesse período.</w:t>
      </w:r>
    </w:p>
    <w:p w14:paraId="085F64C7" w14:textId="77777777" w:rsidR="00B277CA" w:rsidRDefault="00B277CA" w:rsidP="00CF3EBC">
      <w:pPr>
        <w:spacing w:line="360" w:lineRule="auto"/>
        <w:ind w:firstLine="709"/>
        <w:jc w:val="both"/>
        <w:rPr>
          <w:sz w:val="24"/>
          <w:szCs w:val="24"/>
        </w:rPr>
      </w:pPr>
      <w:r w:rsidRPr="00CF3EBC">
        <w:rPr>
          <w:rFonts w:eastAsia="Times New Roman"/>
          <w:kern w:val="3"/>
          <w:sz w:val="24"/>
          <w:szCs w:val="24"/>
          <w:lang w:eastAsia="en-US"/>
        </w:rPr>
        <w:t xml:space="preserve">Portanto, nos dois primeiros anos do governo Lula 3, os interesses da burguesia, em especial os da fração financeira, foram priorizados em relação aos da classe trabalhadora. Não </w:t>
      </w:r>
      <w:r>
        <w:rPr>
          <w:rFonts w:eastAsia="Times New Roman"/>
          <w:kern w:val="3"/>
          <w:sz w:val="24"/>
          <w:szCs w:val="24"/>
          <w:lang w:eastAsia="en-US"/>
        </w:rPr>
        <w:t>foi</w:t>
      </w:r>
      <w:r w:rsidRPr="00CF3EBC">
        <w:rPr>
          <w:rFonts w:eastAsia="Times New Roman"/>
          <w:kern w:val="3"/>
          <w:sz w:val="24"/>
          <w:szCs w:val="24"/>
          <w:lang w:eastAsia="en-US"/>
        </w:rPr>
        <w:t xml:space="preserve"> surpresa essas escolhas, pois segundo Alencar Jr (2021), no governo Lula 1 (2003-2006) a estratégia foi a mesma: enquanto os gastos sociais decresceram 6%, os gastos financeiros cresceram 17%.</w:t>
      </w:r>
    </w:p>
    <w:p w14:paraId="4EA9CB62" w14:textId="77777777" w:rsidR="00B277CA" w:rsidRDefault="00B277CA" w:rsidP="004F776F">
      <w:pPr>
        <w:spacing w:line="360" w:lineRule="auto"/>
        <w:jc w:val="center"/>
        <w:rPr>
          <w:b/>
          <w:sz w:val="24"/>
          <w:szCs w:val="24"/>
        </w:rPr>
      </w:pPr>
    </w:p>
    <w:p w14:paraId="62EC4511" w14:textId="77777777" w:rsidR="00B277CA" w:rsidRPr="00CB33DD" w:rsidRDefault="00B277CA" w:rsidP="003F4027">
      <w:pPr>
        <w:spacing w:line="360" w:lineRule="auto"/>
        <w:jc w:val="both"/>
        <w:rPr>
          <w:bCs/>
          <w:sz w:val="24"/>
          <w:szCs w:val="24"/>
        </w:rPr>
      </w:pPr>
      <w:r>
        <w:rPr>
          <w:b/>
          <w:sz w:val="24"/>
          <w:szCs w:val="24"/>
        </w:rPr>
        <w:t>REFERÊNCIAS</w:t>
      </w:r>
    </w:p>
    <w:p w14:paraId="1D228E8B" w14:textId="77777777" w:rsidR="00B277CA" w:rsidRPr="009D3BD8" w:rsidRDefault="00B277CA" w:rsidP="003F4027">
      <w:pPr>
        <w:spacing w:line="240" w:lineRule="auto"/>
        <w:jc w:val="both"/>
        <w:rPr>
          <w:rFonts w:eastAsia="Times New Roman"/>
          <w:sz w:val="24"/>
          <w:szCs w:val="24"/>
        </w:rPr>
      </w:pPr>
      <w:r w:rsidRPr="009D3BD8">
        <w:rPr>
          <w:rFonts w:eastAsia="Times New Roman"/>
          <w:sz w:val="24"/>
          <w:szCs w:val="24"/>
        </w:rPr>
        <w:t xml:space="preserve">ALENCAR JÚNIOR, Osmar Gomes de. Novo Arcabouço Fiscal: regime fiscal sustentável para o capital e destrutivo para o trabalho. </w:t>
      </w:r>
      <w:proofErr w:type="spellStart"/>
      <w:r w:rsidRPr="009D3BD8">
        <w:rPr>
          <w:rFonts w:eastAsia="Times New Roman"/>
          <w:b/>
          <w:sz w:val="24"/>
          <w:szCs w:val="24"/>
        </w:rPr>
        <w:t>Argumentum</w:t>
      </w:r>
      <w:proofErr w:type="spellEnd"/>
      <w:r w:rsidRPr="009D3BD8">
        <w:rPr>
          <w:rFonts w:eastAsia="Times New Roman"/>
          <w:sz w:val="24"/>
          <w:szCs w:val="24"/>
        </w:rPr>
        <w:t>, [S. l.], v. 16, n. 1, p. 20–29, 2024. DOI: 10.47456/</w:t>
      </w:r>
      <w:proofErr w:type="gramStart"/>
      <w:r w:rsidRPr="009D3BD8">
        <w:rPr>
          <w:rFonts w:eastAsia="Times New Roman"/>
          <w:sz w:val="24"/>
          <w:szCs w:val="24"/>
        </w:rPr>
        <w:t>argumentum.v</w:t>
      </w:r>
      <w:proofErr w:type="gramEnd"/>
      <w:r w:rsidRPr="009D3BD8">
        <w:rPr>
          <w:rFonts w:eastAsia="Times New Roman"/>
          <w:sz w:val="24"/>
          <w:szCs w:val="24"/>
        </w:rPr>
        <w:t xml:space="preserve">16i1.44445. Disponível em: https://periodicos.ufes.br/argumentum/article/view/44445. Acesso em: </w:t>
      </w:r>
      <w:r>
        <w:rPr>
          <w:rFonts w:eastAsia="Times New Roman"/>
          <w:sz w:val="24"/>
          <w:szCs w:val="24"/>
        </w:rPr>
        <w:t>15</w:t>
      </w:r>
      <w:r w:rsidRPr="009D3BD8">
        <w:rPr>
          <w:rFonts w:eastAsia="Times New Roman"/>
          <w:sz w:val="24"/>
          <w:szCs w:val="24"/>
        </w:rPr>
        <w:t xml:space="preserve"> </w:t>
      </w:r>
      <w:proofErr w:type="spellStart"/>
      <w:r w:rsidRPr="009D3BD8">
        <w:rPr>
          <w:rFonts w:eastAsia="Times New Roman"/>
          <w:sz w:val="24"/>
          <w:szCs w:val="24"/>
        </w:rPr>
        <w:t>ago</w:t>
      </w:r>
      <w:proofErr w:type="spellEnd"/>
      <w:r w:rsidRPr="009D3BD8">
        <w:rPr>
          <w:rFonts w:eastAsia="Times New Roman"/>
          <w:sz w:val="24"/>
          <w:szCs w:val="24"/>
        </w:rPr>
        <w:t xml:space="preserve"> 2025</w:t>
      </w:r>
      <w:r>
        <w:rPr>
          <w:rFonts w:eastAsia="Times New Roman"/>
          <w:sz w:val="24"/>
          <w:szCs w:val="24"/>
        </w:rPr>
        <w:t>.</w:t>
      </w:r>
    </w:p>
    <w:p w14:paraId="51C33D84" w14:textId="77777777" w:rsidR="00B277CA" w:rsidRDefault="00B277CA" w:rsidP="003F4027">
      <w:pPr>
        <w:autoSpaceDE w:val="0"/>
        <w:autoSpaceDN w:val="0"/>
        <w:adjustRightInd w:val="0"/>
        <w:spacing w:line="240" w:lineRule="auto"/>
        <w:jc w:val="both"/>
        <w:rPr>
          <w:rFonts w:eastAsia="Times New Roman"/>
          <w:sz w:val="24"/>
          <w:szCs w:val="24"/>
        </w:rPr>
      </w:pPr>
    </w:p>
    <w:p w14:paraId="4A1BD4AF" w14:textId="77777777" w:rsidR="00B277CA" w:rsidRPr="00EA3E8B" w:rsidRDefault="00B277CA" w:rsidP="003F4027">
      <w:pPr>
        <w:autoSpaceDE w:val="0"/>
        <w:autoSpaceDN w:val="0"/>
        <w:adjustRightInd w:val="0"/>
        <w:spacing w:line="240" w:lineRule="auto"/>
        <w:jc w:val="both"/>
        <w:rPr>
          <w:sz w:val="24"/>
          <w:szCs w:val="24"/>
        </w:rPr>
      </w:pPr>
      <w:r w:rsidRPr="009D3BD8">
        <w:rPr>
          <w:rFonts w:eastAsia="Times New Roman"/>
          <w:sz w:val="24"/>
          <w:szCs w:val="24"/>
        </w:rPr>
        <w:t>ALENCAR JÚNIOR, Osmar Gomes de</w:t>
      </w:r>
      <w:r w:rsidRPr="00EA3E8B">
        <w:rPr>
          <w:sz w:val="24"/>
          <w:szCs w:val="24"/>
        </w:rPr>
        <w:t xml:space="preserve">. </w:t>
      </w:r>
      <w:r w:rsidRPr="00EA3E8B">
        <w:rPr>
          <w:b/>
          <w:bCs/>
          <w:sz w:val="24"/>
          <w:szCs w:val="24"/>
        </w:rPr>
        <w:t>Estado e fundo público</w:t>
      </w:r>
      <w:r w:rsidRPr="00EA3E8B">
        <w:rPr>
          <w:sz w:val="24"/>
          <w:szCs w:val="24"/>
        </w:rPr>
        <w:t>: a disputa entre o capital e trabalho no nordeste do Brasil. Curitiba: CRV, 2021.</w:t>
      </w:r>
    </w:p>
    <w:p w14:paraId="28BB0E59" w14:textId="77777777" w:rsidR="00B277CA" w:rsidRDefault="00B277CA" w:rsidP="003F4027">
      <w:pPr>
        <w:autoSpaceDE w:val="0"/>
        <w:autoSpaceDN w:val="0"/>
        <w:adjustRightInd w:val="0"/>
        <w:spacing w:line="240" w:lineRule="auto"/>
        <w:jc w:val="both"/>
        <w:rPr>
          <w:sz w:val="24"/>
          <w:szCs w:val="24"/>
        </w:rPr>
      </w:pPr>
    </w:p>
    <w:p w14:paraId="2B223ED4" w14:textId="77777777" w:rsidR="00B277CA" w:rsidRPr="00EA3E8B" w:rsidRDefault="00B277CA" w:rsidP="003F4027">
      <w:pPr>
        <w:autoSpaceDE w:val="0"/>
        <w:autoSpaceDN w:val="0"/>
        <w:adjustRightInd w:val="0"/>
        <w:spacing w:line="240" w:lineRule="auto"/>
        <w:jc w:val="both"/>
        <w:rPr>
          <w:sz w:val="24"/>
          <w:szCs w:val="24"/>
        </w:rPr>
      </w:pPr>
      <w:r w:rsidRPr="00EA3E8B">
        <w:rPr>
          <w:sz w:val="24"/>
          <w:szCs w:val="24"/>
        </w:rPr>
        <w:t xml:space="preserve">BASTOS, P. P. Z. </w:t>
      </w:r>
      <w:r w:rsidRPr="00EA3E8B">
        <w:rPr>
          <w:b/>
          <w:bCs/>
          <w:sz w:val="24"/>
          <w:szCs w:val="24"/>
        </w:rPr>
        <w:t>Quatro tetos e um funeral</w:t>
      </w:r>
      <w:r w:rsidRPr="00EA3E8B">
        <w:rPr>
          <w:sz w:val="24"/>
          <w:szCs w:val="24"/>
        </w:rPr>
        <w:t>: o novo arcabouço/regra fiscal e o projeto social liberal do ministro Haddad. Campinas: Instituto de Economia (IE), Unicamp, CECON, 2023. (Nota do CECON, n. 21).</w:t>
      </w:r>
    </w:p>
    <w:p w14:paraId="5BD12454" w14:textId="77777777" w:rsidR="00B277CA" w:rsidRDefault="00B277CA" w:rsidP="003F4027">
      <w:pPr>
        <w:spacing w:line="240" w:lineRule="auto"/>
        <w:jc w:val="both"/>
        <w:rPr>
          <w:rFonts w:eastAsia="Times New Roman"/>
          <w:kern w:val="3"/>
          <w:sz w:val="24"/>
          <w:szCs w:val="24"/>
          <w:lang w:eastAsia="en-US"/>
        </w:rPr>
      </w:pPr>
    </w:p>
    <w:p w14:paraId="016B9824" w14:textId="77777777" w:rsidR="00B277CA" w:rsidRDefault="00B277CA" w:rsidP="003F4027">
      <w:pPr>
        <w:spacing w:line="240" w:lineRule="auto"/>
        <w:jc w:val="both"/>
        <w:rPr>
          <w:rFonts w:eastAsia="Times New Roman"/>
          <w:kern w:val="3"/>
          <w:sz w:val="24"/>
          <w:szCs w:val="24"/>
          <w:lang w:eastAsia="en-US"/>
        </w:rPr>
      </w:pPr>
      <w:r w:rsidRPr="009D3BD8">
        <w:rPr>
          <w:rFonts w:eastAsia="Times New Roman"/>
          <w:kern w:val="3"/>
          <w:sz w:val="24"/>
          <w:szCs w:val="24"/>
          <w:lang w:eastAsia="en-US"/>
        </w:rPr>
        <w:t xml:space="preserve">GIACOMONI, J. </w:t>
      </w:r>
      <w:r w:rsidRPr="009D3BD8">
        <w:rPr>
          <w:rFonts w:eastAsia="Times New Roman"/>
          <w:b/>
          <w:bCs/>
          <w:kern w:val="3"/>
          <w:sz w:val="24"/>
          <w:szCs w:val="24"/>
          <w:lang w:eastAsia="en-US"/>
        </w:rPr>
        <w:t>Orçamento Público</w:t>
      </w:r>
      <w:r w:rsidRPr="009D3BD8">
        <w:rPr>
          <w:rFonts w:eastAsia="Times New Roman"/>
          <w:kern w:val="3"/>
          <w:sz w:val="24"/>
          <w:szCs w:val="24"/>
          <w:lang w:eastAsia="en-US"/>
        </w:rPr>
        <w:t>. 15 ed. São Paulo: Atlas, 2010.</w:t>
      </w:r>
    </w:p>
    <w:p w14:paraId="17B84697" w14:textId="77777777" w:rsidR="00B277CA" w:rsidRDefault="00B277CA" w:rsidP="003F4027">
      <w:pPr>
        <w:spacing w:line="240" w:lineRule="auto"/>
        <w:jc w:val="both"/>
        <w:rPr>
          <w:rFonts w:eastAsia="Times New Roman"/>
          <w:kern w:val="3"/>
          <w:sz w:val="24"/>
          <w:szCs w:val="24"/>
          <w:lang w:eastAsia="en-US"/>
        </w:rPr>
      </w:pPr>
    </w:p>
    <w:p w14:paraId="1378DA76" w14:textId="77777777" w:rsidR="00B277CA" w:rsidRPr="009D3BD8" w:rsidRDefault="00B277CA" w:rsidP="003F4027">
      <w:pPr>
        <w:spacing w:line="240" w:lineRule="auto"/>
        <w:jc w:val="both"/>
        <w:rPr>
          <w:rFonts w:eastAsia="Times New Roman"/>
          <w:kern w:val="3"/>
          <w:sz w:val="24"/>
          <w:szCs w:val="24"/>
          <w:lang w:eastAsia="en-US"/>
        </w:rPr>
      </w:pPr>
      <w:r w:rsidRPr="009D3BD8">
        <w:rPr>
          <w:rFonts w:eastAsia="Times New Roman"/>
          <w:kern w:val="3"/>
          <w:sz w:val="24"/>
          <w:szCs w:val="24"/>
          <w:lang w:eastAsia="en-US"/>
        </w:rPr>
        <w:t xml:space="preserve">OLIVEIRA, F. A. </w:t>
      </w:r>
      <w:r w:rsidRPr="009D3BD8">
        <w:rPr>
          <w:rFonts w:eastAsia="Times New Roman"/>
          <w:b/>
          <w:bCs/>
          <w:kern w:val="3"/>
          <w:sz w:val="24"/>
          <w:szCs w:val="24"/>
          <w:lang w:eastAsia="en-US"/>
        </w:rPr>
        <w:t>Economia e política das finanças públicas no Brasil</w:t>
      </w:r>
      <w:r w:rsidRPr="009D3BD8">
        <w:rPr>
          <w:rFonts w:eastAsia="Times New Roman"/>
          <w:kern w:val="3"/>
          <w:sz w:val="24"/>
          <w:szCs w:val="24"/>
          <w:lang w:eastAsia="en-US"/>
        </w:rPr>
        <w:t>. São Paulo: Hucitec, 2009.</w:t>
      </w:r>
    </w:p>
    <w:p w14:paraId="1E61AA69" w14:textId="77777777" w:rsidR="00B277CA" w:rsidRDefault="00B277CA" w:rsidP="003F4027">
      <w:pPr>
        <w:spacing w:line="240" w:lineRule="auto"/>
        <w:jc w:val="both"/>
        <w:rPr>
          <w:rFonts w:eastAsia="Times New Roman"/>
          <w:kern w:val="3"/>
          <w:sz w:val="24"/>
          <w:szCs w:val="24"/>
          <w:lang w:eastAsia="en-US"/>
        </w:rPr>
      </w:pPr>
    </w:p>
    <w:p w14:paraId="23D34F8E" w14:textId="77777777" w:rsidR="00B277CA" w:rsidRDefault="00B277CA" w:rsidP="003F4027">
      <w:pPr>
        <w:spacing w:line="240" w:lineRule="auto"/>
        <w:jc w:val="both"/>
        <w:rPr>
          <w:rFonts w:eastAsia="Times New Roman"/>
          <w:kern w:val="3"/>
          <w:sz w:val="24"/>
          <w:szCs w:val="24"/>
          <w:lang w:eastAsia="en-US"/>
        </w:rPr>
      </w:pPr>
      <w:r w:rsidRPr="009D3BD8">
        <w:rPr>
          <w:rFonts w:eastAsia="Times New Roman"/>
          <w:kern w:val="3"/>
          <w:sz w:val="24"/>
          <w:szCs w:val="24"/>
          <w:lang w:eastAsia="en-US"/>
        </w:rPr>
        <w:t>PISCITELI, R</w:t>
      </w:r>
      <w:r>
        <w:rPr>
          <w:rFonts w:eastAsia="Times New Roman"/>
          <w:kern w:val="3"/>
          <w:sz w:val="24"/>
          <w:szCs w:val="24"/>
          <w:lang w:eastAsia="en-US"/>
        </w:rPr>
        <w:t>.</w:t>
      </w:r>
      <w:r w:rsidRPr="009D3BD8">
        <w:rPr>
          <w:rFonts w:eastAsia="Times New Roman"/>
          <w:kern w:val="3"/>
          <w:sz w:val="24"/>
          <w:szCs w:val="24"/>
          <w:lang w:eastAsia="en-US"/>
        </w:rPr>
        <w:t xml:space="preserve">; TIMBÓ, M. </w:t>
      </w:r>
      <w:r w:rsidRPr="009D3BD8">
        <w:rPr>
          <w:rFonts w:eastAsia="Times New Roman"/>
          <w:b/>
          <w:bCs/>
          <w:kern w:val="3"/>
          <w:sz w:val="24"/>
          <w:szCs w:val="24"/>
          <w:lang w:eastAsia="en-US"/>
        </w:rPr>
        <w:t>Contabilidade pública</w:t>
      </w:r>
      <w:r w:rsidRPr="009D3BD8">
        <w:rPr>
          <w:rFonts w:eastAsia="Times New Roman"/>
          <w:kern w:val="3"/>
          <w:sz w:val="24"/>
          <w:szCs w:val="24"/>
          <w:lang w:eastAsia="en-US"/>
        </w:rPr>
        <w:t>. 13 ed. São Paulo: Atlas, 2014</w:t>
      </w:r>
    </w:p>
    <w:p w14:paraId="7C9FCEC4" w14:textId="77777777" w:rsidR="00B277CA" w:rsidRDefault="00B277CA" w:rsidP="003F4027">
      <w:pPr>
        <w:spacing w:line="240" w:lineRule="auto"/>
        <w:jc w:val="both"/>
        <w:rPr>
          <w:rFonts w:eastAsia="Times New Roman"/>
          <w:kern w:val="3"/>
          <w:sz w:val="24"/>
          <w:szCs w:val="24"/>
          <w:lang w:eastAsia="en-US"/>
        </w:rPr>
      </w:pPr>
    </w:p>
    <w:p w14:paraId="19CC2509" w14:textId="77777777" w:rsidR="00B277CA" w:rsidRPr="00DF3519" w:rsidRDefault="00B277CA" w:rsidP="003F4027">
      <w:pPr>
        <w:spacing w:line="240" w:lineRule="auto"/>
        <w:jc w:val="both"/>
        <w:rPr>
          <w:sz w:val="24"/>
          <w:szCs w:val="24"/>
        </w:rPr>
      </w:pPr>
      <w:r w:rsidRPr="009D3BD8">
        <w:rPr>
          <w:rFonts w:eastAsia="Times New Roman"/>
          <w:kern w:val="3"/>
          <w:sz w:val="24"/>
          <w:szCs w:val="24"/>
          <w:lang w:eastAsia="en-US"/>
        </w:rPr>
        <w:t>POULANTZAS</w:t>
      </w:r>
      <w:r w:rsidRPr="00CF3EBC">
        <w:rPr>
          <w:rFonts w:eastAsia="Times New Roman"/>
          <w:kern w:val="3"/>
          <w:sz w:val="24"/>
          <w:szCs w:val="24"/>
          <w:lang w:eastAsia="en-US"/>
        </w:rPr>
        <w:t xml:space="preserve">, </w:t>
      </w:r>
      <w:r w:rsidRPr="009D3BD8">
        <w:rPr>
          <w:rFonts w:eastAsia="Times New Roman"/>
          <w:kern w:val="3"/>
          <w:sz w:val="24"/>
          <w:szCs w:val="24"/>
          <w:lang w:eastAsia="en-US"/>
        </w:rPr>
        <w:t>N. Poder político e classes sociais. São Paulo: Martins Fontes,</w:t>
      </w:r>
      <w:r w:rsidRPr="00CF3EBC">
        <w:rPr>
          <w:rFonts w:eastAsia="Times New Roman"/>
          <w:kern w:val="3"/>
          <w:sz w:val="24"/>
          <w:szCs w:val="24"/>
          <w:lang w:eastAsia="en-US"/>
        </w:rPr>
        <w:t>1977</w:t>
      </w:r>
      <w:r w:rsidRPr="009D3BD8">
        <w:rPr>
          <w:rFonts w:eastAsia="Times New Roman"/>
          <w:kern w:val="3"/>
          <w:sz w:val="24"/>
          <w:szCs w:val="24"/>
          <w:lang w:eastAsia="en-US"/>
        </w:rPr>
        <w:t>.</w:t>
      </w:r>
    </w:p>
    <w:p w14:paraId="47B594D3" w14:textId="77777777" w:rsidR="00B277CA" w:rsidRPr="00EA3E8B" w:rsidRDefault="00B277CA" w:rsidP="003F4027">
      <w:pPr>
        <w:autoSpaceDE w:val="0"/>
        <w:autoSpaceDN w:val="0"/>
        <w:adjustRightInd w:val="0"/>
        <w:spacing w:line="240" w:lineRule="auto"/>
        <w:jc w:val="both"/>
        <w:rPr>
          <w:color w:val="000000"/>
          <w:sz w:val="24"/>
          <w:szCs w:val="24"/>
        </w:rPr>
      </w:pPr>
      <w:r w:rsidRPr="00EA3E8B">
        <w:rPr>
          <w:rFonts w:eastAsia="Times New Roman"/>
          <w:kern w:val="3"/>
          <w:sz w:val="24"/>
          <w:szCs w:val="24"/>
          <w:lang w:eastAsia="en-US"/>
        </w:rPr>
        <w:t>SAIKI (2023)</w:t>
      </w:r>
      <w:r w:rsidRPr="00EA3E8B">
        <w:rPr>
          <w:color w:val="000000"/>
          <w:sz w:val="24"/>
          <w:szCs w:val="24"/>
        </w:rPr>
        <w:t xml:space="preserve"> SAIKI, T. M. A. </w:t>
      </w:r>
      <w:r w:rsidRPr="00EA3E8B">
        <w:rPr>
          <w:b/>
          <w:bCs/>
          <w:color w:val="000000"/>
          <w:sz w:val="24"/>
          <w:szCs w:val="24"/>
        </w:rPr>
        <w:t>Renúncia de receita tributária</w:t>
      </w:r>
      <w:r w:rsidRPr="00EA3E8B">
        <w:rPr>
          <w:color w:val="000000"/>
          <w:sz w:val="24"/>
          <w:szCs w:val="24"/>
        </w:rPr>
        <w:t>: efeito no fundo público do estado do Piauí no período de 2015 a 2021. Dissertação de Mestrado (Políticas Públicas)</w:t>
      </w:r>
      <w:r>
        <w:rPr>
          <w:color w:val="000000"/>
          <w:sz w:val="24"/>
          <w:szCs w:val="24"/>
        </w:rPr>
        <w:t xml:space="preserve"> </w:t>
      </w:r>
      <w:r w:rsidRPr="00EA3E8B">
        <w:rPr>
          <w:color w:val="000000"/>
          <w:sz w:val="24"/>
          <w:szCs w:val="24"/>
        </w:rPr>
        <w:t>-</w:t>
      </w:r>
      <w:r>
        <w:rPr>
          <w:color w:val="000000"/>
          <w:sz w:val="24"/>
          <w:szCs w:val="24"/>
        </w:rPr>
        <w:t xml:space="preserve"> </w:t>
      </w:r>
      <w:r w:rsidRPr="00EA3E8B">
        <w:rPr>
          <w:color w:val="000000"/>
          <w:sz w:val="24"/>
          <w:szCs w:val="24"/>
        </w:rPr>
        <w:t>Universidade Federal do Piauí, Teresina, 2023.</w:t>
      </w:r>
    </w:p>
    <w:p w14:paraId="1C1B323B" w14:textId="77777777" w:rsidR="00B277CA" w:rsidRDefault="00B277CA" w:rsidP="003F4027">
      <w:pPr>
        <w:autoSpaceDE w:val="0"/>
        <w:autoSpaceDN w:val="0"/>
        <w:adjustRightInd w:val="0"/>
        <w:spacing w:line="240" w:lineRule="auto"/>
        <w:jc w:val="both"/>
        <w:rPr>
          <w:rFonts w:ascii="Constantia" w:hAnsi="Constantia" w:cs="Constantia"/>
          <w:color w:val="000000"/>
          <w:sz w:val="24"/>
          <w:szCs w:val="24"/>
        </w:rPr>
      </w:pPr>
    </w:p>
    <w:p w14:paraId="5A62B129" w14:textId="77777777" w:rsidR="00B277CA" w:rsidRPr="00BD2CA7" w:rsidRDefault="00B277CA" w:rsidP="003F4027">
      <w:pPr>
        <w:autoSpaceDE w:val="0"/>
        <w:autoSpaceDN w:val="0"/>
        <w:adjustRightInd w:val="0"/>
        <w:spacing w:line="240" w:lineRule="auto"/>
        <w:jc w:val="both"/>
        <w:rPr>
          <w:sz w:val="24"/>
          <w:szCs w:val="24"/>
        </w:rPr>
      </w:pPr>
      <w:r w:rsidRPr="00EA3E8B">
        <w:rPr>
          <w:sz w:val="24"/>
          <w:szCs w:val="24"/>
        </w:rPr>
        <w:t>SALVADOR, E. O arcabouço fiscal e as impl</w:t>
      </w:r>
      <w:r w:rsidRPr="00BD2CA7">
        <w:rPr>
          <w:sz w:val="24"/>
          <w:szCs w:val="24"/>
        </w:rPr>
        <w:t xml:space="preserve">icações no financiamento das políticas sociais. </w:t>
      </w:r>
      <w:proofErr w:type="spellStart"/>
      <w:r w:rsidRPr="00BD2CA7">
        <w:rPr>
          <w:b/>
          <w:bCs/>
          <w:sz w:val="24"/>
          <w:szCs w:val="24"/>
        </w:rPr>
        <w:t>Argumentum</w:t>
      </w:r>
      <w:proofErr w:type="spellEnd"/>
      <w:r w:rsidRPr="00BD2CA7">
        <w:rPr>
          <w:sz w:val="24"/>
          <w:szCs w:val="24"/>
        </w:rPr>
        <w:t xml:space="preserve">, Vitória, v. 16, n. 1, p. 6-19, jan./abr. 2024. Disponível em: </w:t>
      </w:r>
      <w:hyperlink r:id="rId17" w:history="1">
        <w:r w:rsidRPr="00BD2CA7">
          <w:rPr>
            <w:rStyle w:val="Hyperlink"/>
          </w:rPr>
          <w:t>https://periodicos.ufes.br/argumentum/article/view/44218</w:t>
        </w:r>
      </w:hyperlink>
      <w:r w:rsidRPr="00BD2CA7">
        <w:rPr>
          <w:sz w:val="24"/>
          <w:szCs w:val="24"/>
        </w:rPr>
        <w:t>. Acesso: 15 ago. 2025.</w:t>
      </w:r>
    </w:p>
    <w:p w14:paraId="7CDD5984" w14:textId="77777777" w:rsidR="00B277CA" w:rsidRPr="00BE0CA6" w:rsidRDefault="00B277CA" w:rsidP="00BE0CA6">
      <w:pPr>
        <w:spacing w:line="240" w:lineRule="auto"/>
        <w:jc w:val="both"/>
        <w:rPr>
          <w:sz w:val="24"/>
          <w:szCs w:val="24"/>
        </w:rPr>
      </w:pPr>
    </w:p>
    <w:sectPr w:rsidR="00B277CA" w:rsidRPr="00BE0CA6" w:rsidSect="004F776F">
      <w:headerReference w:type="even" r:id="rId18"/>
      <w:headerReference w:type="default" r:id="rId19"/>
      <w:footerReference w:type="even" r:id="rId20"/>
      <w:footerReference w:type="default" r:id="rId21"/>
      <w:headerReference w:type="first" r:id="rId22"/>
      <w:footerReference w:type="first" r:id="rId23"/>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ED83E" w14:textId="77777777" w:rsidR="005A1AC0" w:rsidRDefault="005A1AC0">
      <w:pPr>
        <w:spacing w:line="240" w:lineRule="auto"/>
      </w:pPr>
      <w:r>
        <w:separator/>
      </w:r>
    </w:p>
  </w:endnote>
  <w:endnote w:type="continuationSeparator" w:id="0">
    <w:p w14:paraId="3F93BA22" w14:textId="77777777" w:rsidR="005A1AC0" w:rsidRDefault="005A1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30DF" w14:textId="77777777" w:rsidR="00701DAB" w:rsidRDefault="00701DA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E3F9" w14:textId="77777777" w:rsidR="00701DAB" w:rsidRDefault="00701DA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3513" w14:textId="77777777" w:rsidR="00701DAB" w:rsidRDefault="00701DA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EEF92" w14:textId="77777777" w:rsidR="005A1AC0" w:rsidRDefault="005A1AC0">
      <w:pPr>
        <w:spacing w:line="240" w:lineRule="auto"/>
      </w:pPr>
      <w:r>
        <w:separator/>
      </w:r>
    </w:p>
  </w:footnote>
  <w:footnote w:type="continuationSeparator" w:id="0">
    <w:p w14:paraId="09CEC6C2" w14:textId="77777777" w:rsidR="005A1AC0" w:rsidRDefault="005A1AC0">
      <w:pPr>
        <w:spacing w:line="240" w:lineRule="auto"/>
      </w:pPr>
      <w:r>
        <w:continuationSeparator/>
      </w:r>
    </w:p>
  </w:footnote>
  <w:footnote w:id="1">
    <w:p w14:paraId="3FB7105C" w14:textId="60F4DF6F" w:rsidR="0094678F" w:rsidRPr="00B277CA" w:rsidRDefault="0094678F" w:rsidP="00B277CA">
      <w:pPr>
        <w:spacing w:line="240" w:lineRule="auto"/>
        <w:jc w:val="both"/>
        <w:rPr>
          <w:sz w:val="20"/>
          <w:szCs w:val="20"/>
        </w:rPr>
      </w:pPr>
      <w:r w:rsidRPr="00B277CA">
        <w:rPr>
          <w:rStyle w:val="Refdenotaderodap"/>
          <w:sz w:val="20"/>
          <w:szCs w:val="20"/>
        </w:rPr>
        <w:footnoteRef/>
      </w:r>
      <w:r w:rsidRPr="00B277CA">
        <w:rPr>
          <w:sz w:val="20"/>
          <w:szCs w:val="20"/>
        </w:rPr>
        <w:t xml:space="preserve"> Docente do curso de Serviço Social e do Programa de Pós-graduação em Política Social da Universidade de Brasília (UnB). Economista, mestre e doutor em política social pela UnB. Pós-Doutor em Serviço Social (UERJ).  Bolsista produtividade do CNPq. Líder do Núcleo de Estudos sobre Fundo Público, Orçamento, Hegemonia e Política Social (FOHPS/UnB/CNPq).</w:t>
      </w:r>
    </w:p>
  </w:footnote>
  <w:footnote w:id="2">
    <w:p w14:paraId="5289706F" w14:textId="3EEB9685" w:rsidR="0094678F" w:rsidRPr="00B277CA" w:rsidRDefault="0094678F" w:rsidP="00B277CA">
      <w:pPr>
        <w:pStyle w:val="Textodenotaderodap"/>
        <w:jc w:val="both"/>
        <w:rPr>
          <w:rFonts w:ascii="Arial" w:hAnsi="Arial" w:cs="Arial"/>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Docente do Departamento de Serviço Social e do Programa de Pós-graduação em Política Social da Universidade Federal do Espírito Santo (UFES).  Pesquisadora e extensionista do Grupo de Estudos dos Fundamentos Política Social e do Serviço Social (LÓTUS). Assistente social e doutora em Serviço Social pela Universidade do Estado do Rio de Janeiro e pós-doutorado em Serviço Social pela Universidade Federal do Rio de Janeiro.</w:t>
      </w:r>
    </w:p>
  </w:footnote>
  <w:footnote w:id="3">
    <w:p w14:paraId="0F825F50" w14:textId="0FEFF9A4" w:rsidR="00740742" w:rsidRPr="00B277CA" w:rsidRDefault="00740742" w:rsidP="00B277CA">
      <w:pPr>
        <w:pStyle w:val="Textodenotaderodap"/>
        <w:jc w:val="both"/>
        <w:rPr>
          <w:rFonts w:ascii="Arial" w:hAnsi="Arial" w:cs="Arial"/>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Professor do Departamento de Serviço Social da Universidade Federal do Amazonas (DSS/UFAM). Doutor em Educação pelo Programa de Pós-Graduação em Educação (PPGE/UFAM). Mestre em Serviço Social e Sustentabilidade na Amazônia (PPGSS/UFAM). Membro do grupo de pesquisa Gestão Social, Direitos Humanos e Sustentabilidade na Amazônia (GEDHS/UFAM).</w:t>
      </w:r>
    </w:p>
  </w:footnote>
  <w:footnote w:id="4">
    <w:p w14:paraId="048789CB" w14:textId="17C2A199" w:rsidR="00740742" w:rsidRPr="00B277CA" w:rsidRDefault="00740742" w:rsidP="00B277CA">
      <w:pPr>
        <w:pStyle w:val="Textodenotaderodap"/>
        <w:jc w:val="both"/>
        <w:rPr>
          <w:rFonts w:ascii="Arial" w:hAnsi="Arial" w:cs="Arial"/>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Economista. Doutor em políticas públicas pela UFMA, líder do grupo de pesquisa Observatório do Fundo Público e docente do programa de pós-graduação em Políticas Públicas da UFPI e de Administração Pública da </w:t>
      </w:r>
      <w:proofErr w:type="spellStart"/>
      <w:r w:rsidRPr="00B277CA">
        <w:rPr>
          <w:rFonts w:ascii="Arial" w:hAnsi="Arial" w:cs="Arial"/>
          <w:sz w:val="20"/>
          <w:szCs w:val="20"/>
        </w:rPr>
        <w:t>UFDPar</w:t>
      </w:r>
      <w:proofErr w:type="spellEnd"/>
      <w:r w:rsidRPr="00B277CA">
        <w:rPr>
          <w:rFonts w:ascii="Arial" w:hAnsi="Arial" w:cs="Arial"/>
          <w:sz w:val="20"/>
          <w:szCs w:val="20"/>
        </w:rPr>
        <w:t>.</w:t>
      </w:r>
    </w:p>
  </w:footnote>
  <w:footnote w:id="5">
    <w:p w14:paraId="36D173C2" w14:textId="59A5D3A0" w:rsidR="00860CAA" w:rsidRPr="00B277CA" w:rsidRDefault="00860CAA" w:rsidP="00B277CA">
      <w:pPr>
        <w:pStyle w:val="Textodenotaderodap"/>
        <w:jc w:val="both"/>
        <w:rPr>
          <w:rFonts w:ascii="Arial" w:hAnsi="Arial" w:cs="Arial"/>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Professor da Universidade </w:t>
      </w:r>
      <w:r w:rsidR="00AA0676" w:rsidRPr="00B277CA">
        <w:rPr>
          <w:rFonts w:ascii="Arial" w:hAnsi="Arial" w:cs="Arial"/>
          <w:sz w:val="20"/>
          <w:szCs w:val="20"/>
        </w:rPr>
        <w:t xml:space="preserve">de </w:t>
      </w:r>
      <w:r w:rsidRPr="00B277CA">
        <w:rPr>
          <w:rFonts w:ascii="Arial" w:hAnsi="Arial" w:cs="Arial"/>
          <w:sz w:val="20"/>
          <w:szCs w:val="20"/>
        </w:rPr>
        <w:t>Brasília</w:t>
      </w:r>
      <w:r w:rsidR="00AA0676" w:rsidRPr="00B277CA">
        <w:rPr>
          <w:rFonts w:ascii="Arial" w:hAnsi="Arial" w:cs="Arial"/>
          <w:sz w:val="20"/>
          <w:szCs w:val="20"/>
        </w:rPr>
        <w:t xml:space="preserve"> (UnB)</w:t>
      </w:r>
      <w:r w:rsidRPr="00B277CA">
        <w:rPr>
          <w:rFonts w:ascii="Arial" w:hAnsi="Arial" w:cs="Arial"/>
          <w:sz w:val="20"/>
          <w:szCs w:val="20"/>
        </w:rPr>
        <w:t xml:space="preserve"> no Departamento de Serviço Social e no Programa de </w:t>
      </w:r>
      <w:r w:rsidR="00AA0676" w:rsidRPr="00B277CA">
        <w:rPr>
          <w:rFonts w:ascii="Arial" w:hAnsi="Arial" w:cs="Arial"/>
          <w:sz w:val="20"/>
          <w:szCs w:val="20"/>
        </w:rPr>
        <w:t>Pós-Graduação em Política Social. Bolsista produtividade do CNPq. Líder do Núcleo de Estudos e Pesquisas sobre Fundo Público, Orçamento, Hegemonia e Política Social (FOHPS).</w:t>
      </w:r>
    </w:p>
  </w:footnote>
  <w:footnote w:id="6">
    <w:p w14:paraId="3C8A881E" w14:textId="77777777" w:rsidR="00CB0A13" w:rsidRPr="00B277CA" w:rsidRDefault="00CB0A13" w:rsidP="00B277CA">
      <w:pPr>
        <w:pStyle w:val="Textodenotaderodap"/>
        <w:jc w:val="both"/>
        <w:rPr>
          <w:rFonts w:ascii="Arial" w:hAnsi="Arial" w:cs="Arial"/>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Ao contrário da ilusão de progresso que a alquimia trouxe aos moradores da fictícia </w:t>
      </w:r>
      <w:proofErr w:type="spellStart"/>
      <w:r w:rsidRPr="00B277CA">
        <w:rPr>
          <w:rFonts w:ascii="Arial" w:hAnsi="Arial" w:cs="Arial"/>
          <w:sz w:val="20"/>
          <w:szCs w:val="20"/>
        </w:rPr>
        <w:t>Macondo</w:t>
      </w:r>
      <w:proofErr w:type="spellEnd"/>
      <w:r w:rsidRPr="00B277CA">
        <w:rPr>
          <w:rFonts w:ascii="Arial" w:hAnsi="Arial" w:cs="Arial"/>
          <w:sz w:val="20"/>
          <w:szCs w:val="20"/>
        </w:rPr>
        <w:t xml:space="preserve">, na obra Cem Anos de Solidão, de </w:t>
      </w:r>
      <w:bookmarkStart w:id="0" w:name="_Hlk187847837"/>
      <w:r w:rsidRPr="00B277CA">
        <w:rPr>
          <w:rFonts w:ascii="Arial" w:hAnsi="Arial" w:cs="Arial"/>
          <w:sz w:val="20"/>
          <w:szCs w:val="20"/>
        </w:rPr>
        <w:t>Gabriel García Márquez</w:t>
      </w:r>
      <w:bookmarkEnd w:id="0"/>
      <w:r w:rsidRPr="00B277CA">
        <w:rPr>
          <w:rFonts w:ascii="Arial" w:hAnsi="Arial" w:cs="Arial"/>
          <w:sz w:val="20"/>
          <w:szCs w:val="20"/>
        </w:rPr>
        <w:t>, a política fiscal brasileira tem se revelado um instrumento explícito de transformação do orçamento destinado às políticas sociais em recursos destinados aos interesses do capital.</w:t>
      </w:r>
    </w:p>
  </w:footnote>
  <w:footnote w:id="7">
    <w:p w14:paraId="38C87838" w14:textId="673E9439" w:rsidR="00C95F3C" w:rsidRPr="00B277CA" w:rsidRDefault="00C95F3C" w:rsidP="00B277CA">
      <w:pPr>
        <w:pStyle w:val="Textodenotaderodap"/>
        <w:jc w:val="both"/>
        <w:rPr>
          <w:rFonts w:ascii="Arial" w:hAnsi="Arial" w:cs="Arial"/>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w:t>
      </w:r>
      <w:r w:rsidR="008716F3" w:rsidRPr="00B277CA">
        <w:rPr>
          <w:rFonts w:ascii="Arial" w:hAnsi="Arial" w:cs="Arial"/>
          <w:sz w:val="20"/>
          <w:szCs w:val="20"/>
        </w:rPr>
        <w:t>O SIGA Brasil é um sistema criado pelo Senado Federal para permitir acesso amplo e facilitado aos dados do Sistema Integrado de Administração Financeira (SIAFI) e a outras bases de dados sobre planos e orçamentos públicos de maneira integrada. O acesso foi feito com a senha de especialista.</w:t>
      </w:r>
    </w:p>
  </w:footnote>
  <w:footnote w:id="8">
    <w:p w14:paraId="5509C014" w14:textId="378055A0" w:rsidR="007B6074" w:rsidRPr="00B277CA" w:rsidRDefault="007B6074" w:rsidP="00B277CA">
      <w:pPr>
        <w:pStyle w:val="Textodenotaderodap"/>
        <w:jc w:val="both"/>
        <w:rPr>
          <w:rFonts w:ascii="Arial" w:hAnsi="Arial" w:cs="Arial"/>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w:t>
      </w:r>
      <w:r w:rsidR="00C22A87" w:rsidRPr="00B277CA">
        <w:rPr>
          <w:rFonts w:ascii="Arial" w:hAnsi="Arial" w:cs="Arial"/>
          <w:sz w:val="20"/>
          <w:szCs w:val="20"/>
        </w:rPr>
        <w:t>O Fundo Social de Emergência (FSE), implementado pela emenda constitucional de revisão nº 1, de 01 de março de 1994, permitindo a desvinculação de 20% dos recursos arrecadados pela União. O FSE foi substituído, em 1996, pelo Fundo de Estabilização Fiscal (FEF). No ano 2000, entrou em vigor a Desvinculação de Recursos da União (DRU). Ainda compõe o combo do ajuste fiscal permanente a Lei de Responsabilidade Fiscal (LRF).</w:t>
      </w:r>
    </w:p>
  </w:footnote>
  <w:footnote w:id="9">
    <w:p w14:paraId="6D769C37" w14:textId="77777777" w:rsidR="005F7FEF" w:rsidRPr="00B277CA" w:rsidRDefault="005F7FEF" w:rsidP="00B277CA">
      <w:pPr>
        <w:pStyle w:val="Textodenotaderodap"/>
        <w:jc w:val="both"/>
        <w:rPr>
          <w:rFonts w:ascii="Arial" w:hAnsi="Arial" w:cs="Arial"/>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O Poder Executivo publicou, no dia 30 de maio de 2025, o Decreto 12.477/2025, que altera o Decreto 12.448/2025 (programação orçamentária e financeira do Poder Executivo federal para 2025).</w:t>
      </w:r>
    </w:p>
  </w:footnote>
  <w:footnote w:id="10">
    <w:p w14:paraId="7EB71E6C" w14:textId="77777777" w:rsidR="00B277CA" w:rsidRPr="00B277CA" w:rsidRDefault="00B277CA" w:rsidP="00B277CA">
      <w:pPr>
        <w:pStyle w:val="Textodenotaderodap"/>
        <w:ind w:hanging="2"/>
        <w:jc w:val="both"/>
        <w:rPr>
          <w:rFonts w:ascii="Arial" w:hAnsi="Arial" w:cs="Arial"/>
          <w:b/>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Docente da Universidade Federal do Espírito Santo/Departamento de Serviço Social e do Programa de Pós-Graduação em Política Social. Doutora em Serviço Social/UERJ. E-mail: jeane.silva@ufes.br</w:t>
      </w:r>
    </w:p>
  </w:footnote>
  <w:footnote w:id="11">
    <w:p w14:paraId="521720D3" w14:textId="77777777" w:rsidR="00B277CA" w:rsidRPr="00B277CA" w:rsidRDefault="00B277CA" w:rsidP="00B277CA">
      <w:pPr>
        <w:pStyle w:val="Textodenotaderodap"/>
        <w:ind w:hanging="2"/>
        <w:jc w:val="both"/>
        <w:rPr>
          <w:rFonts w:ascii="Arial" w:hAnsi="Arial" w:cs="Arial"/>
          <w:sz w:val="20"/>
          <w:szCs w:val="20"/>
        </w:rPr>
      </w:pPr>
      <w:r w:rsidRPr="00B277CA">
        <w:rPr>
          <w:rStyle w:val="Refdenotaderodap"/>
          <w:rFonts w:ascii="Arial" w:hAnsi="Arial" w:cs="Arial"/>
          <w:bCs/>
          <w:sz w:val="20"/>
          <w:szCs w:val="20"/>
        </w:rPr>
        <w:footnoteRef/>
      </w:r>
      <w:r w:rsidRPr="00B277CA">
        <w:rPr>
          <w:rFonts w:ascii="Arial" w:hAnsi="Arial" w:cs="Arial"/>
          <w:bCs/>
          <w:sz w:val="20"/>
          <w:szCs w:val="20"/>
        </w:rPr>
        <w:t xml:space="preserve"> Docente da Universidade Federal do Amazonas (UFAM)/Departamento de Serviço Social (DSS). Doutor em Educação, Mestre em Serviço Social e Sustentabilidade na Amazônia/UFAM. </w:t>
      </w:r>
      <w:r w:rsidRPr="00B277CA">
        <w:rPr>
          <w:rFonts w:ascii="Arial" w:hAnsi="Arial" w:cs="Arial"/>
          <w:sz w:val="20"/>
          <w:szCs w:val="20"/>
        </w:rPr>
        <w:t>E-mail: jeffesonwilliam@ufam.edu.br</w:t>
      </w:r>
    </w:p>
    <w:p w14:paraId="5C5327C6" w14:textId="77777777" w:rsidR="00B277CA" w:rsidRPr="00B277CA" w:rsidRDefault="00B277CA" w:rsidP="00B277CA">
      <w:pPr>
        <w:pStyle w:val="Textodenotaderodap"/>
        <w:ind w:hanging="2"/>
        <w:jc w:val="both"/>
        <w:rPr>
          <w:rFonts w:ascii="Arial" w:hAnsi="Arial" w:cs="Arial"/>
          <w:b/>
          <w:bCs/>
          <w:sz w:val="20"/>
          <w:szCs w:val="20"/>
        </w:rPr>
      </w:pPr>
    </w:p>
  </w:footnote>
  <w:footnote w:id="12">
    <w:p w14:paraId="7D29D10F" w14:textId="77777777" w:rsidR="00B277CA" w:rsidRPr="00B277CA" w:rsidRDefault="00B277CA" w:rsidP="00B277CA">
      <w:pPr>
        <w:pBdr>
          <w:top w:val="nil"/>
          <w:left w:val="nil"/>
          <w:bottom w:val="nil"/>
          <w:right w:val="nil"/>
          <w:between w:val="nil"/>
        </w:pBdr>
        <w:spacing w:line="240" w:lineRule="auto"/>
        <w:jc w:val="both"/>
        <w:rPr>
          <w:color w:val="000000"/>
          <w:sz w:val="20"/>
          <w:szCs w:val="20"/>
        </w:rPr>
      </w:pPr>
      <w:r w:rsidRPr="00B277CA">
        <w:rPr>
          <w:sz w:val="20"/>
          <w:szCs w:val="20"/>
          <w:vertAlign w:val="superscript"/>
        </w:rPr>
        <w:footnoteRef/>
      </w:r>
      <w:r w:rsidRPr="00B277CA">
        <w:rPr>
          <w:color w:val="000000"/>
          <w:sz w:val="20"/>
          <w:szCs w:val="20"/>
        </w:rPr>
        <w:t xml:space="preserve"> O estudo compõe o Projeto de Pesquisa “A Configuração do Fundo Público e o Financiamento das políticas sociais no capitalismo dependente brasileiro”, com financiamento do CNPq, tendo como equipe docentes, doutorandos, mestrandos e estudantes de graduação da Universidade de Brasília (UnB); Universidade Federal do Espírito Santo (UFES); Universidade Federal do Recôncavo da Bahia (UFRB); Universidade Federal do Delta do Parnaíba (</w:t>
      </w:r>
      <w:proofErr w:type="spellStart"/>
      <w:r w:rsidRPr="00B277CA">
        <w:rPr>
          <w:color w:val="000000"/>
          <w:sz w:val="20"/>
          <w:szCs w:val="20"/>
        </w:rPr>
        <w:t>UFDPar</w:t>
      </w:r>
      <w:proofErr w:type="spellEnd"/>
      <w:r w:rsidRPr="00B277CA">
        <w:rPr>
          <w:color w:val="000000"/>
          <w:sz w:val="20"/>
          <w:szCs w:val="20"/>
        </w:rPr>
        <w:t xml:space="preserve">); </w:t>
      </w:r>
      <w:proofErr w:type="spellStart"/>
      <w:r w:rsidRPr="00B277CA">
        <w:rPr>
          <w:color w:val="000000"/>
          <w:sz w:val="20"/>
          <w:szCs w:val="20"/>
        </w:rPr>
        <w:t>Universidad</w:t>
      </w:r>
      <w:proofErr w:type="spellEnd"/>
      <w:r w:rsidRPr="00B277CA">
        <w:rPr>
          <w:color w:val="000000"/>
          <w:sz w:val="20"/>
          <w:szCs w:val="20"/>
        </w:rPr>
        <w:t xml:space="preserve"> </w:t>
      </w:r>
      <w:proofErr w:type="spellStart"/>
      <w:r w:rsidRPr="00B277CA">
        <w:rPr>
          <w:color w:val="000000"/>
          <w:sz w:val="20"/>
          <w:szCs w:val="20"/>
        </w:rPr>
        <w:t>Completense</w:t>
      </w:r>
      <w:proofErr w:type="spellEnd"/>
      <w:r w:rsidRPr="00B277CA">
        <w:rPr>
          <w:color w:val="000000"/>
          <w:sz w:val="20"/>
          <w:szCs w:val="20"/>
        </w:rPr>
        <w:t xml:space="preserve"> de Madrid; Universidade Estadual de Londrina (UEL); Universidade do Distrito Federal; Universidade Federal do Tocantins (UFTO).</w:t>
      </w:r>
    </w:p>
  </w:footnote>
  <w:footnote w:id="13">
    <w:p w14:paraId="48462F80" w14:textId="77777777" w:rsidR="00B277CA" w:rsidRPr="00B277CA" w:rsidRDefault="00B277CA" w:rsidP="00B277CA">
      <w:pPr>
        <w:spacing w:line="240" w:lineRule="auto"/>
        <w:jc w:val="both"/>
        <w:rPr>
          <w:sz w:val="20"/>
          <w:szCs w:val="20"/>
        </w:rPr>
      </w:pPr>
      <w:r w:rsidRPr="00B277CA">
        <w:rPr>
          <w:sz w:val="20"/>
          <w:szCs w:val="20"/>
          <w:vertAlign w:val="superscript"/>
        </w:rPr>
        <w:footnoteRef/>
      </w:r>
      <w:r w:rsidRPr="00B277CA">
        <w:rPr>
          <w:sz w:val="20"/>
          <w:szCs w:val="20"/>
        </w:rPr>
        <w:t xml:space="preserve"> Além dos dados do exercício fiscal 2023 e 2024 foram analisados documentos divulgados pelo MDS/FNAS que demonstram a direção dos gastos da política de assistência social no terceiro mandato do governo Lula (2023-2026). </w:t>
      </w:r>
    </w:p>
  </w:footnote>
  <w:footnote w:id="14">
    <w:p w14:paraId="47990F80" w14:textId="77777777" w:rsidR="00B277CA" w:rsidRPr="00B277CA" w:rsidRDefault="00B277CA" w:rsidP="00B277CA">
      <w:pPr>
        <w:spacing w:line="240" w:lineRule="auto"/>
        <w:jc w:val="both"/>
        <w:rPr>
          <w:sz w:val="20"/>
          <w:szCs w:val="20"/>
        </w:rPr>
      </w:pPr>
      <w:r w:rsidRPr="00B277CA">
        <w:rPr>
          <w:sz w:val="20"/>
          <w:szCs w:val="20"/>
          <w:vertAlign w:val="superscript"/>
        </w:rPr>
        <w:footnoteRef/>
      </w:r>
      <w:r w:rsidRPr="00B277CA">
        <w:rPr>
          <w:sz w:val="20"/>
          <w:szCs w:val="20"/>
        </w:rPr>
        <w:t xml:space="preserve">Disponível em  </w:t>
      </w:r>
      <w:hyperlink r:id="rId1">
        <w:r w:rsidRPr="00B277CA">
          <w:rPr>
            <w:sz w:val="20"/>
            <w:szCs w:val="20"/>
            <w:u w:val="single"/>
          </w:rPr>
          <w:t>https://fnas.mds.gov.br/</w:t>
        </w:r>
      </w:hyperlink>
      <w:r w:rsidRPr="00B277CA">
        <w:rPr>
          <w:sz w:val="20"/>
          <w:szCs w:val="20"/>
        </w:rPr>
        <w:t>. Acesso 10/08/2025</w:t>
      </w:r>
    </w:p>
  </w:footnote>
  <w:footnote w:id="15">
    <w:p w14:paraId="55F47EB6" w14:textId="77777777" w:rsidR="00B277CA" w:rsidRPr="00B277CA" w:rsidRDefault="00B277CA" w:rsidP="00B277CA">
      <w:pPr>
        <w:spacing w:line="240" w:lineRule="auto"/>
        <w:jc w:val="both"/>
        <w:rPr>
          <w:sz w:val="20"/>
          <w:szCs w:val="20"/>
        </w:rPr>
      </w:pPr>
      <w:r w:rsidRPr="00B277CA">
        <w:rPr>
          <w:sz w:val="20"/>
          <w:szCs w:val="20"/>
          <w:vertAlign w:val="superscript"/>
        </w:rPr>
        <w:footnoteRef/>
      </w:r>
      <w:r w:rsidRPr="00B277CA">
        <w:rPr>
          <w:sz w:val="20"/>
          <w:szCs w:val="20"/>
        </w:rPr>
        <w:t xml:space="preserve">Disponível em  </w:t>
      </w:r>
      <w:hyperlink r:id="rId2">
        <w:r w:rsidRPr="00B277CA">
          <w:rPr>
            <w:sz w:val="20"/>
            <w:szCs w:val="20"/>
            <w:u w:val="single"/>
          </w:rPr>
          <w:t>https://www12.senado.leg.br/orcamento/sigabrasil</w:t>
        </w:r>
      </w:hyperlink>
      <w:r w:rsidRPr="00B277CA">
        <w:rPr>
          <w:sz w:val="20"/>
          <w:szCs w:val="20"/>
        </w:rPr>
        <w:t>. Acesso em 14/08/2025</w:t>
      </w:r>
    </w:p>
    <w:p w14:paraId="1FADE476" w14:textId="77777777" w:rsidR="00B277CA" w:rsidRPr="00B277CA" w:rsidRDefault="00B277CA" w:rsidP="00B277CA">
      <w:pPr>
        <w:spacing w:line="240" w:lineRule="auto"/>
        <w:jc w:val="both"/>
        <w:rPr>
          <w:sz w:val="20"/>
          <w:szCs w:val="20"/>
        </w:rPr>
      </w:pPr>
    </w:p>
  </w:footnote>
  <w:footnote w:id="16">
    <w:p w14:paraId="6D223C43" w14:textId="77777777" w:rsidR="00B277CA" w:rsidRPr="00B277CA" w:rsidRDefault="00B277CA" w:rsidP="00B277CA">
      <w:pPr>
        <w:spacing w:line="240" w:lineRule="auto"/>
        <w:jc w:val="both"/>
        <w:rPr>
          <w:sz w:val="20"/>
          <w:szCs w:val="20"/>
        </w:rPr>
      </w:pPr>
      <w:r w:rsidRPr="00B277CA">
        <w:rPr>
          <w:sz w:val="20"/>
          <w:szCs w:val="20"/>
          <w:vertAlign w:val="superscript"/>
        </w:rPr>
        <w:footnoteRef/>
      </w:r>
      <w:r w:rsidRPr="00B277CA">
        <w:rPr>
          <w:sz w:val="20"/>
          <w:szCs w:val="20"/>
        </w:rPr>
        <w:t xml:space="preserve"> Estado social como categoria fundamentada na abordagem marxiana e mais apropriada para situar sua essência em uma perspectiva de totalidade nas relações capitalistas. É mais apropriada segundo Boschetti (2016) para explicar a natureza do Estado capitalista pós 1929 e refere-se à regulação estatal das relações econômicas e sociais no capitalismo que têm nas políticas sociais uma determinação central. A incorporação de feições sociais pelo Estado não retira dele a sua natureza essencialmente capitalista.</w:t>
      </w:r>
    </w:p>
    <w:p w14:paraId="556EB56C" w14:textId="77777777" w:rsidR="00B277CA" w:rsidRPr="00B277CA" w:rsidRDefault="00B277CA" w:rsidP="00B277CA">
      <w:pPr>
        <w:pBdr>
          <w:top w:val="nil"/>
          <w:left w:val="nil"/>
          <w:bottom w:val="nil"/>
          <w:right w:val="nil"/>
          <w:between w:val="nil"/>
        </w:pBdr>
        <w:jc w:val="both"/>
        <w:rPr>
          <w:color w:val="000000"/>
          <w:sz w:val="20"/>
          <w:szCs w:val="20"/>
        </w:rPr>
      </w:pPr>
    </w:p>
  </w:footnote>
  <w:footnote w:id="17">
    <w:p w14:paraId="1332DD68" w14:textId="77777777" w:rsidR="00B277CA" w:rsidRPr="00B277CA" w:rsidRDefault="00B277CA" w:rsidP="00B277CA">
      <w:pPr>
        <w:spacing w:line="240" w:lineRule="auto"/>
        <w:jc w:val="both"/>
        <w:rPr>
          <w:sz w:val="20"/>
          <w:szCs w:val="20"/>
        </w:rPr>
      </w:pPr>
      <w:r w:rsidRPr="00B277CA">
        <w:rPr>
          <w:sz w:val="20"/>
          <w:szCs w:val="20"/>
          <w:vertAlign w:val="superscript"/>
        </w:rPr>
        <w:footnoteRef/>
      </w:r>
      <w:r w:rsidRPr="00B277CA">
        <w:rPr>
          <w:sz w:val="20"/>
          <w:szCs w:val="20"/>
        </w:rPr>
        <w:t xml:space="preserve"> Disponível em: https://www12.senado.leg.br/orcamento/sigabrasil), que divulga informações do Sistema Integrado de Administração Financeira (SIAFI). Acesso em 16/08/2025. </w:t>
      </w:r>
    </w:p>
    <w:p w14:paraId="2164AB36" w14:textId="77777777" w:rsidR="00B277CA" w:rsidRPr="00B277CA" w:rsidRDefault="00B277CA" w:rsidP="00B277CA">
      <w:pPr>
        <w:spacing w:line="240" w:lineRule="auto"/>
        <w:jc w:val="both"/>
        <w:rPr>
          <w:sz w:val="20"/>
          <w:szCs w:val="20"/>
        </w:rPr>
      </w:pPr>
    </w:p>
  </w:footnote>
  <w:footnote w:id="18">
    <w:p w14:paraId="2E08F496" w14:textId="77777777" w:rsidR="00B277CA" w:rsidRPr="00B277CA" w:rsidRDefault="00B277CA" w:rsidP="00B277CA">
      <w:pPr>
        <w:spacing w:line="240" w:lineRule="auto"/>
        <w:jc w:val="both"/>
        <w:rPr>
          <w:sz w:val="20"/>
          <w:szCs w:val="20"/>
        </w:rPr>
      </w:pPr>
      <w:r w:rsidRPr="00B277CA">
        <w:rPr>
          <w:sz w:val="20"/>
          <w:szCs w:val="20"/>
          <w:vertAlign w:val="superscript"/>
        </w:rPr>
        <w:footnoteRef/>
      </w:r>
      <w:r w:rsidRPr="00B277CA">
        <w:rPr>
          <w:color w:val="3C78D8"/>
          <w:sz w:val="20"/>
          <w:szCs w:val="20"/>
        </w:rPr>
        <w:t xml:space="preserve"> </w:t>
      </w:r>
      <w:r w:rsidRPr="00B277CA">
        <w:rPr>
          <w:sz w:val="20"/>
          <w:szCs w:val="20"/>
        </w:rPr>
        <w:t xml:space="preserve">A Emenda Constitucional nº 95, que instituiu o teto de gastos, tem duração de 20 anos, com possibilidade de revisão após 10 anos. Foi mantida até 2023 e em seu lugar foi aprovado o Novo Arcabouço Fiscal. </w:t>
      </w:r>
    </w:p>
  </w:footnote>
  <w:footnote w:id="19">
    <w:p w14:paraId="289BDA49" w14:textId="77777777" w:rsidR="00B277CA" w:rsidRPr="00B277CA" w:rsidRDefault="00B277CA" w:rsidP="00B277CA">
      <w:pPr>
        <w:spacing w:line="240" w:lineRule="auto"/>
        <w:jc w:val="both"/>
        <w:rPr>
          <w:sz w:val="20"/>
          <w:szCs w:val="20"/>
        </w:rPr>
      </w:pPr>
      <w:r w:rsidRPr="00B277CA">
        <w:rPr>
          <w:sz w:val="20"/>
          <w:szCs w:val="20"/>
          <w:vertAlign w:val="superscript"/>
        </w:rPr>
        <w:footnoteRef/>
      </w:r>
      <w:r w:rsidRPr="00B277CA">
        <w:rPr>
          <w:sz w:val="20"/>
          <w:szCs w:val="20"/>
        </w:rPr>
        <w:t xml:space="preserve"> Em 12/06/2024, foi publicada a Portaria da Secretaria do Orçamento Federal do Ministério Planejamento e Orçamento 169/2024, que atualizou a discriminação da despesa da Função 08 e, criou seis subfunções da Assistência Social, seus efeitos foram aplicados a partir do exercício financeiro de 2025, inclusive no que se refere à elaboração do respectivo projeto de lei orçamentária.  </w:t>
      </w:r>
    </w:p>
  </w:footnote>
  <w:footnote w:id="20">
    <w:p w14:paraId="7E11FA68" w14:textId="77777777" w:rsidR="00B277CA" w:rsidRPr="00B277CA" w:rsidRDefault="00B277CA" w:rsidP="00B277CA">
      <w:pPr>
        <w:spacing w:line="240" w:lineRule="auto"/>
        <w:jc w:val="both"/>
        <w:rPr>
          <w:sz w:val="20"/>
          <w:szCs w:val="20"/>
        </w:rPr>
      </w:pPr>
      <w:r w:rsidRPr="00B277CA">
        <w:rPr>
          <w:sz w:val="20"/>
          <w:szCs w:val="20"/>
          <w:vertAlign w:val="superscript"/>
        </w:rPr>
        <w:footnoteRef/>
      </w:r>
      <w:r w:rsidRPr="00B277CA">
        <w:rPr>
          <w:sz w:val="20"/>
          <w:szCs w:val="20"/>
        </w:rPr>
        <w:t xml:space="preserve">  Resolução CNAS/MDS N.199/2025, disponível em: </w:t>
      </w:r>
      <w:hyperlink r:id="rId3" w:anchor=":~:text=Disp%C3%B5e%20sobre%20a%20aprova%C3%A7%C3%A3o%20do,%2C%202%C2%BA%20trimestre%20%2D%20exerc%C3%ADcio%202025">
        <w:r w:rsidRPr="00B277CA">
          <w:rPr>
            <w:sz w:val="20"/>
            <w:szCs w:val="20"/>
          </w:rPr>
          <w:t>Participa + Brasil - RESOLUÇÃO CNAS MDS Nº 199, DE 22 DE JULHO DE 2025</w:t>
        </w:r>
      </w:hyperlink>
      <w:r w:rsidRPr="00B277CA">
        <w:rPr>
          <w:sz w:val="20"/>
          <w:szCs w:val="20"/>
        </w:rPr>
        <w:t xml:space="preserve">.  acesso em 20/08/2025. </w:t>
      </w:r>
    </w:p>
  </w:footnote>
  <w:footnote w:id="21">
    <w:p w14:paraId="12C06A76" w14:textId="77777777" w:rsidR="00B277CA" w:rsidRPr="00B277CA" w:rsidRDefault="00B277CA" w:rsidP="00B277CA">
      <w:pPr>
        <w:spacing w:line="240" w:lineRule="auto"/>
        <w:jc w:val="both"/>
        <w:rPr>
          <w:sz w:val="20"/>
          <w:szCs w:val="20"/>
        </w:rPr>
      </w:pPr>
      <w:r w:rsidRPr="00B277CA">
        <w:rPr>
          <w:sz w:val="20"/>
          <w:szCs w:val="20"/>
          <w:vertAlign w:val="superscript"/>
        </w:rPr>
        <w:footnoteRef/>
      </w:r>
      <w:r w:rsidRPr="00B277CA">
        <w:rPr>
          <w:sz w:val="20"/>
          <w:szCs w:val="20"/>
        </w:rPr>
        <w:t xml:space="preserve"> Resolução CNAS/MDS N.196/2025, disponível em </w:t>
      </w:r>
      <w:hyperlink r:id="rId4">
        <w:r w:rsidRPr="00B277CA">
          <w:rPr>
            <w:sz w:val="20"/>
            <w:szCs w:val="20"/>
          </w:rPr>
          <w:t>https://l1nk.dev/9oxs0</w:t>
        </w:r>
      </w:hyperlink>
      <w:r w:rsidRPr="00B277CA">
        <w:rPr>
          <w:sz w:val="20"/>
          <w:szCs w:val="20"/>
        </w:rPr>
        <w:t>. Acesso em 20/08/2025.</w:t>
      </w:r>
    </w:p>
    <w:p w14:paraId="7AC0DBF3" w14:textId="77777777" w:rsidR="00B277CA" w:rsidRPr="00B277CA" w:rsidRDefault="00B277CA" w:rsidP="00B277CA">
      <w:pPr>
        <w:spacing w:line="240" w:lineRule="auto"/>
        <w:jc w:val="both"/>
        <w:rPr>
          <w:sz w:val="20"/>
          <w:szCs w:val="20"/>
        </w:rPr>
      </w:pPr>
    </w:p>
  </w:footnote>
  <w:footnote w:id="22">
    <w:p w14:paraId="53C2E420" w14:textId="77777777" w:rsidR="00B277CA" w:rsidRPr="00B277CA" w:rsidRDefault="00B277CA" w:rsidP="00B277CA">
      <w:pPr>
        <w:spacing w:line="240" w:lineRule="auto"/>
        <w:jc w:val="both"/>
        <w:rPr>
          <w:color w:val="0000FF"/>
          <w:sz w:val="20"/>
          <w:szCs w:val="20"/>
        </w:rPr>
      </w:pPr>
      <w:r w:rsidRPr="00B277CA">
        <w:rPr>
          <w:sz w:val="20"/>
          <w:szCs w:val="20"/>
          <w:vertAlign w:val="superscript"/>
        </w:rPr>
        <w:footnoteRef/>
      </w:r>
      <w:r w:rsidRPr="00B277CA">
        <w:rPr>
          <w:sz w:val="20"/>
          <w:szCs w:val="20"/>
        </w:rPr>
        <w:t xml:space="preserve"> Relatório de Levantamento e Avaliação de Riscos do Sistema de cofinanciamento da Assistência Social. Disponível </w:t>
      </w:r>
      <w:proofErr w:type="gramStart"/>
      <w:r w:rsidRPr="00B277CA">
        <w:rPr>
          <w:sz w:val="20"/>
          <w:szCs w:val="20"/>
        </w:rPr>
        <w:t>em :</w:t>
      </w:r>
      <w:proofErr w:type="gramEnd"/>
      <w:r w:rsidRPr="00B277CA">
        <w:rPr>
          <w:sz w:val="20"/>
          <w:szCs w:val="20"/>
        </w:rPr>
        <w:t xml:space="preserve"> </w:t>
      </w:r>
      <w:hyperlink r:id="rId5">
        <w:r w:rsidRPr="00B277CA">
          <w:rPr>
            <w:sz w:val="20"/>
            <w:szCs w:val="20"/>
            <w:u w:val="single"/>
          </w:rPr>
          <w:t>https://encurtador.com.br/WXYT6</w:t>
        </w:r>
      </w:hyperlink>
      <w:r w:rsidRPr="00B277CA">
        <w:rPr>
          <w:sz w:val="20"/>
          <w:szCs w:val="20"/>
        </w:rPr>
        <w:t>.  Acesso em 20/08/2025</w:t>
      </w:r>
      <w:r w:rsidRPr="00B277CA">
        <w:rPr>
          <w:color w:val="0000FF"/>
          <w:sz w:val="20"/>
          <w:szCs w:val="20"/>
        </w:rPr>
        <w:t xml:space="preserve">. </w:t>
      </w:r>
    </w:p>
    <w:p w14:paraId="76B67A5C" w14:textId="77777777" w:rsidR="00B277CA" w:rsidRPr="00B277CA" w:rsidRDefault="00B277CA" w:rsidP="00B277CA">
      <w:pPr>
        <w:spacing w:line="240" w:lineRule="auto"/>
        <w:jc w:val="both"/>
        <w:rPr>
          <w:color w:val="0000FF"/>
          <w:sz w:val="20"/>
          <w:szCs w:val="20"/>
        </w:rPr>
      </w:pPr>
    </w:p>
  </w:footnote>
  <w:footnote w:id="23">
    <w:p w14:paraId="6BD42B56" w14:textId="77777777" w:rsidR="00B277CA" w:rsidRPr="00B277CA" w:rsidRDefault="00B277CA" w:rsidP="00B277CA">
      <w:pPr>
        <w:pStyle w:val="Textodenotaderodap"/>
        <w:jc w:val="both"/>
        <w:rPr>
          <w:rFonts w:ascii="Arial" w:hAnsi="Arial" w:cs="Arial"/>
          <w:sz w:val="20"/>
          <w:szCs w:val="20"/>
        </w:rPr>
      </w:pPr>
      <w:r w:rsidRPr="00B277CA">
        <w:rPr>
          <w:rStyle w:val="Refdenotaderodap"/>
          <w:rFonts w:ascii="Arial" w:hAnsi="Arial" w:cs="Arial"/>
          <w:sz w:val="20"/>
          <w:szCs w:val="20"/>
        </w:rPr>
        <w:footnoteRef/>
      </w:r>
      <w:r w:rsidRPr="00B277CA">
        <w:rPr>
          <w:rFonts w:ascii="Arial" w:hAnsi="Arial" w:cs="Arial"/>
          <w:sz w:val="20"/>
          <w:szCs w:val="20"/>
        </w:rPr>
        <w:t xml:space="preserve"> Docente do curso de Ciências Econômicas da </w:t>
      </w:r>
      <w:proofErr w:type="spellStart"/>
      <w:r w:rsidRPr="00B277CA">
        <w:rPr>
          <w:rFonts w:ascii="Arial" w:hAnsi="Arial" w:cs="Arial"/>
          <w:sz w:val="20"/>
          <w:szCs w:val="20"/>
        </w:rPr>
        <w:t>UFDPar</w:t>
      </w:r>
      <w:proofErr w:type="spellEnd"/>
      <w:r w:rsidRPr="00B277CA">
        <w:rPr>
          <w:rFonts w:ascii="Arial" w:hAnsi="Arial" w:cs="Arial"/>
          <w:sz w:val="20"/>
          <w:szCs w:val="20"/>
        </w:rPr>
        <w:t xml:space="preserve"> e dos Programas de Pós-Graduação em Políticas Públicas da UFPI e do PROFIAP da </w:t>
      </w:r>
      <w:proofErr w:type="spellStart"/>
      <w:r w:rsidRPr="00B277CA">
        <w:rPr>
          <w:rFonts w:ascii="Arial" w:hAnsi="Arial" w:cs="Arial"/>
          <w:sz w:val="20"/>
          <w:szCs w:val="20"/>
        </w:rPr>
        <w:t>UFDPar</w:t>
      </w:r>
      <w:proofErr w:type="spellEnd"/>
      <w:r w:rsidRPr="00B277CA">
        <w:rPr>
          <w:rFonts w:ascii="Arial" w:hAnsi="Arial" w:cs="Arial"/>
          <w:sz w:val="20"/>
          <w:szCs w:val="20"/>
        </w:rPr>
        <w:t xml:space="preserve">. Coordenador do Observatório do Fundo Público na </w:t>
      </w:r>
      <w:proofErr w:type="spellStart"/>
      <w:r w:rsidRPr="00B277CA">
        <w:rPr>
          <w:rFonts w:ascii="Arial" w:hAnsi="Arial" w:cs="Arial"/>
          <w:sz w:val="20"/>
          <w:szCs w:val="20"/>
        </w:rPr>
        <w:t>UFDPar</w:t>
      </w:r>
      <w:proofErr w:type="spellEnd"/>
      <w:r w:rsidRPr="00B277CA">
        <w:rPr>
          <w:rFonts w:ascii="Arial" w:hAnsi="Arial" w:cs="Arial"/>
          <w:sz w:val="20"/>
          <w:szCs w:val="20"/>
        </w:rPr>
        <w:t>. E-mail: jrosmar@ufdpar.edu.br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35CB" w14:textId="77777777" w:rsidR="00701DAB" w:rsidRDefault="00701DA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FB09" w14:textId="13978D2C" w:rsidR="00FF4348" w:rsidRDefault="00766C19">
    <w:r>
      <w:rPr>
        <w:noProof/>
      </w:rPr>
      <w:drawing>
        <wp:anchor distT="114300" distB="114300" distL="114300" distR="114300" simplePos="0" relativeHeight="251657728" behindDoc="1" locked="0" layoutInCell="1" allowOverlap="1" wp14:anchorId="1278BA2A" wp14:editId="0A0F9A1A">
          <wp:simplePos x="0" y="0"/>
          <wp:positionH relativeFrom="page">
            <wp:posOffset>20320</wp:posOffset>
          </wp:positionH>
          <wp:positionV relativeFrom="page">
            <wp:posOffset>139065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8EFD" w14:textId="77777777" w:rsidR="00701DAB" w:rsidRDefault="00701DA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D711BB"/>
    <w:multiLevelType w:val="multilevel"/>
    <w:tmpl w:val="CF129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3553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0BBD"/>
    <w:rsid w:val="00012DD4"/>
    <w:rsid w:val="000209E8"/>
    <w:rsid w:val="0002619B"/>
    <w:rsid w:val="00033335"/>
    <w:rsid w:val="000A6C9B"/>
    <w:rsid w:val="000B0EAB"/>
    <w:rsid w:val="000B27E0"/>
    <w:rsid w:val="000C4D1F"/>
    <w:rsid w:val="000C6A6A"/>
    <w:rsid w:val="000D1F61"/>
    <w:rsid w:val="000D20DD"/>
    <w:rsid w:val="000D7735"/>
    <w:rsid w:val="001525DE"/>
    <w:rsid w:val="001918BC"/>
    <w:rsid w:val="001A73BA"/>
    <w:rsid w:val="001B2740"/>
    <w:rsid w:val="001C0E48"/>
    <w:rsid w:val="001C38F0"/>
    <w:rsid w:val="001E451F"/>
    <w:rsid w:val="001E556E"/>
    <w:rsid w:val="001F10D3"/>
    <w:rsid w:val="001F7258"/>
    <w:rsid w:val="00201E24"/>
    <w:rsid w:val="00207EA8"/>
    <w:rsid w:val="00212B33"/>
    <w:rsid w:val="00215AC1"/>
    <w:rsid w:val="00222754"/>
    <w:rsid w:val="002348D6"/>
    <w:rsid w:val="002772C1"/>
    <w:rsid w:val="00292980"/>
    <w:rsid w:val="002B0051"/>
    <w:rsid w:val="002B22E3"/>
    <w:rsid w:val="002B6E22"/>
    <w:rsid w:val="002D570D"/>
    <w:rsid w:val="002D7728"/>
    <w:rsid w:val="002E3268"/>
    <w:rsid w:val="00307020"/>
    <w:rsid w:val="0036583B"/>
    <w:rsid w:val="0038273D"/>
    <w:rsid w:val="00382781"/>
    <w:rsid w:val="00385AA3"/>
    <w:rsid w:val="00394A19"/>
    <w:rsid w:val="003C254B"/>
    <w:rsid w:val="003C6E8E"/>
    <w:rsid w:val="003F3C89"/>
    <w:rsid w:val="00412AC6"/>
    <w:rsid w:val="00424037"/>
    <w:rsid w:val="004644AB"/>
    <w:rsid w:val="00464974"/>
    <w:rsid w:val="00467A97"/>
    <w:rsid w:val="00471171"/>
    <w:rsid w:val="004B11DE"/>
    <w:rsid w:val="004B6437"/>
    <w:rsid w:val="004E423E"/>
    <w:rsid w:val="004F776F"/>
    <w:rsid w:val="005126E9"/>
    <w:rsid w:val="00553FB8"/>
    <w:rsid w:val="00565842"/>
    <w:rsid w:val="005A1AC0"/>
    <w:rsid w:val="005C4655"/>
    <w:rsid w:val="005D6D35"/>
    <w:rsid w:val="005F7FEF"/>
    <w:rsid w:val="00636186"/>
    <w:rsid w:val="00650CCC"/>
    <w:rsid w:val="00662070"/>
    <w:rsid w:val="006968C3"/>
    <w:rsid w:val="006C100B"/>
    <w:rsid w:val="006D6C33"/>
    <w:rsid w:val="00701DAB"/>
    <w:rsid w:val="00701EEE"/>
    <w:rsid w:val="00711AAD"/>
    <w:rsid w:val="0071681C"/>
    <w:rsid w:val="00716B1C"/>
    <w:rsid w:val="00721D14"/>
    <w:rsid w:val="007371DB"/>
    <w:rsid w:val="00740742"/>
    <w:rsid w:val="00754F42"/>
    <w:rsid w:val="00761B53"/>
    <w:rsid w:val="00766C19"/>
    <w:rsid w:val="007A7A03"/>
    <w:rsid w:val="007B6074"/>
    <w:rsid w:val="007C201C"/>
    <w:rsid w:val="007D3200"/>
    <w:rsid w:val="008344DD"/>
    <w:rsid w:val="00860CAA"/>
    <w:rsid w:val="008716F3"/>
    <w:rsid w:val="008A76CA"/>
    <w:rsid w:val="008C5FA7"/>
    <w:rsid w:val="008E520E"/>
    <w:rsid w:val="0093449C"/>
    <w:rsid w:val="009417D9"/>
    <w:rsid w:val="0094678F"/>
    <w:rsid w:val="00951D03"/>
    <w:rsid w:val="00967246"/>
    <w:rsid w:val="00985BFA"/>
    <w:rsid w:val="00997434"/>
    <w:rsid w:val="009C57B0"/>
    <w:rsid w:val="009C63B4"/>
    <w:rsid w:val="009F5C98"/>
    <w:rsid w:val="00A019E5"/>
    <w:rsid w:val="00A1218B"/>
    <w:rsid w:val="00A40012"/>
    <w:rsid w:val="00A4026D"/>
    <w:rsid w:val="00A669C2"/>
    <w:rsid w:val="00A958DD"/>
    <w:rsid w:val="00A96E53"/>
    <w:rsid w:val="00AA0676"/>
    <w:rsid w:val="00AB267F"/>
    <w:rsid w:val="00AB3D70"/>
    <w:rsid w:val="00AC2005"/>
    <w:rsid w:val="00AD7018"/>
    <w:rsid w:val="00AF0E3C"/>
    <w:rsid w:val="00B1162F"/>
    <w:rsid w:val="00B22213"/>
    <w:rsid w:val="00B277CA"/>
    <w:rsid w:val="00B3393E"/>
    <w:rsid w:val="00B46353"/>
    <w:rsid w:val="00B5573D"/>
    <w:rsid w:val="00B65C50"/>
    <w:rsid w:val="00B76A41"/>
    <w:rsid w:val="00B8787A"/>
    <w:rsid w:val="00B909DA"/>
    <w:rsid w:val="00BA3B6B"/>
    <w:rsid w:val="00BA4B20"/>
    <w:rsid w:val="00BB06AC"/>
    <w:rsid w:val="00BC7C70"/>
    <w:rsid w:val="00BE0CA6"/>
    <w:rsid w:val="00BE2CF4"/>
    <w:rsid w:val="00BF0F9D"/>
    <w:rsid w:val="00C004BD"/>
    <w:rsid w:val="00C0441A"/>
    <w:rsid w:val="00C22A87"/>
    <w:rsid w:val="00C74C86"/>
    <w:rsid w:val="00C8038E"/>
    <w:rsid w:val="00C95F3C"/>
    <w:rsid w:val="00CB0A13"/>
    <w:rsid w:val="00CB702C"/>
    <w:rsid w:val="00CB7EF9"/>
    <w:rsid w:val="00CD380D"/>
    <w:rsid w:val="00CE41B0"/>
    <w:rsid w:val="00D00C55"/>
    <w:rsid w:val="00D22C35"/>
    <w:rsid w:val="00D524B6"/>
    <w:rsid w:val="00D53F56"/>
    <w:rsid w:val="00D56B45"/>
    <w:rsid w:val="00D72880"/>
    <w:rsid w:val="00D76EE4"/>
    <w:rsid w:val="00D82889"/>
    <w:rsid w:val="00D9774F"/>
    <w:rsid w:val="00DD56BB"/>
    <w:rsid w:val="00DD582F"/>
    <w:rsid w:val="00E23C67"/>
    <w:rsid w:val="00E4208C"/>
    <w:rsid w:val="00E42F59"/>
    <w:rsid w:val="00E64E46"/>
    <w:rsid w:val="00E935FD"/>
    <w:rsid w:val="00EB1CD2"/>
    <w:rsid w:val="00EC03CA"/>
    <w:rsid w:val="00ED2B74"/>
    <w:rsid w:val="00F05B2B"/>
    <w:rsid w:val="00F2735F"/>
    <w:rsid w:val="00F409A6"/>
    <w:rsid w:val="00F478F1"/>
    <w:rsid w:val="00F53E0C"/>
    <w:rsid w:val="00F5520F"/>
    <w:rsid w:val="00F56C25"/>
    <w:rsid w:val="00FA0C33"/>
    <w:rsid w:val="00FA4337"/>
    <w:rsid w:val="00FD29C6"/>
    <w:rsid w:val="00FE7040"/>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0E7F4"/>
  <w15:docId w15:val="{8A197CA7-249F-4A5C-B414-1E2F57C2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aliases w:val="Footnote Text Char Char Char Char Char,Footnote Text Char Char Char Char"/>
    <w:basedOn w:val="Normal"/>
    <w:link w:val="TextodenotaderodapChar"/>
    <w:uiPriority w:val="99"/>
    <w:unhideWhenUsed/>
    <w:qFormat/>
    <w:rsid w:val="00CB0A13"/>
    <w:pPr>
      <w:spacing w:line="240" w:lineRule="auto"/>
    </w:pPr>
    <w:rPr>
      <w:rFonts w:ascii="Aptos" w:eastAsia="Times New Roman" w:hAnsi="Aptos" w:cs="Times New Roman"/>
      <w:sz w:val="24"/>
      <w:szCs w:val="24"/>
      <w:lang w:eastAsia="en-US"/>
    </w:rPr>
  </w:style>
  <w:style w:type="character" w:customStyle="1" w:styleId="TextodenotaderodapChar">
    <w:name w:val="Texto de nota de rodapé Char"/>
    <w:aliases w:val="Footnote Text Char Char Char Char Char Char,Footnote Text Char Char Char Char Char1"/>
    <w:link w:val="Textodenotaderodap"/>
    <w:uiPriority w:val="99"/>
    <w:rsid w:val="00CB0A13"/>
    <w:rPr>
      <w:rFonts w:ascii="Aptos" w:eastAsia="Times New Roman" w:hAnsi="Aptos" w:cs="Times New Roman"/>
      <w:sz w:val="24"/>
      <w:szCs w:val="24"/>
      <w:lang w:eastAsia="en-US"/>
    </w:rPr>
  </w:style>
  <w:style w:type="character" w:styleId="Refdenotaderodap">
    <w:name w:val="footnote reference"/>
    <w:aliases w:val="Ref,de nota al pie"/>
    <w:uiPriority w:val="99"/>
    <w:unhideWhenUsed/>
    <w:qFormat/>
    <w:rsid w:val="00CB0A13"/>
    <w:rPr>
      <w:vertAlign w:val="superscript"/>
    </w:rPr>
  </w:style>
  <w:style w:type="paragraph" w:styleId="Corpodetexto">
    <w:name w:val="Body Text"/>
    <w:basedOn w:val="Normal"/>
    <w:link w:val="CorpodetextoChar"/>
    <w:uiPriority w:val="1"/>
    <w:qFormat/>
    <w:rsid w:val="00CB0A13"/>
    <w:pPr>
      <w:widowControl w:val="0"/>
      <w:autoSpaceDE w:val="0"/>
      <w:autoSpaceDN w:val="0"/>
      <w:spacing w:line="240" w:lineRule="auto"/>
      <w:ind w:left="102"/>
      <w:jc w:val="both"/>
    </w:pPr>
    <w:rPr>
      <w:rFonts w:ascii="Times New Roman" w:eastAsia="Times New Roman" w:hAnsi="Times New Roman" w:cs="Times New Roman"/>
      <w:sz w:val="24"/>
      <w:szCs w:val="24"/>
      <w:lang w:val="en-US" w:eastAsia="en-US"/>
    </w:rPr>
  </w:style>
  <w:style w:type="character" w:customStyle="1" w:styleId="CorpodetextoChar">
    <w:name w:val="Corpo de texto Char"/>
    <w:link w:val="Corpodetexto"/>
    <w:uiPriority w:val="1"/>
    <w:rsid w:val="00CB0A13"/>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1F10D3"/>
    <w:rPr>
      <w:rFonts w:ascii="Times New Roman" w:hAnsi="Times New Roman" w:cs="Times New Roman"/>
      <w:sz w:val="24"/>
      <w:szCs w:val="24"/>
    </w:rPr>
  </w:style>
  <w:style w:type="character" w:styleId="Hyperlink">
    <w:name w:val="Hyperlink"/>
    <w:uiPriority w:val="99"/>
    <w:qFormat/>
    <w:rsid w:val="00B277CA"/>
    <w:rPr>
      <w:color w:val="467886"/>
      <w:w w:val="100"/>
      <w:position w:val="-1"/>
      <w:u w:val="single"/>
      <w:effect w:val="none"/>
      <w:vertAlign w:val="baseline"/>
      <w:cs w:val="0"/>
      <w:em w:val="none"/>
    </w:rPr>
  </w:style>
  <w:style w:type="character" w:styleId="Forte">
    <w:name w:val="Strong"/>
    <w:basedOn w:val="Fontepargpadro"/>
    <w:uiPriority w:val="22"/>
    <w:qFormat/>
    <w:rsid w:val="00B277CA"/>
    <w:rPr>
      <w:b/>
      <w:bCs/>
    </w:rPr>
  </w:style>
  <w:style w:type="paragraph" w:customStyle="1" w:styleId="Standard">
    <w:name w:val="Standard"/>
    <w:rsid w:val="00B277CA"/>
    <w:pPr>
      <w:suppressAutoHyphens/>
      <w:autoSpaceDN w:val="0"/>
      <w:spacing w:line="360" w:lineRule="auto"/>
      <w:textAlignment w:val="baseline"/>
    </w:pPr>
    <w:rPr>
      <w:rFonts w:ascii="Aptos" w:eastAsia="Times New Roman" w:hAnsi="Aptos" w:cs="F"/>
      <w:kern w:val="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eriodicos.ufes.br/argumentum/article/view/4421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esc.org.br/orcamento-e-direitos-2024/.%20Acess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3.xml"/><Relationship Id="rId10" Type="http://schemas.openxmlformats.org/officeDocument/2006/relationships/hyperlink" Target="https://doi.org/10.9771/ccrh.v36i0.55403"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n.gov.br/web/dou/-/portaria-sof/mpo-n-169-de-12-de-junho-de-2024-566632787" TargetMode="External"/><Relationship Id="rId14" Type="http://schemas.openxmlformats.org/officeDocument/2006/relationships/chart" Target="charts/chart2.xm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gov.br/participamaisbrasil/resolucao-cnas-mds-n-199-de-22-de-julho-de-2025" TargetMode="External"/><Relationship Id="rId2" Type="http://schemas.openxmlformats.org/officeDocument/2006/relationships/hyperlink" Target="https://www12.senado.leg.br/orcamento/sigabrasil" TargetMode="External"/><Relationship Id="rId1" Type="http://schemas.openxmlformats.org/officeDocument/2006/relationships/hyperlink" Target="https://fnas.mds.gov.br/" TargetMode="External"/><Relationship Id="rId5" Type="http://schemas.openxmlformats.org/officeDocument/2006/relationships/hyperlink" Target="https://encurtador.com.br/WXYT6" TargetMode="External"/><Relationship Id="rId4" Type="http://schemas.openxmlformats.org/officeDocument/2006/relationships/hyperlink" Target="https://l1nk.dev/9oxs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FDPar\Documents\JOINPP%202025\Mesa%20coordenada%20JOINPP%20202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FDPar\Documents\JOINPP%202025\Mesa%20coordenada%20JOINPP%20202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FDPar\Documents\JOINPP%202025\Mesa%20coordenada%20JOINPP%20202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FDPar\Documents\JOINPP%202025\Mesa%20coordenada%20JOINPP%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'[Mesa coordenada JOINPP 2025.xlsx]Planilha1'!$F$6</c:f>
              <c:strCache>
                <c:ptCount val="1"/>
                <c:pt idx="0">
                  <c:v>GOT</c:v>
                </c:pt>
              </c:strCache>
            </c:strRef>
          </c:tx>
          <c:spPr>
            <a:solidFill>
              <a:schemeClr val="accent1"/>
            </a:solidFill>
            <a:ln>
              <a:noFill/>
            </a:ln>
            <a:effectLst/>
          </c:spPr>
          <c:invertIfNegative val="0"/>
          <c:cat>
            <c:numRef>
              <c:f>'[Mesa coordenada JOINPP 2025.xlsx]Planilha1'!$E$7:$E$9</c:f>
              <c:numCache>
                <c:formatCode>General</c:formatCode>
                <c:ptCount val="3"/>
                <c:pt idx="0">
                  <c:v>2022</c:v>
                </c:pt>
                <c:pt idx="1">
                  <c:v>2023</c:v>
                </c:pt>
                <c:pt idx="2">
                  <c:v>2024</c:v>
                </c:pt>
              </c:numCache>
            </c:numRef>
          </c:cat>
          <c:val>
            <c:numRef>
              <c:f>'[Mesa coordenada JOINPP 2025.xlsx]Planilha1'!$F$7:$F$9</c:f>
              <c:numCache>
                <c:formatCode>_("R$"* #,##0.00_);_("R$"* \(#,##0.00\);_("R$"* "-"??_);_(@_)</c:formatCode>
                <c:ptCount val="3"/>
                <c:pt idx="0">
                  <c:v>2722419587369.4966</c:v>
                </c:pt>
                <c:pt idx="1">
                  <c:v>3096256362103.0249</c:v>
                </c:pt>
                <c:pt idx="2">
                  <c:v>3373710391674</c:v>
                </c:pt>
              </c:numCache>
            </c:numRef>
          </c:val>
          <c:extLst>
            <c:ext xmlns:c16="http://schemas.microsoft.com/office/drawing/2014/chart" uri="{C3380CC4-5D6E-409C-BE32-E72D297353CC}">
              <c16:uniqueId val="{00000000-B2A1-45C3-8EA7-4AD980D432E3}"/>
            </c:ext>
          </c:extLst>
        </c:ser>
        <c:dLbls>
          <c:showLegendKey val="0"/>
          <c:showVal val="0"/>
          <c:showCatName val="0"/>
          <c:showSerName val="0"/>
          <c:showPercent val="0"/>
          <c:showBubbleSize val="0"/>
        </c:dLbls>
        <c:gapWidth val="219"/>
        <c:overlap val="-27"/>
        <c:axId val="964759087"/>
        <c:axId val="964760527"/>
      </c:barChart>
      <c:catAx>
        <c:axId val="96475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4760527"/>
        <c:crosses val="autoZero"/>
        <c:auto val="1"/>
        <c:lblAlgn val="ctr"/>
        <c:lblOffset val="100"/>
        <c:noMultiLvlLbl val="0"/>
      </c:catAx>
      <c:valAx>
        <c:axId val="964760527"/>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4759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'[Mesa coordenada JOINPP 2025.xlsx]Planilha1'!$F$50</c:f>
              <c:strCache>
                <c:ptCount val="1"/>
                <c:pt idx="0">
                  <c:v>Despesa Financeira</c:v>
                </c:pt>
              </c:strCache>
            </c:strRef>
          </c:tx>
          <c:spPr>
            <a:solidFill>
              <a:schemeClr val="accent1"/>
            </a:solidFill>
            <a:ln>
              <a:noFill/>
            </a:ln>
            <a:effectLst/>
          </c:spPr>
          <c:invertIfNegative val="0"/>
          <c:cat>
            <c:numRef>
              <c:f>'[Mesa coordenada JOINPP 2025.xlsx]Planilha1'!$E$51:$E$53</c:f>
              <c:numCache>
                <c:formatCode>General</c:formatCode>
                <c:ptCount val="3"/>
                <c:pt idx="0">
                  <c:v>2022</c:v>
                </c:pt>
                <c:pt idx="1">
                  <c:v>2023</c:v>
                </c:pt>
                <c:pt idx="2">
                  <c:v>2024</c:v>
                </c:pt>
              </c:numCache>
            </c:numRef>
          </c:cat>
          <c:val>
            <c:numRef>
              <c:f>'[Mesa coordenada JOINPP 2025.xlsx]Planilha1'!$F$51:$F$53</c:f>
              <c:numCache>
                <c:formatCode>_("R$"* #,##0.00_);_("R$"* \(#,##0.00\);_("R$"* "-"??_);_(@_)</c:formatCode>
                <c:ptCount val="3"/>
                <c:pt idx="0">
                  <c:v>469574772847.40753</c:v>
                </c:pt>
                <c:pt idx="1">
                  <c:v>448248667460.05933</c:v>
                </c:pt>
                <c:pt idx="2">
                  <c:v>682196735376</c:v>
                </c:pt>
              </c:numCache>
            </c:numRef>
          </c:val>
          <c:extLst>
            <c:ext xmlns:c16="http://schemas.microsoft.com/office/drawing/2014/chart" uri="{C3380CC4-5D6E-409C-BE32-E72D297353CC}">
              <c16:uniqueId val="{00000000-223E-4854-A205-82E0E616865E}"/>
            </c:ext>
          </c:extLst>
        </c:ser>
        <c:ser>
          <c:idx val="1"/>
          <c:order val="1"/>
          <c:tx>
            <c:strRef>
              <c:f>'[Mesa coordenada JOINPP 2025.xlsx]Planilha1'!$G$50</c:f>
              <c:strCache>
                <c:ptCount val="1"/>
                <c:pt idx="0">
                  <c:v>Despesa Não Financeira</c:v>
                </c:pt>
              </c:strCache>
            </c:strRef>
          </c:tx>
          <c:spPr>
            <a:solidFill>
              <a:schemeClr val="accent2"/>
            </a:solidFill>
            <a:ln>
              <a:noFill/>
            </a:ln>
            <a:effectLst/>
          </c:spPr>
          <c:invertIfNegative val="0"/>
          <c:cat>
            <c:numRef>
              <c:f>'[Mesa coordenada JOINPP 2025.xlsx]Planilha1'!$E$51:$E$53</c:f>
              <c:numCache>
                <c:formatCode>General</c:formatCode>
                <c:ptCount val="3"/>
                <c:pt idx="0">
                  <c:v>2022</c:v>
                </c:pt>
                <c:pt idx="1">
                  <c:v>2023</c:v>
                </c:pt>
                <c:pt idx="2">
                  <c:v>2024</c:v>
                </c:pt>
              </c:numCache>
            </c:numRef>
          </c:cat>
          <c:val>
            <c:numRef>
              <c:f>'[Mesa coordenada JOINPP 2025.xlsx]Planilha1'!$G$51:$G$53</c:f>
              <c:numCache>
                <c:formatCode>_("R$"* #,##0.00_);_("R$"* \(#,##0.00\);_("R$"* "-"??_);_(@_)</c:formatCode>
                <c:ptCount val="3"/>
                <c:pt idx="0">
                  <c:v>2252844814522.0889</c:v>
                </c:pt>
                <c:pt idx="1">
                  <c:v>2648007694642.9653</c:v>
                </c:pt>
                <c:pt idx="2">
                  <c:v>2691513656298</c:v>
                </c:pt>
              </c:numCache>
            </c:numRef>
          </c:val>
          <c:extLst>
            <c:ext xmlns:c16="http://schemas.microsoft.com/office/drawing/2014/chart" uri="{C3380CC4-5D6E-409C-BE32-E72D297353CC}">
              <c16:uniqueId val="{00000001-223E-4854-A205-82E0E616865E}"/>
            </c:ext>
          </c:extLst>
        </c:ser>
        <c:dLbls>
          <c:showLegendKey val="0"/>
          <c:showVal val="0"/>
          <c:showCatName val="0"/>
          <c:showSerName val="0"/>
          <c:showPercent val="0"/>
          <c:showBubbleSize val="0"/>
        </c:dLbls>
        <c:gapWidth val="150"/>
        <c:overlap val="100"/>
        <c:axId val="917994111"/>
        <c:axId val="917992191"/>
      </c:barChart>
      <c:catAx>
        <c:axId val="91799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17992191"/>
        <c:crosses val="autoZero"/>
        <c:auto val="1"/>
        <c:lblAlgn val="ctr"/>
        <c:lblOffset val="100"/>
        <c:noMultiLvlLbl val="0"/>
      </c:catAx>
      <c:valAx>
        <c:axId val="917992191"/>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17994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'[Mesa coordenada JOINPP 2025.xlsx]Planilha1'!$P$64</c:f>
              <c:strCache>
                <c:ptCount val="1"/>
                <c:pt idx="0">
                  <c:v>Educação</c:v>
                </c:pt>
              </c:strCache>
            </c:strRef>
          </c:tx>
          <c:spPr>
            <a:solidFill>
              <a:schemeClr val="accent1"/>
            </a:solidFill>
            <a:ln>
              <a:noFill/>
            </a:ln>
            <a:effectLst/>
          </c:spPr>
          <c:invertIfNegative val="0"/>
          <c:cat>
            <c:numRef>
              <c:f>'[Mesa coordenada JOINPP 2025.xlsx]Planilha1'!$Q$63:$S$63</c:f>
              <c:numCache>
                <c:formatCode>General</c:formatCode>
                <c:ptCount val="3"/>
                <c:pt idx="0">
                  <c:v>2022</c:v>
                </c:pt>
                <c:pt idx="1">
                  <c:v>2023</c:v>
                </c:pt>
                <c:pt idx="2">
                  <c:v>2024</c:v>
                </c:pt>
              </c:numCache>
            </c:numRef>
          </c:cat>
          <c:val>
            <c:numRef>
              <c:f>'[Mesa coordenada JOINPP 2025.xlsx]Planilha1'!$Q$64:$S$64</c:f>
              <c:numCache>
                <c:formatCode>_("R$"* #,##0.00_);_("R$"* \(#,##0.00\);_("R$"* "-"??_);_(@_)</c:formatCode>
                <c:ptCount val="3"/>
                <c:pt idx="0">
                  <c:v>113444177765.88799</c:v>
                </c:pt>
                <c:pt idx="1">
                  <c:v>138345906641.00986</c:v>
                </c:pt>
                <c:pt idx="2">
                  <c:v>136994296730</c:v>
                </c:pt>
              </c:numCache>
            </c:numRef>
          </c:val>
          <c:extLst>
            <c:ext xmlns:c16="http://schemas.microsoft.com/office/drawing/2014/chart" uri="{C3380CC4-5D6E-409C-BE32-E72D297353CC}">
              <c16:uniqueId val="{00000000-1457-4251-A9CD-E680B39F34DA}"/>
            </c:ext>
          </c:extLst>
        </c:ser>
        <c:ser>
          <c:idx val="1"/>
          <c:order val="1"/>
          <c:tx>
            <c:strRef>
              <c:f>'[Mesa coordenada JOINPP 2025.xlsx]Planilha1'!$P$65</c:f>
              <c:strCache>
                <c:ptCount val="1"/>
                <c:pt idx="0">
                  <c:v>Previdência</c:v>
                </c:pt>
              </c:strCache>
            </c:strRef>
          </c:tx>
          <c:spPr>
            <a:solidFill>
              <a:schemeClr val="accent2"/>
            </a:solidFill>
            <a:ln>
              <a:noFill/>
            </a:ln>
            <a:effectLst/>
          </c:spPr>
          <c:invertIfNegative val="0"/>
          <c:cat>
            <c:numRef>
              <c:f>'[Mesa coordenada JOINPP 2025.xlsx]Planilha1'!$Q$63:$S$63</c:f>
              <c:numCache>
                <c:formatCode>General</c:formatCode>
                <c:ptCount val="3"/>
                <c:pt idx="0">
                  <c:v>2022</c:v>
                </c:pt>
                <c:pt idx="1">
                  <c:v>2023</c:v>
                </c:pt>
                <c:pt idx="2">
                  <c:v>2024</c:v>
                </c:pt>
              </c:numCache>
            </c:numRef>
          </c:cat>
          <c:val>
            <c:numRef>
              <c:f>'[Mesa coordenada JOINPP 2025.xlsx]Planilha1'!$Q$65:$S$65</c:f>
              <c:numCache>
                <c:formatCode>_("R$"* #,##0.00_);_("R$"* \(#,##0.00\);_("R$"* "-"??_);_(@_)</c:formatCode>
                <c:ptCount val="3"/>
                <c:pt idx="0">
                  <c:v>868568676430.57971</c:v>
                </c:pt>
                <c:pt idx="1">
                  <c:v>976401085749.55066</c:v>
                </c:pt>
                <c:pt idx="2">
                  <c:v>983403308883</c:v>
                </c:pt>
              </c:numCache>
            </c:numRef>
          </c:val>
          <c:extLst>
            <c:ext xmlns:c16="http://schemas.microsoft.com/office/drawing/2014/chart" uri="{C3380CC4-5D6E-409C-BE32-E72D297353CC}">
              <c16:uniqueId val="{00000001-1457-4251-A9CD-E680B39F34DA}"/>
            </c:ext>
          </c:extLst>
        </c:ser>
        <c:ser>
          <c:idx val="2"/>
          <c:order val="2"/>
          <c:tx>
            <c:strRef>
              <c:f>'[Mesa coordenada JOINPP 2025.xlsx]Planilha1'!$P$66</c:f>
              <c:strCache>
                <c:ptCount val="1"/>
                <c:pt idx="0">
                  <c:v>Saúde</c:v>
                </c:pt>
              </c:strCache>
            </c:strRef>
          </c:tx>
          <c:spPr>
            <a:solidFill>
              <a:schemeClr val="accent3"/>
            </a:solidFill>
            <a:ln>
              <a:noFill/>
            </a:ln>
            <a:effectLst/>
          </c:spPr>
          <c:invertIfNegative val="0"/>
          <c:cat>
            <c:numRef>
              <c:f>'[Mesa coordenada JOINPP 2025.xlsx]Planilha1'!$Q$63:$S$63</c:f>
              <c:numCache>
                <c:formatCode>General</c:formatCode>
                <c:ptCount val="3"/>
                <c:pt idx="0">
                  <c:v>2022</c:v>
                </c:pt>
                <c:pt idx="1">
                  <c:v>2023</c:v>
                </c:pt>
                <c:pt idx="2">
                  <c:v>2024</c:v>
                </c:pt>
              </c:numCache>
            </c:numRef>
          </c:cat>
          <c:val>
            <c:numRef>
              <c:f>'[Mesa coordenada JOINPP 2025.xlsx]Planilha1'!$Q$66:$S$66</c:f>
              <c:numCache>
                <c:formatCode>_("R$"* #,##0.00_);_("R$"* \(#,##0.00\);_("R$"* "-"??_);_(@_)</c:formatCode>
                <c:ptCount val="3"/>
                <c:pt idx="0">
                  <c:v>141420186578.44189</c:v>
                </c:pt>
                <c:pt idx="1">
                  <c:v>172287720858.99442</c:v>
                </c:pt>
                <c:pt idx="2">
                  <c:v>193468465768</c:v>
                </c:pt>
              </c:numCache>
            </c:numRef>
          </c:val>
          <c:extLst>
            <c:ext xmlns:c16="http://schemas.microsoft.com/office/drawing/2014/chart" uri="{C3380CC4-5D6E-409C-BE32-E72D297353CC}">
              <c16:uniqueId val="{00000002-1457-4251-A9CD-E680B39F34DA}"/>
            </c:ext>
          </c:extLst>
        </c:ser>
        <c:dLbls>
          <c:showLegendKey val="0"/>
          <c:showVal val="0"/>
          <c:showCatName val="0"/>
          <c:showSerName val="0"/>
          <c:showPercent val="0"/>
          <c:showBubbleSize val="0"/>
        </c:dLbls>
        <c:gapWidth val="150"/>
        <c:overlap val="100"/>
        <c:axId val="149442191"/>
        <c:axId val="149447951"/>
      </c:barChart>
      <c:catAx>
        <c:axId val="14944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9447951"/>
        <c:crosses val="autoZero"/>
        <c:auto val="1"/>
        <c:lblAlgn val="ctr"/>
        <c:lblOffset val="100"/>
        <c:noMultiLvlLbl val="0"/>
      </c:catAx>
      <c:valAx>
        <c:axId val="149447951"/>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9442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'[Mesa coordenada JOINPP 2025.xlsx]Planilha1'!$F$62</c:f>
              <c:strCache>
                <c:ptCount val="1"/>
                <c:pt idx="0">
                  <c:v>DE</c:v>
                </c:pt>
              </c:strCache>
            </c:strRef>
          </c:tx>
          <c:spPr>
            <a:solidFill>
              <a:schemeClr val="accent1"/>
            </a:solidFill>
            <a:ln>
              <a:noFill/>
            </a:ln>
            <a:effectLst/>
          </c:spPr>
          <c:invertIfNegative val="0"/>
          <c:cat>
            <c:numRef>
              <c:f>'[Mesa coordenada JOINPP 2025.xlsx]Planilha1'!$E$63:$E$65</c:f>
              <c:numCache>
                <c:formatCode>General</c:formatCode>
                <c:ptCount val="3"/>
                <c:pt idx="0">
                  <c:v>2022</c:v>
                </c:pt>
                <c:pt idx="1">
                  <c:v>2023</c:v>
                </c:pt>
                <c:pt idx="2">
                  <c:v>2024</c:v>
                </c:pt>
              </c:numCache>
            </c:numRef>
          </c:cat>
          <c:val>
            <c:numRef>
              <c:f>'[Mesa coordenada JOINPP 2025.xlsx]Planilha1'!$F$63:$F$65</c:f>
              <c:numCache>
                <c:formatCode>_("R$"* #,##0.00_);_("R$"* \(#,##0.00\);_("R$"* "-"??_);_(@_)</c:formatCode>
                <c:ptCount val="3"/>
                <c:pt idx="0">
                  <c:v>13864241840.69318</c:v>
                </c:pt>
                <c:pt idx="1">
                  <c:v>16700595110.451498</c:v>
                </c:pt>
                <c:pt idx="2">
                  <c:v>18406776510</c:v>
                </c:pt>
              </c:numCache>
            </c:numRef>
          </c:val>
          <c:extLst>
            <c:ext xmlns:c16="http://schemas.microsoft.com/office/drawing/2014/chart" uri="{C3380CC4-5D6E-409C-BE32-E72D297353CC}">
              <c16:uniqueId val="{00000000-AF3D-4FDB-9B7D-96219CAEC0BC}"/>
            </c:ext>
          </c:extLst>
        </c:ser>
        <c:ser>
          <c:idx val="1"/>
          <c:order val="1"/>
          <c:tx>
            <c:strRef>
              <c:f>'[Mesa coordenada JOINPP 2025.xlsx]Planilha1'!$G$62</c:f>
              <c:strCache>
                <c:ptCount val="1"/>
                <c:pt idx="0">
                  <c:v>DI</c:v>
                </c:pt>
              </c:strCache>
            </c:strRef>
          </c:tx>
          <c:spPr>
            <a:solidFill>
              <a:schemeClr val="accent2"/>
            </a:solidFill>
            <a:ln>
              <a:noFill/>
            </a:ln>
            <a:effectLst/>
          </c:spPr>
          <c:invertIfNegative val="0"/>
          <c:cat>
            <c:numRef>
              <c:f>'[Mesa coordenada JOINPP 2025.xlsx]Planilha1'!$E$63:$E$65</c:f>
              <c:numCache>
                <c:formatCode>General</c:formatCode>
                <c:ptCount val="3"/>
                <c:pt idx="0">
                  <c:v>2022</c:v>
                </c:pt>
                <c:pt idx="1">
                  <c:v>2023</c:v>
                </c:pt>
                <c:pt idx="2">
                  <c:v>2024</c:v>
                </c:pt>
              </c:numCache>
            </c:numRef>
          </c:cat>
          <c:val>
            <c:numRef>
              <c:f>'[Mesa coordenada JOINPP 2025.xlsx]Planilha1'!$G$63:$G$65</c:f>
              <c:numCache>
                <c:formatCode>_("R$"* #,##0.00_);_("R$"* \(#,##0.00\);_("R$"* "-"??_);_(@_)</c:formatCode>
                <c:ptCount val="3"/>
                <c:pt idx="0">
                  <c:v>455710531006.71436</c:v>
                </c:pt>
                <c:pt idx="1">
                  <c:v>431548072349.60785</c:v>
                </c:pt>
                <c:pt idx="2">
                  <c:v>663789958866</c:v>
                </c:pt>
              </c:numCache>
            </c:numRef>
          </c:val>
          <c:extLst>
            <c:ext xmlns:c16="http://schemas.microsoft.com/office/drawing/2014/chart" uri="{C3380CC4-5D6E-409C-BE32-E72D297353CC}">
              <c16:uniqueId val="{00000001-AF3D-4FDB-9B7D-96219CAEC0BC}"/>
            </c:ext>
          </c:extLst>
        </c:ser>
        <c:dLbls>
          <c:showLegendKey val="0"/>
          <c:showVal val="0"/>
          <c:showCatName val="0"/>
          <c:showSerName val="0"/>
          <c:showPercent val="0"/>
          <c:showBubbleSize val="0"/>
        </c:dLbls>
        <c:gapWidth val="219"/>
        <c:overlap val="-27"/>
        <c:axId val="1151532671"/>
        <c:axId val="1151536991"/>
      </c:barChart>
      <c:catAx>
        <c:axId val="115153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51536991"/>
        <c:crosses val="autoZero"/>
        <c:auto val="1"/>
        <c:lblAlgn val="ctr"/>
        <c:lblOffset val="100"/>
        <c:noMultiLvlLbl val="0"/>
      </c:catAx>
      <c:valAx>
        <c:axId val="1151536991"/>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51532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7C774-2D0C-477F-8A21-97537FFF0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11077</Words>
  <Characters>59816</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70752</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Zaira Sabry</cp:lastModifiedBy>
  <cp:revision>2</cp:revision>
  <dcterms:created xsi:type="dcterms:W3CDTF">2025-11-26T17:51:00Z</dcterms:created>
  <dcterms:modified xsi:type="dcterms:W3CDTF">2025-11-26T17:51:00Z</dcterms:modified>
</cp:coreProperties>
</file>