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ECF86" w14:textId="77777777" w:rsidR="00FE2305" w:rsidRPr="00D90ED9" w:rsidRDefault="00FE2305" w:rsidP="00FE2305">
      <w:pPr>
        <w:spacing w:line="360" w:lineRule="auto"/>
        <w:jc w:val="center"/>
        <w:rPr>
          <w:b/>
          <w:sz w:val="24"/>
          <w:szCs w:val="24"/>
        </w:rPr>
      </w:pPr>
      <w:r w:rsidRPr="00D90ED9">
        <w:rPr>
          <w:b/>
          <w:sz w:val="24"/>
          <w:szCs w:val="24"/>
        </w:rPr>
        <w:t>MESA TEMÁTICA: MOVIMENTOS SOCIAIS, CONSELHOS DE SAÚDE E A DISPUTA PELO FINANCIAMENTO DO SUS</w:t>
      </w:r>
    </w:p>
    <w:p w14:paraId="78DC18F9" w14:textId="77777777" w:rsidR="00FE2305" w:rsidRPr="00D90ED9" w:rsidRDefault="00FE2305" w:rsidP="00FE2305">
      <w:pPr>
        <w:shd w:val="clear" w:color="auto" w:fill="FFFFFF"/>
        <w:spacing w:line="240" w:lineRule="auto"/>
        <w:jc w:val="right"/>
        <w:rPr>
          <w:rFonts w:eastAsia="Times New Roman"/>
          <w:sz w:val="24"/>
          <w:szCs w:val="24"/>
          <w:highlight w:val="white"/>
        </w:rPr>
      </w:pPr>
      <w:r w:rsidRPr="00D90ED9">
        <w:rPr>
          <w:rFonts w:eastAsia="Times New Roman"/>
          <w:sz w:val="24"/>
          <w:szCs w:val="24"/>
          <w:highlight w:val="white"/>
        </w:rPr>
        <w:t>Andreia Oliveira</w:t>
      </w:r>
      <w:r w:rsidRPr="00D90ED9">
        <w:rPr>
          <w:rStyle w:val="Refdenotaderodap"/>
          <w:rFonts w:eastAsia="Times New Roman"/>
          <w:sz w:val="24"/>
          <w:szCs w:val="24"/>
          <w:highlight w:val="white"/>
        </w:rPr>
        <w:footnoteReference w:id="1"/>
      </w:r>
      <w:r w:rsidRPr="00D90ED9">
        <w:rPr>
          <w:rFonts w:eastAsia="Times New Roman"/>
          <w:sz w:val="24"/>
          <w:szCs w:val="24"/>
          <w:highlight w:val="white"/>
        </w:rPr>
        <w:t xml:space="preserve"> </w:t>
      </w:r>
    </w:p>
    <w:p w14:paraId="2EB70BBC" w14:textId="77777777" w:rsidR="00FE2305" w:rsidRPr="00D90ED9" w:rsidRDefault="00FE2305" w:rsidP="00FE2305">
      <w:pPr>
        <w:shd w:val="clear" w:color="auto" w:fill="FFFFFF"/>
        <w:spacing w:line="240" w:lineRule="auto"/>
        <w:jc w:val="right"/>
        <w:rPr>
          <w:rFonts w:eastAsia="Times New Roman"/>
          <w:sz w:val="24"/>
          <w:szCs w:val="24"/>
          <w:highlight w:val="white"/>
        </w:rPr>
      </w:pPr>
      <w:r w:rsidRPr="00D90ED9">
        <w:rPr>
          <w:rFonts w:eastAsia="Times New Roman"/>
          <w:sz w:val="24"/>
          <w:szCs w:val="24"/>
          <w:highlight w:val="white"/>
        </w:rPr>
        <w:t>Tânia Regina Krüger</w:t>
      </w:r>
      <w:r w:rsidRPr="00D90ED9">
        <w:rPr>
          <w:rStyle w:val="Refdenotaderodap"/>
          <w:rFonts w:eastAsia="Times New Roman"/>
          <w:sz w:val="24"/>
          <w:szCs w:val="24"/>
          <w:highlight w:val="white"/>
        </w:rPr>
        <w:footnoteReference w:id="2"/>
      </w:r>
    </w:p>
    <w:p w14:paraId="3F49E7C4" w14:textId="77777777" w:rsidR="00FE2305" w:rsidRPr="00D90ED9" w:rsidRDefault="00FE2305" w:rsidP="00FE2305">
      <w:pPr>
        <w:shd w:val="clear" w:color="auto" w:fill="FFFFFF"/>
        <w:spacing w:line="240" w:lineRule="auto"/>
        <w:jc w:val="right"/>
        <w:rPr>
          <w:rFonts w:eastAsia="Times New Roman"/>
          <w:sz w:val="24"/>
          <w:szCs w:val="24"/>
          <w:highlight w:val="white"/>
        </w:rPr>
      </w:pPr>
      <w:r w:rsidRPr="00D90ED9">
        <w:rPr>
          <w:rFonts w:eastAsia="Times New Roman"/>
          <w:sz w:val="24"/>
          <w:szCs w:val="24"/>
          <w:highlight w:val="white"/>
        </w:rPr>
        <w:t xml:space="preserve">Vanda Micheli </w:t>
      </w:r>
      <w:proofErr w:type="spellStart"/>
      <w:r w:rsidRPr="00D90ED9">
        <w:rPr>
          <w:rFonts w:eastAsia="Times New Roman"/>
          <w:sz w:val="24"/>
          <w:szCs w:val="24"/>
          <w:highlight w:val="white"/>
        </w:rPr>
        <w:t>Burginski</w:t>
      </w:r>
      <w:proofErr w:type="spellEnd"/>
      <w:r w:rsidRPr="00D90ED9">
        <w:rPr>
          <w:rStyle w:val="Refdenotaderodap"/>
          <w:rFonts w:eastAsia="Times New Roman"/>
          <w:sz w:val="24"/>
          <w:szCs w:val="24"/>
          <w:highlight w:val="white"/>
        </w:rPr>
        <w:footnoteReference w:id="3"/>
      </w:r>
    </w:p>
    <w:p w14:paraId="114D1416" w14:textId="77777777" w:rsidR="00FE2305" w:rsidRPr="00D90ED9" w:rsidRDefault="00FE2305" w:rsidP="00FE2305">
      <w:pPr>
        <w:shd w:val="clear" w:color="auto" w:fill="FFFFFF"/>
        <w:spacing w:line="240" w:lineRule="auto"/>
        <w:jc w:val="right"/>
        <w:rPr>
          <w:rFonts w:eastAsia="Times New Roman"/>
          <w:sz w:val="24"/>
          <w:szCs w:val="24"/>
          <w:highlight w:val="white"/>
        </w:rPr>
      </w:pPr>
    </w:p>
    <w:p w14:paraId="55084737" w14:textId="77777777" w:rsidR="00FE2305" w:rsidRPr="00D90ED9" w:rsidRDefault="00FE2305" w:rsidP="00FE2305">
      <w:pPr>
        <w:shd w:val="clear" w:color="auto" w:fill="FFFFFF"/>
        <w:spacing w:line="240" w:lineRule="auto"/>
        <w:jc w:val="both"/>
        <w:rPr>
          <w:rFonts w:eastAsia="Times New Roman"/>
          <w:sz w:val="20"/>
          <w:szCs w:val="20"/>
          <w:highlight w:val="white"/>
        </w:rPr>
      </w:pPr>
      <w:r w:rsidRPr="00D90ED9">
        <w:rPr>
          <w:rFonts w:eastAsia="Times New Roman"/>
          <w:b/>
          <w:bCs/>
          <w:sz w:val="20"/>
          <w:szCs w:val="20"/>
          <w:highlight w:val="white"/>
        </w:rPr>
        <w:t>Resumo da mesa temática</w:t>
      </w:r>
      <w:r w:rsidRPr="00D90ED9">
        <w:rPr>
          <w:rFonts w:eastAsia="Times New Roman"/>
          <w:sz w:val="20"/>
          <w:szCs w:val="20"/>
          <w:highlight w:val="white"/>
        </w:rPr>
        <w:t>: A presente mesa temática tem como objetivo discutir a articulação entre a atuação dos movimentos sociais e os espaços institucionais de participação, com ênfase nos conselhos de saúde, na defesa dos princípios, competências e pelo financiamento público do Sistema Único de Saúde (SUS) e na resistência à sua privatização. A conjuntura recente é marcada por um contexto de flexibilização dos fundamentos do SUS e de austeridade fiscal, aprofundado a partir da Emenda Constitucional Nº 95/2016, que impôs um teto aos gastos primários da União, com severos impactos no financiamento das políticas sociais, especialmente na saúde. A Lei Complementar LC/200 de 30 de agosto de 2023, que veio como substituta da EC 95/2016 embora seja mais palatável, também está na contramão da reconstrução de um Estado Social, pois é inibidor da expansão dos gastos, principalmente dos gastos discricionários do orçamento público. Paralelamente, observa-se o avanço da privatização, como contratos de gestão com Organizações Sociais (OSs), Parcerias Público-Privadas (PPPs) e o fomento ao setor privado por meio de isenções fiscais e subsídios, o que compromete os princípios constitucionais da universalidade, integralidade e equidade do SUS. A proposta metodológica da mesa se fundamenta em abordagens qualitativas, articulando análises documentais de atas e resoluções do Conselho Nacional de Saúde (CNS), com o levantamento e sistematização das pautas reivindicatórias de movimentos sociais que atuam na área da saúde, como movimentos populares vinculados à Frente pela Vida, Frente Nacional Contra a Privatização da Saúde (FNCPS), Mapa Colaborativo dos Movimentos Sociais em Saúde (</w:t>
      </w:r>
      <w:proofErr w:type="spellStart"/>
      <w:r w:rsidRPr="00D90ED9">
        <w:rPr>
          <w:rFonts w:eastAsia="Times New Roman"/>
          <w:sz w:val="20"/>
          <w:szCs w:val="20"/>
          <w:highlight w:val="white"/>
        </w:rPr>
        <w:t>MapaMovSaúde</w:t>
      </w:r>
      <w:proofErr w:type="spellEnd"/>
      <w:r w:rsidRPr="00D90ED9">
        <w:rPr>
          <w:rFonts w:eastAsia="Times New Roman"/>
          <w:sz w:val="20"/>
          <w:szCs w:val="20"/>
          <w:highlight w:val="white"/>
        </w:rPr>
        <w:t xml:space="preserve">) e ao Movimento da Reforma Sanitária. Além disso, serão apresentados dados orçamentários e financeiros relativos ao financiamento federal da saúde entre 2016 e 2024, com ênfase nos efeitos das políticas fiscais restritivas e no papel dos conselhos na defesa do financiamento público. Os resultados apontam para </w:t>
      </w:r>
      <w:r w:rsidRPr="00D90ED9">
        <w:rPr>
          <w:rFonts w:eastAsia="Times New Roman"/>
          <w:sz w:val="20"/>
          <w:szCs w:val="20"/>
          <w:highlight w:val="white"/>
        </w:rPr>
        <w:lastRenderedPageBreak/>
        <w:t>uma crescente deslegitimação dos espaços de controle social, com redução de sua capacidade deliberativa e esvaziamento político-institucional, em contraposição à mobilização de movimentos sociais em defesa do SUS. As análises evidenciam que, embora os conselhos de saúde sejam arenas relevantes de formulação e controle da política pública, sua efetividade depende da correlação de forças políticas e da capacidade de articulação com a sociedade civil organizada. As pautas defendidas pelos movimentos sociais não são unânimes, alguns incluem o fim do Teto de Gastos, a taxação de grandes fortunas, a revogação de mecanismos de privatização e mercantilização e a ampliação do financiamento público da saúde. Sendo essa última pauta não homogênea entre os movimentos, com visões diferenciadas acerca de mecanismos de financiamento. Outro grupo de movimentos sociais da saúde possui um horizonte político-organizativo bastante reduzido e focalizado na prestação do serviço. A mesa propõe refletir sobre os limites e possibilidades da participação institucionalizada diante de um cenário de retrocessos no campo das políticas sociais, reforçando a centralidade da mobilização social para reverter a lógica de mercantilização e da privatização da saúde. A convergência entre conselhos e movimentos sociais é estratégica para fortalecer o SUS como política pública universal e como direito de cidadania.</w:t>
      </w:r>
    </w:p>
    <w:p w14:paraId="39A0DDCD" w14:textId="77777777" w:rsidR="00FE2305" w:rsidRPr="00D90ED9" w:rsidRDefault="00FE2305" w:rsidP="00FE2305">
      <w:pPr>
        <w:shd w:val="clear" w:color="auto" w:fill="FFFFFF"/>
        <w:spacing w:line="240" w:lineRule="auto"/>
        <w:jc w:val="both"/>
        <w:rPr>
          <w:rFonts w:eastAsia="Times New Roman"/>
          <w:sz w:val="20"/>
          <w:szCs w:val="20"/>
          <w:highlight w:val="white"/>
        </w:rPr>
      </w:pPr>
      <w:r w:rsidRPr="00D90ED9">
        <w:rPr>
          <w:rFonts w:eastAsia="Times New Roman"/>
          <w:sz w:val="20"/>
          <w:szCs w:val="20"/>
          <w:highlight w:val="white"/>
        </w:rPr>
        <w:t>Palavras-chave: Movimentos Sociais. Conselhos de Saúde. Financiamento do SUS.</w:t>
      </w:r>
    </w:p>
    <w:p w14:paraId="7C08C748" w14:textId="77777777" w:rsidR="00E1531D" w:rsidRPr="00FE2305" w:rsidRDefault="00E1531D" w:rsidP="007E7315">
      <w:pPr>
        <w:spacing w:line="360" w:lineRule="auto"/>
        <w:jc w:val="center"/>
        <w:rPr>
          <w:b/>
          <w:bCs/>
          <w:caps/>
          <w:sz w:val="24"/>
          <w:szCs w:val="24"/>
        </w:rPr>
      </w:pPr>
    </w:p>
    <w:p w14:paraId="00AC02CC" w14:textId="77777777" w:rsidR="006B3BAF" w:rsidRPr="00A048CE" w:rsidRDefault="006B3BAF" w:rsidP="006B3BAF">
      <w:pPr>
        <w:spacing w:line="240" w:lineRule="auto"/>
        <w:jc w:val="center"/>
        <w:rPr>
          <w:b/>
          <w:bCs/>
          <w:sz w:val="24"/>
          <w:szCs w:val="24"/>
          <w:shd w:val="clear" w:color="auto" w:fill="FFFFFF"/>
        </w:rPr>
      </w:pPr>
      <w:r w:rsidRPr="006B3BAF">
        <w:rPr>
          <w:b/>
          <w:bCs/>
          <w:caps/>
          <w:sz w:val="24"/>
          <w:szCs w:val="24"/>
          <w:shd w:val="clear" w:color="auto" w:fill="FFFFFF"/>
        </w:rPr>
        <w:t>Mapa de movimentos sociais e saúde/SUS</w:t>
      </w:r>
      <w:r w:rsidRPr="00A048CE">
        <w:rPr>
          <w:b/>
          <w:bCs/>
          <w:sz w:val="24"/>
          <w:szCs w:val="24"/>
          <w:shd w:val="clear" w:color="auto" w:fill="FFFFFF"/>
        </w:rPr>
        <w:t xml:space="preserve">: </w:t>
      </w:r>
      <w:r w:rsidRPr="006B3BAF">
        <w:rPr>
          <w:sz w:val="24"/>
          <w:szCs w:val="24"/>
          <w:shd w:val="clear" w:color="auto" w:fill="FFFFFF"/>
        </w:rPr>
        <w:t>perfil e finalidades</w:t>
      </w:r>
    </w:p>
    <w:p w14:paraId="61F3F5B1" w14:textId="77777777" w:rsidR="006B3BAF" w:rsidRPr="00A048CE" w:rsidRDefault="006B3BAF" w:rsidP="006B3BAF">
      <w:pPr>
        <w:spacing w:line="240" w:lineRule="auto"/>
        <w:jc w:val="right"/>
        <w:rPr>
          <w:b/>
          <w:bCs/>
          <w:sz w:val="24"/>
          <w:szCs w:val="24"/>
          <w:shd w:val="clear" w:color="auto" w:fill="FFFFFF"/>
        </w:rPr>
      </w:pPr>
    </w:p>
    <w:p w14:paraId="6725803C" w14:textId="77777777" w:rsidR="006B3BAF" w:rsidRPr="00E31959" w:rsidRDefault="006B3BAF" w:rsidP="006B3BAF">
      <w:pPr>
        <w:spacing w:line="240" w:lineRule="auto"/>
        <w:ind w:left="2835"/>
        <w:jc w:val="right"/>
        <w:rPr>
          <w:sz w:val="20"/>
          <w:szCs w:val="20"/>
        </w:rPr>
      </w:pPr>
      <w:r w:rsidRPr="00E31959">
        <w:rPr>
          <w:sz w:val="24"/>
          <w:szCs w:val="24"/>
          <w:shd w:val="clear" w:color="auto" w:fill="FFFFFF"/>
        </w:rPr>
        <w:t>Tânia Regina Krüger</w:t>
      </w:r>
      <w:r w:rsidRPr="00E31959">
        <w:rPr>
          <w:rStyle w:val="Refdenotaderodap"/>
          <w:sz w:val="24"/>
          <w:szCs w:val="24"/>
          <w:shd w:val="clear" w:color="auto" w:fill="FFFFFF"/>
        </w:rPr>
        <w:footnoteReference w:id="4"/>
      </w:r>
    </w:p>
    <w:p w14:paraId="24B5698C" w14:textId="77777777" w:rsidR="006B3BAF" w:rsidRPr="00A048CE" w:rsidRDefault="006B3BAF" w:rsidP="006B3BAF">
      <w:pPr>
        <w:spacing w:line="240" w:lineRule="auto"/>
        <w:ind w:left="2835"/>
        <w:jc w:val="both"/>
        <w:rPr>
          <w:b/>
          <w:sz w:val="20"/>
          <w:szCs w:val="20"/>
        </w:rPr>
      </w:pPr>
    </w:p>
    <w:p w14:paraId="5E9EDAFA" w14:textId="77777777" w:rsidR="006B3BAF" w:rsidRPr="00A048CE" w:rsidRDefault="006B3BAF" w:rsidP="006B3BAF">
      <w:pPr>
        <w:spacing w:line="240" w:lineRule="auto"/>
        <w:jc w:val="right"/>
        <w:rPr>
          <w:b/>
          <w:bCs/>
          <w:color w:val="FF0000"/>
          <w:sz w:val="24"/>
          <w:szCs w:val="24"/>
          <w:shd w:val="clear" w:color="auto" w:fill="FFFFFF"/>
        </w:rPr>
      </w:pPr>
    </w:p>
    <w:p w14:paraId="0F438EBA" w14:textId="77777777" w:rsidR="006B3BAF" w:rsidRPr="006B3BAF" w:rsidRDefault="006B3BAF" w:rsidP="006B3BAF">
      <w:pPr>
        <w:spacing w:line="240" w:lineRule="auto"/>
        <w:ind w:left="1701"/>
        <w:rPr>
          <w:b/>
          <w:sz w:val="20"/>
          <w:szCs w:val="20"/>
        </w:rPr>
      </w:pPr>
      <w:r w:rsidRPr="006B3BAF">
        <w:rPr>
          <w:b/>
          <w:sz w:val="20"/>
          <w:szCs w:val="20"/>
        </w:rPr>
        <w:t>Resumo</w:t>
      </w:r>
    </w:p>
    <w:p w14:paraId="2DC72A3F" w14:textId="7A951204" w:rsidR="006B3BAF" w:rsidRPr="006B3BAF" w:rsidRDefault="006B3BAF" w:rsidP="006B3BAF">
      <w:pPr>
        <w:spacing w:line="240" w:lineRule="auto"/>
        <w:ind w:left="1701"/>
        <w:jc w:val="both"/>
        <w:rPr>
          <w:rFonts w:eastAsia="Times New Roman"/>
          <w:sz w:val="20"/>
          <w:szCs w:val="20"/>
        </w:rPr>
      </w:pPr>
      <w:r w:rsidRPr="006B3BAF">
        <w:rPr>
          <w:bCs/>
          <w:sz w:val="20"/>
          <w:szCs w:val="20"/>
          <w:shd w:val="clear" w:color="auto" w:fill="FFFFFF"/>
        </w:rPr>
        <w:t>O objetivo deste texto é caracterizar e refletir sobre o perfil e a finalidade dos movimentos sociais que integram o Mapa Colaborativo dos Movimentos Sociais em Saúde (</w:t>
      </w:r>
      <w:proofErr w:type="spellStart"/>
      <w:r w:rsidRPr="006B3BAF">
        <w:rPr>
          <w:bCs/>
          <w:sz w:val="20"/>
          <w:szCs w:val="20"/>
          <w:shd w:val="clear" w:color="auto" w:fill="FFFFFF"/>
        </w:rPr>
        <w:t>MapaMovSaúde</w:t>
      </w:r>
      <w:proofErr w:type="spellEnd"/>
      <w:r w:rsidRPr="006B3BAF">
        <w:rPr>
          <w:bCs/>
          <w:sz w:val="20"/>
          <w:szCs w:val="20"/>
          <w:shd w:val="clear" w:color="auto" w:fill="FFFFFF"/>
        </w:rPr>
        <w:t>). Trata-se de uma investigação exploratória, qualitativa e quantitativa, com base nos registros on</w:t>
      </w:r>
      <w:r w:rsidR="00680EC6">
        <w:rPr>
          <w:bCs/>
          <w:sz w:val="20"/>
          <w:szCs w:val="20"/>
          <w:shd w:val="clear" w:color="auto" w:fill="FFFFFF"/>
        </w:rPr>
        <w:t>-</w:t>
      </w:r>
      <w:r w:rsidRPr="006B3BAF">
        <w:rPr>
          <w:bCs/>
          <w:sz w:val="20"/>
          <w:szCs w:val="20"/>
          <w:shd w:val="clear" w:color="auto" w:fill="FFFFFF"/>
        </w:rPr>
        <w:t xml:space="preserve">line das histórias dos movimentos sociais. O </w:t>
      </w:r>
      <w:proofErr w:type="spellStart"/>
      <w:r w:rsidRPr="006B3BAF">
        <w:rPr>
          <w:bCs/>
          <w:sz w:val="20"/>
          <w:szCs w:val="20"/>
          <w:shd w:val="clear" w:color="auto" w:fill="FFFFFF"/>
        </w:rPr>
        <w:t>MapaMovSaúde</w:t>
      </w:r>
      <w:proofErr w:type="spellEnd"/>
      <w:r w:rsidRPr="006B3BAF">
        <w:rPr>
          <w:bCs/>
          <w:sz w:val="20"/>
          <w:szCs w:val="20"/>
          <w:shd w:val="clear" w:color="auto" w:fill="FFFFFF"/>
        </w:rPr>
        <w:t xml:space="preserve"> é um projeto liderado pelo Ministério da Saúde, Fiocruz e Conselho Nacional de Saúde, lançado em plataforma pública em set./2024. </w:t>
      </w:r>
      <w:r w:rsidRPr="006B3BAF">
        <w:rPr>
          <w:rFonts w:eastAsia="Times New Roman"/>
          <w:sz w:val="20"/>
          <w:szCs w:val="20"/>
        </w:rPr>
        <w:t xml:space="preserve">Nos 345 registros do </w:t>
      </w:r>
      <w:proofErr w:type="spellStart"/>
      <w:r w:rsidRPr="006B3BAF">
        <w:rPr>
          <w:bCs/>
          <w:sz w:val="20"/>
          <w:szCs w:val="20"/>
          <w:shd w:val="clear" w:color="auto" w:fill="FFFFFF"/>
        </w:rPr>
        <w:t>MapaMovSaúde</w:t>
      </w:r>
      <w:proofErr w:type="spellEnd"/>
      <w:r w:rsidRPr="006B3BAF">
        <w:rPr>
          <w:rFonts w:eastAsia="Times New Roman"/>
          <w:sz w:val="20"/>
          <w:szCs w:val="20"/>
        </w:rPr>
        <w:t xml:space="preserve"> em junho de 2025 identificamos 219 (63,4%) sem conteúdo, 25 (7,2%) não contabilizados e 101 (29,2%) com conteúdo. Estes foram sistematizados em 16 categorias conforme natureza do conteúdo indicada no título. Na descrição das 101 histórias com conteúdo observamos que (13,8%) explicitamente indicam a defesa do SUS, outros (21,7%) pautam entre suas ações a defesa da saúde pública e de serviços setoriais e aproximadamente 60% dos registros não fazem referências ao SUS e a serviço de saúde.</w:t>
      </w:r>
    </w:p>
    <w:p w14:paraId="10DC418D" w14:textId="3B62680C" w:rsidR="006B3BAF" w:rsidRPr="006B3BAF" w:rsidRDefault="00680EC6" w:rsidP="006B3BAF">
      <w:pPr>
        <w:ind w:left="1701"/>
        <w:rPr>
          <w:b/>
          <w:bCs/>
          <w:sz w:val="20"/>
          <w:szCs w:val="20"/>
          <w:shd w:val="clear" w:color="auto" w:fill="FFFFFF"/>
        </w:rPr>
      </w:pPr>
      <w:r w:rsidRPr="006B3BAF">
        <w:rPr>
          <w:b/>
          <w:bCs/>
          <w:sz w:val="20"/>
          <w:szCs w:val="20"/>
          <w:shd w:val="clear" w:color="auto" w:fill="FFFFFF"/>
        </w:rPr>
        <w:t>Palavras-chave</w:t>
      </w:r>
      <w:r w:rsidR="006B3BAF" w:rsidRPr="006B3BAF">
        <w:rPr>
          <w:b/>
          <w:bCs/>
          <w:sz w:val="20"/>
          <w:szCs w:val="20"/>
          <w:shd w:val="clear" w:color="auto" w:fill="FFFFFF"/>
        </w:rPr>
        <w:t>:</w:t>
      </w:r>
      <w:r w:rsidR="006B3BAF" w:rsidRPr="006B3BAF">
        <w:rPr>
          <w:bCs/>
          <w:sz w:val="20"/>
          <w:szCs w:val="20"/>
          <w:shd w:val="clear" w:color="auto" w:fill="FFFFFF"/>
        </w:rPr>
        <w:t xml:space="preserve"> Movimento social, saúde, Sistema Único de Saúde, Mapa Colaborativo</w:t>
      </w:r>
    </w:p>
    <w:p w14:paraId="6CCB6C14" w14:textId="77777777" w:rsidR="006B3BAF" w:rsidRDefault="006B3BAF" w:rsidP="006B3BAF">
      <w:pPr>
        <w:ind w:left="1701"/>
        <w:rPr>
          <w:b/>
          <w:bCs/>
          <w:color w:val="FF0000"/>
          <w:sz w:val="24"/>
          <w:szCs w:val="24"/>
          <w:shd w:val="clear" w:color="auto" w:fill="FFFFFF"/>
        </w:rPr>
      </w:pPr>
    </w:p>
    <w:p w14:paraId="52FE1B66" w14:textId="77777777" w:rsidR="006B3BAF" w:rsidRDefault="006B3BAF" w:rsidP="006B3BAF">
      <w:pPr>
        <w:spacing w:line="240" w:lineRule="auto"/>
        <w:ind w:left="1701"/>
        <w:jc w:val="both"/>
        <w:rPr>
          <w:b/>
          <w:bCs/>
          <w:sz w:val="24"/>
          <w:szCs w:val="24"/>
          <w:shd w:val="clear" w:color="auto" w:fill="FFFFFF"/>
          <w:lang w:val="en-US"/>
        </w:rPr>
      </w:pPr>
      <w:r w:rsidRPr="00E5630A">
        <w:rPr>
          <w:b/>
          <w:bCs/>
          <w:sz w:val="24"/>
          <w:szCs w:val="24"/>
          <w:shd w:val="clear" w:color="auto" w:fill="FFFFFF"/>
          <w:lang w:val="en-US"/>
        </w:rPr>
        <w:t>Map of social movements and health/SUS: profile and purposes</w:t>
      </w:r>
    </w:p>
    <w:p w14:paraId="796DF3B0" w14:textId="77777777" w:rsidR="006B3BAF" w:rsidRDefault="006B3BAF" w:rsidP="006B3BAF">
      <w:pPr>
        <w:spacing w:line="240" w:lineRule="auto"/>
        <w:ind w:left="1701"/>
        <w:jc w:val="both"/>
        <w:rPr>
          <w:b/>
          <w:sz w:val="20"/>
          <w:szCs w:val="20"/>
          <w:lang w:val="en-US"/>
        </w:rPr>
      </w:pPr>
    </w:p>
    <w:p w14:paraId="0A2AACC3" w14:textId="77777777" w:rsidR="006B3BAF" w:rsidRDefault="006B3BAF" w:rsidP="006B3BAF">
      <w:pPr>
        <w:spacing w:line="240" w:lineRule="auto"/>
        <w:ind w:left="1701"/>
        <w:jc w:val="both"/>
        <w:rPr>
          <w:b/>
          <w:sz w:val="20"/>
          <w:szCs w:val="20"/>
          <w:lang w:val="en-US"/>
        </w:rPr>
      </w:pPr>
      <w:r w:rsidRPr="00A048CE">
        <w:rPr>
          <w:b/>
          <w:sz w:val="20"/>
          <w:szCs w:val="20"/>
          <w:lang w:val="en-US"/>
        </w:rPr>
        <w:t>Abstract</w:t>
      </w:r>
    </w:p>
    <w:p w14:paraId="22327834" w14:textId="77777777" w:rsidR="006B3BAF" w:rsidRDefault="006B3BAF" w:rsidP="006B3BAF">
      <w:pPr>
        <w:spacing w:line="240" w:lineRule="auto"/>
        <w:ind w:left="1701"/>
        <w:jc w:val="both"/>
        <w:rPr>
          <w:sz w:val="20"/>
          <w:szCs w:val="20"/>
          <w:lang w:val="en-US"/>
        </w:rPr>
      </w:pPr>
      <w:r w:rsidRPr="00E5630A">
        <w:rPr>
          <w:sz w:val="20"/>
          <w:szCs w:val="20"/>
          <w:lang w:val="en-US"/>
        </w:rPr>
        <w:t>The objective of this text is to characterize and reflect on the profile and purpose of the social movements that make up the Collaborative Map of Social Movements in Health (</w:t>
      </w:r>
      <w:proofErr w:type="spellStart"/>
      <w:r w:rsidRPr="00E5630A">
        <w:rPr>
          <w:sz w:val="20"/>
          <w:szCs w:val="20"/>
          <w:lang w:val="en-US"/>
        </w:rPr>
        <w:t>MapaMovSaúde</w:t>
      </w:r>
      <w:proofErr w:type="spellEnd"/>
      <w:r w:rsidRPr="00E5630A">
        <w:rPr>
          <w:sz w:val="20"/>
          <w:szCs w:val="20"/>
          <w:lang w:val="en-US"/>
        </w:rPr>
        <w:t xml:space="preserve">). This is an exploratory, qualitative, and quantitative study based on the records of the histories of social movements online. </w:t>
      </w:r>
      <w:proofErr w:type="spellStart"/>
      <w:r w:rsidRPr="00E5630A">
        <w:rPr>
          <w:sz w:val="20"/>
          <w:szCs w:val="20"/>
          <w:lang w:val="en-US"/>
        </w:rPr>
        <w:t>MapaMovSaúde</w:t>
      </w:r>
      <w:proofErr w:type="spellEnd"/>
      <w:r w:rsidRPr="00E5630A">
        <w:rPr>
          <w:sz w:val="20"/>
          <w:szCs w:val="20"/>
          <w:lang w:val="en-US"/>
        </w:rPr>
        <w:t xml:space="preserve"> </w:t>
      </w:r>
      <w:r w:rsidRPr="00E5630A">
        <w:rPr>
          <w:sz w:val="20"/>
          <w:szCs w:val="20"/>
          <w:lang w:val="en-US"/>
        </w:rPr>
        <w:lastRenderedPageBreak/>
        <w:t xml:space="preserve">is a project led by the Ministry of Health, </w:t>
      </w:r>
      <w:proofErr w:type="spellStart"/>
      <w:r w:rsidRPr="00E5630A">
        <w:rPr>
          <w:sz w:val="20"/>
          <w:szCs w:val="20"/>
          <w:lang w:val="en-US"/>
        </w:rPr>
        <w:t>Fiocruz</w:t>
      </w:r>
      <w:proofErr w:type="spellEnd"/>
      <w:r w:rsidRPr="00E5630A">
        <w:rPr>
          <w:sz w:val="20"/>
          <w:szCs w:val="20"/>
          <w:lang w:val="en-US"/>
        </w:rPr>
        <w:t xml:space="preserve">, and the National Health Council, launched on a public platform in September 2024. Of the 345 </w:t>
      </w:r>
      <w:proofErr w:type="spellStart"/>
      <w:r w:rsidRPr="00E5630A">
        <w:rPr>
          <w:sz w:val="20"/>
          <w:szCs w:val="20"/>
          <w:lang w:val="en-US"/>
        </w:rPr>
        <w:t>MapaMovSaúde</w:t>
      </w:r>
      <w:proofErr w:type="spellEnd"/>
      <w:r w:rsidRPr="00E5630A">
        <w:rPr>
          <w:sz w:val="20"/>
          <w:szCs w:val="20"/>
          <w:lang w:val="en-US"/>
        </w:rPr>
        <w:t xml:space="preserve"> records in June 2025, we identified 219 (63.4%) with no content, 25 (7.2%) were unaccounted for, and 101 (29.2%) had content. These were systematized into 16 categories according to the nature indicated in the title. In the description of the 101 stories with content, we observed that (13.8%) explicitly indicate the defense of the SUS, others (21.7%) base their actions on the defense of public health and sectoral services, and approximately 60% of the records do not make references to the SUS and health services.</w:t>
      </w:r>
    </w:p>
    <w:p w14:paraId="222AF24B" w14:textId="3D4C61F4" w:rsidR="006B3BAF" w:rsidRPr="00A048CE" w:rsidRDefault="006B3BAF" w:rsidP="006B3BAF">
      <w:pPr>
        <w:spacing w:line="240" w:lineRule="auto"/>
        <w:jc w:val="both"/>
        <w:rPr>
          <w:b/>
          <w:sz w:val="20"/>
          <w:szCs w:val="20"/>
          <w:lang w:val="en-US"/>
        </w:rPr>
      </w:pPr>
      <w:r>
        <w:rPr>
          <w:b/>
          <w:sz w:val="20"/>
          <w:szCs w:val="20"/>
          <w:lang w:val="en-US"/>
        </w:rPr>
        <w:t xml:space="preserve">                               </w:t>
      </w:r>
      <w:r w:rsidRPr="007321F4">
        <w:rPr>
          <w:b/>
          <w:sz w:val="20"/>
          <w:szCs w:val="20"/>
          <w:lang w:val="en-US"/>
        </w:rPr>
        <w:t xml:space="preserve">Keywords: </w:t>
      </w:r>
      <w:r w:rsidRPr="007321F4">
        <w:rPr>
          <w:sz w:val="20"/>
          <w:szCs w:val="20"/>
          <w:lang w:val="en-US"/>
        </w:rPr>
        <w:t>Social movement, health, Unified Health System, Collaborative Map</w:t>
      </w:r>
    </w:p>
    <w:p w14:paraId="649DF82B" w14:textId="77777777" w:rsidR="006B3BAF" w:rsidRPr="00A048CE" w:rsidRDefault="006B3BAF" w:rsidP="006B3BAF">
      <w:pPr>
        <w:spacing w:line="240" w:lineRule="auto"/>
        <w:ind w:left="2835"/>
        <w:jc w:val="both"/>
        <w:rPr>
          <w:sz w:val="20"/>
          <w:szCs w:val="20"/>
          <w:lang w:val="en-US"/>
        </w:rPr>
      </w:pPr>
    </w:p>
    <w:p w14:paraId="1B466A0E" w14:textId="77777777" w:rsidR="006B3BAF" w:rsidRPr="00E5630A" w:rsidRDefault="006B3BAF" w:rsidP="006B3BAF">
      <w:pPr>
        <w:rPr>
          <w:sz w:val="20"/>
          <w:szCs w:val="20"/>
          <w:lang w:val="en-US"/>
        </w:rPr>
      </w:pPr>
    </w:p>
    <w:p w14:paraId="775F6C28" w14:textId="77777777" w:rsidR="006B3BAF" w:rsidRPr="00E5630A" w:rsidRDefault="006B3BAF" w:rsidP="006B3BAF">
      <w:pPr>
        <w:rPr>
          <w:b/>
          <w:bCs/>
          <w:color w:val="FF0000"/>
          <w:sz w:val="24"/>
          <w:szCs w:val="24"/>
          <w:shd w:val="clear" w:color="auto" w:fill="FFFFFF"/>
          <w:lang w:val="en-US"/>
        </w:rPr>
      </w:pPr>
    </w:p>
    <w:p w14:paraId="22C528E7" w14:textId="1A033B6C" w:rsidR="006B3BAF" w:rsidRPr="00E31B5C" w:rsidRDefault="006B3BAF" w:rsidP="00E31B5C">
      <w:pPr>
        <w:pStyle w:val="PargrafodaLista"/>
        <w:numPr>
          <w:ilvl w:val="0"/>
          <w:numId w:val="6"/>
        </w:numPr>
        <w:rPr>
          <w:rFonts w:ascii="Arial" w:hAnsi="Arial" w:cs="Arial"/>
          <w:b/>
          <w:bCs/>
          <w:caps/>
          <w:color w:val="000000"/>
          <w:szCs w:val="18"/>
          <w:shd w:val="clear" w:color="auto" w:fill="FFFFFF"/>
        </w:rPr>
      </w:pPr>
      <w:r w:rsidRPr="00E31B5C">
        <w:rPr>
          <w:rFonts w:ascii="Arial" w:hAnsi="Arial" w:cs="Arial"/>
          <w:b/>
          <w:bCs/>
          <w:caps/>
          <w:color w:val="000000"/>
          <w:szCs w:val="18"/>
          <w:shd w:val="clear" w:color="auto" w:fill="FFFFFF"/>
        </w:rPr>
        <w:t>Introdução</w:t>
      </w:r>
    </w:p>
    <w:p w14:paraId="00BEEED4" w14:textId="77777777" w:rsidR="006B3BAF" w:rsidRPr="00E16639" w:rsidRDefault="006B3BAF" w:rsidP="006B3BAF">
      <w:pPr>
        <w:ind w:firstLine="708"/>
        <w:rPr>
          <w:bCs/>
          <w:sz w:val="24"/>
          <w:szCs w:val="24"/>
          <w:shd w:val="clear" w:color="auto" w:fill="FFFFFF"/>
        </w:rPr>
      </w:pPr>
    </w:p>
    <w:p w14:paraId="37DCE460" w14:textId="77777777" w:rsidR="006B3BAF" w:rsidRPr="00A048CE" w:rsidRDefault="006B3BAF" w:rsidP="006B3BAF">
      <w:pPr>
        <w:ind w:firstLine="708"/>
        <w:jc w:val="both"/>
        <w:rPr>
          <w:bCs/>
          <w:sz w:val="24"/>
          <w:szCs w:val="24"/>
          <w:shd w:val="clear" w:color="auto" w:fill="FFFFFF"/>
        </w:rPr>
      </w:pPr>
      <w:r w:rsidRPr="00A048CE">
        <w:rPr>
          <w:bCs/>
          <w:sz w:val="24"/>
          <w:szCs w:val="24"/>
          <w:shd w:val="clear" w:color="auto" w:fill="FFFFFF"/>
        </w:rPr>
        <w:t xml:space="preserve">O movimento da Reforma Sanitária se tornou a expressão material da busca </w:t>
      </w:r>
      <w:r>
        <w:rPr>
          <w:bCs/>
          <w:sz w:val="24"/>
          <w:szCs w:val="24"/>
          <w:shd w:val="clear" w:color="auto" w:fill="FFFFFF"/>
        </w:rPr>
        <w:t>do direito universal a saúde e d</w:t>
      </w:r>
      <w:r w:rsidRPr="00A048CE">
        <w:rPr>
          <w:bCs/>
          <w:sz w:val="24"/>
          <w:szCs w:val="24"/>
          <w:shd w:val="clear" w:color="auto" w:fill="FFFFFF"/>
        </w:rPr>
        <w:t>a criação do Sistema Único de Saúde sob a égide do Estado. Em tal processo construiu uma concepção abrangente de saúde que “é vista ao mesmo tempo como resultado das formas de organização social da produção e como fruto das lutas populares cotidianas, ambos atuando na conformação de sua concretização histórica singular” (</w:t>
      </w:r>
      <w:r w:rsidRPr="00A048CE">
        <w:rPr>
          <w:bCs/>
          <w:color w:val="000000"/>
          <w:sz w:val="24"/>
          <w:szCs w:val="24"/>
          <w:shd w:val="clear" w:color="auto" w:fill="FFFFFF"/>
        </w:rPr>
        <w:t>Teixeira</w:t>
      </w:r>
      <w:r w:rsidRPr="00A048CE">
        <w:rPr>
          <w:bCs/>
          <w:sz w:val="24"/>
          <w:szCs w:val="24"/>
          <w:shd w:val="clear" w:color="auto" w:fill="FFFFFF"/>
        </w:rPr>
        <w:t xml:space="preserve">, 1989, </w:t>
      </w:r>
      <w:r>
        <w:rPr>
          <w:bCs/>
          <w:sz w:val="24"/>
          <w:szCs w:val="24"/>
          <w:shd w:val="clear" w:color="auto" w:fill="FFFFFF"/>
        </w:rPr>
        <w:t xml:space="preserve">p. </w:t>
      </w:r>
      <w:r w:rsidRPr="00A048CE">
        <w:rPr>
          <w:bCs/>
          <w:sz w:val="24"/>
          <w:szCs w:val="24"/>
          <w:shd w:val="clear" w:color="auto" w:fill="FFFFFF"/>
        </w:rPr>
        <w:t>30).</w:t>
      </w:r>
    </w:p>
    <w:p w14:paraId="30321AE8" w14:textId="77777777" w:rsidR="006B3BAF" w:rsidRPr="00A048CE" w:rsidRDefault="006B3BAF" w:rsidP="006B3BAF">
      <w:pPr>
        <w:ind w:firstLine="708"/>
        <w:jc w:val="both"/>
        <w:rPr>
          <w:bCs/>
          <w:sz w:val="24"/>
          <w:szCs w:val="24"/>
          <w:shd w:val="clear" w:color="auto" w:fill="FFFFFF"/>
        </w:rPr>
      </w:pPr>
      <w:r w:rsidRPr="00A048CE">
        <w:rPr>
          <w:bCs/>
          <w:sz w:val="24"/>
          <w:szCs w:val="24"/>
          <w:shd w:val="clear" w:color="auto" w:fill="FFFFFF"/>
        </w:rPr>
        <w:t xml:space="preserve">Portanto a história do Sistema Único de Saúde (SUS) não pode ser contada desvinculada do movimento social e das lutas populares (perspectiva </w:t>
      </w:r>
      <w:proofErr w:type="spellStart"/>
      <w:r w:rsidRPr="00A048CE">
        <w:rPr>
          <w:bCs/>
          <w:sz w:val="24"/>
          <w:szCs w:val="24"/>
          <w:shd w:val="clear" w:color="auto" w:fill="FFFFFF"/>
        </w:rPr>
        <w:t>movimentista</w:t>
      </w:r>
      <w:proofErr w:type="spellEnd"/>
      <w:r w:rsidRPr="00A048CE">
        <w:rPr>
          <w:bCs/>
          <w:sz w:val="24"/>
          <w:szCs w:val="24"/>
          <w:shd w:val="clear" w:color="auto" w:fill="FFFFFF"/>
        </w:rPr>
        <w:t>) e que seus 37 anos de implementação estão em estreita relação com os espaços participativos institucionalizados (Conselhos e Conferências de Saúde nas três esferas de governo –</w:t>
      </w:r>
      <w:r>
        <w:rPr>
          <w:bCs/>
          <w:sz w:val="24"/>
          <w:szCs w:val="24"/>
          <w:shd w:val="clear" w:color="auto" w:fill="FFFFFF"/>
        </w:rPr>
        <w:t xml:space="preserve"> perspectiva institucionalista). No período recente</w:t>
      </w:r>
      <w:r w:rsidRPr="00A048CE">
        <w:rPr>
          <w:bCs/>
          <w:sz w:val="24"/>
          <w:szCs w:val="24"/>
          <w:shd w:val="clear" w:color="auto" w:fill="FFFFFF"/>
        </w:rPr>
        <w:t xml:space="preserve"> há inúmeras avaliações de que a retomada dos vínculos do SUS com os movimento</w:t>
      </w:r>
      <w:r>
        <w:rPr>
          <w:bCs/>
          <w:sz w:val="24"/>
          <w:szCs w:val="24"/>
          <w:shd w:val="clear" w:color="auto" w:fill="FFFFFF"/>
        </w:rPr>
        <w:t>s sociais é estratégico para sua consolidação</w:t>
      </w:r>
      <w:r w:rsidRPr="00A048CE">
        <w:rPr>
          <w:bCs/>
          <w:sz w:val="24"/>
          <w:szCs w:val="24"/>
          <w:shd w:val="clear" w:color="auto" w:fill="FFFFFF"/>
        </w:rPr>
        <w:t>. Com o propósito de tornar o SUS mais participativo e próximo dos movimentos sociais, o Ministério da Saúde lançou, em setembro de 2024, durante reunião do Conselho Nacional de Saúde (CNS), o Mapa Colaborativo dos Movimentos Sociais em Saúde (</w:t>
      </w:r>
      <w:proofErr w:type="spellStart"/>
      <w:r w:rsidRPr="00A048CE">
        <w:rPr>
          <w:bCs/>
          <w:sz w:val="24"/>
          <w:szCs w:val="24"/>
          <w:shd w:val="clear" w:color="auto" w:fill="FFFFFF"/>
        </w:rPr>
        <w:t>MapaMovSaúde</w:t>
      </w:r>
      <w:proofErr w:type="spellEnd"/>
      <w:r w:rsidRPr="00A048CE">
        <w:rPr>
          <w:bCs/>
          <w:sz w:val="24"/>
          <w:szCs w:val="24"/>
          <w:shd w:val="clear" w:color="auto" w:fill="FFFFFF"/>
        </w:rPr>
        <w:t xml:space="preserve">) e os primeiros conteúdos da plataforma. O </w:t>
      </w:r>
      <w:proofErr w:type="spellStart"/>
      <w:r w:rsidRPr="00A048CE">
        <w:rPr>
          <w:bCs/>
          <w:sz w:val="24"/>
          <w:szCs w:val="24"/>
          <w:shd w:val="clear" w:color="auto" w:fill="FFFFFF"/>
        </w:rPr>
        <w:t>MapaMovSaúde</w:t>
      </w:r>
      <w:proofErr w:type="spellEnd"/>
      <w:r w:rsidRPr="00A048CE">
        <w:rPr>
          <w:bCs/>
          <w:sz w:val="24"/>
          <w:szCs w:val="24"/>
          <w:shd w:val="clear" w:color="auto" w:fill="FFFFFF"/>
        </w:rPr>
        <w:t xml:space="preserve"> é um projeto colaborativo liderado pelo Ministério da Saúde, Fiocruz e Conselho Nacional de Saúde. A divulgação do mapa afirma que ele tem origem e se fundamenta no lema da reforma sanitária brasileira "Saúde é Democracia", ao tempo que ele expressa a convicção de que a efetivação dos direitos de cidadania exige uma ampla participação da sociedade, de forma crítica e consciente, capaz de promover mudanças que assegurem a melhoria das condições de vida, dignidade, direitos, cuidados e bem viver (</w:t>
      </w:r>
      <w:proofErr w:type="spellStart"/>
      <w:r w:rsidRPr="00A048CE">
        <w:rPr>
          <w:bCs/>
          <w:sz w:val="24"/>
          <w:szCs w:val="24"/>
          <w:shd w:val="clear" w:color="auto" w:fill="FFFFFF"/>
        </w:rPr>
        <w:t>MapaMovSaúde</w:t>
      </w:r>
      <w:proofErr w:type="spellEnd"/>
      <w:r w:rsidRPr="00A048CE">
        <w:rPr>
          <w:bCs/>
          <w:sz w:val="24"/>
          <w:szCs w:val="24"/>
          <w:shd w:val="clear" w:color="auto" w:fill="FFFFFF"/>
        </w:rPr>
        <w:t xml:space="preserve">. Projeto. Sem data).  </w:t>
      </w:r>
    </w:p>
    <w:p w14:paraId="0D3F0808" w14:textId="77777777" w:rsidR="006B3BAF" w:rsidRPr="00A048CE" w:rsidRDefault="006B3BAF" w:rsidP="006B3BAF">
      <w:pPr>
        <w:ind w:firstLine="708"/>
        <w:jc w:val="both"/>
        <w:rPr>
          <w:bCs/>
          <w:sz w:val="24"/>
          <w:szCs w:val="24"/>
          <w:shd w:val="clear" w:color="auto" w:fill="FFFFFF"/>
        </w:rPr>
      </w:pPr>
      <w:r w:rsidRPr="00A048CE">
        <w:rPr>
          <w:bCs/>
          <w:sz w:val="24"/>
          <w:szCs w:val="24"/>
          <w:shd w:val="clear" w:color="auto" w:fill="FFFFFF"/>
        </w:rPr>
        <w:lastRenderedPageBreak/>
        <w:t>Assim, o objetivo deste texto é caracterizar e refletir sobre o perfil e a finalidade dos movimentos sociais que integram o Mapa Colaborativo dos Movimentos Sociais em Saúde (</w:t>
      </w:r>
      <w:proofErr w:type="spellStart"/>
      <w:r w:rsidRPr="00A048CE">
        <w:rPr>
          <w:bCs/>
          <w:sz w:val="24"/>
          <w:szCs w:val="24"/>
          <w:shd w:val="clear" w:color="auto" w:fill="FFFFFF"/>
        </w:rPr>
        <w:t>MapaMovSaúde</w:t>
      </w:r>
      <w:proofErr w:type="spellEnd"/>
      <w:r w:rsidRPr="00A048CE">
        <w:rPr>
          <w:bCs/>
          <w:sz w:val="24"/>
          <w:szCs w:val="24"/>
          <w:shd w:val="clear" w:color="auto" w:fill="FFFFFF"/>
        </w:rPr>
        <w:t xml:space="preserve">). Se trata de uma investigação exploratória, qualitativa e quantitativa, com base </w:t>
      </w:r>
      <w:r>
        <w:rPr>
          <w:bCs/>
          <w:sz w:val="24"/>
          <w:szCs w:val="24"/>
          <w:shd w:val="clear" w:color="auto" w:fill="FFFFFF"/>
        </w:rPr>
        <w:t>n</w:t>
      </w:r>
      <w:r w:rsidRPr="00A048CE">
        <w:rPr>
          <w:bCs/>
          <w:sz w:val="24"/>
          <w:szCs w:val="24"/>
          <w:shd w:val="clear" w:color="auto" w:fill="FFFFFF"/>
        </w:rPr>
        <w:t xml:space="preserve">as histórias dos movimentos sociais conforme registrados no site do </w:t>
      </w:r>
      <w:proofErr w:type="spellStart"/>
      <w:r w:rsidRPr="00A048CE">
        <w:rPr>
          <w:bCs/>
          <w:sz w:val="24"/>
          <w:szCs w:val="24"/>
          <w:shd w:val="clear" w:color="auto" w:fill="FFFFFF"/>
        </w:rPr>
        <w:t>MapaMovSaúde</w:t>
      </w:r>
      <w:proofErr w:type="spellEnd"/>
      <w:r w:rsidRPr="00A048CE">
        <w:rPr>
          <w:bCs/>
          <w:sz w:val="24"/>
          <w:szCs w:val="24"/>
          <w:shd w:val="clear" w:color="auto" w:fill="FFFFFF"/>
        </w:rPr>
        <w:t xml:space="preserve"> (</w:t>
      </w:r>
      <w:hyperlink r:id="rId8" w:history="1">
        <w:r w:rsidRPr="00A048CE">
          <w:rPr>
            <w:rStyle w:val="Hyperlink"/>
            <w:bCs/>
            <w:sz w:val="24"/>
            <w:szCs w:val="24"/>
            <w:shd w:val="clear" w:color="auto" w:fill="FFFFFF"/>
          </w:rPr>
          <w:t>https://mapamovsaude.net.br/index.php/Especial:Todas_as_p%C3%A1ginas</w:t>
        </w:r>
      </w:hyperlink>
      <w:r w:rsidRPr="00A048CE">
        <w:rPr>
          <w:bCs/>
          <w:sz w:val="24"/>
          <w:szCs w:val="24"/>
          <w:shd w:val="clear" w:color="auto" w:fill="FFFFFF"/>
        </w:rPr>
        <w:t>).</w:t>
      </w:r>
    </w:p>
    <w:p w14:paraId="4623D4E7" w14:textId="77777777" w:rsidR="006B3BAF" w:rsidRPr="00A048CE" w:rsidRDefault="006B3BAF" w:rsidP="006B3BAF">
      <w:pPr>
        <w:ind w:firstLine="708"/>
        <w:jc w:val="both"/>
        <w:rPr>
          <w:rFonts w:eastAsia="Times New Roman"/>
          <w:sz w:val="24"/>
          <w:szCs w:val="24"/>
        </w:rPr>
      </w:pPr>
      <w:r w:rsidRPr="00A048CE">
        <w:rPr>
          <w:rFonts w:eastAsia="Times New Roman"/>
          <w:sz w:val="24"/>
          <w:szCs w:val="24"/>
        </w:rPr>
        <w:t>Para o desenvolvimento deste texto de partida apresentamos indicações conceituais de movimento social que serão subs</w:t>
      </w:r>
      <w:r>
        <w:rPr>
          <w:rFonts w:eastAsia="Times New Roman"/>
          <w:sz w:val="24"/>
          <w:szCs w:val="24"/>
        </w:rPr>
        <w:t>íd</w:t>
      </w:r>
      <w:r w:rsidRPr="00A048CE">
        <w:rPr>
          <w:rFonts w:eastAsia="Times New Roman"/>
          <w:sz w:val="24"/>
          <w:szCs w:val="24"/>
        </w:rPr>
        <w:t>i</w:t>
      </w:r>
      <w:r>
        <w:rPr>
          <w:rFonts w:eastAsia="Times New Roman"/>
          <w:sz w:val="24"/>
          <w:szCs w:val="24"/>
        </w:rPr>
        <w:t>o</w:t>
      </w:r>
      <w:r w:rsidRPr="00A048CE">
        <w:rPr>
          <w:rFonts w:eastAsia="Times New Roman"/>
          <w:sz w:val="24"/>
          <w:szCs w:val="24"/>
        </w:rPr>
        <w:t>s e fundamentos para o texto. A história do desenvolvimento da organização social capitalista, por produzir continuamente complexas e intensas questões sociais (proletarização, concentração populacional em espaços urbanos que provocam mais pobreza, insegurança social, violências, exploração e faz desaparecer as formas tradicionais e solidárias de proteção social), fomentou uma série de lutas dos trabalhadores para garantir a satisfação de suas necessidades sociais. Desta forma a questão social se transformou em fato político e as medidas para solucioná-las constituíram-se ao longo do tempo em projetos e pautas de partidos políticos, sindicatos e movimentos sociais. Assim</w:t>
      </w:r>
      <w:r>
        <w:rPr>
          <w:rFonts w:eastAsia="Times New Roman"/>
          <w:sz w:val="24"/>
          <w:szCs w:val="24"/>
        </w:rPr>
        <w:t>,</w:t>
      </w:r>
      <w:r w:rsidRPr="00A048CE">
        <w:rPr>
          <w:rFonts w:eastAsia="Times New Roman"/>
          <w:sz w:val="24"/>
          <w:szCs w:val="24"/>
        </w:rPr>
        <w:t xml:space="preserve"> o movimento social se caracteriza com um grau de formalidade e de estabilidade que não se reduz a uma dada atividade de mobilização. Constitui-se por sujeitos portadores de uma certa identidade, necessidade, reivindicação e/ou pertencimento de classe, que se mobilizam por respostas ou para enfrentar tais questões (Montano e </w:t>
      </w:r>
      <w:proofErr w:type="spellStart"/>
      <w:r w:rsidRPr="00A048CE">
        <w:rPr>
          <w:rFonts w:eastAsia="Times New Roman"/>
          <w:sz w:val="24"/>
          <w:szCs w:val="24"/>
        </w:rPr>
        <w:t>Duriguetto</w:t>
      </w:r>
      <w:proofErr w:type="spellEnd"/>
      <w:r w:rsidRPr="00A048CE">
        <w:rPr>
          <w:rFonts w:eastAsia="Times New Roman"/>
          <w:sz w:val="24"/>
          <w:szCs w:val="24"/>
        </w:rPr>
        <w:t xml:space="preserve">, 2011). </w:t>
      </w:r>
    </w:p>
    <w:p w14:paraId="67AB6C05" w14:textId="77777777" w:rsidR="006B3BAF" w:rsidRPr="00A048CE" w:rsidRDefault="006B3BAF" w:rsidP="006B3BAF">
      <w:pPr>
        <w:ind w:firstLine="708"/>
        <w:jc w:val="both"/>
        <w:rPr>
          <w:rFonts w:eastAsia="Calibri"/>
        </w:rPr>
      </w:pPr>
      <w:r>
        <w:rPr>
          <w:rFonts w:eastAsia="Times New Roman"/>
          <w:sz w:val="24"/>
          <w:szCs w:val="24"/>
        </w:rPr>
        <w:t>Se caracterizam também os “movimentos sociais como</w:t>
      </w:r>
      <w:r w:rsidRPr="00A048CE">
        <w:rPr>
          <w:rFonts w:eastAsia="Times New Roman"/>
          <w:sz w:val="24"/>
          <w:szCs w:val="24"/>
        </w:rPr>
        <w:t xml:space="preserve"> as tentativas coletivas de promover mudanças, no todo ou em parte, em determinadas instituições sociais, ou de criar uma nova ordem social” (Fundação Getúlio Vargas, 1986). Para </w:t>
      </w:r>
      <w:proofErr w:type="spellStart"/>
      <w:r w:rsidRPr="00A048CE">
        <w:rPr>
          <w:rFonts w:eastAsia="Times New Roman"/>
          <w:sz w:val="24"/>
          <w:szCs w:val="24"/>
        </w:rPr>
        <w:t>Gohn</w:t>
      </w:r>
      <w:proofErr w:type="spellEnd"/>
      <w:r w:rsidRPr="00A048CE">
        <w:rPr>
          <w:rFonts w:eastAsia="Times New Roman"/>
          <w:sz w:val="24"/>
          <w:szCs w:val="24"/>
        </w:rPr>
        <w:t xml:space="preserve"> (1997, p. 171) “A análise dos movimentos sociais sob o prisma do marxismo refere-se a processos de lutas sociais voltadas para a transformação das condições existentes na realidade social, de carências econômicas e/ou opressão sociopolítica e cultural”. Assim, podemos compreender a reivindicação do direito a saúde e a implementação do Sistema Único de Saúde (SUS) como o fato político e a expressão da questão social que gera </w:t>
      </w:r>
      <w:r>
        <w:rPr>
          <w:rFonts w:eastAsia="Times New Roman"/>
          <w:sz w:val="24"/>
          <w:szCs w:val="24"/>
        </w:rPr>
        <w:t xml:space="preserve">e dinamiza </w:t>
      </w:r>
      <w:r w:rsidRPr="00A048CE">
        <w:rPr>
          <w:rFonts w:eastAsia="Times New Roman"/>
          <w:sz w:val="24"/>
          <w:szCs w:val="24"/>
        </w:rPr>
        <w:t>o movimento</w:t>
      </w:r>
      <w:r>
        <w:rPr>
          <w:rFonts w:eastAsia="Times New Roman"/>
          <w:sz w:val="24"/>
          <w:szCs w:val="24"/>
        </w:rPr>
        <w:t xml:space="preserve"> sanitário</w:t>
      </w:r>
      <w:r w:rsidRPr="00A048CE">
        <w:rPr>
          <w:rFonts w:eastAsia="Times New Roman"/>
          <w:sz w:val="24"/>
          <w:szCs w:val="24"/>
        </w:rPr>
        <w:t>.</w:t>
      </w:r>
    </w:p>
    <w:p w14:paraId="365BEE4F" w14:textId="16DF6155" w:rsidR="006B3BAF" w:rsidRPr="00A048CE" w:rsidRDefault="006B3BAF" w:rsidP="006B3BAF">
      <w:pPr>
        <w:ind w:firstLine="708"/>
        <w:jc w:val="both"/>
        <w:rPr>
          <w:bCs/>
          <w:sz w:val="24"/>
          <w:szCs w:val="24"/>
          <w:shd w:val="clear" w:color="auto" w:fill="FFFFFF"/>
        </w:rPr>
      </w:pPr>
      <w:r w:rsidRPr="00A048CE">
        <w:rPr>
          <w:rFonts w:eastAsia="Times New Roman"/>
          <w:sz w:val="24"/>
          <w:szCs w:val="24"/>
        </w:rPr>
        <w:t xml:space="preserve">Como já sabemos, felizmente, qualquer perspectiva metodológica e analítica sempre carrega a marca das nossas percepções e intenções. Não há metodologia desencarnada das circunstâncias de quem a aplica. Desse modo, a concepção dos idealizadores e coordenadores do </w:t>
      </w:r>
      <w:proofErr w:type="spellStart"/>
      <w:r>
        <w:rPr>
          <w:bCs/>
          <w:sz w:val="24"/>
          <w:szCs w:val="24"/>
          <w:shd w:val="clear" w:color="auto" w:fill="FFFFFF"/>
        </w:rPr>
        <w:t>MapaMovSaúde</w:t>
      </w:r>
      <w:proofErr w:type="spellEnd"/>
      <w:r>
        <w:rPr>
          <w:bCs/>
          <w:sz w:val="24"/>
          <w:szCs w:val="24"/>
          <w:shd w:val="clear" w:color="auto" w:fill="FFFFFF"/>
        </w:rPr>
        <w:t>, pode ser adensada e</w:t>
      </w:r>
      <w:r w:rsidRPr="00A048CE">
        <w:rPr>
          <w:bCs/>
          <w:sz w:val="24"/>
          <w:szCs w:val="24"/>
          <w:shd w:val="clear" w:color="auto" w:fill="FFFFFF"/>
        </w:rPr>
        <w:t xml:space="preserve"> acumulada dos resultados deste estudo inicial. A construção e socialização do conhecimento </w:t>
      </w:r>
      <w:r w:rsidR="00680EC6" w:rsidRPr="00A048CE">
        <w:rPr>
          <w:bCs/>
          <w:sz w:val="24"/>
          <w:szCs w:val="24"/>
          <w:shd w:val="clear" w:color="auto" w:fill="FFFFFF"/>
        </w:rPr>
        <w:t>científico</w:t>
      </w:r>
      <w:r w:rsidRPr="00A048CE">
        <w:rPr>
          <w:bCs/>
          <w:sz w:val="24"/>
          <w:szCs w:val="24"/>
          <w:shd w:val="clear" w:color="auto" w:fill="FFFFFF"/>
        </w:rPr>
        <w:t xml:space="preserve"> vinculado ao SUS, não nos solicita neutralidade e alinhamento, mas compromisso com seus fundamentos expressos especialmente no conceito ampliado </w:t>
      </w:r>
      <w:r w:rsidRPr="00A048CE">
        <w:rPr>
          <w:bCs/>
          <w:sz w:val="24"/>
          <w:szCs w:val="24"/>
          <w:shd w:val="clear" w:color="auto" w:fill="FFFFFF"/>
        </w:rPr>
        <w:lastRenderedPageBreak/>
        <w:t>de saúde, competências e princípios</w:t>
      </w:r>
      <w:r>
        <w:rPr>
          <w:bCs/>
          <w:sz w:val="24"/>
          <w:szCs w:val="24"/>
          <w:shd w:val="clear" w:color="auto" w:fill="FFFFFF"/>
        </w:rPr>
        <w:t xml:space="preserve"> (artigos 3, 6 e 7; Brasil, Lei 8080/1990)</w:t>
      </w:r>
      <w:r w:rsidRPr="00A048CE">
        <w:rPr>
          <w:bCs/>
          <w:sz w:val="24"/>
          <w:szCs w:val="24"/>
          <w:shd w:val="clear" w:color="auto" w:fill="FFFFFF"/>
        </w:rPr>
        <w:t>. Faço estes comentários para destacar a pesquisa como processo coletivo, mas sobretudo para ressaltar a importância neste atual momento histórico de polarização social e política</w:t>
      </w:r>
      <w:r>
        <w:rPr>
          <w:bCs/>
          <w:sz w:val="24"/>
          <w:szCs w:val="24"/>
          <w:shd w:val="clear" w:color="auto" w:fill="FFFFFF"/>
        </w:rPr>
        <w:t>, com vistas coletivamente</w:t>
      </w:r>
      <w:r w:rsidRPr="00A048CE">
        <w:rPr>
          <w:bCs/>
          <w:sz w:val="24"/>
          <w:szCs w:val="24"/>
          <w:shd w:val="clear" w:color="auto" w:fill="FFFFFF"/>
        </w:rPr>
        <w:t xml:space="preserve"> potenciarmos os diálogos entre a produção de conhecimentos críticos e </w:t>
      </w:r>
      <w:r>
        <w:rPr>
          <w:bCs/>
          <w:sz w:val="24"/>
          <w:szCs w:val="24"/>
          <w:shd w:val="clear" w:color="auto" w:fill="FFFFFF"/>
        </w:rPr>
        <w:t>grupos</w:t>
      </w:r>
      <w:r w:rsidRPr="00A048CE">
        <w:rPr>
          <w:bCs/>
          <w:sz w:val="24"/>
          <w:szCs w:val="24"/>
          <w:shd w:val="clear" w:color="auto" w:fill="FFFFFF"/>
        </w:rPr>
        <w:t xml:space="preserve"> organizad</w:t>
      </w:r>
      <w:r w:rsidR="00E31B5C">
        <w:rPr>
          <w:bCs/>
          <w:sz w:val="24"/>
          <w:szCs w:val="24"/>
          <w:shd w:val="clear" w:color="auto" w:fill="FFFFFF"/>
        </w:rPr>
        <w:t>o</w:t>
      </w:r>
      <w:r w:rsidRPr="00A048CE">
        <w:rPr>
          <w:bCs/>
          <w:sz w:val="24"/>
          <w:szCs w:val="24"/>
          <w:shd w:val="clear" w:color="auto" w:fill="FFFFFF"/>
        </w:rPr>
        <w:t>s que seguem na defesa de serviços públicos estatais e dos direitos sociais.</w:t>
      </w:r>
    </w:p>
    <w:p w14:paraId="7FD21527" w14:textId="12A5BF57" w:rsidR="006B3BAF" w:rsidRPr="00A048CE" w:rsidRDefault="006B3BAF" w:rsidP="006B3BAF">
      <w:pPr>
        <w:ind w:firstLine="708"/>
        <w:jc w:val="both"/>
        <w:rPr>
          <w:bCs/>
          <w:color w:val="FF0000"/>
          <w:sz w:val="24"/>
          <w:szCs w:val="24"/>
          <w:shd w:val="clear" w:color="auto" w:fill="FFFFFF"/>
        </w:rPr>
      </w:pPr>
      <w:r w:rsidRPr="00A048CE">
        <w:rPr>
          <w:bCs/>
          <w:sz w:val="24"/>
          <w:szCs w:val="24"/>
          <w:shd w:val="clear" w:color="auto" w:fill="FFFFFF"/>
        </w:rPr>
        <w:t xml:space="preserve">O texto na sequência apresenta breves elementos da trajetória e presença dos movimentos sociais na estruturação do Movimento da Reforma Sanitária, na construção e implementação do SUS, sobretudo na sua diretriz de participação </w:t>
      </w:r>
      <w:r w:rsidR="00E31B5C">
        <w:rPr>
          <w:bCs/>
          <w:sz w:val="24"/>
          <w:szCs w:val="24"/>
          <w:shd w:val="clear" w:color="auto" w:fill="FFFFFF"/>
        </w:rPr>
        <w:t>d</w:t>
      </w:r>
      <w:r w:rsidRPr="00A048CE">
        <w:rPr>
          <w:bCs/>
          <w:sz w:val="24"/>
          <w:szCs w:val="24"/>
          <w:shd w:val="clear" w:color="auto" w:fill="FFFFFF"/>
        </w:rPr>
        <w:t xml:space="preserve">a comunidade (materializada nos conselhos e conferências). No segundo momento a construção do </w:t>
      </w:r>
      <w:proofErr w:type="spellStart"/>
      <w:r w:rsidRPr="00A048CE">
        <w:rPr>
          <w:bCs/>
          <w:sz w:val="24"/>
          <w:szCs w:val="24"/>
          <w:shd w:val="clear" w:color="auto" w:fill="FFFFFF"/>
        </w:rPr>
        <w:t>MapaMovSaúde</w:t>
      </w:r>
      <w:proofErr w:type="spellEnd"/>
      <w:r w:rsidRPr="00A048CE">
        <w:rPr>
          <w:bCs/>
          <w:sz w:val="24"/>
          <w:szCs w:val="24"/>
          <w:shd w:val="clear" w:color="auto" w:fill="FFFFFF"/>
        </w:rPr>
        <w:t xml:space="preserve"> é contextualizada, seguido </w:t>
      </w:r>
      <w:r>
        <w:rPr>
          <w:bCs/>
          <w:sz w:val="24"/>
          <w:szCs w:val="24"/>
          <w:shd w:val="clear" w:color="auto" w:fill="FFFFFF"/>
        </w:rPr>
        <w:t>da</w:t>
      </w:r>
      <w:r w:rsidRPr="00A048CE">
        <w:rPr>
          <w:bCs/>
          <w:sz w:val="24"/>
          <w:szCs w:val="24"/>
          <w:shd w:val="clear" w:color="auto" w:fill="FFFFFF"/>
        </w:rPr>
        <w:t xml:space="preserve"> apresenta</w:t>
      </w:r>
      <w:r>
        <w:rPr>
          <w:bCs/>
          <w:sz w:val="24"/>
          <w:szCs w:val="24"/>
          <w:shd w:val="clear" w:color="auto" w:fill="FFFFFF"/>
        </w:rPr>
        <w:t>ção</w:t>
      </w:r>
      <w:r w:rsidRPr="00A048CE">
        <w:rPr>
          <w:bCs/>
          <w:sz w:val="24"/>
          <w:szCs w:val="24"/>
          <w:shd w:val="clear" w:color="auto" w:fill="FFFFFF"/>
        </w:rPr>
        <w:t xml:space="preserve"> </w:t>
      </w:r>
      <w:r>
        <w:rPr>
          <w:bCs/>
          <w:sz w:val="24"/>
          <w:szCs w:val="24"/>
          <w:shd w:val="clear" w:color="auto" w:fill="FFFFFF"/>
        </w:rPr>
        <w:t>d</w:t>
      </w:r>
      <w:r w:rsidRPr="00A048CE">
        <w:rPr>
          <w:bCs/>
          <w:sz w:val="24"/>
          <w:szCs w:val="24"/>
          <w:shd w:val="clear" w:color="auto" w:fill="FFFFFF"/>
        </w:rPr>
        <w:t>o perfil e finalidades do</w:t>
      </w:r>
      <w:r>
        <w:rPr>
          <w:bCs/>
          <w:sz w:val="24"/>
          <w:szCs w:val="24"/>
          <w:shd w:val="clear" w:color="auto" w:fill="FFFFFF"/>
        </w:rPr>
        <w:t>s</w:t>
      </w:r>
      <w:r w:rsidRPr="00A048CE">
        <w:rPr>
          <w:bCs/>
          <w:sz w:val="24"/>
          <w:szCs w:val="24"/>
          <w:shd w:val="clear" w:color="auto" w:fill="FFFFFF"/>
        </w:rPr>
        <w:t xml:space="preserve"> movimentos sociais registrados no </w:t>
      </w:r>
      <w:proofErr w:type="spellStart"/>
      <w:r w:rsidRPr="00A048CE">
        <w:rPr>
          <w:bCs/>
          <w:sz w:val="24"/>
          <w:szCs w:val="24"/>
          <w:shd w:val="clear" w:color="auto" w:fill="FFFFFF"/>
        </w:rPr>
        <w:t>MapaMovSaúdede</w:t>
      </w:r>
      <w:proofErr w:type="spellEnd"/>
      <w:r w:rsidRPr="00A048CE">
        <w:rPr>
          <w:bCs/>
          <w:sz w:val="24"/>
          <w:szCs w:val="24"/>
          <w:shd w:val="clear" w:color="auto" w:fill="FFFFFF"/>
        </w:rPr>
        <w:t xml:space="preserve"> sistematizados quantitativa e qualitativamente. Ensaios analíticos finalizam o texto. </w:t>
      </w:r>
    </w:p>
    <w:p w14:paraId="39826BCF" w14:textId="77777777" w:rsidR="006B3BAF" w:rsidRPr="00A048CE" w:rsidRDefault="006B3BAF" w:rsidP="006B3BAF">
      <w:pPr>
        <w:rPr>
          <w:bCs/>
          <w:color w:val="FF0000"/>
          <w:sz w:val="24"/>
          <w:szCs w:val="24"/>
          <w:shd w:val="clear" w:color="auto" w:fill="FFFFFF"/>
        </w:rPr>
      </w:pPr>
    </w:p>
    <w:p w14:paraId="5B6EBABD" w14:textId="79299AC9" w:rsidR="006B3BAF" w:rsidRPr="00E31B5C" w:rsidRDefault="00E31B5C" w:rsidP="00E31B5C">
      <w:pPr>
        <w:ind w:firstLine="708"/>
        <w:rPr>
          <w:b/>
          <w:bCs/>
          <w:caps/>
          <w:sz w:val="24"/>
          <w:szCs w:val="24"/>
          <w:shd w:val="clear" w:color="auto" w:fill="FFFFFF"/>
        </w:rPr>
      </w:pPr>
      <w:r w:rsidRPr="00E31B5C">
        <w:rPr>
          <w:b/>
          <w:bCs/>
          <w:caps/>
          <w:sz w:val="24"/>
          <w:szCs w:val="24"/>
          <w:shd w:val="clear" w:color="auto" w:fill="FFFFFF"/>
        </w:rPr>
        <w:t>2</w:t>
      </w:r>
      <w:r w:rsidR="006B3BAF" w:rsidRPr="00E31B5C">
        <w:rPr>
          <w:b/>
          <w:bCs/>
          <w:caps/>
          <w:sz w:val="24"/>
          <w:szCs w:val="24"/>
          <w:shd w:val="clear" w:color="auto" w:fill="FFFFFF"/>
        </w:rPr>
        <w:t>. Movimentos sociais, SUS e MapaMovSaúde</w:t>
      </w:r>
      <w:r w:rsidRPr="00E31B5C">
        <w:rPr>
          <w:b/>
          <w:bCs/>
          <w:caps/>
          <w:sz w:val="24"/>
          <w:szCs w:val="24"/>
          <w:shd w:val="clear" w:color="auto" w:fill="FFFFFF"/>
        </w:rPr>
        <w:t xml:space="preserve"> </w:t>
      </w:r>
    </w:p>
    <w:p w14:paraId="41FEDCFF" w14:textId="77777777" w:rsidR="006B3BAF" w:rsidRPr="00A048CE" w:rsidRDefault="006B3BAF" w:rsidP="006B3BAF">
      <w:pPr>
        <w:rPr>
          <w:bCs/>
          <w:color w:val="FF0000"/>
          <w:sz w:val="24"/>
          <w:szCs w:val="24"/>
          <w:shd w:val="clear" w:color="auto" w:fill="FFFFFF"/>
        </w:rPr>
      </w:pPr>
    </w:p>
    <w:p w14:paraId="6970F189" w14:textId="1C9E7968" w:rsidR="006B3BAF" w:rsidRPr="00A048CE" w:rsidRDefault="006B3BAF" w:rsidP="006B3BAF">
      <w:pPr>
        <w:ind w:firstLine="708"/>
        <w:jc w:val="both"/>
        <w:rPr>
          <w:bCs/>
          <w:sz w:val="24"/>
          <w:szCs w:val="24"/>
          <w:shd w:val="clear" w:color="auto" w:fill="FFFFFF"/>
        </w:rPr>
      </w:pPr>
      <w:r w:rsidRPr="00A048CE">
        <w:rPr>
          <w:bCs/>
          <w:sz w:val="24"/>
          <w:szCs w:val="24"/>
          <w:shd w:val="clear" w:color="auto" w:fill="FFFFFF"/>
        </w:rPr>
        <w:t>O Sistema Único de Saúde (SUS) no Brasil é resultado de lutas dos movimentos sociais que se agruparam em torno do grande movimento denominado Reforma Sanitária. A articulação desse movimento social pela saúde se deu pela constituição de um pensamento crítico contra hegemônico concretizador das propostas de transformação do sistema de saúde, que até então materializava a política de mercantilização da medicina</w:t>
      </w:r>
      <w:r>
        <w:rPr>
          <w:bCs/>
          <w:sz w:val="24"/>
          <w:szCs w:val="24"/>
          <w:shd w:val="clear" w:color="auto" w:fill="FFFFFF"/>
        </w:rPr>
        <w:t xml:space="preserve"> de um lado, e de outro uma lógica assistencial filantrópica para maioria da população</w:t>
      </w:r>
      <w:r w:rsidRPr="00A048CE">
        <w:rPr>
          <w:bCs/>
          <w:sz w:val="24"/>
          <w:szCs w:val="24"/>
          <w:shd w:val="clear" w:color="auto" w:fill="FFFFFF"/>
        </w:rPr>
        <w:t xml:space="preserve">. </w:t>
      </w:r>
    </w:p>
    <w:p w14:paraId="2CEEF8E0" w14:textId="77777777" w:rsidR="006B3BAF" w:rsidRPr="00A048CE" w:rsidRDefault="006B3BAF" w:rsidP="006B3BAF">
      <w:pPr>
        <w:ind w:firstLine="708"/>
        <w:jc w:val="both"/>
        <w:rPr>
          <w:bCs/>
          <w:sz w:val="24"/>
          <w:szCs w:val="24"/>
          <w:shd w:val="clear" w:color="auto" w:fill="FFFFFF"/>
        </w:rPr>
      </w:pPr>
      <w:r w:rsidRPr="00A048CE">
        <w:rPr>
          <w:bCs/>
          <w:sz w:val="24"/>
          <w:szCs w:val="24"/>
          <w:shd w:val="clear" w:color="auto" w:fill="FFFFFF"/>
        </w:rPr>
        <w:t>O Movimento Sanitário, com objetivo de</w:t>
      </w:r>
      <w:r>
        <w:rPr>
          <w:bCs/>
          <w:sz w:val="24"/>
          <w:szCs w:val="24"/>
          <w:shd w:val="clear" w:color="auto" w:fill="FFFFFF"/>
        </w:rPr>
        <w:t xml:space="preserve"> organizar um</w:t>
      </w:r>
      <w:r w:rsidRPr="00A048CE">
        <w:rPr>
          <w:bCs/>
          <w:sz w:val="24"/>
          <w:szCs w:val="24"/>
          <w:shd w:val="clear" w:color="auto" w:fill="FFFFFF"/>
        </w:rPr>
        <w:t xml:space="preserve"> sistema público de serviços de saúde, se moveu em três direções: a) politização da questão da saúde (profissionais de saúde, intelectuais, sindicatos, centrais de trabalhadores, movimentos populares e partidos políticos); b) alteração da norma constitucional (cujas ações e serviços deveriam ser prioritariamente públicos e extensivos a toda população e com enfretament</w:t>
      </w:r>
      <w:r>
        <w:rPr>
          <w:bCs/>
          <w:sz w:val="24"/>
          <w:szCs w:val="24"/>
          <w:shd w:val="clear" w:color="auto" w:fill="FFFFFF"/>
        </w:rPr>
        <w:t>o ao setor privado empresarial,</w:t>
      </w:r>
      <w:r w:rsidRPr="00A048CE">
        <w:rPr>
          <w:bCs/>
          <w:sz w:val="24"/>
          <w:szCs w:val="24"/>
          <w:shd w:val="clear" w:color="auto" w:fill="FFFFFF"/>
        </w:rPr>
        <w:t xml:space="preserve"> nacional e multinacional da saúde); e c) mudança do arcabouço e das práticas institucionais (setor público descentralizado e executor, </w:t>
      </w:r>
      <w:r>
        <w:rPr>
          <w:bCs/>
          <w:sz w:val="24"/>
          <w:szCs w:val="24"/>
          <w:shd w:val="clear" w:color="auto" w:fill="FFFFFF"/>
        </w:rPr>
        <w:t xml:space="preserve">incidir na formação dos trabalhadores da saúde, </w:t>
      </w:r>
      <w:r w:rsidRPr="00A048CE">
        <w:rPr>
          <w:bCs/>
          <w:sz w:val="24"/>
          <w:szCs w:val="24"/>
          <w:shd w:val="clear" w:color="auto" w:fill="FFFFFF"/>
        </w:rPr>
        <w:t>participação da população e dos profissionais, instrumentos de planejamento e controle orçamentário) (</w:t>
      </w:r>
      <w:r w:rsidRPr="00A048CE">
        <w:rPr>
          <w:bCs/>
          <w:color w:val="000000"/>
          <w:sz w:val="24"/>
          <w:szCs w:val="24"/>
          <w:shd w:val="clear" w:color="auto" w:fill="FFFFFF"/>
        </w:rPr>
        <w:t>Teixeira</w:t>
      </w:r>
      <w:r w:rsidRPr="00A048CE">
        <w:rPr>
          <w:bCs/>
          <w:sz w:val="24"/>
          <w:szCs w:val="24"/>
          <w:shd w:val="clear" w:color="auto" w:fill="FFFFFF"/>
        </w:rPr>
        <w:t xml:space="preserve">, 1989). </w:t>
      </w:r>
    </w:p>
    <w:p w14:paraId="66CE76A0" w14:textId="1E28BB42" w:rsidR="006B3BAF" w:rsidRPr="00A048CE" w:rsidRDefault="006B3BAF" w:rsidP="006B3BAF">
      <w:pPr>
        <w:ind w:firstLine="708"/>
        <w:jc w:val="both"/>
      </w:pPr>
      <w:r w:rsidRPr="00A048CE">
        <w:rPr>
          <w:bCs/>
          <w:sz w:val="24"/>
          <w:szCs w:val="24"/>
          <w:shd w:val="clear" w:color="auto" w:fill="FFFFFF"/>
        </w:rPr>
        <w:t xml:space="preserve">O movimento social da saúde integrou e foi atravessado pelo movimento de oposição política que promoveu um amplo debate e mobilização social em prol do fim do regime autoritário e da democratização do país. Longe de qualquer linearidade, </w:t>
      </w:r>
      <w:proofErr w:type="spellStart"/>
      <w:r w:rsidRPr="00A048CE">
        <w:rPr>
          <w:bCs/>
          <w:sz w:val="24"/>
          <w:szCs w:val="24"/>
          <w:shd w:val="clear" w:color="auto" w:fill="FFFFFF"/>
        </w:rPr>
        <w:t>Gerschman</w:t>
      </w:r>
      <w:proofErr w:type="spellEnd"/>
      <w:r w:rsidRPr="00A048CE">
        <w:rPr>
          <w:bCs/>
          <w:sz w:val="24"/>
          <w:szCs w:val="24"/>
          <w:shd w:val="clear" w:color="auto" w:fill="FFFFFF"/>
        </w:rPr>
        <w:t xml:space="preserve"> (1995) identifica fases neste movimento social, sobretudo o movimento </w:t>
      </w:r>
      <w:r w:rsidRPr="00A048CE">
        <w:rPr>
          <w:bCs/>
          <w:sz w:val="24"/>
          <w:szCs w:val="24"/>
          <w:shd w:val="clear" w:color="auto" w:fill="FFFFFF"/>
        </w:rPr>
        <w:lastRenderedPageBreak/>
        <w:t>popular: a primeira</w:t>
      </w:r>
      <w:r>
        <w:rPr>
          <w:bCs/>
          <w:sz w:val="24"/>
          <w:szCs w:val="24"/>
          <w:shd w:val="clear" w:color="auto" w:fill="FFFFFF"/>
        </w:rPr>
        <w:t>,</w:t>
      </w:r>
      <w:r w:rsidRPr="00A048CE">
        <w:rPr>
          <w:bCs/>
          <w:sz w:val="24"/>
          <w:szCs w:val="24"/>
          <w:shd w:val="clear" w:color="auto" w:fill="FFFFFF"/>
        </w:rPr>
        <w:t xml:space="preserve"> reivindicativa, sobretudo, por melhor infraestrutura urba</w:t>
      </w:r>
      <w:r>
        <w:rPr>
          <w:bCs/>
          <w:sz w:val="24"/>
          <w:szCs w:val="24"/>
          <w:shd w:val="clear" w:color="auto" w:fill="FFFFFF"/>
        </w:rPr>
        <w:t>na e serviços pontuais de saúde;</w:t>
      </w:r>
      <w:r w:rsidRPr="00A048CE">
        <w:rPr>
          <w:bCs/>
          <w:sz w:val="24"/>
          <w:szCs w:val="24"/>
          <w:shd w:val="clear" w:color="auto" w:fill="FFFFFF"/>
        </w:rPr>
        <w:t xml:space="preserve"> a segunda fase denominada de politização pois se fazia discussão dos problemas comuns e leitura política dos mesmos; a terceira fase, posterior a 8º C</w:t>
      </w:r>
      <w:r>
        <w:rPr>
          <w:bCs/>
          <w:sz w:val="24"/>
          <w:szCs w:val="24"/>
          <w:shd w:val="clear" w:color="auto" w:fill="FFFFFF"/>
        </w:rPr>
        <w:t>onferência Nacional de Saúde e d</w:t>
      </w:r>
      <w:r w:rsidRPr="00A048CE">
        <w:rPr>
          <w:bCs/>
          <w:sz w:val="24"/>
          <w:szCs w:val="24"/>
          <w:shd w:val="clear" w:color="auto" w:fill="FFFFFF"/>
        </w:rPr>
        <w:t xml:space="preserve">o processo Constituinte, faltou maturidade política para absorver a institucionalização como exigência do processo político e houve cisão interna do movimento. Por sua vez o movimento médico e o sindicato dos médicos, outro integrante do movimento sanitário, na avaliação da autora, desempenharam um papel na defesa dos interesses econômico-corporativos, para garantir a prática liberal, mesmo sob condições de assalariamento. A </w:t>
      </w:r>
      <w:r>
        <w:rPr>
          <w:bCs/>
          <w:sz w:val="24"/>
          <w:szCs w:val="24"/>
          <w:shd w:val="clear" w:color="auto" w:fill="FFFFFF"/>
        </w:rPr>
        <w:t>fragilidade</w:t>
      </w:r>
      <w:r w:rsidRPr="00A048CE">
        <w:rPr>
          <w:bCs/>
          <w:sz w:val="24"/>
          <w:szCs w:val="24"/>
          <w:shd w:val="clear" w:color="auto" w:fill="FFFFFF"/>
        </w:rPr>
        <w:t xml:space="preserve"> política do Movimento foi notável em fins dos anos de 1980 e início dos anos de 1990 determinada pela institucionalização de parte das reivindicações do Movimento Sanitário na criação do SUS e pela conjuntura política neoliberal que </w:t>
      </w:r>
      <w:r w:rsidR="00E31B5C" w:rsidRPr="00A048CE">
        <w:rPr>
          <w:bCs/>
          <w:sz w:val="24"/>
          <w:szCs w:val="24"/>
          <w:shd w:val="clear" w:color="auto" w:fill="FFFFFF"/>
        </w:rPr>
        <w:t>se instalou</w:t>
      </w:r>
      <w:r w:rsidRPr="00A048CE">
        <w:rPr>
          <w:bCs/>
          <w:sz w:val="24"/>
          <w:szCs w:val="24"/>
          <w:shd w:val="clear" w:color="auto" w:fill="FFFFFF"/>
        </w:rPr>
        <w:t xml:space="preserve"> no país.</w:t>
      </w:r>
      <w:r>
        <w:rPr>
          <w:bCs/>
          <w:sz w:val="24"/>
          <w:szCs w:val="24"/>
          <w:shd w:val="clear" w:color="auto" w:fill="FFFFFF"/>
        </w:rPr>
        <w:t xml:space="preserve"> Nos anos 2000 o </w:t>
      </w:r>
      <w:r w:rsidRPr="00A048CE">
        <w:rPr>
          <w:bCs/>
          <w:sz w:val="24"/>
          <w:szCs w:val="24"/>
          <w:shd w:val="clear" w:color="auto" w:fill="FFFFFF"/>
        </w:rPr>
        <w:t>Movimento Sanitário</w:t>
      </w:r>
      <w:r>
        <w:rPr>
          <w:bCs/>
          <w:sz w:val="24"/>
          <w:szCs w:val="24"/>
          <w:shd w:val="clear" w:color="auto" w:fill="FFFFFF"/>
        </w:rPr>
        <w:t xml:space="preserve"> seguiu metamorfoseando e flexibilizando-se, de certa forma determinado pela hegemonia neoliberal.</w:t>
      </w:r>
    </w:p>
    <w:p w14:paraId="19A9BC62" w14:textId="77777777" w:rsidR="006B3BAF" w:rsidRPr="00A048CE" w:rsidRDefault="006B3BAF" w:rsidP="006B3BAF">
      <w:pPr>
        <w:ind w:firstLine="708"/>
        <w:jc w:val="both"/>
        <w:rPr>
          <w:bCs/>
          <w:sz w:val="24"/>
          <w:szCs w:val="24"/>
          <w:shd w:val="clear" w:color="auto" w:fill="FFFFFF"/>
        </w:rPr>
      </w:pPr>
      <w:r w:rsidRPr="00A048CE">
        <w:rPr>
          <w:bCs/>
          <w:sz w:val="24"/>
          <w:szCs w:val="24"/>
          <w:shd w:val="clear" w:color="auto" w:fill="FFFFFF"/>
        </w:rPr>
        <w:t xml:space="preserve">Aqui dando um grande salto, devido aos limites e objetivos deste texto, após 30 anos do SUS, Sonia Fleury (2018) avaliou as dificuldades do Projeto da Reforma Sanitária para manter-se como movimento social. A problemática da institucionalização da participação – via conselhos e conferências – foi predominante no debate sobre o SUS. Prevaleceu a abordagem da organização e regulamentação dos conselhos e conferências (lei de criação, regimento interno, composição, papéis, direito a voz e voto, participação do público), inserção e interesse dos atores, as coalizações, a efetividade das deliberações e propostas, metodologia de avaliação e os repertórios de ação. Desse modo, destaca a autora, destituiu-se o caráter político do movimento social, prevaleceu a perspectiva institucionalista (criou-se uma comunidade política) e secundarizou-se a perspectiva </w:t>
      </w:r>
      <w:proofErr w:type="spellStart"/>
      <w:r w:rsidRPr="00A048CE">
        <w:rPr>
          <w:bCs/>
          <w:sz w:val="24"/>
          <w:szCs w:val="24"/>
          <w:shd w:val="clear" w:color="auto" w:fill="FFFFFF"/>
        </w:rPr>
        <w:t>movimentista</w:t>
      </w:r>
      <w:proofErr w:type="spellEnd"/>
      <w:r w:rsidRPr="00A048CE">
        <w:rPr>
          <w:bCs/>
          <w:sz w:val="24"/>
          <w:szCs w:val="24"/>
          <w:shd w:val="clear" w:color="auto" w:fill="FFFFFF"/>
        </w:rPr>
        <w:t xml:space="preserve"> que pautava a democratização da relação Estado e sociedade e o direito a saúde com acesso universal.</w:t>
      </w:r>
    </w:p>
    <w:p w14:paraId="1FACB06E" w14:textId="77777777" w:rsidR="006B3BAF" w:rsidRPr="00A048CE" w:rsidRDefault="006B3BAF" w:rsidP="006B3BAF">
      <w:pPr>
        <w:ind w:firstLine="708"/>
        <w:jc w:val="both"/>
        <w:rPr>
          <w:bCs/>
          <w:sz w:val="24"/>
          <w:szCs w:val="24"/>
        </w:rPr>
      </w:pPr>
      <w:r w:rsidRPr="00A048CE">
        <w:rPr>
          <w:bCs/>
          <w:sz w:val="24"/>
          <w:szCs w:val="24"/>
          <w:shd w:val="clear" w:color="auto" w:fill="FFFFFF"/>
        </w:rPr>
        <w:t>Tendo este contexto de referência</w:t>
      </w:r>
      <w:r>
        <w:rPr>
          <w:bCs/>
          <w:sz w:val="24"/>
          <w:szCs w:val="24"/>
          <w:shd w:val="clear" w:color="auto" w:fill="FFFFFF"/>
        </w:rPr>
        <w:t>,</w:t>
      </w:r>
      <w:r w:rsidRPr="00A048CE">
        <w:rPr>
          <w:bCs/>
          <w:sz w:val="24"/>
          <w:szCs w:val="24"/>
          <w:shd w:val="clear" w:color="auto" w:fill="FFFFFF"/>
        </w:rPr>
        <w:t xml:space="preserve"> a proposta do </w:t>
      </w:r>
      <w:proofErr w:type="spellStart"/>
      <w:r w:rsidRPr="00A048CE">
        <w:rPr>
          <w:bCs/>
          <w:sz w:val="24"/>
          <w:szCs w:val="24"/>
          <w:shd w:val="clear" w:color="auto" w:fill="FFFFFF"/>
        </w:rPr>
        <w:t>MapaMovSaúde</w:t>
      </w:r>
      <w:proofErr w:type="spellEnd"/>
      <w:r w:rsidRPr="00A048CE">
        <w:rPr>
          <w:bCs/>
          <w:sz w:val="24"/>
          <w:szCs w:val="24"/>
          <w:shd w:val="clear" w:color="auto" w:fill="FFFFFF"/>
        </w:rPr>
        <w:t xml:space="preserve"> nasceu segundo sua coordenadora, professora Lúcia Souto</w:t>
      </w:r>
      <w:r w:rsidRPr="00A048CE">
        <w:rPr>
          <w:rStyle w:val="Refdenotaderodap"/>
          <w:bCs/>
          <w:sz w:val="24"/>
          <w:szCs w:val="24"/>
          <w:shd w:val="clear" w:color="auto" w:fill="FFFFFF"/>
        </w:rPr>
        <w:footnoteReference w:id="5"/>
      </w:r>
      <w:r w:rsidRPr="00A048CE">
        <w:rPr>
          <w:bCs/>
          <w:sz w:val="24"/>
          <w:szCs w:val="24"/>
          <w:shd w:val="clear" w:color="auto" w:fill="FFFFFF"/>
        </w:rPr>
        <w:t xml:space="preserve"> porque em 2023 estávamos saindo de uma ditadura, que destruiu direitos, que promoveu a necropolítica e desapreço completo pela democracia. Nesse contexto da reconstrução, o desejo é inaugurar um processo de democracia participativa, com a criação do sistema interministerial de participação social. Por isso é fundamental na área da Saúde, lançar o Mapa Colaborativo dos Movimentos Sociais em Saúde, em parceria com o Ministério </w:t>
      </w:r>
      <w:r w:rsidRPr="00A048CE">
        <w:rPr>
          <w:bCs/>
          <w:sz w:val="24"/>
          <w:szCs w:val="24"/>
          <w:shd w:val="clear" w:color="auto" w:fill="FFFFFF"/>
        </w:rPr>
        <w:lastRenderedPageBreak/>
        <w:t>da Saúde, o Conselho Nacional de Saúde e a Fiocruz. O Mapa, segundo Lucia Souto “é importantíssimo nesse contexto, para dar visibilidade, saber quem são e o que fazem os movimentos sociais em Saúde. Sabemos que é um movimento fortíssimo. São inúmeras as iniciativas que existem espalhadas Brasil afora, mas é importante trazer esses movimentos como sujeito político. E o Mapa é uma oportunidade favorecer que a população seja de fato sujeito político das políticas públicas” (</w:t>
      </w:r>
      <w:r w:rsidRPr="00A048CE">
        <w:rPr>
          <w:bCs/>
          <w:sz w:val="24"/>
          <w:szCs w:val="24"/>
        </w:rPr>
        <w:t xml:space="preserve">Dicionário de Favelas </w:t>
      </w:r>
      <w:proofErr w:type="spellStart"/>
      <w:r w:rsidRPr="00A048CE">
        <w:rPr>
          <w:bCs/>
          <w:sz w:val="24"/>
          <w:szCs w:val="24"/>
        </w:rPr>
        <w:t>Marielle</w:t>
      </w:r>
      <w:proofErr w:type="spellEnd"/>
      <w:r w:rsidRPr="00A048CE">
        <w:rPr>
          <w:bCs/>
          <w:sz w:val="24"/>
          <w:szCs w:val="24"/>
        </w:rPr>
        <w:t xml:space="preserve"> Franco, 2023).</w:t>
      </w:r>
    </w:p>
    <w:p w14:paraId="3EF9219C" w14:textId="1FCBFC00" w:rsidR="006B3BAF" w:rsidRPr="00A048CE" w:rsidRDefault="006B3BAF" w:rsidP="006B3BAF">
      <w:pPr>
        <w:ind w:firstLine="708"/>
        <w:jc w:val="both"/>
        <w:rPr>
          <w:bCs/>
          <w:sz w:val="24"/>
          <w:szCs w:val="24"/>
          <w:shd w:val="clear" w:color="auto" w:fill="FFFFFF"/>
        </w:rPr>
      </w:pPr>
      <w:r w:rsidRPr="00A048CE">
        <w:rPr>
          <w:bCs/>
          <w:sz w:val="24"/>
          <w:szCs w:val="24"/>
        </w:rPr>
        <w:t>A proposta do</w:t>
      </w:r>
      <w:r w:rsidRPr="00A048CE">
        <w:rPr>
          <w:bCs/>
          <w:sz w:val="24"/>
          <w:szCs w:val="24"/>
          <w:shd w:val="clear" w:color="auto" w:fill="FFFFFF"/>
        </w:rPr>
        <w:t xml:space="preserve"> Mapa Colaborativo dos Movimentos Sociais em Saúde</w:t>
      </w:r>
      <w:r w:rsidRPr="00A048CE">
        <w:rPr>
          <w:bCs/>
          <w:sz w:val="24"/>
          <w:szCs w:val="24"/>
        </w:rPr>
        <w:t xml:space="preserve"> foi divulgada na sessão de encerramento da 17ª Conferência Nacional de Saúde em julho de 2023 (Fleury, 2023; Passos, 2023) e como plataforma foi </w:t>
      </w:r>
      <w:r w:rsidRPr="00A048CE">
        <w:rPr>
          <w:bCs/>
          <w:sz w:val="24"/>
          <w:szCs w:val="24"/>
          <w:shd w:val="clear" w:color="auto" w:fill="FFFFFF"/>
        </w:rPr>
        <w:t xml:space="preserve">lançado em 12 de setembro de 2024 na sede da OPAS em Brasília (Brasil, 2024a). No ato de lançamento </w:t>
      </w:r>
      <w:proofErr w:type="spellStart"/>
      <w:r w:rsidRPr="00A048CE">
        <w:rPr>
          <w:bCs/>
          <w:sz w:val="24"/>
          <w:szCs w:val="24"/>
          <w:shd w:val="clear" w:color="auto" w:fill="FFFFFF"/>
        </w:rPr>
        <w:t>Swederberger</w:t>
      </w:r>
      <w:proofErr w:type="spellEnd"/>
      <w:r w:rsidRPr="00A048CE">
        <w:rPr>
          <w:bCs/>
          <w:sz w:val="24"/>
          <w:szCs w:val="24"/>
          <w:shd w:val="clear" w:color="auto" w:fill="FFFFFF"/>
        </w:rPr>
        <w:t xml:space="preserve"> Barbosa (Secretário Executivo do Ministério da Saúde que representou a ministra da saúde) declarou que “o Mapa vai muito além, ele decifra e evidencia o papel de cada uma das entidades, como deve colaborar, quais as sugestões. E que este Mapa serve de fato como um guia, um referencial, uma diretriz para que a gente possa prosseguindo no rumo da democracia, aprofundando o processo político de participação da sociedade”. Na ocasião, a coordenadora do projeto, a professora Luci</w:t>
      </w:r>
      <w:r w:rsidR="00F83495">
        <w:rPr>
          <w:bCs/>
          <w:sz w:val="24"/>
          <w:szCs w:val="24"/>
          <w:shd w:val="clear" w:color="auto" w:fill="FFFFFF"/>
        </w:rPr>
        <w:t>a</w:t>
      </w:r>
      <w:r w:rsidRPr="00A048CE">
        <w:rPr>
          <w:bCs/>
          <w:sz w:val="24"/>
          <w:szCs w:val="24"/>
          <w:shd w:val="clear" w:color="auto" w:fill="FFFFFF"/>
        </w:rPr>
        <w:t xml:space="preserve"> Souto fez a seguinte fala: “O Mapa Colaborativo dos Movimentos Sociais em Saúde é uma tecnologia social inédita. Primeiro que o objetivo é conhecer quem somos, onde estamos e o que fazemos, para que a gente possa povoar as redes sociais com as iniciativas que estão aí, e eles vão se tornar visíveis, porque são uma força social política de transformação, de construção de direitos e de solidariedade no país”. Já Fernando </w:t>
      </w:r>
      <w:proofErr w:type="spellStart"/>
      <w:r w:rsidRPr="00A048CE">
        <w:rPr>
          <w:bCs/>
          <w:sz w:val="24"/>
          <w:szCs w:val="24"/>
          <w:shd w:val="clear" w:color="auto" w:fill="FFFFFF"/>
        </w:rPr>
        <w:t>Pigato</w:t>
      </w:r>
      <w:proofErr w:type="spellEnd"/>
      <w:r w:rsidRPr="00A048CE">
        <w:rPr>
          <w:bCs/>
          <w:sz w:val="24"/>
          <w:szCs w:val="24"/>
          <w:shd w:val="clear" w:color="auto" w:fill="FFFFFF"/>
        </w:rPr>
        <w:t>, presidente do Conselho Nacional de Saúde destacou: “Este Mapa Colaborativo, precisa e será cada vez mais um Mapa Colaborativo vivo, em movimento, para poder dialogar com os movimentos e com os espaços de controle social para fortalecer o SUS e a democracia desse país” (Brasil, 2024b).</w:t>
      </w:r>
    </w:p>
    <w:p w14:paraId="768B399B" w14:textId="77777777" w:rsidR="006B3BAF" w:rsidRPr="00A048CE" w:rsidRDefault="006B3BAF" w:rsidP="006B3BAF">
      <w:pPr>
        <w:ind w:firstLine="708"/>
        <w:jc w:val="both"/>
        <w:rPr>
          <w:bCs/>
          <w:sz w:val="24"/>
          <w:szCs w:val="24"/>
          <w:shd w:val="clear" w:color="auto" w:fill="FFFFFF"/>
        </w:rPr>
      </w:pPr>
      <w:r w:rsidRPr="00A048CE">
        <w:rPr>
          <w:bCs/>
          <w:sz w:val="24"/>
          <w:szCs w:val="24"/>
          <w:shd w:val="clear" w:color="auto" w:fill="FFFFFF"/>
        </w:rPr>
        <w:t xml:space="preserve">A plataforma do </w:t>
      </w:r>
      <w:proofErr w:type="spellStart"/>
      <w:r w:rsidRPr="00A048CE">
        <w:rPr>
          <w:bCs/>
          <w:sz w:val="24"/>
          <w:szCs w:val="24"/>
          <w:shd w:val="clear" w:color="auto" w:fill="FFFFFF"/>
        </w:rPr>
        <w:t>MapaMovSaúde</w:t>
      </w:r>
      <w:proofErr w:type="spellEnd"/>
      <w:r w:rsidRPr="00A048CE">
        <w:rPr>
          <w:bCs/>
          <w:sz w:val="24"/>
          <w:szCs w:val="24"/>
          <w:shd w:val="clear" w:color="auto" w:fill="FFFFFF"/>
        </w:rPr>
        <w:t xml:space="preserve"> utiliza o software livre </w:t>
      </w:r>
      <w:proofErr w:type="spellStart"/>
      <w:r w:rsidRPr="00A048CE">
        <w:rPr>
          <w:bCs/>
          <w:sz w:val="24"/>
          <w:szCs w:val="24"/>
          <w:shd w:val="clear" w:color="auto" w:fill="FFFFFF"/>
        </w:rPr>
        <w:t>MediaWiki</w:t>
      </w:r>
      <w:proofErr w:type="spellEnd"/>
      <w:r w:rsidRPr="00A048CE">
        <w:rPr>
          <w:bCs/>
          <w:sz w:val="24"/>
          <w:szCs w:val="24"/>
          <w:shd w:val="clear" w:color="auto" w:fill="FFFFFF"/>
        </w:rPr>
        <w:t>, o mesmo da Wikipédia, permite que os movimentos sociais criem seus próprios cadastros, compartilhem histórias, demandas de saúde, fotos, vídeos e informações de contato, como sites e perfis em redes sociais. O site se organiza de forma simples com quatro grandes links: histórias, o projeto, como participar e ajuda (</w:t>
      </w:r>
      <w:hyperlink r:id="rId9" w:history="1">
        <w:r w:rsidRPr="00A048CE">
          <w:rPr>
            <w:rStyle w:val="Hyperlink"/>
            <w:bCs/>
            <w:sz w:val="24"/>
            <w:szCs w:val="24"/>
            <w:shd w:val="clear" w:color="auto" w:fill="FFFFFF"/>
          </w:rPr>
          <w:t>https://mapamovsaude.net.br/index.php/Especial:Todas_as_p%C3%A1ginas</w:t>
        </w:r>
      </w:hyperlink>
      <w:r w:rsidRPr="00A048CE">
        <w:rPr>
          <w:bCs/>
          <w:sz w:val="24"/>
          <w:szCs w:val="24"/>
          <w:shd w:val="clear" w:color="auto" w:fill="FFFFFF"/>
        </w:rPr>
        <w:t>)</w:t>
      </w:r>
      <w:r w:rsidRPr="00A048CE">
        <w:rPr>
          <w:rStyle w:val="Refdenotaderodap"/>
          <w:bCs/>
          <w:sz w:val="24"/>
          <w:szCs w:val="24"/>
          <w:shd w:val="clear" w:color="auto" w:fill="FFFFFF"/>
        </w:rPr>
        <w:footnoteReference w:id="6"/>
      </w:r>
      <w:r w:rsidRPr="00A048CE">
        <w:rPr>
          <w:bCs/>
          <w:sz w:val="24"/>
          <w:szCs w:val="24"/>
          <w:shd w:val="clear" w:color="auto" w:fill="FFFFFF"/>
        </w:rPr>
        <w:t>. No link das história</w:t>
      </w:r>
      <w:r>
        <w:rPr>
          <w:bCs/>
          <w:sz w:val="24"/>
          <w:szCs w:val="24"/>
          <w:shd w:val="clear" w:color="auto" w:fill="FFFFFF"/>
        </w:rPr>
        <w:t>s</w:t>
      </w:r>
      <w:r w:rsidRPr="00A048CE">
        <w:rPr>
          <w:bCs/>
          <w:sz w:val="24"/>
          <w:szCs w:val="24"/>
          <w:shd w:val="clear" w:color="auto" w:fill="FFFFFF"/>
        </w:rPr>
        <w:t xml:space="preserve"> estão relacionados todos os movimentos sociais cadastrados e cada </w:t>
      </w:r>
      <w:r w:rsidRPr="00A048CE">
        <w:rPr>
          <w:bCs/>
          <w:sz w:val="24"/>
          <w:szCs w:val="24"/>
          <w:shd w:val="clear" w:color="auto" w:fill="FFFFFF"/>
        </w:rPr>
        <w:lastRenderedPageBreak/>
        <w:t>um pode ser aberto em página individualizada. O conteúdo presente dentro de cada página dos movimentos sociais registrados não segue uma uniformidade, sendo bastante diversa a forma com que cada movimento se registrou, com texto extenso, fotos, áudios e links, a</w:t>
      </w:r>
      <w:r>
        <w:rPr>
          <w:bCs/>
          <w:sz w:val="24"/>
          <w:szCs w:val="24"/>
          <w:shd w:val="clear" w:color="auto" w:fill="FFFFFF"/>
        </w:rPr>
        <w:t>lguns</w:t>
      </w:r>
      <w:r w:rsidRPr="00A048CE">
        <w:rPr>
          <w:bCs/>
          <w:sz w:val="24"/>
          <w:szCs w:val="24"/>
          <w:shd w:val="clear" w:color="auto" w:fill="FFFFFF"/>
        </w:rPr>
        <w:t xml:space="preserve"> registro</w:t>
      </w:r>
      <w:r>
        <w:rPr>
          <w:bCs/>
          <w:sz w:val="24"/>
          <w:szCs w:val="24"/>
          <w:shd w:val="clear" w:color="auto" w:fill="FFFFFF"/>
        </w:rPr>
        <w:t>s</w:t>
      </w:r>
      <w:r w:rsidRPr="00A048CE">
        <w:rPr>
          <w:bCs/>
          <w:sz w:val="24"/>
          <w:szCs w:val="24"/>
          <w:shd w:val="clear" w:color="auto" w:fill="FFFFFF"/>
        </w:rPr>
        <w:t xml:space="preserve"> muito sucintos e outros apenas referenciam o nome</w:t>
      </w:r>
      <w:r w:rsidRPr="00A048CE">
        <w:rPr>
          <w:rStyle w:val="Refdenotaderodap"/>
          <w:bCs/>
          <w:sz w:val="24"/>
          <w:szCs w:val="24"/>
          <w:shd w:val="clear" w:color="auto" w:fill="FFFFFF"/>
        </w:rPr>
        <w:footnoteReference w:id="7"/>
      </w:r>
      <w:r w:rsidRPr="00A048CE">
        <w:rPr>
          <w:bCs/>
          <w:sz w:val="24"/>
          <w:szCs w:val="24"/>
          <w:shd w:val="clear" w:color="auto" w:fill="FFFFFF"/>
        </w:rPr>
        <w:t xml:space="preserve">. </w:t>
      </w:r>
    </w:p>
    <w:p w14:paraId="562DEAA4" w14:textId="77777777" w:rsidR="006B3BAF" w:rsidRPr="00A048CE" w:rsidRDefault="006B3BAF" w:rsidP="006B3BAF">
      <w:pPr>
        <w:rPr>
          <w:bCs/>
          <w:color w:val="FF0000"/>
          <w:sz w:val="24"/>
          <w:szCs w:val="24"/>
          <w:shd w:val="clear" w:color="auto" w:fill="FFFFFF"/>
        </w:rPr>
      </w:pPr>
    </w:p>
    <w:p w14:paraId="3A8F6ED2" w14:textId="7674AFC4" w:rsidR="006B3BAF" w:rsidRPr="006B3BAF" w:rsidRDefault="00F83495" w:rsidP="00F83495">
      <w:pPr>
        <w:jc w:val="both"/>
        <w:rPr>
          <w:bCs/>
          <w:caps/>
          <w:color w:val="FF0000"/>
          <w:sz w:val="24"/>
          <w:szCs w:val="24"/>
          <w:shd w:val="clear" w:color="auto" w:fill="FFFFFF"/>
        </w:rPr>
      </w:pPr>
      <w:r>
        <w:rPr>
          <w:b/>
          <w:bCs/>
          <w:caps/>
          <w:sz w:val="24"/>
          <w:szCs w:val="24"/>
          <w:shd w:val="clear" w:color="auto" w:fill="FFFFFF"/>
        </w:rPr>
        <w:t>3</w:t>
      </w:r>
      <w:r w:rsidR="006B3BAF" w:rsidRPr="006B3BAF">
        <w:rPr>
          <w:b/>
          <w:bCs/>
          <w:caps/>
          <w:sz w:val="24"/>
          <w:szCs w:val="24"/>
          <w:shd w:val="clear" w:color="auto" w:fill="FFFFFF"/>
        </w:rPr>
        <w:t>. Perfil e finalidades do</w:t>
      </w:r>
      <w:r>
        <w:rPr>
          <w:b/>
          <w:bCs/>
          <w:caps/>
          <w:sz w:val="24"/>
          <w:szCs w:val="24"/>
          <w:shd w:val="clear" w:color="auto" w:fill="FFFFFF"/>
        </w:rPr>
        <w:t>S</w:t>
      </w:r>
      <w:r w:rsidR="006B3BAF" w:rsidRPr="006B3BAF">
        <w:rPr>
          <w:b/>
          <w:bCs/>
          <w:caps/>
          <w:sz w:val="24"/>
          <w:szCs w:val="24"/>
          <w:shd w:val="clear" w:color="auto" w:fill="FFFFFF"/>
        </w:rPr>
        <w:t xml:space="preserve"> Movimentos Sociais registrados no </w:t>
      </w:r>
      <w:r w:rsidR="006B3BAF" w:rsidRPr="006B3BAF">
        <w:rPr>
          <w:rFonts w:eastAsia="Times New Roman"/>
          <w:b/>
          <w:caps/>
          <w:sz w:val="24"/>
          <w:szCs w:val="24"/>
          <w:highlight w:val="white"/>
        </w:rPr>
        <w:t>MapaMovSaúde</w:t>
      </w:r>
    </w:p>
    <w:p w14:paraId="2B9B2E94" w14:textId="77777777" w:rsidR="006B3BAF" w:rsidRPr="006B3BAF" w:rsidRDefault="006B3BAF" w:rsidP="006B3BAF">
      <w:pPr>
        <w:spacing w:line="240" w:lineRule="auto"/>
        <w:rPr>
          <w:bCs/>
          <w:caps/>
          <w:color w:val="FF0000"/>
          <w:sz w:val="24"/>
          <w:szCs w:val="24"/>
          <w:shd w:val="clear" w:color="auto" w:fill="FFFFFF"/>
        </w:rPr>
      </w:pPr>
    </w:p>
    <w:p w14:paraId="7B56B7C2" w14:textId="77777777" w:rsidR="006B3BAF" w:rsidRPr="00486485" w:rsidRDefault="006B3BAF" w:rsidP="006B3BAF">
      <w:pPr>
        <w:jc w:val="both"/>
        <w:rPr>
          <w:bCs/>
          <w:sz w:val="24"/>
          <w:szCs w:val="24"/>
          <w:shd w:val="clear" w:color="auto" w:fill="FFFFFF"/>
        </w:rPr>
      </w:pPr>
      <w:r w:rsidRPr="00486485">
        <w:rPr>
          <w:bCs/>
          <w:sz w:val="24"/>
          <w:szCs w:val="24"/>
          <w:shd w:val="clear" w:color="auto" w:fill="FFFFFF"/>
        </w:rPr>
        <w:t xml:space="preserve">Para apresentar aqui o perfil e finalidades dos </w:t>
      </w:r>
      <w:r w:rsidRPr="00486485">
        <w:rPr>
          <w:rFonts w:eastAsia="Times New Roman"/>
          <w:sz w:val="24"/>
          <w:szCs w:val="24"/>
          <w:highlight w:val="white"/>
        </w:rPr>
        <w:t>Movimentos Sociais em Saúde</w:t>
      </w:r>
      <w:r w:rsidRPr="00486485">
        <w:rPr>
          <w:rFonts w:eastAsia="Times New Roman"/>
          <w:sz w:val="24"/>
          <w:szCs w:val="24"/>
        </w:rPr>
        <w:t xml:space="preserve"> que registraram suas histórias no </w:t>
      </w:r>
      <w:r w:rsidRPr="00486485">
        <w:rPr>
          <w:rFonts w:eastAsia="Times New Roman"/>
          <w:sz w:val="24"/>
          <w:szCs w:val="24"/>
          <w:highlight w:val="white"/>
        </w:rPr>
        <w:t xml:space="preserve">Mapa Colaborativo </w:t>
      </w:r>
      <w:r w:rsidRPr="00486485">
        <w:rPr>
          <w:rFonts w:eastAsia="Times New Roman"/>
          <w:sz w:val="24"/>
          <w:szCs w:val="24"/>
        </w:rPr>
        <w:t xml:space="preserve">na Plataforma </w:t>
      </w:r>
      <w:proofErr w:type="spellStart"/>
      <w:r w:rsidRPr="00486485">
        <w:rPr>
          <w:rFonts w:eastAsia="Times New Roman"/>
          <w:sz w:val="24"/>
          <w:szCs w:val="24"/>
        </w:rPr>
        <w:t>MapaMovSaúde</w:t>
      </w:r>
      <w:proofErr w:type="spellEnd"/>
      <w:r w:rsidRPr="00486485">
        <w:rPr>
          <w:rFonts w:eastAsia="Times New Roman"/>
          <w:sz w:val="24"/>
          <w:szCs w:val="24"/>
        </w:rPr>
        <w:t xml:space="preserve"> realizamos duas consultas, respectivamente em </w:t>
      </w:r>
      <w:r w:rsidRPr="00486485">
        <w:rPr>
          <w:rFonts w:eastAsia="Times New Roman"/>
          <w:bCs/>
          <w:color w:val="000000"/>
          <w:sz w:val="24"/>
          <w:szCs w:val="24"/>
        </w:rPr>
        <w:t>08 de dezembro de 2024 e em 22 de junho de 2025. Foi um levantamento quanti e qualitativo do conteúdo registrado pelos movimentos sociais, chamados pelos organizadores do projeto</w:t>
      </w:r>
      <w:r>
        <w:rPr>
          <w:rFonts w:eastAsia="Times New Roman"/>
          <w:bCs/>
          <w:color w:val="000000"/>
          <w:sz w:val="24"/>
          <w:szCs w:val="24"/>
        </w:rPr>
        <w:t xml:space="preserve"> de</w:t>
      </w:r>
      <w:r w:rsidRPr="00486485">
        <w:rPr>
          <w:rFonts w:eastAsia="Times New Roman"/>
          <w:bCs/>
          <w:color w:val="000000"/>
          <w:sz w:val="24"/>
          <w:szCs w:val="24"/>
        </w:rPr>
        <w:t xml:space="preserve"> histórias. A seguir apresentamos um quadro com a n</w:t>
      </w:r>
      <w:r w:rsidRPr="00486485">
        <w:rPr>
          <w:rFonts w:eastAsia="Times New Roman"/>
          <w:sz w:val="24"/>
          <w:szCs w:val="24"/>
        </w:rPr>
        <w:t>atureza dos movimentos sociais, realizada de forma livre conforme título do registro, segundo interpretações da autora.</w:t>
      </w:r>
    </w:p>
    <w:p w14:paraId="48D47F11" w14:textId="77777777" w:rsidR="006B3BAF" w:rsidRPr="00A048CE" w:rsidRDefault="006B3BAF" w:rsidP="006B3BAF">
      <w:pPr>
        <w:rPr>
          <w:bCs/>
          <w:color w:val="FF0000"/>
          <w:sz w:val="24"/>
          <w:szCs w:val="24"/>
          <w:shd w:val="clear" w:color="auto" w:fill="FFFFFF"/>
        </w:rPr>
      </w:pPr>
      <w:r w:rsidRPr="00A048CE">
        <w:rPr>
          <w:bCs/>
          <w:color w:val="FF0000"/>
          <w:sz w:val="24"/>
          <w:szCs w:val="24"/>
          <w:shd w:val="clear" w:color="auto" w:fill="FFFFFF"/>
        </w:rPr>
        <w:tab/>
      </w:r>
    </w:p>
    <w:p w14:paraId="1B1B971B" w14:textId="77777777" w:rsidR="006B3BAF" w:rsidRPr="00A048CE" w:rsidRDefault="006B3BAF" w:rsidP="00F83495">
      <w:pPr>
        <w:spacing w:line="240" w:lineRule="auto"/>
        <w:jc w:val="both"/>
        <w:rPr>
          <w:rFonts w:eastAsia="Times New Roman"/>
          <w:sz w:val="24"/>
          <w:szCs w:val="24"/>
        </w:rPr>
      </w:pPr>
      <w:bookmarkStart w:id="0" w:name="_heading=h.dfsa8biawmko"/>
      <w:bookmarkEnd w:id="0"/>
      <w:r w:rsidRPr="00A048CE">
        <w:rPr>
          <w:rFonts w:eastAsia="Times New Roman"/>
          <w:sz w:val="24"/>
          <w:szCs w:val="24"/>
        </w:rPr>
        <w:t xml:space="preserve">Quadro 1- </w:t>
      </w:r>
      <w:r w:rsidRPr="00A048CE">
        <w:rPr>
          <w:rFonts w:eastAsia="Times New Roman"/>
          <w:szCs w:val="24"/>
        </w:rPr>
        <w:t xml:space="preserve">Registros de histórias no </w:t>
      </w:r>
      <w:r w:rsidRPr="00A048CE">
        <w:rPr>
          <w:rFonts w:eastAsia="Times New Roman"/>
          <w:szCs w:val="24"/>
          <w:highlight w:val="white"/>
        </w:rPr>
        <w:t>Mapa Colaborativo dos Movimentos Sociais em Saúde (</w:t>
      </w:r>
      <w:proofErr w:type="spellStart"/>
      <w:r w:rsidRPr="00A048CE">
        <w:rPr>
          <w:rFonts w:eastAsia="Times New Roman"/>
          <w:szCs w:val="24"/>
          <w:highlight w:val="white"/>
        </w:rPr>
        <w:t>MapaMovSaúde</w:t>
      </w:r>
      <w:proofErr w:type="spellEnd"/>
      <w:r w:rsidRPr="00A048CE">
        <w:rPr>
          <w:rFonts w:eastAsia="Times New Roman"/>
          <w:szCs w:val="24"/>
          <w:highlight w:val="white"/>
        </w:rPr>
        <w:t xml:space="preserve">) distribuídos pela natureza dos movimentos sociais </w:t>
      </w:r>
      <w:r w:rsidRPr="00A048CE">
        <w:rPr>
          <w:rFonts w:eastAsia="Times New Roman"/>
          <w:szCs w:val="24"/>
        </w:rPr>
        <w:t>em dez.2024 e jun./2025</w:t>
      </w:r>
    </w:p>
    <w:tbl>
      <w:tblPr>
        <w:tblW w:w="93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8"/>
        <w:gridCol w:w="1134"/>
        <w:gridCol w:w="709"/>
        <w:gridCol w:w="1275"/>
        <w:gridCol w:w="709"/>
      </w:tblGrid>
      <w:tr w:rsidR="006B3BAF" w:rsidRPr="00A048CE" w14:paraId="732AA68B" w14:textId="77777777" w:rsidTr="00624DA4">
        <w:tc>
          <w:tcPr>
            <w:tcW w:w="5490" w:type="dxa"/>
            <w:tcBorders>
              <w:top w:val="single" w:sz="4" w:space="0" w:color="000000"/>
              <w:left w:val="single" w:sz="4" w:space="0" w:color="000000"/>
              <w:bottom w:val="single" w:sz="4" w:space="0" w:color="000000"/>
              <w:right w:val="single" w:sz="4" w:space="0" w:color="000000"/>
            </w:tcBorders>
            <w:vAlign w:val="center"/>
            <w:hideMark/>
          </w:tcPr>
          <w:p w14:paraId="0C8097D1" w14:textId="77777777" w:rsidR="006B3BAF" w:rsidRPr="00A048CE" w:rsidRDefault="006B3BAF" w:rsidP="00624DA4">
            <w:pPr>
              <w:spacing w:line="240" w:lineRule="auto"/>
              <w:ind w:hanging="5"/>
              <w:jc w:val="center"/>
              <w:rPr>
                <w:rFonts w:eastAsia="Times New Roman"/>
                <w:b/>
                <w:sz w:val="20"/>
              </w:rPr>
            </w:pPr>
            <w:r w:rsidRPr="00A048CE">
              <w:rPr>
                <w:rFonts w:eastAsia="Times New Roman"/>
                <w:b/>
                <w:sz w:val="20"/>
              </w:rPr>
              <w:t>Natureza dos movimentos sociais conforme título do registro</w:t>
            </w:r>
          </w:p>
        </w:tc>
        <w:tc>
          <w:tcPr>
            <w:tcW w:w="1134" w:type="dxa"/>
            <w:tcBorders>
              <w:top w:val="single" w:sz="4" w:space="0" w:color="000000"/>
              <w:left w:val="single" w:sz="4" w:space="0" w:color="000000"/>
              <w:bottom w:val="single" w:sz="4" w:space="0" w:color="000000"/>
              <w:right w:val="single" w:sz="4" w:space="0" w:color="000000"/>
            </w:tcBorders>
            <w:hideMark/>
          </w:tcPr>
          <w:p w14:paraId="3C4CD876" w14:textId="77777777" w:rsidR="006B3BAF" w:rsidRPr="00A048CE" w:rsidRDefault="006B3BAF" w:rsidP="00624DA4">
            <w:pPr>
              <w:spacing w:line="240" w:lineRule="auto"/>
              <w:ind w:left="-108" w:right="-108"/>
              <w:jc w:val="center"/>
              <w:rPr>
                <w:rFonts w:eastAsia="Times New Roman"/>
                <w:b/>
                <w:sz w:val="20"/>
              </w:rPr>
            </w:pPr>
            <w:r w:rsidRPr="00A048CE">
              <w:rPr>
                <w:rFonts w:eastAsia="Times New Roman"/>
                <w:b/>
                <w:sz w:val="20"/>
              </w:rPr>
              <w:t>Registros 08/12/2024</w:t>
            </w:r>
            <w:r w:rsidRPr="00A048CE">
              <w:rPr>
                <w:rStyle w:val="Refdenotaderodap"/>
                <w:rFonts w:eastAsia="Times New Roman"/>
                <w:b/>
                <w:sz w:val="20"/>
              </w:rPr>
              <w:footnoteReference w:id="8"/>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B18EECC" w14:textId="77777777" w:rsidR="006B3BAF" w:rsidRPr="00A048CE" w:rsidRDefault="006B3BAF" w:rsidP="00624DA4">
            <w:pPr>
              <w:spacing w:line="240" w:lineRule="auto"/>
              <w:jc w:val="center"/>
              <w:rPr>
                <w:rFonts w:eastAsia="Times New Roman"/>
                <w:b/>
                <w:sz w:val="20"/>
              </w:rPr>
            </w:pPr>
            <w:r w:rsidRPr="00A048CE">
              <w:rPr>
                <w:rFonts w:eastAsia="Times New Roman"/>
                <w:b/>
                <w:sz w:val="20"/>
              </w:rPr>
              <w:t>%</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68DF056" w14:textId="77777777" w:rsidR="006B3BAF" w:rsidRPr="00A048CE" w:rsidRDefault="006B3BAF" w:rsidP="00624DA4">
            <w:pPr>
              <w:spacing w:line="240" w:lineRule="auto"/>
              <w:jc w:val="center"/>
              <w:rPr>
                <w:rFonts w:eastAsia="Times New Roman"/>
                <w:b/>
                <w:sz w:val="20"/>
              </w:rPr>
            </w:pPr>
            <w:r w:rsidRPr="00A048CE">
              <w:rPr>
                <w:rFonts w:eastAsia="Times New Roman"/>
                <w:b/>
                <w:sz w:val="20"/>
              </w:rPr>
              <w:t>Registros 22/06/2025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E49E031" w14:textId="77777777" w:rsidR="006B3BAF" w:rsidRPr="00A048CE" w:rsidRDefault="006B3BAF" w:rsidP="00624DA4">
            <w:pPr>
              <w:spacing w:line="240" w:lineRule="auto"/>
              <w:jc w:val="center"/>
              <w:rPr>
                <w:rFonts w:eastAsia="Times New Roman"/>
                <w:b/>
                <w:sz w:val="20"/>
              </w:rPr>
            </w:pPr>
            <w:r w:rsidRPr="00A048CE">
              <w:rPr>
                <w:rFonts w:eastAsia="Times New Roman"/>
                <w:b/>
                <w:sz w:val="20"/>
              </w:rPr>
              <w:t>%</w:t>
            </w:r>
          </w:p>
        </w:tc>
      </w:tr>
      <w:tr w:rsidR="006B3BAF" w:rsidRPr="00A048CE" w14:paraId="168F498A" w14:textId="77777777" w:rsidTr="00624DA4">
        <w:tc>
          <w:tcPr>
            <w:tcW w:w="5490" w:type="dxa"/>
            <w:tcBorders>
              <w:top w:val="single" w:sz="4" w:space="0" w:color="000000"/>
              <w:left w:val="single" w:sz="4" w:space="0" w:color="000000"/>
              <w:bottom w:val="single" w:sz="4" w:space="0" w:color="000000"/>
              <w:right w:val="single" w:sz="4" w:space="0" w:color="000000"/>
            </w:tcBorders>
            <w:vAlign w:val="center"/>
            <w:hideMark/>
          </w:tcPr>
          <w:p w14:paraId="46440E51" w14:textId="77777777" w:rsidR="006B3BAF" w:rsidRPr="00A048CE" w:rsidRDefault="006B3BAF" w:rsidP="006B3BAF">
            <w:pPr>
              <w:numPr>
                <w:ilvl w:val="0"/>
                <w:numId w:val="5"/>
              </w:numPr>
              <w:spacing w:line="240" w:lineRule="auto"/>
              <w:ind w:left="426"/>
              <w:rPr>
                <w:rFonts w:eastAsia="Times New Roman"/>
                <w:color w:val="000000"/>
                <w:sz w:val="20"/>
                <w:szCs w:val="20"/>
              </w:rPr>
            </w:pPr>
            <w:r w:rsidRPr="00A048CE">
              <w:rPr>
                <w:rFonts w:eastAsia="Times New Roman"/>
                <w:color w:val="000000"/>
                <w:sz w:val="20"/>
                <w:szCs w:val="20"/>
              </w:rPr>
              <w:t>Defesa dos direitos</w:t>
            </w:r>
            <w:r w:rsidRPr="00A048CE">
              <w:rPr>
                <w:rFonts w:eastAsia="Times New Roman"/>
                <w:sz w:val="20"/>
                <w:szCs w:val="20"/>
              </w:rPr>
              <w:t xml:space="preserve"> e</w:t>
            </w:r>
            <w:r w:rsidRPr="00A048CE">
              <w:rPr>
                <w:rFonts w:eastAsia="Times New Roman"/>
                <w:color w:val="000000"/>
                <w:sz w:val="20"/>
                <w:szCs w:val="20"/>
              </w:rPr>
              <w:t xml:space="preserve"> desenvolvimentos de atividades educacionais, culturais e sociais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E621F4"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33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6B15008" w14:textId="77777777" w:rsidR="006B3BAF" w:rsidRPr="00A048CE" w:rsidRDefault="006B3BAF" w:rsidP="00624DA4">
            <w:pPr>
              <w:spacing w:line="240" w:lineRule="auto"/>
              <w:jc w:val="center"/>
              <w:rPr>
                <w:rFonts w:eastAsia="Times New Roman"/>
                <w:sz w:val="20"/>
                <w:szCs w:val="20"/>
              </w:rPr>
            </w:pPr>
            <w:r w:rsidRPr="00A048CE">
              <w:rPr>
                <w:sz w:val="20"/>
                <w:szCs w:val="20"/>
              </w:rPr>
              <w:t>42,0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B57F3D5"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72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83223AB"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22,5</w:t>
            </w:r>
          </w:p>
        </w:tc>
      </w:tr>
      <w:tr w:rsidR="006B3BAF" w:rsidRPr="00A048CE" w14:paraId="61FAE2EE" w14:textId="77777777" w:rsidTr="00624DA4">
        <w:tc>
          <w:tcPr>
            <w:tcW w:w="5490" w:type="dxa"/>
            <w:tcBorders>
              <w:top w:val="single" w:sz="4" w:space="0" w:color="000000"/>
              <w:left w:val="single" w:sz="4" w:space="0" w:color="000000"/>
              <w:bottom w:val="single" w:sz="4" w:space="0" w:color="000000"/>
              <w:right w:val="single" w:sz="4" w:space="0" w:color="000000"/>
            </w:tcBorders>
            <w:vAlign w:val="center"/>
            <w:hideMark/>
          </w:tcPr>
          <w:p w14:paraId="1204F4A0" w14:textId="77777777" w:rsidR="006B3BAF" w:rsidRPr="00A048CE" w:rsidRDefault="006B3BAF" w:rsidP="006B3BAF">
            <w:pPr>
              <w:numPr>
                <w:ilvl w:val="0"/>
                <w:numId w:val="5"/>
              </w:numPr>
              <w:spacing w:line="240" w:lineRule="auto"/>
              <w:ind w:left="426"/>
              <w:rPr>
                <w:rFonts w:eastAsia="Times New Roman"/>
                <w:color w:val="000000"/>
                <w:sz w:val="20"/>
                <w:szCs w:val="20"/>
              </w:rPr>
            </w:pPr>
            <w:r w:rsidRPr="00A048CE">
              <w:rPr>
                <w:rFonts w:eastAsia="Times New Roman"/>
                <w:color w:val="000000"/>
                <w:sz w:val="20"/>
                <w:szCs w:val="20"/>
              </w:rPr>
              <w:t>Portadores de patologia/ PCD</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294828"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1C222EA" w14:textId="77777777" w:rsidR="006B3BAF" w:rsidRPr="00A048CE" w:rsidRDefault="006B3BAF" w:rsidP="00624DA4">
            <w:pPr>
              <w:spacing w:line="240" w:lineRule="auto"/>
              <w:jc w:val="center"/>
              <w:rPr>
                <w:rFonts w:eastAsia="Times New Roman"/>
                <w:sz w:val="20"/>
                <w:szCs w:val="20"/>
              </w:rPr>
            </w:pPr>
            <w:r w:rsidRPr="00A048CE">
              <w:rPr>
                <w:sz w:val="20"/>
                <w:szCs w:val="20"/>
              </w:rPr>
              <w:t>16,5</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FC23290" w14:textId="77777777" w:rsidR="006B3BAF" w:rsidRPr="00A048CE" w:rsidRDefault="006B3BAF" w:rsidP="00624DA4">
            <w:pPr>
              <w:spacing w:line="240" w:lineRule="auto"/>
              <w:jc w:val="center"/>
              <w:rPr>
                <w:rFonts w:eastAsia="Times New Roman"/>
                <w:color w:val="FF0000"/>
                <w:sz w:val="20"/>
                <w:szCs w:val="20"/>
              </w:rPr>
            </w:pPr>
            <w:r w:rsidRPr="00A048CE">
              <w:rPr>
                <w:rFonts w:eastAsia="Times New Roman"/>
                <w:sz w:val="20"/>
                <w:szCs w:val="20"/>
              </w:rPr>
              <w:t>40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81AAA0F"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12,5</w:t>
            </w:r>
          </w:p>
        </w:tc>
      </w:tr>
      <w:tr w:rsidR="006B3BAF" w:rsidRPr="00A048CE" w14:paraId="70C7DC51" w14:textId="77777777" w:rsidTr="00624DA4">
        <w:tc>
          <w:tcPr>
            <w:tcW w:w="5490" w:type="dxa"/>
            <w:tcBorders>
              <w:top w:val="single" w:sz="4" w:space="0" w:color="000000"/>
              <w:left w:val="single" w:sz="4" w:space="0" w:color="000000"/>
              <w:bottom w:val="single" w:sz="4" w:space="0" w:color="000000"/>
              <w:right w:val="single" w:sz="4" w:space="0" w:color="000000"/>
            </w:tcBorders>
            <w:hideMark/>
          </w:tcPr>
          <w:p w14:paraId="70E0AA5C" w14:textId="77777777" w:rsidR="006B3BAF" w:rsidRPr="00A048CE" w:rsidRDefault="006B3BAF" w:rsidP="006B3BAF">
            <w:pPr>
              <w:numPr>
                <w:ilvl w:val="0"/>
                <w:numId w:val="5"/>
              </w:numPr>
              <w:spacing w:line="240" w:lineRule="auto"/>
              <w:ind w:left="426"/>
              <w:rPr>
                <w:rFonts w:eastAsia="Times New Roman"/>
                <w:color w:val="000000"/>
                <w:sz w:val="20"/>
                <w:szCs w:val="20"/>
              </w:rPr>
            </w:pPr>
            <w:r w:rsidRPr="00A048CE">
              <w:rPr>
                <w:rFonts w:eastAsia="Times New Roman"/>
                <w:color w:val="000000"/>
                <w:sz w:val="20"/>
                <w:szCs w:val="20"/>
              </w:rPr>
              <w:t xml:space="preserve">Defesa dos direitos da Saúde/SUS. Comitês </w:t>
            </w:r>
            <w:r w:rsidRPr="00A048CE">
              <w:rPr>
                <w:rFonts w:eastAsia="Times New Roman"/>
                <w:sz w:val="20"/>
                <w:szCs w:val="20"/>
              </w:rPr>
              <w:t>institucionais</w:t>
            </w:r>
            <w:r w:rsidRPr="00A048CE">
              <w:rPr>
                <w:rFonts w:eastAsia="Times New Roman"/>
                <w:color w:val="000000"/>
                <w:sz w:val="20"/>
                <w:szCs w:val="20"/>
              </w:rPr>
              <w:t xml:space="preserve"> de saúde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F48CD2"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1CB48CE" w14:textId="77777777" w:rsidR="006B3BAF" w:rsidRPr="00A048CE" w:rsidRDefault="006B3BAF" w:rsidP="00624DA4">
            <w:pPr>
              <w:spacing w:line="240" w:lineRule="auto"/>
              <w:jc w:val="center"/>
              <w:rPr>
                <w:rFonts w:eastAsia="Times New Roman"/>
                <w:sz w:val="20"/>
                <w:szCs w:val="20"/>
              </w:rPr>
            </w:pPr>
            <w:r w:rsidRPr="00A048CE">
              <w:rPr>
                <w:sz w:val="20"/>
                <w:szCs w:val="20"/>
              </w:rPr>
              <w:t>6,4</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EB4CBB2"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8F742BB"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5,9</w:t>
            </w:r>
          </w:p>
        </w:tc>
      </w:tr>
      <w:tr w:rsidR="006B3BAF" w:rsidRPr="00A048CE" w14:paraId="3174859E" w14:textId="77777777" w:rsidTr="00624DA4">
        <w:tc>
          <w:tcPr>
            <w:tcW w:w="5490" w:type="dxa"/>
            <w:tcBorders>
              <w:top w:val="single" w:sz="4" w:space="0" w:color="000000"/>
              <w:left w:val="single" w:sz="4" w:space="0" w:color="000000"/>
              <w:bottom w:val="single" w:sz="4" w:space="0" w:color="000000"/>
              <w:right w:val="single" w:sz="4" w:space="0" w:color="000000"/>
            </w:tcBorders>
            <w:vAlign w:val="center"/>
            <w:hideMark/>
          </w:tcPr>
          <w:p w14:paraId="3E5C0E34" w14:textId="77777777" w:rsidR="006B3BAF" w:rsidRPr="00A048CE" w:rsidRDefault="006B3BAF" w:rsidP="006B3BAF">
            <w:pPr>
              <w:numPr>
                <w:ilvl w:val="0"/>
                <w:numId w:val="5"/>
              </w:numPr>
              <w:spacing w:line="240" w:lineRule="auto"/>
              <w:ind w:left="426"/>
              <w:rPr>
                <w:rFonts w:eastAsia="Times New Roman"/>
                <w:color w:val="000000"/>
                <w:sz w:val="20"/>
                <w:szCs w:val="20"/>
              </w:rPr>
            </w:pPr>
            <w:r w:rsidRPr="00A048CE">
              <w:rPr>
                <w:rFonts w:eastAsia="Times New Roman"/>
                <w:color w:val="000000"/>
                <w:sz w:val="20"/>
                <w:szCs w:val="20"/>
              </w:rPr>
              <w:t>Educação, promoção da saúde, educação popular em saúde e qualidade de vida</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99C79D"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28BD35C" w14:textId="77777777" w:rsidR="006B3BAF" w:rsidRPr="00A048CE" w:rsidRDefault="006B3BAF" w:rsidP="00624DA4">
            <w:pPr>
              <w:spacing w:line="240" w:lineRule="auto"/>
              <w:jc w:val="center"/>
              <w:rPr>
                <w:rFonts w:eastAsia="Times New Roman"/>
                <w:sz w:val="20"/>
                <w:szCs w:val="20"/>
              </w:rPr>
            </w:pPr>
            <w:r w:rsidRPr="00A048CE">
              <w:rPr>
                <w:sz w:val="20"/>
                <w:szCs w:val="20"/>
              </w:rPr>
              <w:t>10,2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9385E0B" w14:textId="77777777" w:rsidR="006B3BAF" w:rsidRPr="00A048CE" w:rsidRDefault="006B3BAF" w:rsidP="00624DA4">
            <w:pPr>
              <w:spacing w:line="240" w:lineRule="auto"/>
              <w:jc w:val="center"/>
              <w:rPr>
                <w:rFonts w:eastAsia="Times New Roman"/>
                <w:color w:val="FF0000"/>
                <w:sz w:val="20"/>
                <w:szCs w:val="20"/>
              </w:rPr>
            </w:pPr>
            <w:r w:rsidRPr="00A048CE">
              <w:rPr>
                <w:rFonts w:eastAsia="Times New Roman"/>
                <w:sz w:val="20"/>
                <w:szCs w:val="20"/>
              </w:rPr>
              <w:t>14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27C9BDE"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4,3</w:t>
            </w:r>
          </w:p>
        </w:tc>
      </w:tr>
      <w:tr w:rsidR="006B3BAF" w:rsidRPr="00A048CE" w14:paraId="1DE187DC" w14:textId="77777777" w:rsidTr="00624DA4">
        <w:tc>
          <w:tcPr>
            <w:tcW w:w="5490" w:type="dxa"/>
            <w:tcBorders>
              <w:top w:val="single" w:sz="4" w:space="0" w:color="000000"/>
              <w:left w:val="single" w:sz="4" w:space="0" w:color="000000"/>
              <w:bottom w:val="single" w:sz="4" w:space="0" w:color="000000"/>
              <w:right w:val="single" w:sz="4" w:space="0" w:color="000000"/>
            </w:tcBorders>
            <w:vAlign w:val="center"/>
            <w:hideMark/>
          </w:tcPr>
          <w:p w14:paraId="5E36BC83" w14:textId="77777777" w:rsidR="006B3BAF" w:rsidRPr="00A048CE" w:rsidRDefault="006B3BAF" w:rsidP="006B3BAF">
            <w:pPr>
              <w:numPr>
                <w:ilvl w:val="0"/>
                <w:numId w:val="5"/>
              </w:numPr>
              <w:spacing w:line="240" w:lineRule="auto"/>
              <w:ind w:left="426"/>
              <w:rPr>
                <w:rFonts w:eastAsia="Times New Roman"/>
                <w:color w:val="000000"/>
                <w:sz w:val="20"/>
                <w:szCs w:val="20"/>
              </w:rPr>
            </w:pPr>
            <w:r w:rsidRPr="00A048CE">
              <w:rPr>
                <w:rFonts w:eastAsia="Times New Roman"/>
                <w:color w:val="000000"/>
                <w:sz w:val="20"/>
                <w:szCs w:val="20"/>
              </w:rPr>
              <w:t xml:space="preserve">Entidade </w:t>
            </w:r>
            <w:r w:rsidRPr="00A048CE">
              <w:rPr>
                <w:rFonts w:eastAsia="Times New Roman"/>
                <w:sz w:val="20"/>
                <w:szCs w:val="20"/>
              </w:rPr>
              <w:t>científica</w:t>
            </w:r>
            <w:r w:rsidRPr="00A048CE">
              <w:rPr>
                <w:rFonts w:eastAsia="Times New Roman"/>
                <w:color w:val="000000"/>
                <w:sz w:val="20"/>
                <w:szCs w:val="20"/>
              </w:rPr>
              <w:t xml:space="preserve">, cidadania e produção do conhecimento. </w:t>
            </w:r>
            <w:r w:rsidRPr="00A048CE">
              <w:rPr>
                <w:rFonts w:eastAsia="Times New Roman"/>
                <w:sz w:val="20"/>
                <w:szCs w:val="20"/>
              </w:rPr>
              <w:t>Comitê Comunitário de acompanhamento de Pesquisas. Centro Acadêmico</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EADDAE"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1475238" w14:textId="77777777" w:rsidR="006B3BAF" w:rsidRPr="00A048CE" w:rsidRDefault="006B3BAF" w:rsidP="00624DA4">
            <w:pPr>
              <w:spacing w:line="240" w:lineRule="auto"/>
              <w:jc w:val="center"/>
              <w:rPr>
                <w:rFonts w:eastAsia="Times New Roman"/>
                <w:sz w:val="20"/>
                <w:szCs w:val="20"/>
              </w:rPr>
            </w:pPr>
            <w:r w:rsidRPr="00A048CE">
              <w:rPr>
                <w:sz w:val="20"/>
                <w:szCs w:val="20"/>
              </w:rPr>
              <w:t>16,5</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82A31D7"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5C6FCEA"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3,4</w:t>
            </w:r>
          </w:p>
        </w:tc>
      </w:tr>
      <w:tr w:rsidR="006B3BAF" w:rsidRPr="00A048CE" w14:paraId="03D1C065" w14:textId="77777777" w:rsidTr="00624DA4">
        <w:tc>
          <w:tcPr>
            <w:tcW w:w="5490" w:type="dxa"/>
            <w:tcBorders>
              <w:top w:val="single" w:sz="4" w:space="0" w:color="000000"/>
              <w:left w:val="single" w:sz="4" w:space="0" w:color="000000"/>
              <w:bottom w:val="single" w:sz="4" w:space="0" w:color="000000"/>
              <w:right w:val="single" w:sz="4" w:space="0" w:color="000000"/>
            </w:tcBorders>
            <w:hideMark/>
          </w:tcPr>
          <w:p w14:paraId="7025B725" w14:textId="77777777" w:rsidR="006B3BAF" w:rsidRPr="00A048CE" w:rsidRDefault="006B3BAF" w:rsidP="006B3BAF">
            <w:pPr>
              <w:numPr>
                <w:ilvl w:val="0"/>
                <w:numId w:val="5"/>
              </w:numPr>
              <w:spacing w:line="240" w:lineRule="auto"/>
              <w:ind w:left="426"/>
              <w:rPr>
                <w:rFonts w:eastAsia="Times New Roman"/>
                <w:color w:val="000000"/>
                <w:sz w:val="20"/>
                <w:szCs w:val="20"/>
              </w:rPr>
            </w:pPr>
            <w:r w:rsidRPr="00A048CE">
              <w:rPr>
                <w:rFonts w:eastAsia="Times New Roman"/>
                <w:color w:val="000000"/>
                <w:sz w:val="20"/>
                <w:szCs w:val="20"/>
              </w:rPr>
              <w:t>Associação Assistencial, Beneficente e cuidados. Cozinha Solidária</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EFF76E"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DF433DE" w14:textId="77777777" w:rsidR="006B3BAF" w:rsidRPr="00A048CE" w:rsidRDefault="006B3BAF" w:rsidP="00624DA4">
            <w:pPr>
              <w:spacing w:line="240" w:lineRule="auto"/>
              <w:jc w:val="center"/>
              <w:rPr>
                <w:rFonts w:eastAsia="Times New Roman"/>
                <w:sz w:val="20"/>
                <w:szCs w:val="20"/>
              </w:rPr>
            </w:pPr>
            <w:r w:rsidRPr="00A048CE">
              <w:rPr>
                <w:sz w:val="20"/>
                <w:szCs w:val="20"/>
              </w:rPr>
              <w:t>5,1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C769DB2"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D8C8B89"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5,9</w:t>
            </w:r>
          </w:p>
        </w:tc>
      </w:tr>
      <w:tr w:rsidR="006B3BAF" w:rsidRPr="00A048CE" w14:paraId="5601F510" w14:textId="77777777" w:rsidTr="00624DA4">
        <w:tc>
          <w:tcPr>
            <w:tcW w:w="5490" w:type="dxa"/>
            <w:tcBorders>
              <w:top w:val="single" w:sz="4" w:space="0" w:color="000000"/>
              <w:left w:val="single" w:sz="4" w:space="0" w:color="000000"/>
              <w:bottom w:val="single" w:sz="4" w:space="0" w:color="000000"/>
              <w:right w:val="single" w:sz="4" w:space="0" w:color="000000"/>
            </w:tcBorders>
            <w:hideMark/>
          </w:tcPr>
          <w:p w14:paraId="20CE89F5" w14:textId="77777777" w:rsidR="006B3BAF" w:rsidRPr="00A048CE" w:rsidRDefault="006B3BAF" w:rsidP="006B3BAF">
            <w:pPr>
              <w:numPr>
                <w:ilvl w:val="0"/>
                <w:numId w:val="5"/>
              </w:numPr>
              <w:spacing w:line="240" w:lineRule="auto"/>
              <w:ind w:left="426"/>
              <w:rPr>
                <w:rFonts w:eastAsia="Times New Roman"/>
                <w:color w:val="000000"/>
                <w:sz w:val="20"/>
                <w:szCs w:val="20"/>
              </w:rPr>
            </w:pPr>
            <w:r w:rsidRPr="00A048CE">
              <w:rPr>
                <w:rFonts w:eastAsia="Times New Roman"/>
                <w:color w:val="000000"/>
                <w:sz w:val="20"/>
                <w:szCs w:val="20"/>
              </w:rPr>
              <w:lastRenderedPageBreak/>
              <w:t xml:space="preserve">Defesa da saúde e segmentos sociais (mulheres, mães, quilombolas, negros, indígenas, </w:t>
            </w:r>
            <w:proofErr w:type="spellStart"/>
            <w:r w:rsidRPr="00A048CE">
              <w:rPr>
                <w:rFonts w:eastAsia="Times New Roman"/>
                <w:sz w:val="20"/>
                <w:szCs w:val="20"/>
              </w:rPr>
              <w:t>LGBTs</w:t>
            </w:r>
            <w:proofErr w:type="spellEnd"/>
            <w:r w:rsidRPr="00A048CE">
              <w:rPr>
                <w:rFonts w:eastAsia="Times New Roman"/>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2E8F3660" w14:textId="77777777" w:rsidR="006B3BAF" w:rsidRPr="00A048CE" w:rsidRDefault="006B3BAF" w:rsidP="00624DA4">
            <w:pPr>
              <w:spacing w:line="240" w:lineRule="auto"/>
              <w:jc w:val="center"/>
              <w:rPr>
                <w:rFonts w:eastAsia="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725C775"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F61B164"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1DF13A8"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5,0</w:t>
            </w:r>
          </w:p>
        </w:tc>
      </w:tr>
      <w:tr w:rsidR="006B3BAF" w:rsidRPr="00A048CE" w14:paraId="13EB81DB" w14:textId="77777777" w:rsidTr="00624DA4">
        <w:tc>
          <w:tcPr>
            <w:tcW w:w="5490" w:type="dxa"/>
            <w:tcBorders>
              <w:top w:val="single" w:sz="4" w:space="0" w:color="000000"/>
              <w:left w:val="single" w:sz="4" w:space="0" w:color="000000"/>
              <w:bottom w:val="single" w:sz="4" w:space="0" w:color="000000"/>
              <w:right w:val="single" w:sz="4" w:space="0" w:color="000000"/>
            </w:tcBorders>
            <w:hideMark/>
          </w:tcPr>
          <w:p w14:paraId="24234945" w14:textId="77777777" w:rsidR="006B3BAF" w:rsidRPr="00A048CE" w:rsidRDefault="006B3BAF" w:rsidP="006B3BAF">
            <w:pPr>
              <w:numPr>
                <w:ilvl w:val="0"/>
                <w:numId w:val="5"/>
              </w:numPr>
              <w:spacing w:line="240" w:lineRule="auto"/>
              <w:ind w:left="426"/>
              <w:rPr>
                <w:rFonts w:eastAsia="Times New Roman"/>
                <w:color w:val="000000"/>
                <w:sz w:val="20"/>
                <w:szCs w:val="20"/>
              </w:rPr>
            </w:pPr>
            <w:r w:rsidRPr="00A048CE">
              <w:rPr>
                <w:rFonts w:eastAsia="Times New Roman"/>
                <w:color w:val="000000"/>
                <w:sz w:val="20"/>
                <w:szCs w:val="20"/>
              </w:rPr>
              <w:t xml:space="preserve">Associação e/ou Conselhos profissionais de saúde.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8BEA977"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5782C6C"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E4CFE2E"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AC00779"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4,0</w:t>
            </w:r>
          </w:p>
        </w:tc>
      </w:tr>
      <w:tr w:rsidR="006B3BAF" w:rsidRPr="00A048CE" w14:paraId="34883BC1" w14:textId="77777777" w:rsidTr="00624DA4">
        <w:tc>
          <w:tcPr>
            <w:tcW w:w="5490" w:type="dxa"/>
            <w:tcBorders>
              <w:top w:val="single" w:sz="4" w:space="0" w:color="000000"/>
              <w:left w:val="single" w:sz="4" w:space="0" w:color="000000"/>
              <w:bottom w:val="single" w:sz="4" w:space="0" w:color="000000"/>
              <w:right w:val="single" w:sz="4" w:space="0" w:color="000000"/>
            </w:tcBorders>
            <w:hideMark/>
          </w:tcPr>
          <w:p w14:paraId="4CE15A51" w14:textId="77777777" w:rsidR="006B3BAF" w:rsidRPr="00A048CE" w:rsidRDefault="006B3BAF" w:rsidP="006B3BAF">
            <w:pPr>
              <w:numPr>
                <w:ilvl w:val="0"/>
                <w:numId w:val="5"/>
              </w:numPr>
              <w:spacing w:line="240" w:lineRule="auto"/>
              <w:ind w:left="426"/>
              <w:rPr>
                <w:rFonts w:eastAsia="Times New Roman"/>
                <w:color w:val="000000"/>
                <w:sz w:val="20"/>
                <w:szCs w:val="20"/>
              </w:rPr>
            </w:pPr>
            <w:r w:rsidRPr="00A048CE">
              <w:rPr>
                <w:rFonts w:eastAsia="Times New Roman"/>
                <w:color w:val="000000"/>
                <w:sz w:val="20"/>
                <w:szCs w:val="20"/>
              </w:rPr>
              <w:t xml:space="preserve">Desenvolvimento de atividades religiosas (católicos, umbanda, </w:t>
            </w:r>
            <w:r w:rsidRPr="00A048CE">
              <w:rPr>
                <w:rFonts w:eastAsia="Times New Roman"/>
                <w:sz w:val="20"/>
                <w:szCs w:val="20"/>
              </w:rPr>
              <w:t>espírita)</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52B242"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B8D9035"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0E1E90A"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5B60FC9"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0,0</w:t>
            </w:r>
          </w:p>
        </w:tc>
      </w:tr>
      <w:tr w:rsidR="006B3BAF" w:rsidRPr="00A048CE" w14:paraId="540A6D91" w14:textId="77777777" w:rsidTr="00624DA4">
        <w:tc>
          <w:tcPr>
            <w:tcW w:w="5490" w:type="dxa"/>
            <w:tcBorders>
              <w:top w:val="single" w:sz="4" w:space="0" w:color="000000"/>
              <w:left w:val="single" w:sz="4" w:space="0" w:color="000000"/>
              <w:bottom w:val="single" w:sz="4" w:space="0" w:color="000000"/>
              <w:right w:val="single" w:sz="4" w:space="0" w:color="000000"/>
            </w:tcBorders>
            <w:hideMark/>
          </w:tcPr>
          <w:p w14:paraId="69693B9E" w14:textId="77777777" w:rsidR="006B3BAF" w:rsidRPr="00A048CE" w:rsidRDefault="006B3BAF" w:rsidP="006B3BAF">
            <w:pPr>
              <w:numPr>
                <w:ilvl w:val="0"/>
                <w:numId w:val="5"/>
              </w:numPr>
              <w:spacing w:line="240" w:lineRule="auto"/>
              <w:ind w:left="426"/>
              <w:rPr>
                <w:rFonts w:eastAsia="Times New Roman"/>
                <w:color w:val="000000"/>
                <w:sz w:val="20"/>
                <w:szCs w:val="20"/>
              </w:rPr>
            </w:pPr>
            <w:r w:rsidRPr="00A048CE">
              <w:rPr>
                <w:rFonts w:eastAsia="Times New Roman"/>
                <w:color w:val="000000"/>
                <w:sz w:val="20"/>
                <w:szCs w:val="20"/>
              </w:rPr>
              <w:t xml:space="preserve">Participação institucional, conselhos de saúde. Conselhos de direito e política social. </w:t>
            </w:r>
            <w:r w:rsidRPr="00A048CE">
              <w:rPr>
                <w:rFonts w:eastAsia="Times New Roman"/>
                <w:sz w:val="20"/>
                <w:szCs w:val="20"/>
              </w:rPr>
              <w:t>Conferência gerais e livre,</w:t>
            </w:r>
            <w:r w:rsidRPr="00A048CE">
              <w:rPr>
                <w:rFonts w:eastAsia="Times New Roman"/>
                <w:color w:val="000000"/>
                <w:sz w:val="20"/>
                <w:szCs w:val="20"/>
              </w:rPr>
              <w:t xml:space="preserve"> Conselho de Unidade de Saúde</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211ACE"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20E14B8"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13DC669"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30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9F195BE"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9,3</w:t>
            </w:r>
          </w:p>
        </w:tc>
      </w:tr>
      <w:tr w:rsidR="006B3BAF" w:rsidRPr="00A048CE" w14:paraId="4A00BBB9" w14:textId="77777777" w:rsidTr="00624DA4">
        <w:tc>
          <w:tcPr>
            <w:tcW w:w="5490" w:type="dxa"/>
            <w:tcBorders>
              <w:top w:val="single" w:sz="4" w:space="0" w:color="000000"/>
              <w:left w:val="single" w:sz="4" w:space="0" w:color="000000"/>
              <w:bottom w:val="single" w:sz="4" w:space="0" w:color="000000"/>
              <w:right w:val="single" w:sz="4" w:space="0" w:color="000000"/>
            </w:tcBorders>
            <w:hideMark/>
          </w:tcPr>
          <w:p w14:paraId="2F1A41D2" w14:textId="77777777" w:rsidR="006B3BAF" w:rsidRPr="00A048CE" w:rsidRDefault="006B3BAF" w:rsidP="006B3BAF">
            <w:pPr>
              <w:numPr>
                <w:ilvl w:val="0"/>
                <w:numId w:val="5"/>
              </w:numPr>
              <w:spacing w:line="240" w:lineRule="auto"/>
              <w:ind w:left="426"/>
              <w:rPr>
                <w:rFonts w:eastAsia="Times New Roman"/>
                <w:color w:val="000000"/>
                <w:sz w:val="20"/>
                <w:szCs w:val="20"/>
              </w:rPr>
            </w:pPr>
            <w:r w:rsidRPr="00A048CE">
              <w:rPr>
                <w:rFonts w:eastAsia="Times New Roman"/>
                <w:color w:val="000000"/>
                <w:sz w:val="20"/>
                <w:szCs w:val="20"/>
              </w:rPr>
              <w:t>Preservação e Conservação Ambiental</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5BEF95"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B02D5E2"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6D42620"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10</w:t>
            </w:r>
          </w:p>
        </w:tc>
        <w:tc>
          <w:tcPr>
            <w:tcW w:w="709" w:type="dxa"/>
            <w:tcBorders>
              <w:top w:val="single" w:sz="4" w:space="0" w:color="000000"/>
              <w:left w:val="single" w:sz="4" w:space="0" w:color="000000"/>
              <w:bottom w:val="single" w:sz="4" w:space="0" w:color="000000"/>
              <w:right w:val="single" w:sz="4" w:space="0" w:color="000000"/>
            </w:tcBorders>
            <w:hideMark/>
          </w:tcPr>
          <w:p w14:paraId="73C79089"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3,1</w:t>
            </w:r>
          </w:p>
        </w:tc>
      </w:tr>
      <w:tr w:rsidR="006B3BAF" w:rsidRPr="00A048CE" w14:paraId="04FCFB39" w14:textId="77777777" w:rsidTr="00624DA4">
        <w:tc>
          <w:tcPr>
            <w:tcW w:w="5490" w:type="dxa"/>
            <w:tcBorders>
              <w:top w:val="single" w:sz="4" w:space="0" w:color="000000"/>
              <w:left w:val="single" w:sz="4" w:space="0" w:color="000000"/>
              <w:bottom w:val="single" w:sz="4" w:space="0" w:color="000000"/>
              <w:right w:val="single" w:sz="4" w:space="0" w:color="000000"/>
            </w:tcBorders>
            <w:hideMark/>
          </w:tcPr>
          <w:p w14:paraId="192E8E0A" w14:textId="77777777" w:rsidR="006B3BAF" w:rsidRPr="00A048CE" w:rsidRDefault="006B3BAF" w:rsidP="006B3BAF">
            <w:pPr>
              <w:numPr>
                <w:ilvl w:val="0"/>
                <w:numId w:val="5"/>
              </w:numPr>
              <w:spacing w:line="240" w:lineRule="auto"/>
              <w:ind w:left="426"/>
              <w:rPr>
                <w:rFonts w:eastAsia="Times New Roman"/>
                <w:color w:val="000000"/>
                <w:sz w:val="20"/>
                <w:szCs w:val="20"/>
              </w:rPr>
            </w:pPr>
            <w:r w:rsidRPr="00A048CE">
              <w:rPr>
                <w:rFonts w:eastAsia="Times New Roman"/>
                <w:color w:val="000000"/>
                <w:sz w:val="20"/>
                <w:szCs w:val="20"/>
              </w:rPr>
              <w:t>Entidade sindical</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0BC357"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051B2CE"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9454646"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1A5E988"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1,25</w:t>
            </w:r>
          </w:p>
        </w:tc>
      </w:tr>
      <w:tr w:rsidR="006B3BAF" w:rsidRPr="00A048CE" w14:paraId="37A03951" w14:textId="77777777" w:rsidTr="00624DA4">
        <w:tc>
          <w:tcPr>
            <w:tcW w:w="5490" w:type="dxa"/>
            <w:tcBorders>
              <w:top w:val="single" w:sz="4" w:space="0" w:color="000000"/>
              <w:left w:val="single" w:sz="4" w:space="0" w:color="000000"/>
              <w:bottom w:val="single" w:sz="4" w:space="0" w:color="000000"/>
              <w:right w:val="single" w:sz="4" w:space="0" w:color="000000"/>
            </w:tcBorders>
            <w:hideMark/>
          </w:tcPr>
          <w:p w14:paraId="783E7413" w14:textId="77777777" w:rsidR="006B3BAF" w:rsidRPr="00A048CE" w:rsidRDefault="006B3BAF" w:rsidP="006B3BAF">
            <w:pPr>
              <w:numPr>
                <w:ilvl w:val="0"/>
                <w:numId w:val="5"/>
              </w:numPr>
              <w:spacing w:line="240" w:lineRule="auto"/>
              <w:ind w:left="426"/>
              <w:rPr>
                <w:rFonts w:eastAsia="Times New Roman"/>
                <w:color w:val="000000"/>
                <w:sz w:val="20"/>
                <w:szCs w:val="20"/>
              </w:rPr>
            </w:pPr>
            <w:r w:rsidRPr="00A048CE">
              <w:rPr>
                <w:rFonts w:eastAsia="Times New Roman"/>
                <w:sz w:val="20"/>
                <w:szCs w:val="20"/>
              </w:rPr>
              <w:t>Associação de Moradores, comunitária, Associação de catadores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F7E9DA"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7D307DE"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5E1A7EA" w14:textId="77777777" w:rsidR="006B3BAF" w:rsidRPr="00A048CE" w:rsidRDefault="006B3BAF" w:rsidP="00624DA4">
            <w:pPr>
              <w:spacing w:line="240" w:lineRule="auto"/>
              <w:jc w:val="center"/>
              <w:rPr>
                <w:rFonts w:eastAsia="Times New Roman"/>
                <w:color w:val="FF0000"/>
                <w:sz w:val="20"/>
                <w:szCs w:val="20"/>
              </w:rPr>
            </w:pPr>
            <w:r w:rsidRPr="00A048CE">
              <w:rPr>
                <w:rFonts w:eastAsia="Times New Roman"/>
                <w:sz w:val="20"/>
                <w:szCs w:val="20"/>
              </w:rPr>
              <w:t>11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CF394CC"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3,4</w:t>
            </w:r>
          </w:p>
        </w:tc>
      </w:tr>
      <w:tr w:rsidR="006B3BAF" w:rsidRPr="00A048CE" w14:paraId="67CDFA5B" w14:textId="77777777" w:rsidTr="00624DA4">
        <w:tc>
          <w:tcPr>
            <w:tcW w:w="5490" w:type="dxa"/>
            <w:tcBorders>
              <w:top w:val="single" w:sz="4" w:space="0" w:color="000000"/>
              <w:left w:val="single" w:sz="4" w:space="0" w:color="000000"/>
              <w:bottom w:val="single" w:sz="4" w:space="0" w:color="000000"/>
              <w:right w:val="single" w:sz="4" w:space="0" w:color="000000"/>
            </w:tcBorders>
            <w:hideMark/>
          </w:tcPr>
          <w:p w14:paraId="18C39EC9" w14:textId="77777777" w:rsidR="006B3BAF" w:rsidRPr="00A048CE" w:rsidRDefault="006B3BAF" w:rsidP="006B3BAF">
            <w:pPr>
              <w:numPr>
                <w:ilvl w:val="0"/>
                <w:numId w:val="5"/>
              </w:numPr>
              <w:spacing w:line="240" w:lineRule="auto"/>
              <w:ind w:left="426"/>
              <w:rPr>
                <w:rFonts w:eastAsia="Times New Roman"/>
                <w:color w:val="000000"/>
                <w:sz w:val="20"/>
                <w:szCs w:val="20"/>
              </w:rPr>
            </w:pPr>
            <w:r w:rsidRPr="00A048CE">
              <w:rPr>
                <w:rFonts w:eastAsia="Times New Roman"/>
                <w:sz w:val="20"/>
                <w:szCs w:val="20"/>
              </w:rPr>
              <w:t>Associação esportiva</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3AF4E00"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7502CB2"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9CF6235"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3F77847"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0,6</w:t>
            </w:r>
          </w:p>
        </w:tc>
      </w:tr>
      <w:tr w:rsidR="006B3BAF" w:rsidRPr="00A048CE" w14:paraId="142F8CD9" w14:textId="77777777" w:rsidTr="00624DA4">
        <w:tc>
          <w:tcPr>
            <w:tcW w:w="5490" w:type="dxa"/>
            <w:tcBorders>
              <w:top w:val="single" w:sz="4" w:space="0" w:color="000000"/>
              <w:left w:val="single" w:sz="4" w:space="0" w:color="000000"/>
              <w:bottom w:val="single" w:sz="4" w:space="0" w:color="000000"/>
              <w:right w:val="single" w:sz="4" w:space="0" w:color="000000"/>
            </w:tcBorders>
            <w:hideMark/>
          </w:tcPr>
          <w:p w14:paraId="640A6899" w14:textId="77777777" w:rsidR="006B3BAF" w:rsidRPr="00A048CE" w:rsidRDefault="006B3BAF" w:rsidP="00624DA4">
            <w:pPr>
              <w:spacing w:line="240" w:lineRule="auto"/>
              <w:ind w:left="426" w:hanging="360"/>
              <w:rPr>
                <w:rFonts w:eastAsia="Times New Roman"/>
                <w:sz w:val="20"/>
                <w:szCs w:val="20"/>
              </w:rPr>
            </w:pPr>
            <w:r w:rsidRPr="00A048CE">
              <w:rPr>
                <w:rFonts w:eastAsia="Times New Roman"/>
                <w:sz w:val="20"/>
                <w:szCs w:val="20"/>
              </w:rPr>
              <w:t>15. Coletivos Periféricos, anticapitalistas, classistas e democráticos. Frentes de resistência e lutas. Fóruns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E5B92DD"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A1E2DF6"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2D5EBA5"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27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3BDD20A"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8,4</w:t>
            </w:r>
          </w:p>
        </w:tc>
      </w:tr>
      <w:tr w:rsidR="006B3BAF" w:rsidRPr="00A048CE" w14:paraId="0400B070" w14:textId="77777777" w:rsidTr="00624DA4">
        <w:tc>
          <w:tcPr>
            <w:tcW w:w="5490" w:type="dxa"/>
            <w:tcBorders>
              <w:top w:val="single" w:sz="4" w:space="0" w:color="000000"/>
              <w:left w:val="single" w:sz="4" w:space="0" w:color="000000"/>
              <w:bottom w:val="single" w:sz="4" w:space="0" w:color="000000"/>
              <w:right w:val="single" w:sz="4" w:space="0" w:color="000000"/>
            </w:tcBorders>
            <w:hideMark/>
          </w:tcPr>
          <w:p w14:paraId="7F3B11AF" w14:textId="77777777" w:rsidR="006B3BAF" w:rsidRPr="00A048CE" w:rsidRDefault="006B3BAF" w:rsidP="00624DA4">
            <w:pPr>
              <w:spacing w:line="240" w:lineRule="auto"/>
              <w:ind w:hanging="5"/>
              <w:rPr>
                <w:rFonts w:eastAsia="Times New Roman"/>
                <w:color w:val="000000"/>
                <w:sz w:val="20"/>
                <w:szCs w:val="20"/>
              </w:rPr>
            </w:pPr>
            <w:r w:rsidRPr="00A048CE">
              <w:rPr>
                <w:rFonts w:eastAsia="Times New Roman"/>
                <w:sz w:val="20"/>
                <w:szCs w:val="20"/>
              </w:rPr>
              <w:t>16. Não identificado, nome fantasia ou apenas sigla</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82250E6"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78657CD"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1,2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7E341EA" w14:textId="77777777" w:rsidR="006B3BAF" w:rsidRPr="00A048CE" w:rsidRDefault="006B3BAF" w:rsidP="00624DA4">
            <w:pPr>
              <w:spacing w:line="240" w:lineRule="auto"/>
              <w:jc w:val="center"/>
              <w:rPr>
                <w:rFonts w:eastAsia="Times New Roman"/>
                <w:color w:val="FF0000"/>
                <w:sz w:val="20"/>
                <w:szCs w:val="20"/>
              </w:rPr>
            </w:pPr>
            <w:r w:rsidRPr="00A048CE">
              <w:rPr>
                <w:rFonts w:eastAsia="Times New Roman"/>
                <w:sz w:val="20"/>
                <w:szCs w:val="20"/>
              </w:rPr>
              <w:t>29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464A451" w14:textId="77777777" w:rsidR="006B3BAF" w:rsidRPr="00A048CE" w:rsidRDefault="006B3BAF" w:rsidP="00624DA4">
            <w:pPr>
              <w:spacing w:line="240" w:lineRule="auto"/>
              <w:jc w:val="center"/>
              <w:rPr>
                <w:rFonts w:eastAsia="Times New Roman"/>
                <w:sz w:val="20"/>
                <w:szCs w:val="20"/>
              </w:rPr>
            </w:pPr>
            <w:r w:rsidRPr="00A048CE">
              <w:rPr>
                <w:rFonts w:eastAsia="Times New Roman"/>
                <w:sz w:val="20"/>
                <w:szCs w:val="20"/>
              </w:rPr>
              <w:t>9,0</w:t>
            </w:r>
          </w:p>
        </w:tc>
      </w:tr>
      <w:tr w:rsidR="006B3BAF" w:rsidRPr="00A048CE" w14:paraId="2FF4B824" w14:textId="77777777" w:rsidTr="00624DA4">
        <w:tc>
          <w:tcPr>
            <w:tcW w:w="5490" w:type="dxa"/>
            <w:tcBorders>
              <w:top w:val="single" w:sz="4" w:space="0" w:color="000000"/>
              <w:left w:val="single" w:sz="4" w:space="0" w:color="000000"/>
              <w:bottom w:val="single" w:sz="4" w:space="0" w:color="000000"/>
              <w:right w:val="single" w:sz="4" w:space="0" w:color="000000"/>
            </w:tcBorders>
            <w:hideMark/>
          </w:tcPr>
          <w:p w14:paraId="297D7994" w14:textId="77777777" w:rsidR="006B3BAF" w:rsidRPr="00A048CE" w:rsidRDefault="006B3BAF" w:rsidP="00624DA4">
            <w:pPr>
              <w:spacing w:line="240" w:lineRule="auto"/>
              <w:jc w:val="right"/>
              <w:rPr>
                <w:rFonts w:eastAsia="Times New Roman"/>
                <w:b/>
                <w:sz w:val="20"/>
                <w:szCs w:val="20"/>
              </w:rPr>
            </w:pPr>
            <w:r w:rsidRPr="00A048CE">
              <w:rPr>
                <w:rFonts w:eastAsia="Times New Roman"/>
                <w:b/>
                <w:sz w:val="20"/>
                <w:szCs w:val="20"/>
              </w:rPr>
              <w:t xml:space="preserve">Total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ADE1C8" w14:textId="77777777" w:rsidR="006B3BAF" w:rsidRPr="00A048CE" w:rsidRDefault="006B3BAF" w:rsidP="00624DA4">
            <w:pPr>
              <w:spacing w:line="240" w:lineRule="auto"/>
              <w:jc w:val="center"/>
              <w:rPr>
                <w:rFonts w:eastAsia="Times New Roman"/>
                <w:b/>
                <w:sz w:val="20"/>
                <w:szCs w:val="20"/>
              </w:rPr>
            </w:pPr>
            <w:r w:rsidRPr="00A048CE">
              <w:rPr>
                <w:rFonts w:eastAsia="Times New Roman"/>
                <w:b/>
                <w:sz w:val="20"/>
                <w:szCs w:val="20"/>
              </w:rPr>
              <w:t>78</w:t>
            </w:r>
          </w:p>
        </w:tc>
        <w:tc>
          <w:tcPr>
            <w:tcW w:w="709" w:type="dxa"/>
            <w:tcBorders>
              <w:top w:val="single" w:sz="4" w:space="0" w:color="000000"/>
              <w:left w:val="single" w:sz="4" w:space="0" w:color="000000"/>
              <w:bottom w:val="single" w:sz="4" w:space="0" w:color="000000"/>
              <w:right w:val="single" w:sz="4" w:space="0" w:color="000000"/>
            </w:tcBorders>
            <w:hideMark/>
          </w:tcPr>
          <w:p w14:paraId="22BB8648" w14:textId="77777777" w:rsidR="006B3BAF" w:rsidRPr="00A048CE" w:rsidRDefault="006B3BAF" w:rsidP="00624DA4">
            <w:pPr>
              <w:spacing w:line="240" w:lineRule="auto"/>
              <w:jc w:val="center"/>
              <w:rPr>
                <w:rFonts w:eastAsia="Times New Roman"/>
                <w:b/>
                <w:sz w:val="20"/>
                <w:szCs w:val="20"/>
              </w:rPr>
            </w:pPr>
            <w:r w:rsidRPr="00A048CE">
              <w:rPr>
                <w:rFonts w:eastAsia="Times New Roman"/>
                <w:b/>
                <w:sz w:val="20"/>
                <w:szCs w:val="20"/>
              </w:rPr>
              <w:t>100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F1B3CB8" w14:textId="77777777" w:rsidR="006B3BAF" w:rsidRPr="00A048CE" w:rsidRDefault="006B3BAF" w:rsidP="00624DA4">
            <w:pPr>
              <w:spacing w:line="240" w:lineRule="auto"/>
              <w:jc w:val="center"/>
              <w:rPr>
                <w:rFonts w:eastAsia="Times New Roman"/>
                <w:b/>
                <w:sz w:val="20"/>
                <w:szCs w:val="20"/>
              </w:rPr>
            </w:pPr>
            <w:r w:rsidRPr="00A048CE">
              <w:rPr>
                <w:rFonts w:eastAsia="Times New Roman"/>
                <w:b/>
                <w:sz w:val="20"/>
                <w:szCs w:val="20"/>
              </w:rPr>
              <w:t>320</w:t>
            </w:r>
          </w:p>
        </w:tc>
        <w:tc>
          <w:tcPr>
            <w:tcW w:w="709" w:type="dxa"/>
            <w:tcBorders>
              <w:top w:val="single" w:sz="4" w:space="0" w:color="000000"/>
              <w:left w:val="single" w:sz="4" w:space="0" w:color="000000"/>
              <w:bottom w:val="single" w:sz="4" w:space="0" w:color="000000"/>
              <w:right w:val="single" w:sz="4" w:space="0" w:color="000000"/>
            </w:tcBorders>
            <w:hideMark/>
          </w:tcPr>
          <w:p w14:paraId="22F51A0A" w14:textId="77777777" w:rsidR="006B3BAF" w:rsidRPr="00A048CE" w:rsidRDefault="006B3BAF" w:rsidP="00624DA4">
            <w:pPr>
              <w:spacing w:line="240" w:lineRule="auto"/>
              <w:jc w:val="center"/>
              <w:rPr>
                <w:rFonts w:eastAsia="Times New Roman"/>
                <w:b/>
                <w:sz w:val="20"/>
                <w:szCs w:val="20"/>
              </w:rPr>
            </w:pPr>
            <w:r w:rsidRPr="00A048CE">
              <w:rPr>
                <w:rFonts w:eastAsia="Times New Roman"/>
                <w:b/>
                <w:sz w:val="20"/>
                <w:szCs w:val="20"/>
              </w:rPr>
              <w:t>100</w:t>
            </w:r>
          </w:p>
        </w:tc>
      </w:tr>
    </w:tbl>
    <w:p w14:paraId="5A4913FE" w14:textId="77777777" w:rsidR="006B3BAF" w:rsidRPr="00A048CE" w:rsidRDefault="006B3BAF" w:rsidP="006B3BAF">
      <w:pPr>
        <w:spacing w:line="240" w:lineRule="auto"/>
        <w:rPr>
          <w:rFonts w:eastAsia="Times New Roman"/>
          <w:sz w:val="20"/>
          <w:szCs w:val="20"/>
          <w:lang w:eastAsia="en-US"/>
        </w:rPr>
      </w:pPr>
      <w:r w:rsidRPr="00A048CE">
        <w:rPr>
          <w:rFonts w:eastAsia="Times New Roman"/>
          <w:sz w:val="20"/>
          <w:szCs w:val="20"/>
        </w:rPr>
        <w:t xml:space="preserve">Fonte: Histórias. Todas as Páginas. </w:t>
      </w:r>
      <w:r w:rsidRPr="00A048CE">
        <w:rPr>
          <w:rFonts w:eastAsia="Times New Roman"/>
          <w:color w:val="383D41"/>
          <w:sz w:val="20"/>
          <w:szCs w:val="20"/>
        </w:rPr>
        <w:t xml:space="preserve">Mapa dos Movimentos Sociais em Saúde. Disponível </w:t>
      </w:r>
      <w:hyperlink r:id="rId10" w:history="1">
        <w:r w:rsidRPr="00A048CE">
          <w:rPr>
            <w:rStyle w:val="Hyperlink"/>
            <w:rFonts w:eastAsia="Times New Roman"/>
            <w:color w:val="1155CC"/>
            <w:sz w:val="20"/>
            <w:szCs w:val="20"/>
          </w:rPr>
          <w:t>https://mapamovsaude.net.br/index.php/Especial:Todas_as_p%C3%A1ginas</w:t>
        </w:r>
      </w:hyperlink>
      <w:r w:rsidRPr="00A048CE">
        <w:rPr>
          <w:rFonts w:eastAsia="Times New Roman"/>
          <w:color w:val="383D41"/>
          <w:sz w:val="20"/>
          <w:szCs w:val="20"/>
        </w:rPr>
        <w:t xml:space="preserve"> </w:t>
      </w:r>
      <w:r w:rsidRPr="004F2B81">
        <w:rPr>
          <w:rFonts w:eastAsia="Times New Roman"/>
          <w:sz w:val="20"/>
          <w:szCs w:val="20"/>
        </w:rPr>
        <w:t>Consulta em 08 de dezembro de 2024 e em 22 de junho de 2025. Elaboração da autora</w:t>
      </w:r>
    </w:p>
    <w:p w14:paraId="4090EC16" w14:textId="77777777" w:rsidR="006B3BAF" w:rsidRPr="00A048CE" w:rsidRDefault="006B3BAF" w:rsidP="006B3BAF">
      <w:pPr>
        <w:rPr>
          <w:rFonts w:eastAsia="Calibri"/>
        </w:rPr>
      </w:pPr>
    </w:p>
    <w:p w14:paraId="12BDE8A7" w14:textId="77777777" w:rsidR="006B3BAF" w:rsidRPr="00A048CE" w:rsidRDefault="006B3BAF" w:rsidP="006B3BAF">
      <w:pPr>
        <w:ind w:firstLine="720"/>
        <w:jc w:val="both"/>
        <w:rPr>
          <w:rFonts w:eastAsia="Times New Roman"/>
          <w:sz w:val="24"/>
          <w:szCs w:val="24"/>
        </w:rPr>
      </w:pPr>
      <w:r w:rsidRPr="00A048CE">
        <w:rPr>
          <w:sz w:val="24"/>
        </w:rPr>
        <w:t xml:space="preserve">Na consulta de dezembro de 2024 todos os 78 movimentos sociais, na sua página individualizada possuíam conteúdo informativo sobre o movimento. A consulta de junho de 2025 identificou 345 registros de histórias que levavam a uma página individualizada, no entanto, para efeito deste estudo, após conferir uma a uma, contabilizamos 320. Outros 25 registros </w:t>
      </w:r>
      <w:r w:rsidRPr="00A048CE">
        <w:rPr>
          <w:rFonts w:eastAsia="Times New Roman"/>
          <w:sz w:val="24"/>
          <w:szCs w:val="24"/>
        </w:rPr>
        <w:t>não foram considerados: de histórias repetidas, registros apenas com grafia diferente</w:t>
      </w:r>
      <w:r w:rsidRPr="00A048CE">
        <w:rPr>
          <w:rStyle w:val="Refdenotaderodap"/>
          <w:rFonts w:eastAsia="Times New Roman"/>
          <w:sz w:val="24"/>
          <w:szCs w:val="24"/>
        </w:rPr>
        <w:footnoteReference w:id="9"/>
      </w:r>
      <w:r w:rsidRPr="00A048CE">
        <w:rPr>
          <w:rFonts w:eastAsia="Times New Roman"/>
          <w:sz w:val="24"/>
          <w:szCs w:val="24"/>
        </w:rPr>
        <w:t xml:space="preserve">, com sigla apenas ou letra maiúscula ou minúscula, ou por extenso; orientação de preenchimento do </w:t>
      </w:r>
      <w:proofErr w:type="spellStart"/>
      <w:r w:rsidRPr="00A048CE">
        <w:rPr>
          <w:rFonts w:eastAsia="Times New Roman"/>
          <w:sz w:val="24"/>
          <w:szCs w:val="24"/>
        </w:rPr>
        <w:t>MapaMovSaúde</w:t>
      </w:r>
      <w:proofErr w:type="spellEnd"/>
      <w:r w:rsidRPr="00A048CE">
        <w:rPr>
          <w:rFonts w:eastAsia="Times New Roman"/>
          <w:sz w:val="24"/>
          <w:szCs w:val="24"/>
        </w:rPr>
        <w:t xml:space="preserve">, subtítulos da página </w:t>
      </w:r>
      <w:proofErr w:type="spellStart"/>
      <w:r w:rsidRPr="00A048CE">
        <w:rPr>
          <w:rFonts w:eastAsia="Times New Roman"/>
          <w:sz w:val="24"/>
          <w:szCs w:val="24"/>
        </w:rPr>
        <w:t>MapaMovSaúde</w:t>
      </w:r>
      <w:proofErr w:type="spellEnd"/>
      <w:r w:rsidRPr="00A048CE">
        <w:rPr>
          <w:rFonts w:eastAsia="Times New Roman"/>
          <w:sz w:val="24"/>
          <w:szCs w:val="24"/>
        </w:rPr>
        <w:t xml:space="preserve"> e textos compilados dos vários Objetivos de Desenvolvimento Sustentável (ODS) das Nações Unidas.</w:t>
      </w:r>
    </w:p>
    <w:p w14:paraId="1A930E49" w14:textId="77777777" w:rsidR="006B3BAF" w:rsidRPr="00A048CE" w:rsidRDefault="006B3BAF" w:rsidP="006B3BAF">
      <w:pPr>
        <w:ind w:firstLine="720"/>
        <w:jc w:val="both"/>
        <w:rPr>
          <w:rFonts w:eastAsia="Times New Roman"/>
          <w:sz w:val="24"/>
          <w:szCs w:val="24"/>
        </w:rPr>
      </w:pPr>
      <w:r w:rsidRPr="00A048CE">
        <w:rPr>
          <w:rFonts w:eastAsia="Times New Roman"/>
          <w:sz w:val="24"/>
          <w:szCs w:val="24"/>
        </w:rPr>
        <w:t xml:space="preserve">Dos 345 registros na pesquisa de junho de 2025 identificamos 219 (63,4%) sem conteúdo, 25 (7,2%) não contabilizados e 101 (29,2%) com conteúdo que serão problematizados no quadro 2. </w:t>
      </w:r>
    </w:p>
    <w:p w14:paraId="1697C22A" w14:textId="77777777" w:rsidR="006B3BAF" w:rsidRPr="00A048CE" w:rsidRDefault="006B3BAF" w:rsidP="006B3BAF">
      <w:pPr>
        <w:ind w:firstLine="720"/>
        <w:jc w:val="both"/>
        <w:rPr>
          <w:rFonts w:eastAsia="Times New Roman"/>
          <w:sz w:val="24"/>
          <w:szCs w:val="24"/>
        </w:rPr>
      </w:pPr>
      <w:r w:rsidRPr="00A048CE">
        <w:rPr>
          <w:rFonts w:eastAsia="Times New Roman"/>
          <w:sz w:val="24"/>
          <w:szCs w:val="24"/>
        </w:rPr>
        <w:t xml:space="preserve">A caracterização dos movimentos sociais conforme sua natureza no quadro 1 realizou-se de forma livre tendo em vista a ausência de qualquer conceituação de movimento social na página </w:t>
      </w:r>
      <w:proofErr w:type="spellStart"/>
      <w:r w:rsidRPr="00A048CE">
        <w:rPr>
          <w:rFonts w:eastAsia="Times New Roman"/>
          <w:sz w:val="24"/>
          <w:szCs w:val="24"/>
        </w:rPr>
        <w:t>MapaMovSaúde</w:t>
      </w:r>
      <w:proofErr w:type="spellEnd"/>
      <w:r w:rsidRPr="00A048CE">
        <w:rPr>
          <w:rFonts w:eastAsia="Times New Roman"/>
          <w:sz w:val="24"/>
          <w:szCs w:val="24"/>
        </w:rPr>
        <w:t xml:space="preserve">. Na apresentação do projeto do Mapa há a referência é um “projeto colaborativo liderado pelo Ministério da Saúde, Fiocruz, Conselho Nacional de Saúde, que busca dar visibilidade aos movimentos sociais, atuantes no campo ampliado da saúde, como sujeitos políticos da transformação do </w:t>
      </w:r>
      <w:r w:rsidRPr="00A048CE">
        <w:rPr>
          <w:rFonts w:eastAsia="Times New Roman"/>
          <w:sz w:val="24"/>
          <w:szCs w:val="24"/>
        </w:rPr>
        <w:lastRenderedPageBreak/>
        <w:t>Brasil, por meio de um mapeamento social e produção interativa e colaborativa de suas ações”</w:t>
      </w:r>
      <w:r w:rsidRPr="00A048CE">
        <w:rPr>
          <w:rStyle w:val="Refdenotaderodap"/>
          <w:rFonts w:eastAsia="Times New Roman"/>
          <w:sz w:val="24"/>
          <w:szCs w:val="24"/>
        </w:rPr>
        <w:footnoteReference w:id="10"/>
      </w:r>
      <w:r w:rsidRPr="00A048CE">
        <w:rPr>
          <w:rFonts w:eastAsia="Times New Roman"/>
          <w:sz w:val="24"/>
          <w:szCs w:val="24"/>
        </w:rPr>
        <w:t xml:space="preserve">. </w:t>
      </w:r>
    </w:p>
    <w:p w14:paraId="57008F36" w14:textId="77777777" w:rsidR="006B3BAF" w:rsidRPr="00A048CE" w:rsidRDefault="006B3BAF" w:rsidP="006B3BAF">
      <w:pPr>
        <w:ind w:firstLine="720"/>
        <w:jc w:val="both"/>
        <w:rPr>
          <w:rFonts w:eastAsia="Times New Roman"/>
          <w:sz w:val="24"/>
          <w:szCs w:val="24"/>
        </w:rPr>
      </w:pPr>
      <w:r w:rsidRPr="00A048CE">
        <w:rPr>
          <w:rFonts w:eastAsia="Times New Roman"/>
          <w:sz w:val="24"/>
          <w:szCs w:val="24"/>
        </w:rPr>
        <w:t xml:space="preserve">Com esta ausência conceitual no </w:t>
      </w:r>
      <w:proofErr w:type="spellStart"/>
      <w:r w:rsidRPr="00A048CE">
        <w:rPr>
          <w:rFonts w:eastAsia="Times New Roman"/>
          <w:sz w:val="24"/>
          <w:szCs w:val="24"/>
        </w:rPr>
        <w:t>MapaMovSaúde</w:t>
      </w:r>
      <w:proofErr w:type="spellEnd"/>
      <w:r w:rsidRPr="00A048CE">
        <w:rPr>
          <w:rFonts w:eastAsia="Times New Roman"/>
          <w:sz w:val="24"/>
          <w:szCs w:val="24"/>
        </w:rPr>
        <w:t>, partimos para alguns ensaios analíticos, dos achados desta investigação com o entendimento de movimento social já apresentado, como o conjunto de sujeitos políticos que se mobilizam com regularidade e certa organização por respostas a necessidades de várias orde</w:t>
      </w:r>
      <w:r>
        <w:rPr>
          <w:rFonts w:eastAsia="Times New Roman"/>
          <w:sz w:val="24"/>
          <w:szCs w:val="24"/>
        </w:rPr>
        <w:t>ns</w:t>
      </w:r>
      <w:r w:rsidRPr="00A048CE">
        <w:rPr>
          <w:rFonts w:eastAsia="Times New Roman"/>
          <w:sz w:val="24"/>
          <w:szCs w:val="24"/>
        </w:rPr>
        <w:t xml:space="preserve"> e reivindicação de classe (Montano e </w:t>
      </w:r>
      <w:proofErr w:type="spellStart"/>
      <w:r w:rsidRPr="00A048CE">
        <w:rPr>
          <w:rFonts w:eastAsia="Times New Roman"/>
          <w:sz w:val="24"/>
          <w:szCs w:val="24"/>
        </w:rPr>
        <w:t>Duriguetto</w:t>
      </w:r>
      <w:proofErr w:type="spellEnd"/>
      <w:r w:rsidRPr="00A048CE">
        <w:rPr>
          <w:rFonts w:eastAsia="Times New Roman"/>
          <w:sz w:val="24"/>
          <w:szCs w:val="24"/>
        </w:rPr>
        <w:t>, 2011). Os movimentos sociais tradicionais se pautam nas lutas populares que conflitam com interesses hegemônicos que sustentam a desigualdade de classe e a desigualdade social.</w:t>
      </w:r>
    </w:p>
    <w:p w14:paraId="4B82EF2C" w14:textId="4D0CA105" w:rsidR="006B3BAF" w:rsidRPr="00A048CE" w:rsidRDefault="006B3BAF" w:rsidP="006B3BAF">
      <w:pPr>
        <w:ind w:firstLine="720"/>
        <w:jc w:val="both"/>
        <w:rPr>
          <w:rFonts w:eastAsia="Calibri"/>
          <w:bCs/>
          <w:color w:val="FF0000"/>
          <w:sz w:val="24"/>
          <w:szCs w:val="24"/>
          <w:shd w:val="clear" w:color="auto" w:fill="FFFFFF"/>
        </w:rPr>
      </w:pPr>
      <w:r w:rsidRPr="00A048CE">
        <w:rPr>
          <w:rFonts w:eastAsia="Times New Roman"/>
          <w:sz w:val="24"/>
          <w:szCs w:val="24"/>
        </w:rPr>
        <w:t xml:space="preserve">Dos </w:t>
      </w:r>
      <w:r w:rsidRPr="00A048CE">
        <w:rPr>
          <w:bCs/>
          <w:sz w:val="24"/>
          <w:szCs w:val="24"/>
          <w:shd w:val="clear" w:color="auto" w:fill="FFFFFF"/>
        </w:rPr>
        <w:t xml:space="preserve">320 registros de movimentos sociais encontrados no </w:t>
      </w:r>
      <w:proofErr w:type="spellStart"/>
      <w:r w:rsidRPr="00A048CE">
        <w:rPr>
          <w:rFonts w:eastAsia="Times New Roman"/>
          <w:sz w:val="24"/>
          <w:szCs w:val="24"/>
        </w:rPr>
        <w:t>MapaMovSaúde</w:t>
      </w:r>
      <w:proofErr w:type="spellEnd"/>
      <w:r w:rsidRPr="00A048CE">
        <w:rPr>
          <w:bCs/>
          <w:sz w:val="24"/>
          <w:szCs w:val="24"/>
          <w:shd w:val="clear" w:color="auto" w:fill="FFFFFF"/>
        </w:rPr>
        <w:t xml:space="preserve"> realizamos 16 categorizações, no quadro 1, conforme sugeria as expressões usadas na denominação (</w:t>
      </w:r>
      <w:r w:rsidR="00680EC6" w:rsidRPr="00A048CE">
        <w:rPr>
          <w:bCs/>
          <w:sz w:val="24"/>
          <w:szCs w:val="24"/>
          <w:shd w:val="clear" w:color="auto" w:fill="FFFFFF"/>
        </w:rPr>
        <w:t>título</w:t>
      </w:r>
      <w:r w:rsidRPr="00A048CE">
        <w:rPr>
          <w:bCs/>
          <w:sz w:val="24"/>
          <w:szCs w:val="24"/>
          <w:shd w:val="clear" w:color="auto" w:fill="FFFFFF"/>
        </w:rPr>
        <w:t xml:space="preserve">) de cada movimento. Estas categorizações revelam aspectos e temáticas que dinamizam os movimentos, grupos, coletivos e associações que compõem uma parte do tecido organizativo em torno do tema da saúde, que já há algum tempo demonstra inovações, com uma proliferação incessante de variadas </w:t>
      </w:r>
      <w:r w:rsidRPr="00A048CE">
        <w:rPr>
          <w:bCs/>
          <w:sz w:val="24"/>
          <w:szCs w:val="24"/>
          <w:shd w:val="clear" w:color="auto" w:fill="FFFFFF"/>
        </w:rPr>
        <w:lastRenderedPageBreak/>
        <w:t xml:space="preserve">lutas (FASE, 2018). É notório que as pautas e bandeiras de lutas estão colocadas para além do acesso a saúde/SUS, contemplando um amplo conjunto de direitos sociais. </w:t>
      </w:r>
    </w:p>
    <w:p w14:paraId="791E3BAE" w14:textId="0D3B2971" w:rsidR="006B3BAF" w:rsidRPr="00A048CE" w:rsidRDefault="006B3BAF" w:rsidP="006B3BAF">
      <w:pPr>
        <w:ind w:firstLine="708"/>
        <w:jc w:val="both"/>
        <w:rPr>
          <w:rFonts w:eastAsia="Times New Roman"/>
          <w:color w:val="000000"/>
        </w:rPr>
      </w:pPr>
      <w:r w:rsidRPr="00A048CE">
        <w:rPr>
          <w:bCs/>
          <w:sz w:val="24"/>
          <w:szCs w:val="24"/>
          <w:shd w:val="clear" w:color="auto" w:fill="FFFFFF"/>
        </w:rPr>
        <w:t>Essas categorizações podem revelar uma identidade ou uma necessidade de um grupo social, em alguns casos sugere que o movimento se organiza em função de</w:t>
      </w:r>
      <w:r w:rsidR="00601F5C">
        <w:rPr>
          <w:bCs/>
          <w:sz w:val="24"/>
          <w:szCs w:val="24"/>
          <w:shd w:val="clear" w:color="auto" w:fill="FFFFFF"/>
        </w:rPr>
        <w:t xml:space="preserve"> um</w:t>
      </w:r>
      <w:r w:rsidRPr="00A048CE">
        <w:rPr>
          <w:bCs/>
          <w:sz w:val="24"/>
          <w:szCs w:val="24"/>
          <w:shd w:val="clear" w:color="auto" w:fill="FFFFFF"/>
        </w:rPr>
        <w:t xml:space="preserve"> </w:t>
      </w:r>
      <w:r w:rsidRPr="00A048CE">
        <w:rPr>
          <w:rFonts w:eastAsia="Times New Roman"/>
          <w:sz w:val="24"/>
          <w:szCs w:val="24"/>
        </w:rPr>
        <w:t xml:space="preserve">fato político ou emerge de uma expressão da questão social. </w:t>
      </w:r>
      <w:r w:rsidR="00601F5C" w:rsidRPr="00A048CE">
        <w:rPr>
          <w:rFonts w:eastAsia="Times New Roman"/>
          <w:sz w:val="24"/>
          <w:szCs w:val="24"/>
        </w:rPr>
        <w:t>Por outro lado,</w:t>
      </w:r>
      <w:r w:rsidRPr="00A048CE">
        <w:rPr>
          <w:rFonts w:eastAsia="Times New Roman"/>
          <w:sz w:val="24"/>
          <w:szCs w:val="24"/>
        </w:rPr>
        <w:t xml:space="preserve"> nos chama atenção a institucionalidade que constitui estes chamados Movimentos Sociais no </w:t>
      </w:r>
      <w:proofErr w:type="spellStart"/>
      <w:r w:rsidRPr="00A048CE">
        <w:rPr>
          <w:rFonts w:eastAsia="Times New Roman"/>
          <w:sz w:val="24"/>
          <w:szCs w:val="24"/>
        </w:rPr>
        <w:t>MapaMovSaúde</w:t>
      </w:r>
      <w:proofErr w:type="spellEnd"/>
      <w:r w:rsidRPr="00A048CE">
        <w:rPr>
          <w:rFonts w:eastAsia="Times New Roman"/>
          <w:sz w:val="24"/>
          <w:szCs w:val="24"/>
        </w:rPr>
        <w:t xml:space="preserve">, caracterizados especialmente nas linhas 3, 5, 8 e 10 do quadro representa 73 </w:t>
      </w:r>
      <w:r w:rsidRPr="00A048CE">
        <w:rPr>
          <w:bCs/>
          <w:sz w:val="24"/>
          <w:szCs w:val="24"/>
          <w:shd w:val="clear" w:color="auto" w:fill="FFFFFF"/>
        </w:rPr>
        <w:t>registros do Mapa</w:t>
      </w:r>
      <w:r w:rsidRPr="00A048CE">
        <w:rPr>
          <w:rFonts w:eastAsia="Times New Roman"/>
          <w:sz w:val="24"/>
          <w:szCs w:val="24"/>
        </w:rPr>
        <w:t>. Estas institucionalidades emerge</w:t>
      </w:r>
      <w:r>
        <w:rPr>
          <w:rFonts w:eastAsia="Times New Roman"/>
          <w:sz w:val="24"/>
          <w:szCs w:val="24"/>
        </w:rPr>
        <w:t xml:space="preserve">m tentando </w:t>
      </w:r>
      <w:r w:rsidRPr="00A048CE">
        <w:rPr>
          <w:rFonts w:eastAsia="Times New Roman"/>
          <w:sz w:val="24"/>
          <w:szCs w:val="24"/>
        </w:rPr>
        <w:t>resistir a determinadas situações e/ou defender direitos e interesses de setores ou categorias profissionais específicas</w:t>
      </w:r>
      <w:r w:rsidRPr="00486485">
        <w:rPr>
          <w:rFonts w:eastAsia="Times New Roman"/>
          <w:sz w:val="24"/>
          <w:szCs w:val="24"/>
        </w:rPr>
        <w:t xml:space="preserve">. </w:t>
      </w:r>
      <w:r w:rsidRPr="00486485">
        <w:rPr>
          <w:rFonts w:eastAsia="Times New Roman"/>
          <w:color w:val="000000"/>
          <w:sz w:val="24"/>
          <w:szCs w:val="24"/>
        </w:rPr>
        <w:t xml:space="preserve">Na linha 10 do quadro a participação institucional via conselhos de saúde, conselhos de direito e política social, </w:t>
      </w:r>
      <w:r w:rsidRPr="00486485">
        <w:rPr>
          <w:rFonts w:eastAsia="Times New Roman"/>
          <w:sz w:val="24"/>
          <w:szCs w:val="24"/>
        </w:rPr>
        <w:t xml:space="preserve">conferência gerais e livres e </w:t>
      </w:r>
      <w:r w:rsidRPr="00486485">
        <w:rPr>
          <w:rFonts w:eastAsia="Times New Roman"/>
          <w:color w:val="000000"/>
          <w:sz w:val="24"/>
          <w:szCs w:val="24"/>
        </w:rPr>
        <w:t>conselho de unidade de saúde, representa no conjunto de registros 9,3%. Estas instituições participativas de fato são a materialização do princípio da participação nos direitos sociais e nas quais os movimentos sociais têm assento representando o segmento</w:t>
      </w:r>
      <w:r w:rsidR="00601F5C">
        <w:rPr>
          <w:rFonts w:eastAsia="Times New Roman"/>
          <w:color w:val="000000"/>
          <w:sz w:val="24"/>
          <w:szCs w:val="24"/>
        </w:rPr>
        <w:t xml:space="preserve"> de</w:t>
      </w:r>
      <w:r w:rsidRPr="00486485">
        <w:rPr>
          <w:rFonts w:eastAsia="Times New Roman"/>
          <w:color w:val="000000"/>
          <w:sz w:val="24"/>
          <w:szCs w:val="24"/>
        </w:rPr>
        <w:t xml:space="preserve"> usuário/a.</w:t>
      </w:r>
    </w:p>
    <w:p w14:paraId="17E4741B" w14:textId="1E2B8C8B" w:rsidR="006B3BAF" w:rsidRPr="00601F5C" w:rsidRDefault="006B3BAF" w:rsidP="006B3BAF">
      <w:pPr>
        <w:ind w:firstLine="708"/>
        <w:jc w:val="both"/>
        <w:rPr>
          <w:rFonts w:eastAsia="Times New Roman"/>
          <w:color w:val="000000"/>
          <w:sz w:val="24"/>
          <w:szCs w:val="24"/>
        </w:rPr>
      </w:pPr>
      <w:r w:rsidRPr="00601F5C">
        <w:rPr>
          <w:rFonts w:eastAsia="Times New Roman"/>
          <w:color w:val="000000"/>
          <w:sz w:val="24"/>
          <w:szCs w:val="24"/>
        </w:rPr>
        <w:t xml:space="preserve">Se o propósito do </w:t>
      </w:r>
      <w:proofErr w:type="spellStart"/>
      <w:r w:rsidRPr="00601F5C">
        <w:rPr>
          <w:rFonts w:eastAsia="Times New Roman"/>
          <w:sz w:val="24"/>
          <w:szCs w:val="24"/>
        </w:rPr>
        <w:t>MapaMovSaúde</w:t>
      </w:r>
      <w:proofErr w:type="spellEnd"/>
      <w:r w:rsidRPr="00601F5C">
        <w:rPr>
          <w:rFonts w:eastAsia="Times New Roman"/>
          <w:color w:val="000000"/>
          <w:sz w:val="24"/>
          <w:szCs w:val="24"/>
        </w:rPr>
        <w:t xml:space="preserve"> é </w:t>
      </w:r>
      <w:r w:rsidRPr="00601F5C">
        <w:rPr>
          <w:bCs/>
          <w:sz w:val="24"/>
          <w:szCs w:val="24"/>
          <w:shd w:val="clear" w:color="auto" w:fill="FFFFFF"/>
        </w:rPr>
        <w:t xml:space="preserve">inaugurar um processo de democracia participativa, como mencionou sua coordenadora, com um Mapa Colaborativo dos Movimentos Sociais em Saúde, em nossa avaliação, a natureza das histórias (institucionalização, grupos relativamente corporativistas como os portadores de patologia e os meramente assistenciais) que compõe o Mapa não parecem responder ao título do projeto. Avaliamos que a maioria das histórias se vinculam genericamente a um processo de democracia participativa, no qual o tradicional protagonismo popular, fica secundarizado. </w:t>
      </w:r>
    </w:p>
    <w:p w14:paraId="3246E6E2" w14:textId="5B696DBF" w:rsidR="006B3BAF" w:rsidRPr="00A048CE" w:rsidRDefault="006B3BAF" w:rsidP="006B3BAF">
      <w:pPr>
        <w:ind w:firstLine="708"/>
        <w:jc w:val="both"/>
        <w:rPr>
          <w:rFonts w:eastAsia="Times New Roman"/>
          <w:sz w:val="24"/>
          <w:szCs w:val="24"/>
        </w:rPr>
      </w:pPr>
      <w:r w:rsidRPr="00A048CE">
        <w:rPr>
          <w:rFonts w:eastAsia="Times New Roman"/>
          <w:sz w:val="24"/>
          <w:szCs w:val="24"/>
        </w:rPr>
        <w:t>Na apreciação qualitativa das história</w:t>
      </w:r>
      <w:r>
        <w:rPr>
          <w:rFonts w:eastAsia="Times New Roman"/>
          <w:sz w:val="24"/>
          <w:szCs w:val="24"/>
        </w:rPr>
        <w:t>s</w:t>
      </w:r>
      <w:r w:rsidRPr="00A048CE">
        <w:rPr>
          <w:rFonts w:eastAsia="Times New Roman"/>
          <w:sz w:val="24"/>
          <w:szCs w:val="24"/>
        </w:rPr>
        <w:t xml:space="preserve"> do </w:t>
      </w:r>
      <w:proofErr w:type="spellStart"/>
      <w:r w:rsidRPr="00A048CE">
        <w:rPr>
          <w:rFonts w:eastAsia="Times New Roman"/>
          <w:sz w:val="24"/>
          <w:szCs w:val="24"/>
        </w:rPr>
        <w:t>MapaMovSaúde</w:t>
      </w:r>
      <w:proofErr w:type="spellEnd"/>
      <w:r w:rsidRPr="00A048CE">
        <w:rPr>
          <w:rFonts w:eastAsia="Times New Roman"/>
          <w:sz w:val="24"/>
          <w:szCs w:val="24"/>
        </w:rPr>
        <w:t xml:space="preserve"> nos pautaremos nos 101 </w:t>
      </w:r>
      <w:r w:rsidR="00601F5C">
        <w:rPr>
          <w:rFonts w:eastAsia="Times New Roman"/>
          <w:sz w:val="24"/>
          <w:szCs w:val="24"/>
        </w:rPr>
        <w:t xml:space="preserve">que </w:t>
      </w:r>
      <w:r w:rsidRPr="00A048CE">
        <w:rPr>
          <w:rFonts w:eastAsia="Times New Roman"/>
          <w:sz w:val="24"/>
          <w:szCs w:val="24"/>
        </w:rPr>
        <w:t>registram algum conteúdo no link próprio e em particular buscamos as referências a saúde e ao SUS.</w:t>
      </w:r>
    </w:p>
    <w:p w14:paraId="651432FB" w14:textId="77777777" w:rsidR="006B3BAF" w:rsidRPr="00A048CE" w:rsidRDefault="006B3BAF" w:rsidP="006B3BAF">
      <w:pPr>
        <w:spacing w:line="240" w:lineRule="auto"/>
        <w:jc w:val="both"/>
        <w:rPr>
          <w:rFonts w:eastAsia="Calibri"/>
        </w:rPr>
      </w:pPr>
    </w:p>
    <w:p w14:paraId="52F4C0F1" w14:textId="77777777" w:rsidR="006B3BAF" w:rsidRPr="00A048CE" w:rsidRDefault="006B3BAF" w:rsidP="00601F5C">
      <w:pPr>
        <w:jc w:val="both"/>
        <w:rPr>
          <w:rFonts w:eastAsia="Calibri"/>
          <w:szCs w:val="24"/>
        </w:rPr>
      </w:pPr>
      <w:r w:rsidRPr="00A048CE">
        <w:rPr>
          <w:rFonts w:eastAsia="Calibri"/>
          <w:szCs w:val="24"/>
        </w:rPr>
        <w:t>Quadro 2- Quantitativo de registros de histórias no Mapa Colaborativo dos Movimentos Sociais em Saúde (</w:t>
      </w:r>
      <w:proofErr w:type="spellStart"/>
      <w:r w:rsidRPr="00A048CE">
        <w:rPr>
          <w:rFonts w:eastAsia="Calibri"/>
          <w:szCs w:val="24"/>
        </w:rPr>
        <w:t>MapaMovSaúde</w:t>
      </w:r>
      <w:proofErr w:type="spellEnd"/>
      <w:r w:rsidRPr="00A048CE">
        <w:rPr>
          <w:rFonts w:eastAsia="Calibri"/>
          <w:szCs w:val="24"/>
        </w:rPr>
        <w:t xml:space="preserve">) com conteúdo </w:t>
      </w:r>
      <w:r w:rsidRPr="00A048CE">
        <w:rPr>
          <w:szCs w:val="24"/>
        </w:rPr>
        <w:t>com</w:t>
      </w:r>
      <w:r w:rsidRPr="00A048CE">
        <w:rPr>
          <w:rFonts w:eastAsia="Times New Roman"/>
          <w:szCs w:val="24"/>
        </w:rPr>
        <w:t xml:space="preserve"> referência à saúde/SUS</w:t>
      </w:r>
      <w:r w:rsidRPr="00A048CE">
        <w:rPr>
          <w:szCs w:val="24"/>
        </w:rPr>
        <w:t xml:space="preserve"> em</w:t>
      </w:r>
      <w:r w:rsidRPr="00A048CE">
        <w:rPr>
          <w:rFonts w:eastAsia="Calibri"/>
          <w:szCs w:val="24"/>
        </w:rPr>
        <w:t xml:space="preserve"> jun./2025</w:t>
      </w:r>
    </w:p>
    <w:tbl>
      <w:tblPr>
        <w:tblW w:w="9748" w:type="dxa"/>
        <w:tblLook w:val="04A0" w:firstRow="1" w:lastRow="0" w:firstColumn="1" w:lastColumn="0" w:noHBand="0" w:noVBand="1"/>
      </w:tblPr>
      <w:tblGrid>
        <w:gridCol w:w="483"/>
        <w:gridCol w:w="7847"/>
        <w:gridCol w:w="1418"/>
      </w:tblGrid>
      <w:tr w:rsidR="006B3BAF" w:rsidRPr="00A048CE" w14:paraId="023B91CB" w14:textId="77777777" w:rsidTr="00624DA4">
        <w:tc>
          <w:tcPr>
            <w:tcW w:w="483" w:type="dxa"/>
            <w:tcBorders>
              <w:top w:val="single" w:sz="4" w:space="0" w:color="000000"/>
              <w:left w:val="single" w:sz="4" w:space="0" w:color="000000"/>
              <w:bottom w:val="single" w:sz="4" w:space="0" w:color="000000"/>
              <w:right w:val="single" w:sz="4" w:space="0" w:color="000000"/>
            </w:tcBorders>
            <w:hideMark/>
          </w:tcPr>
          <w:p w14:paraId="129ABDC3" w14:textId="77777777" w:rsidR="006B3BAF" w:rsidRPr="00A048CE" w:rsidRDefault="006B3BAF" w:rsidP="00624DA4">
            <w:pPr>
              <w:spacing w:line="240" w:lineRule="auto"/>
              <w:jc w:val="center"/>
              <w:rPr>
                <w:rFonts w:eastAsia="Times New Roman"/>
                <w:b/>
                <w:bCs/>
                <w:color w:val="000000"/>
              </w:rPr>
            </w:pPr>
            <w:r w:rsidRPr="00A048CE">
              <w:rPr>
                <w:rFonts w:eastAsia="Times New Roman"/>
                <w:b/>
                <w:bCs/>
                <w:color w:val="000000"/>
              </w:rPr>
              <w:t>N.</w:t>
            </w:r>
          </w:p>
        </w:tc>
        <w:tc>
          <w:tcPr>
            <w:tcW w:w="7847" w:type="dxa"/>
            <w:tcBorders>
              <w:top w:val="single" w:sz="4" w:space="0" w:color="000000"/>
              <w:left w:val="single" w:sz="4" w:space="0" w:color="000000"/>
              <w:bottom w:val="single" w:sz="4" w:space="0" w:color="000000"/>
              <w:right w:val="single" w:sz="4" w:space="0" w:color="000000"/>
            </w:tcBorders>
            <w:hideMark/>
          </w:tcPr>
          <w:p w14:paraId="556E9E02" w14:textId="77777777" w:rsidR="006B3BAF" w:rsidRPr="00A048CE" w:rsidRDefault="006B3BAF" w:rsidP="00624DA4">
            <w:pPr>
              <w:spacing w:line="240" w:lineRule="auto"/>
              <w:jc w:val="center"/>
              <w:rPr>
                <w:rFonts w:eastAsia="Times New Roman"/>
                <w:sz w:val="24"/>
                <w:szCs w:val="24"/>
              </w:rPr>
            </w:pPr>
            <w:r w:rsidRPr="00A048CE">
              <w:rPr>
                <w:rFonts w:eastAsia="Times New Roman"/>
                <w:b/>
                <w:bCs/>
                <w:color w:val="000000"/>
              </w:rPr>
              <w:t>Natureza dos movimentos sociais</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FB08719" w14:textId="77777777" w:rsidR="006B3BAF" w:rsidRPr="00A048CE" w:rsidRDefault="006B3BAF" w:rsidP="00624DA4">
            <w:pPr>
              <w:spacing w:line="240" w:lineRule="auto"/>
              <w:jc w:val="center"/>
              <w:rPr>
                <w:rFonts w:eastAsia="Times New Roman"/>
                <w:b/>
                <w:sz w:val="24"/>
                <w:szCs w:val="24"/>
              </w:rPr>
            </w:pPr>
            <w:r w:rsidRPr="00A048CE">
              <w:rPr>
                <w:rFonts w:eastAsia="Times New Roman"/>
                <w:b/>
                <w:sz w:val="24"/>
                <w:szCs w:val="24"/>
              </w:rPr>
              <w:t>Quantidade</w:t>
            </w:r>
          </w:p>
        </w:tc>
      </w:tr>
      <w:tr w:rsidR="006B3BAF" w:rsidRPr="00A048CE" w14:paraId="44DFF75F" w14:textId="77777777" w:rsidTr="00624DA4">
        <w:tc>
          <w:tcPr>
            <w:tcW w:w="483" w:type="dxa"/>
            <w:tcBorders>
              <w:top w:val="single" w:sz="4" w:space="0" w:color="000000"/>
              <w:left w:val="single" w:sz="4" w:space="0" w:color="000000"/>
              <w:bottom w:val="single" w:sz="4" w:space="0" w:color="000000"/>
              <w:right w:val="single" w:sz="4" w:space="0" w:color="000000"/>
            </w:tcBorders>
            <w:hideMark/>
          </w:tcPr>
          <w:p w14:paraId="4254C5B4" w14:textId="77777777" w:rsidR="006B3BAF" w:rsidRPr="00A048CE" w:rsidRDefault="006B3BAF" w:rsidP="00624DA4">
            <w:pPr>
              <w:spacing w:line="240" w:lineRule="auto"/>
              <w:jc w:val="center"/>
              <w:rPr>
                <w:rFonts w:eastAsia="Times New Roman"/>
                <w:color w:val="000000"/>
              </w:rPr>
            </w:pPr>
            <w:r w:rsidRPr="00A048CE">
              <w:rPr>
                <w:rFonts w:eastAsia="Times New Roman"/>
                <w:color w:val="000000"/>
              </w:rPr>
              <w:t>1</w:t>
            </w:r>
          </w:p>
        </w:tc>
        <w:tc>
          <w:tcPr>
            <w:tcW w:w="7847" w:type="dxa"/>
            <w:tcBorders>
              <w:top w:val="single" w:sz="4" w:space="0" w:color="000000"/>
              <w:left w:val="single" w:sz="4" w:space="0" w:color="000000"/>
              <w:bottom w:val="single" w:sz="4" w:space="0" w:color="000000"/>
              <w:right w:val="single" w:sz="4" w:space="0" w:color="000000"/>
            </w:tcBorders>
            <w:vAlign w:val="center"/>
            <w:hideMark/>
          </w:tcPr>
          <w:p w14:paraId="493163A2" w14:textId="77777777" w:rsidR="006B3BAF" w:rsidRPr="00A048CE" w:rsidRDefault="006B3BAF" w:rsidP="00624DA4">
            <w:pPr>
              <w:spacing w:line="240" w:lineRule="auto"/>
              <w:rPr>
                <w:rFonts w:eastAsia="Times New Roman"/>
              </w:rPr>
            </w:pPr>
            <w:r w:rsidRPr="00A048CE">
              <w:rPr>
                <w:rFonts w:eastAsia="Times New Roman"/>
                <w:color w:val="000000"/>
              </w:rPr>
              <w:t>Defesa dos direitos e desenvolvimentos de atividades educacionais, culturais e sociais</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6C81526" w14:textId="77777777" w:rsidR="006B3BAF" w:rsidRPr="00A048CE" w:rsidRDefault="006B3BAF" w:rsidP="00624DA4">
            <w:pPr>
              <w:spacing w:line="240" w:lineRule="auto"/>
              <w:jc w:val="center"/>
              <w:rPr>
                <w:rFonts w:eastAsia="Times New Roman"/>
              </w:rPr>
            </w:pPr>
            <w:r w:rsidRPr="00A048CE">
              <w:rPr>
                <w:rFonts w:eastAsia="Times New Roman"/>
              </w:rPr>
              <w:t>15</w:t>
            </w:r>
          </w:p>
        </w:tc>
      </w:tr>
      <w:tr w:rsidR="006B3BAF" w:rsidRPr="00A048CE" w14:paraId="03B8FD0E" w14:textId="77777777" w:rsidTr="00624DA4">
        <w:tc>
          <w:tcPr>
            <w:tcW w:w="483" w:type="dxa"/>
            <w:tcBorders>
              <w:top w:val="single" w:sz="4" w:space="0" w:color="000000"/>
              <w:left w:val="single" w:sz="4" w:space="0" w:color="000000"/>
              <w:bottom w:val="single" w:sz="4" w:space="0" w:color="000000"/>
              <w:right w:val="single" w:sz="4" w:space="0" w:color="000000"/>
            </w:tcBorders>
            <w:hideMark/>
          </w:tcPr>
          <w:p w14:paraId="5F21C390" w14:textId="77777777" w:rsidR="006B3BAF" w:rsidRPr="00A048CE" w:rsidRDefault="006B3BAF" w:rsidP="00624DA4">
            <w:pPr>
              <w:spacing w:line="240" w:lineRule="auto"/>
              <w:jc w:val="center"/>
              <w:rPr>
                <w:rFonts w:eastAsia="Times New Roman"/>
                <w:color w:val="000000"/>
              </w:rPr>
            </w:pPr>
            <w:r w:rsidRPr="00A048CE">
              <w:rPr>
                <w:rFonts w:eastAsia="Times New Roman"/>
                <w:color w:val="000000"/>
              </w:rPr>
              <w:t>2</w:t>
            </w:r>
          </w:p>
        </w:tc>
        <w:tc>
          <w:tcPr>
            <w:tcW w:w="7847" w:type="dxa"/>
            <w:tcBorders>
              <w:top w:val="single" w:sz="4" w:space="0" w:color="000000"/>
              <w:left w:val="single" w:sz="4" w:space="0" w:color="000000"/>
              <w:bottom w:val="single" w:sz="4" w:space="0" w:color="000000"/>
              <w:right w:val="single" w:sz="4" w:space="0" w:color="000000"/>
            </w:tcBorders>
            <w:vAlign w:val="center"/>
            <w:hideMark/>
          </w:tcPr>
          <w:p w14:paraId="2D58532A" w14:textId="77777777" w:rsidR="006B3BAF" w:rsidRPr="00A048CE" w:rsidRDefault="006B3BAF" w:rsidP="00624DA4">
            <w:pPr>
              <w:spacing w:line="240" w:lineRule="auto"/>
              <w:rPr>
                <w:rFonts w:eastAsia="Times New Roman"/>
              </w:rPr>
            </w:pPr>
            <w:r w:rsidRPr="00A048CE">
              <w:rPr>
                <w:rFonts w:eastAsia="Times New Roman"/>
                <w:color w:val="000000"/>
              </w:rPr>
              <w:t>Portadores de patologia/ Pessoa com deficiência (PCD)</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7B42A8" w14:textId="77777777" w:rsidR="006B3BAF" w:rsidRPr="00A048CE" w:rsidRDefault="006B3BAF" w:rsidP="00624DA4">
            <w:pPr>
              <w:spacing w:line="240" w:lineRule="auto"/>
              <w:jc w:val="center"/>
              <w:rPr>
                <w:rFonts w:eastAsia="Times New Roman"/>
              </w:rPr>
            </w:pPr>
            <w:r w:rsidRPr="00A048CE">
              <w:rPr>
                <w:rFonts w:eastAsia="Times New Roman"/>
              </w:rPr>
              <w:t>22</w:t>
            </w:r>
          </w:p>
        </w:tc>
      </w:tr>
      <w:tr w:rsidR="006B3BAF" w:rsidRPr="00A048CE" w14:paraId="3B1295AE" w14:textId="77777777" w:rsidTr="00624DA4">
        <w:tc>
          <w:tcPr>
            <w:tcW w:w="483" w:type="dxa"/>
            <w:tcBorders>
              <w:top w:val="single" w:sz="4" w:space="0" w:color="000000"/>
              <w:left w:val="single" w:sz="4" w:space="0" w:color="000000"/>
              <w:bottom w:val="single" w:sz="4" w:space="0" w:color="000000"/>
              <w:right w:val="single" w:sz="4" w:space="0" w:color="000000"/>
            </w:tcBorders>
            <w:hideMark/>
          </w:tcPr>
          <w:p w14:paraId="6AD0A347" w14:textId="77777777" w:rsidR="006B3BAF" w:rsidRPr="00A048CE" w:rsidRDefault="006B3BAF" w:rsidP="00624DA4">
            <w:pPr>
              <w:spacing w:line="240" w:lineRule="auto"/>
              <w:jc w:val="center"/>
              <w:rPr>
                <w:rFonts w:eastAsia="Times New Roman"/>
                <w:color w:val="000000"/>
              </w:rPr>
            </w:pPr>
            <w:r w:rsidRPr="00A048CE">
              <w:rPr>
                <w:rFonts w:eastAsia="Times New Roman"/>
                <w:color w:val="000000"/>
              </w:rPr>
              <w:t>3</w:t>
            </w:r>
          </w:p>
        </w:tc>
        <w:tc>
          <w:tcPr>
            <w:tcW w:w="7847" w:type="dxa"/>
            <w:tcBorders>
              <w:top w:val="single" w:sz="4" w:space="0" w:color="000000"/>
              <w:left w:val="single" w:sz="4" w:space="0" w:color="000000"/>
              <w:bottom w:val="single" w:sz="4" w:space="0" w:color="000000"/>
              <w:right w:val="single" w:sz="4" w:space="0" w:color="000000"/>
            </w:tcBorders>
            <w:hideMark/>
          </w:tcPr>
          <w:p w14:paraId="6114C68A" w14:textId="77777777" w:rsidR="006B3BAF" w:rsidRPr="00A048CE" w:rsidRDefault="006B3BAF" w:rsidP="00624DA4">
            <w:pPr>
              <w:spacing w:line="240" w:lineRule="auto"/>
              <w:rPr>
                <w:rFonts w:eastAsia="Times New Roman"/>
              </w:rPr>
            </w:pPr>
            <w:r w:rsidRPr="00A048CE">
              <w:rPr>
                <w:rFonts w:eastAsia="Times New Roman"/>
                <w:color w:val="000000"/>
              </w:rPr>
              <w:t>Defesa dos direitos da Saúde/SUS. Comitês institucionais de saúde </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5117DC3" w14:textId="77777777" w:rsidR="006B3BAF" w:rsidRPr="00A048CE" w:rsidRDefault="006B3BAF" w:rsidP="00624DA4">
            <w:pPr>
              <w:spacing w:line="240" w:lineRule="auto"/>
              <w:jc w:val="center"/>
              <w:rPr>
                <w:rFonts w:eastAsia="Times New Roman"/>
              </w:rPr>
            </w:pPr>
            <w:r w:rsidRPr="00A048CE">
              <w:rPr>
                <w:rFonts w:eastAsia="Times New Roman"/>
              </w:rPr>
              <w:t>7</w:t>
            </w:r>
          </w:p>
        </w:tc>
      </w:tr>
      <w:tr w:rsidR="006B3BAF" w:rsidRPr="00A048CE" w14:paraId="698AD733" w14:textId="77777777" w:rsidTr="00624DA4">
        <w:tc>
          <w:tcPr>
            <w:tcW w:w="483" w:type="dxa"/>
            <w:tcBorders>
              <w:top w:val="single" w:sz="4" w:space="0" w:color="000000"/>
              <w:left w:val="single" w:sz="4" w:space="0" w:color="000000"/>
              <w:bottom w:val="single" w:sz="4" w:space="0" w:color="000000"/>
              <w:right w:val="single" w:sz="4" w:space="0" w:color="000000"/>
            </w:tcBorders>
            <w:hideMark/>
          </w:tcPr>
          <w:p w14:paraId="53050728" w14:textId="77777777" w:rsidR="006B3BAF" w:rsidRPr="00A048CE" w:rsidRDefault="006B3BAF" w:rsidP="00624DA4">
            <w:pPr>
              <w:spacing w:line="240" w:lineRule="auto"/>
              <w:jc w:val="center"/>
              <w:rPr>
                <w:rFonts w:eastAsia="Times New Roman"/>
                <w:color w:val="000000"/>
              </w:rPr>
            </w:pPr>
            <w:r w:rsidRPr="00A048CE">
              <w:rPr>
                <w:rFonts w:eastAsia="Times New Roman"/>
                <w:color w:val="000000"/>
              </w:rPr>
              <w:t>4</w:t>
            </w:r>
          </w:p>
        </w:tc>
        <w:tc>
          <w:tcPr>
            <w:tcW w:w="7847" w:type="dxa"/>
            <w:tcBorders>
              <w:top w:val="single" w:sz="4" w:space="0" w:color="000000"/>
              <w:left w:val="single" w:sz="4" w:space="0" w:color="000000"/>
              <w:bottom w:val="single" w:sz="4" w:space="0" w:color="000000"/>
              <w:right w:val="single" w:sz="4" w:space="0" w:color="000000"/>
            </w:tcBorders>
            <w:vAlign w:val="center"/>
            <w:hideMark/>
          </w:tcPr>
          <w:p w14:paraId="02F0664C" w14:textId="77777777" w:rsidR="006B3BAF" w:rsidRPr="00A048CE" w:rsidRDefault="006B3BAF" w:rsidP="00624DA4">
            <w:pPr>
              <w:spacing w:line="240" w:lineRule="auto"/>
              <w:rPr>
                <w:rFonts w:eastAsia="Times New Roman"/>
              </w:rPr>
            </w:pPr>
            <w:r w:rsidRPr="00A048CE">
              <w:rPr>
                <w:rFonts w:eastAsia="Times New Roman"/>
                <w:color w:val="000000"/>
              </w:rPr>
              <w:t>Educação, promoção da saúde, educação popular em saúde e qualidade de vida</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B912023" w14:textId="77777777" w:rsidR="006B3BAF" w:rsidRPr="00A048CE" w:rsidRDefault="006B3BAF" w:rsidP="00624DA4">
            <w:pPr>
              <w:spacing w:line="240" w:lineRule="auto"/>
              <w:jc w:val="center"/>
              <w:rPr>
                <w:rFonts w:eastAsia="Times New Roman"/>
              </w:rPr>
            </w:pPr>
            <w:r w:rsidRPr="00A048CE">
              <w:rPr>
                <w:rFonts w:eastAsia="Times New Roman"/>
              </w:rPr>
              <w:t>10</w:t>
            </w:r>
          </w:p>
        </w:tc>
      </w:tr>
      <w:tr w:rsidR="006B3BAF" w:rsidRPr="00A048CE" w14:paraId="4F1260CC" w14:textId="77777777" w:rsidTr="00624DA4">
        <w:tc>
          <w:tcPr>
            <w:tcW w:w="483" w:type="dxa"/>
            <w:tcBorders>
              <w:top w:val="single" w:sz="4" w:space="0" w:color="000000"/>
              <w:left w:val="single" w:sz="4" w:space="0" w:color="000000"/>
              <w:bottom w:val="single" w:sz="4" w:space="0" w:color="000000"/>
              <w:right w:val="single" w:sz="4" w:space="0" w:color="000000"/>
            </w:tcBorders>
            <w:hideMark/>
          </w:tcPr>
          <w:p w14:paraId="0E6EB35F" w14:textId="77777777" w:rsidR="006B3BAF" w:rsidRPr="00A048CE" w:rsidRDefault="006B3BAF" w:rsidP="00624DA4">
            <w:pPr>
              <w:spacing w:line="240" w:lineRule="auto"/>
              <w:jc w:val="center"/>
              <w:rPr>
                <w:rFonts w:eastAsia="Times New Roman"/>
                <w:color w:val="000000"/>
              </w:rPr>
            </w:pPr>
            <w:r w:rsidRPr="00A048CE">
              <w:rPr>
                <w:rFonts w:eastAsia="Times New Roman"/>
                <w:color w:val="000000"/>
              </w:rPr>
              <w:t>5</w:t>
            </w:r>
          </w:p>
        </w:tc>
        <w:tc>
          <w:tcPr>
            <w:tcW w:w="7847" w:type="dxa"/>
            <w:tcBorders>
              <w:top w:val="single" w:sz="4" w:space="0" w:color="000000"/>
              <w:left w:val="single" w:sz="4" w:space="0" w:color="000000"/>
              <w:bottom w:val="single" w:sz="4" w:space="0" w:color="000000"/>
              <w:right w:val="single" w:sz="4" w:space="0" w:color="000000"/>
            </w:tcBorders>
            <w:vAlign w:val="center"/>
            <w:hideMark/>
          </w:tcPr>
          <w:p w14:paraId="47E3EFF2" w14:textId="77777777" w:rsidR="006B3BAF" w:rsidRPr="00A048CE" w:rsidRDefault="006B3BAF" w:rsidP="00624DA4">
            <w:pPr>
              <w:spacing w:line="240" w:lineRule="auto"/>
              <w:rPr>
                <w:rFonts w:eastAsia="Times New Roman"/>
              </w:rPr>
            </w:pPr>
            <w:r w:rsidRPr="00A048CE">
              <w:rPr>
                <w:rFonts w:eastAsia="Times New Roman"/>
                <w:color w:val="000000"/>
              </w:rPr>
              <w:t>Entidade científica, cidadania e produção do conhecimento. Comitê Comunitário de acompanhamento de Pesquisas. Centro Acadêmico</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E78E5BE" w14:textId="77777777" w:rsidR="006B3BAF" w:rsidRPr="00A048CE" w:rsidRDefault="006B3BAF" w:rsidP="00624DA4">
            <w:pPr>
              <w:spacing w:line="240" w:lineRule="auto"/>
              <w:jc w:val="center"/>
              <w:rPr>
                <w:rFonts w:eastAsia="Times New Roman"/>
              </w:rPr>
            </w:pPr>
            <w:r w:rsidRPr="00A048CE">
              <w:rPr>
                <w:rFonts w:eastAsia="Times New Roman"/>
              </w:rPr>
              <w:t>7</w:t>
            </w:r>
          </w:p>
        </w:tc>
      </w:tr>
      <w:tr w:rsidR="006B3BAF" w:rsidRPr="00A048CE" w14:paraId="25962870" w14:textId="77777777" w:rsidTr="00624DA4">
        <w:tc>
          <w:tcPr>
            <w:tcW w:w="483" w:type="dxa"/>
            <w:tcBorders>
              <w:top w:val="single" w:sz="4" w:space="0" w:color="000000"/>
              <w:left w:val="single" w:sz="4" w:space="0" w:color="000000"/>
              <w:bottom w:val="single" w:sz="4" w:space="0" w:color="000000"/>
              <w:right w:val="single" w:sz="4" w:space="0" w:color="000000"/>
            </w:tcBorders>
            <w:hideMark/>
          </w:tcPr>
          <w:p w14:paraId="0F18437C" w14:textId="77777777" w:rsidR="006B3BAF" w:rsidRPr="00A048CE" w:rsidRDefault="006B3BAF" w:rsidP="00624DA4">
            <w:pPr>
              <w:spacing w:line="240" w:lineRule="auto"/>
              <w:jc w:val="center"/>
              <w:rPr>
                <w:rFonts w:eastAsia="Times New Roman"/>
                <w:color w:val="000000"/>
              </w:rPr>
            </w:pPr>
            <w:r w:rsidRPr="00A048CE">
              <w:rPr>
                <w:rFonts w:eastAsia="Times New Roman"/>
                <w:color w:val="000000"/>
              </w:rPr>
              <w:lastRenderedPageBreak/>
              <w:t>6</w:t>
            </w:r>
          </w:p>
        </w:tc>
        <w:tc>
          <w:tcPr>
            <w:tcW w:w="7847" w:type="dxa"/>
            <w:tcBorders>
              <w:top w:val="single" w:sz="4" w:space="0" w:color="000000"/>
              <w:left w:val="single" w:sz="4" w:space="0" w:color="000000"/>
              <w:bottom w:val="single" w:sz="4" w:space="0" w:color="000000"/>
              <w:right w:val="single" w:sz="4" w:space="0" w:color="000000"/>
            </w:tcBorders>
            <w:hideMark/>
          </w:tcPr>
          <w:p w14:paraId="30E1A990" w14:textId="77777777" w:rsidR="006B3BAF" w:rsidRPr="00A048CE" w:rsidRDefault="006B3BAF" w:rsidP="00624DA4">
            <w:pPr>
              <w:spacing w:line="240" w:lineRule="auto"/>
              <w:rPr>
                <w:rFonts w:eastAsia="Times New Roman"/>
              </w:rPr>
            </w:pPr>
            <w:r w:rsidRPr="00A048CE">
              <w:rPr>
                <w:rFonts w:eastAsia="Times New Roman"/>
                <w:color w:val="000000"/>
              </w:rPr>
              <w:t>Associação Assistencial, Beneficente e cuidados. Cozinha Solidária</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32D805" w14:textId="77777777" w:rsidR="006B3BAF" w:rsidRPr="00A048CE" w:rsidRDefault="006B3BAF" w:rsidP="00624DA4">
            <w:pPr>
              <w:spacing w:line="240" w:lineRule="auto"/>
              <w:jc w:val="center"/>
              <w:rPr>
                <w:rFonts w:eastAsia="Times New Roman"/>
              </w:rPr>
            </w:pPr>
            <w:r w:rsidRPr="00A048CE">
              <w:rPr>
                <w:rFonts w:eastAsia="Times New Roman"/>
              </w:rPr>
              <w:t>3</w:t>
            </w:r>
          </w:p>
        </w:tc>
      </w:tr>
      <w:tr w:rsidR="006B3BAF" w:rsidRPr="00A048CE" w14:paraId="58F31107" w14:textId="77777777" w:rsidTr="00624DA4">
        <w:tc>
          <w:tcPr>
            <w:tcW w:w="483" w:type="dxa"/>
            <w:tcBorders>
              <w:top w:val="single" w:sz="4" w:space="0" w:color="000000"/>
              <w:left w:val="single" w:sz="4" w:space="0" w:color="000000"/>
              <w:bottom w:val="single" w:sz="4" w:space="0" w:color="000000"/>
              <w:right w:val="single" w:sz="4" w:space="0" w:color="000000"/>
            </w:tcBorders>
            <w:hideMark/>
          </w:tcPr>
          <w:p w14:paraId="0C9A0464" w14:textId="77777777" w:rsidR="006B3BAF" w:rsidRPr="00A048CE" w:rsidRDefault="006B3BAF" w:rsidP="00624DA4">
            <w:pPr>
              <w:spacing w:line="240" w:lineRule="auto"/>
              <w:jc w:val="center"/>
              <w:rPr>
                <w:rFonts w:eastAsia="Times New Roman"/>
                <w:color w:val="000000"/>
              </w:rPr>
            </w:pPr>
            <w:r w:rsidRPr="00A048CE">
              <w:rPr>
                <w:rFonts w:eastAsia="Times New Roman"/>
                <w:color w:val="000000"/>
              </w:rPr>
              <w:t>7</w:t>
            </w:r>
          </w:p>
        </w:tc>
        <w:tc>
          <w:tcPr>
            <w:tcW w:w="7847" w:type="dxa"/>
            <w:tcBorders>
              <w:top w:val="single" w:sz="4" w:space="0" w:color="000000"/>
              <w:left w:val="single" w:sz="4" w:space="0" w:color="000000"/>
              <w:bottom w:val="single" w:sz="4" w:space="0" w:color="000000"/>
              <w:right w:val="single" w:sz="4" w:space="0" w:color="000000"/>
            </w:tcBorders>
            <w:hideMark/>
          </w:tcPr>
          <w:p w14:paraId="0BA7308C" w14:textId="77777777" w:rsidR="006B3BAF" w:rsidRPr="00A048CE" w:rsidRDefault="006B3BAF" w:rsidP="00624DA4">
            <w:pPr>
              <w:spacing w:line="240" w:lineRule="auto"/>
              <w:ind w:right="-113"/>
              <w:rPr>
                <w:rFonts w:eastAsia="Times New Roman"/>
              </w:rPr>
            </w:pPr>
            <w:r w:rsidRPr="00A048CE">
              <w:rPr>
                <w:rFonts w:eastAsia="Times New Roman"/>
                <w:color w:val="000000"/>
              </w:rPr>
              <w:t xml:space="preserve">Defesa da saúde e segmentos sociais (mulheres, mães, quilombolas, negros, indígenas, </w:t>
            </w:r>
            <w:proofErr w:type="spellStart"/>
            <w:r w:rsidRPr="00A048CE">
              <w:rPr>
                <w:rFonts w:eastAsia="Times New Roman"/>
                <w:color w:val="000000"/>
              </w:rPr>
              <w:t>LGBTs</w:t>
            </w:r>
            <w:proofErr w:type="spellEnd"/>
            <w:r w:rsidRPr="00A048CE">
              <w:rPr>
                <w:rFonts w:eastAsia="Times New Roman"/>
                <w:color w:val="000000"/>
              </w:rPr>
              <w:t>)</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FE1186" w14:textId="77777777" w:rsidR="006B3BAF" w:rsidRPr="00A048CE" w:rsidRDefault="006B3BAF" w:rsidP="00624DA4">
            <w:pPr>
              <w:spacing w:line="240" w:lineRule="auto"/>
              <w:jc w:val="center"/>
              <w:rPr>
                <w:rFonts w:eastAsia="Times New Roman"/>
              </w:rPr>
            </w:pPr>
            <w:r w:rsidRPr="00A048CE">
              <w:rPr>
                <w:rFonts w:eastAsia="Times New Roman"/>
              </w:rPr>
              <w:t>9</w:t>
            </w:r>
          </w:p>
        </w:tc>
      </w:tr>
      <w:tr w:rsidR="006B3BAF" w:rsidRPr="00A048CE" w14:paraId="1A0D6192" w14:textId="77777777" w:rsidTr="00624DA4">
        <w:tc>
          <w:tcPr>
            <w:tcW w:w="483" w:type="dxa"/>
            <w:tcBorders>
              <w:top w:val="single" w:sz="4" w:space="0" w:color="000000"/>
              <w:left w:val="single" w:sz="4" w:space="0" w:color="000000"/>
              <w:bottom w:val="single" w:sz="4" w:space="0" w:color="000000"/>
              <w:right w:val="single" w:sz="4" w:space="0" w:color="000000"/>
            </w:tcBorders>
            <w:hideMark/>
          </w:tcPr>
          <w:p w14:paraId="7FE12117" w14:textId="77777777" w:rsidR="006B3BAF" w:rsidRPr="00A048CE" w:rsidRDefault="006B3BAF" w:rsidP="00624DA4">
            <w:pPr>
              <w:spacing w:line="240" w:lineRule="auto"/>
              <w:jc w:val="center"/>
              <w:rPr>
                <w:rFonts w:eastAsia="Times New Roman"/>
                <w:color w:val="000000"/>
              </w:rPr>
            </w:pPr>
            <w:r w:rsidRPr="00A048CE">
              <w:rPr>
                <w:rFonts w:eastAsia="Times New Roman"/>
                <w:color w:val="000000"/>
              </w:rPr>
              <w:t>8</w:t>
            </w:r>
          </w:p>
        </w:tc>
        <w:tc>
          <w:tcPr>
            <w:tcW w:w="7847" w:type="dxa"/>
            <w:tcBorders>
              <w:top w:val="single" w:sz="4" w:space="0" w:color="000000"/>
              <w:left w:val="single" w:sz="4" w:space="0" w:color="000000"/>
              <w:bottom w:val="single" w:sz="4" w:space="0" w:color="000000"/>
              <w:right w:val="single" w:sz="4" w:space="0" w:color="000000"/>
            </w:tcBorders>
            <w:hideMark/>
          </w:tcPr>
          <w:p w14:paraId="7ABF709B" w14:textId="77777777" w:rsidR="006B3BAF" w:rsidRPr="00A048CE" w:rsidRDefault="006B3BAF" w:rsidP="00624DA4">
            <w:pPr>
              <w:spacing w:line="240" w:lineRule="auto"/>
              <w:ind w:right="-113"/>
              <w:rPr>
                <w:rFonts w:eastAsia="Times New Roman"/>
              </w:rPr>
            </w:pPr>
            <w:r w:rsidRPr="00A048CE">
              <w:rPr>
                <w:rFonts w:eastAsia="Times New Roman"/>
                <w:color w:val="000000"/>
              </w:rPr>
              <w:t>Associação e/ou Conselhos profissionais de saúde. Conselho de Unidade de saúde</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4FD0E3" w14:textId="77777777" w:rsidR="006B3BAF" w:rsidRPr="00A048CE" w:rsidRDefault="006B3BAF" w:rsidP="00624DA4">
            <w:pPr>
              <w:spacing w:line="240" w:lineRule="auto"/>
              <w:jc w:val="center"/>
              <w:rPr>
                <w:rFonts w:eastAsia="Times New Roman"/>
              </w:rPr>
            </w:pPr>
            <w:r w:rsidRPr="00A048CE">
              <w:rPr>
                <w:rFonts w:eastAsia="Times New Roman"/>
              </w:rPr>
              <w:t>3</w:t>
            </w:r>
          </w:p>
        </w:tc>
      </w:tr>
      <w:tr w:rsidR="006B3BAF" w:rsidRPr="00A048CE" w14:paraId="269DB9A6" w14:textId="77777777" w:rsidTr="00624DA4">
        <w:tc>
          <w:tcPr>
            <w:tcW w:w="483" w:type="dxa"/>
            <w:tcBorders>
              <w:top w:val="single" w:sz="4" w:space="0" w:color="000000"/>
              <w:left w:val="single" w:sz="4" w:space="0" w:color="000000"/>
              <w:bottom w:val="single" w:sz="4" w:space="0" w:color="000000"/>
              <w:right w:val="single" w:sz="4" w:space="0" w:color="000000"/>
            </w:tcBorders>
            <w:hideMark/>
          </w:tcPr>
          <w:p w14:paraId="0E64CDFF" w14:textId="77777777" w:rsidR="006B3BAF" w:rsidRPr="00A048CE" w:rsidRDefault="006B3BAF" w:rsidP="00624DA4">
            <w:pPr>
              <w:spacing w:line="240" w:lineRule="auto"/>
              <w:jc w:val="center"/>
              <w:rPr>
                <w:rFonts w:eastAsia="Times New Roman"/>
                <w:color w:val="000000"/>
              </w:rPr>
            </w:pPr>
            <w:r w:rsidRPr="00A048CE">
              <w:rPr>
                <w:rFonts w:eastAsia="Times New Roman"/>
                <w:color w:val="000000"/>
              </w:rPr>
              <w:t>9</w:t>
            </w:r>
          </w:p>
        </w:tc>
        <w:tc>
          <w:tcPr>
            <w:tcW w:w="7847" w:type="dxa"/>
            <w:tcBorders>
              <w:top w:val="single" w:sz="4" w:space="0" w:color="000000"/>
              <w:left w:val="single" w:sz="4" w:space="0" w:color="000000"/>
              <w:bottom w:val="single" w:sz="4" w:space="0" w:color="000000"/>
              <w:right w:val="single" w:sz="4" w:space="0" w:color="000000"/>
            </w:tcBorders>
            <w:hideMark/>
          </w:tcPr>
          <w:p w14:paraId="4C3F6CB4" w14:textId="77777777" w:rsidR="006B3BAF" w:rsidRPr="00A048CE" w:rsidRDefault="006B3BAF" w:rsidP="00624DA4">
            <w:pPr>
              <w:spacing w:line="240" w:lineRule="auto"/>
              <w:ind w:right="-113"/>
              <w:rPr>
                <w:rFonts w:eastAsia="Times New Roman"/>
              </w:rPr>
            </w:pPr>
            <w:r w:rsidRPr="00A048CE">
              <w:rPr>
                <w:rFonts w:eastAsia="Times New Roman"/>
                <w:color w:val="000000"/>
              </w:rPr>
              <w:t>Desenvolvimento de atividades religiosas, umbanda espirita</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83A10A7" w14:textId="77777777" w:rsidR="006B3BAF" w:rsidRPr="00A048CE" w:rsidRDefault="006B3BAF" w:rsidP="00624DA4">
            <w:pPr>
              <w:spacing w:line="240" w:lineRule="auto"/>
              <w:jc w:val="center"/>
              <w:rPr>
                <w:rFonts w:eastAsia="Times New Roman"/>
              </w:rPr>
            </w:pPr>
            <w:r w:rsidRPr="00A048CE">
              <w:rPr>
                <w:rFonts w:eastAsia="Times New Roman"/>
              </w:rPr>
              <w:t>1</w:t>
            </w:r>
          </w:p>
        </w:tc>
      </w:tr>
      <w:tr w:rsidR="006B3BAF" w:rsidRPr="00A048CE" w14:paraId="42FC59D9" w14:textId="77777777" w:rsidTr="00624DA4">
        <w:tc>
          <w:tcPr>
            <w:tcW w:w="483" w:type="dxa"/>
            <w:tcBorders>
              <w:top w:val="single" w:sz="4" w:space="0" w:color="000000"/>
              <w:left w:val="single" w:sz="4" w:space="0" w:color="000000"/>
              <w:bottom w:val="single" w:sz="4" w:space="0" w:color="000000"/>
              <w:right w:val="single" w:sz="4" w:space="0" w:color="000000"/>
            </w:tcBorders>
            <w:hideMark/>
          </w:tcPr>
          <w:p w14:paraId="0BE7ED20" w14:textId="77777777" w:rsidR="006B3BAF" w:rsidRPr="00A048CE" w:rsidRDefault="006B3BAF" w:rsidP="00624DA4">
            <w:pPr>
              <w:spacing w:line="240" w:lineRule="auto"/>
              <w:jc w:val="center"/>
              <w:rPr>
                <w:rFonts w:eastAsia="Times New Roman"/>
                <w:color w:val="000000"/>
              </w:rPr>
            </w:pPr>
            <w:r w:rsidRPr="00A048CE">
              <w:rPr>
                <w:rFonts w:eastAsia="Times New Roman"/>
                <w:color w:val="000000"/>
              </w:rPr>
              <w:t>10</w:t>
            </w:r>
          </w:p>
        </w:tc>
        <w:tc>
          <w:tcPr>
            <w:tcW w:w="7847" w:type="dxa"/>
            <w:tcBorders>
              <w:top w:val="single" w:sz="4" w:space="0" w:color="000000"/>
              <w:left w:val="single" w:sz="4" w:space="0" w:color="000000"/>
              <w:bottom w:val="single" w:sz="4" w:space="0" w:color="000000"/>
              <w:right w:val="single" w:sz="4" w:space="0" w:color="000000"/>
            </w:tcBorders>
            <w:hideMark/>
          </w:tcPr>
          <w:p w14:paraId="5B80939B" w14:textId="77777777" w:rsidR="006B3BAF" w:rsidRPr="00A048CE" w:rsidRDefault="006B3BAF" w:rsidP="00624DA4">
            <w:pPr>
              <w:spacing w:line="240" w:lineRule="auto"/>
              <w:ind w:right="-113"/>
              <w:rPr>
                <w:rFonts w:eastAsia="Times New Roman"/>
              </w:rPr>
            </w:pPr>
            <w:r w:rsidRPr="00A048CE">
              <w:rPr>
                <w:rFonts w:eastAsia="Times New Roman"/>
                <w:color w:val="000000"/>
              </w:rPr>
              <w:t>Participação institucional, conselhos de saúde. Conselhos de direito e política social. Conferência gerais e livre</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EAB76E0" w14:textId="77777777" w:rsidR="006B3BAF" w:rsidRPr="00A048CE" w:rsidRDefault="006B3BAF" w:rsidP="00624DA4">
            <w:pPr>
              <w:spacing w:line="240" w:lineRule="auto"/>
              <w:jc w:val="center"/>
              <w:rPr>
                <w:rFonts w:eastAsia="Times New Roman"/>
              </w:rPr>
            </w:pPr>
            <w:r w:rsidRPr="00A048CE">
              <w:rPr>
                <w:rFonts w:eastAsia="Times New Roman"/>
              </w:rPr>
              <w:t>13</w:t>
            </w:r>
          </w:p>
        </w:tc>
      </w:tr>
      <w:tr w:rsidR="006B3BAF" w:rsidRPr="00A048CE" w14:paraId="7EE849B7" w14:textId="77777777" w:rsidTr="00624DA4">
        <w:tc>
          <w:tcPr>
            <w:tcW w:w="483" w:type="dxa"/>
            <w:tcBorders>
              <w:top w:val="single" w:sz="4" w:space="0" w:color="000000"/>
              <w:left w:val="single" w:sz="4" w:space="0" w:color="000000"/>
              <w:bottom w:val="single" w:sz="4" w:space="0" w:color="000000"/>
              <w:right w:val="single" w:sz="4" w:space="0" w:color="000000"/>
            </w:tcBorders>
            <w:hideMark/>
          </w:tcPr>
          <w:p w14:paraId="660FB804" w14:textId="77777777" w:rsidR="006B3BAF" w:rsidRPr="00A048CE" w:rsidRDefault="006B3BAF" w:rsidP="00624DA4">
            <w:pPr>
              <w:spacing w:line="240" w:lineRule="auto"/>
              <w:rPr>
                <w:rFonts w:eastAsia="Times New Roman"/>
                <w:color w:val="000000"/>
              </w:rPr>
            </w:pPr>
            <w:r w:rsidRPr="00A048CE">
              <w:rPr>
                <w:rFonts w:eastAsia="Times New Roman"/>
                <w:color w:val="000000"/>
              </w:rPr>
              <w:t>11</w:t>
            </w:r>
          </w:p>
        </w:tc>
        <w:tc>
          <w:tcPr>
            <w:tcW w:w="7847" w:type="dxa"/>
            <w:tcBorders>
              <w:top w:val="single" w:sz="4" w:space="0" w:color="000000"/>
              <w:left w:val="single" w:sz="4" w:space="0" w:color="000000"/>
              <w:bottom w:val="single" w:sz="4" w:space="0" w:color="000000"/>
              <w:right w:val="single" w:sz="4" w:space="0" w:color="000000"/>
            </w:tcBorders>
            <w:hideMark/>
          </w:tcPr>
          <w:p w14:paraId="041357A9" w14:textId="77777777" w:rsidR="006B3BAF" w:rsidRPr="00A048CE" w:rsidRDefault="006B3BAF" w:rsidP="00624DA4">
            <w:pPr>
              <w:spacing w:line="240" w:lineRule="auto"/>
              <w:ind w:right="-113"/>
              <w:rPr>
                <w:rFonts w:eastAsia="Times New Roman"/>
              </w:rPr>
            </w:pPr>
            <w:r w:rsidRPr="00A048CE">
              <w:rPr>
                <w:rFonts w:eastAsia="Times New Roman"/>
                <w:color w:val="000000"/>
              </w:rPr>
              <w:t>Preservação e Conservação Ambiental</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5169894" w14:textId="77777777" w:rsidR="006B3BAF" w:rsidRPr="00A048CE" w:rsidRDefault="006B3BAF" w:rsidP="00624DA4">
            <w:pPr>
              <w:spacing w:line="240" w:lineRule="auto"/>
              <w:jc w:val="center"/>
              <w:rPr>
                <w:rFonts w:eastAsia="Times New Roman"/>
              </w:rPr>
            </w:pPr>
            <w:r w:rsidRPr="00A048CE">
              <w:rPr>
                <w:rFonts w:eastAsia="Times New Roman"/>
              </w:rPr>
              <w:t>6</w:t>
            </w:r>
          </w:p>
        </w:tc>
      </w:tr>
      <w:tr w:rsidR="006B3BAF" w:rsidRPr="00A048CE" w14:paraId="6A183659" w14:textId="77777777" w:rsidTr="00624DA4">
        <w:tc>
          <w:tcPr>
            <w:tcW w:w="483" w:type="dxa"/>
            <w:tcBorders>
              <w:top w:val="single" w:sz="4" w:space="0" w:color="000000"/>
              <w:left w:val="single" w:sz="4" w:space="0" w:color="000000"/>
              <w:bottom w:val="single" w:sz="4" w:space="0" w:color="000000"/>
              <w:right w:val="single" w:sz="4" w:space="0" w:color="000000"/>
            </w:tcBorders>
            <w:hideMark/>
          </w:tcPr>
          <w:p w14:paraId="3060FDAC" w14:textId="77777777" w:rsidR="006B3BAF" w:rsidRPr="00A048CE" w:rsidRDefault="006B3BAF" w:rsidP="00624DA4">
            <w:pPr>
              <w:spacing w:line="240" w:lineRule="auto"/>
              <w:rPr>
                <w:rFonts w:eastAsia="Times New Roman"/>
                <w:color w:val="000000"/>
              </w:rPr>
            </w:pPr>
            <w:r w:rsidRPr="00A048CE">
              <w:rPr>
                <w:rFonts w:eastAsia="Times New Roman"/>
                <w:color w:val="000000"/>
              </w:rPr>
              <w:t>12</w:t>
            </w:r>
          </w:p>
        </w:tc>
        <w:tc>
          <w:tcPr>
            <w:tcW w:w="7847" w:type="dxa"/>
            <w:tcBorders>
              <w:top w:val="single" w:sz="4" w:space="0" w:color="000000"/>
              <w:left w:val="single" w:sz="4" w:space="0" w:color="000000"/>
              <w:bottom w:val="single" w:sz="4" w:space="0" w:color="000000"/>
              <w:right w:val="single" w:sz="4" w:space="0" w:color="000000"/>
            </w:tcBorders>
            <w:hideMark/>
          </w:tcPr>
          <w:p w14:paraId="13F083A2" w14:textId="77777777" w:rsidR="006B3BAF" w:rsidRPr="00A048CE" w:rsidRDefault="006B3BAF" w:rsidP="00624DA4">
            <w:pPr>
              <w:spacing w:line="240" w:lineRule="auto"/>
              <w:ind w:right="-113"/>
              <w:rPr>
                <w:rFonts w:eastAsia="Times New Roman"/>
              </w:rPr>
            </w:pPr>
            <w:r w:rsidRPr="00A048CE">
              <w:rPr>
                <w:rFonts w:eastAsia="Times New Roman"/>
                <w:color w:val="000000"/>
              </w:rPr>
              <w:t>Entidade sindical</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CF690A8" w14:textId="77777777" w:rsidR="006B3BAF" w:rsidRPr="00A048CE" w:rsidRDefault="006B3BAF" w:rsidP="00624DA4">
            <w:pPr>
              <w:spacing w:line="240" w:lineRule="auto"/>
              <w:jc w:val="center"/>
              <w:rPr>
                <w:rFonts w:eastAsia="Times New Roman"/>
              </w:rPr>
            </w:pPr>
            <w:r w:rsidRPr="00A048CE">
              <w:rPr>
                <w:rFonts w:eastAsia="Times New Roman"/>
              </w:rPr>
              <w:t>2</w:t>
            </w:r>
          </w:p>
        </w:tc>
      </w:tr>
      <w:tr w:rsidR="006B3BAF" w:rsidRPr="00A048CE" w14:paraId="7FD9D59C" w14:textId="77777777" w:rsidTr="00624DA4">
        <w:tc>
          <w:tcPr>
            <w:tcW w:w="483" w:type="dxa"/>
            <w:tcBorders>
              <w:top w:val="single" w:sz="4" w:space="0" w:color="000000"/>
              <w:left w:val="single" w:sz="4" w:space="0" w:color="000000"/>
              <w:bottom w:val="single" w:sz="4" w:space="0" w:color="000000"/>
              <w:right w:val="single" w:sz="4" w:space="0" w:color="000000"/>
            </w:tcBorders>
            <w:hideMark/>
          </w:tcPr>
          <w:p w14:paraId="3DE9F2D0" w14:textId="77777777" w:rsidR="006B3BAF" w:rsidRPr="00A048CE" w:rsidRDefault="006B3BAF" w:rsidP="00624DA4">
            <w:pPr>
              <w:spacing w:line="240" w:lineRule="auto"/>
              <w:rPr>
                <w:rFonts w:eastAsia="Times New Roman"/>
                <w:color w:val="000000"/>
              </w:rPr>
            </w:pPr>
            <w:r w:rsidRPr="00A048CE">
              <w:rPr>
                <w:rFonts w:eastAsia="Times New Roman"/>
                <w:color w:val="000000"/>
              </w:rPr>
              <w:t>13</w:t>
            </w:r>
          </w:p>
        </w:tc>
        <w:tc>
          <w:tcPr>
            <w:tcW w:w="7847" w:type="dxa"/>
            <w:tcBorders>
              <w:top w:val="single" w:sz="4" w:space="0" w:color="000000"/>
              <w:left w:val="single" w:sz="4" w:space="0" w:color="000000"/>
              <w:bottom w:val="single" w:sz="4" w:space="0" w:color="000000"/>
              <w:right w:val="single" w:sz="4" w:space="0" w:color="000000"/>
            </w:tcBorders>
            <w:hideMark/>
          </w:tcPr>
          <w:p w14:paraId="5314E06A" w14:textId="77777777" w:rsidR="006B3BAF" w:rsidRPr="00A048CE" w:rsidRDefault="006B3BAF" w:rsidP="00624DA4">
            <w:pPr>
              <w:spacing w:line="240" w:lineRule="auto"/>
              <w:ind w:right="-113"/>
              <w:rPr>
                <w:rFonts w:eastAsia="Times New Roman"/>
              </w:rPr>
            </w:pPr>
            <w:r w:rsidRPr="00A048CE">
              <w:rPr>
                <w:rFonts w:eastAsia="Times New Roman"/>
                <w:color w:val="000000"/>
              </w:rPr>
              <w:t>Associação de Moradores, comunitária, Associação de catadores</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2F22DF4" w14:textId="77777777" w:rsidR="006B3BAF" w:rsidRPr="00A048CE" w:rsidRDefault="006B3BAF" w:rsidP="00624DA4">
            <w:pPr>
              <w:spacing w:line="240" w:lineRule="auto"/>
              <w:jc w:val="center"/>
              <w:rPr>
                <w:rFonts w:eastAsia="Times New Roman"/>
              </w:rPr>
            </w:pPr>
          </w:p>
        </w:tc>
      </w:tr>
      <w:tr w:rsidR="006B3BAF" w:rsidRPr="00A048CE" w14:paraId="17AEFA91" w14:textId="77777777" w:rsidTr="00624DA4">
        <w:tc>
          <w:tcPr>
            <w:tcW w:w="483" w:type="dxa"/>
            <w:tcBorders>
              <w:top w:val="single" w:sz="4" w:space="0" w:color="000000"/>
              <w:left w:val="single" w:sz="4" w:space="0" w:color="000000"/>
              <w:bottom w:val="single" w:sz="4" w:space="0" w:color="000000"/>
              <w:right w:val="single" w:sz="4" w:space="0" w:color="000000"/>
            </w:tcBorders>
            <w:hideMark/>
          </w:tcPr>
          <w:p w14:paraId="62E4B80F" w14:textId="77777777" w:rsidR="006B3BAF" w:rsidRPr="00A048CE" w:rsidRDefault="006B3BAF" w:rsidP="00624DA4">
            <w:pPr>
              <w:spacing w:line="240" w:lineRule="auto"/>
              <w:rPr>
                <w:rFonts w:eastAsia="Times New Roman"/>
                <w:color w:val="000000"/>
              </w:rPr>
            </w:pPr>
            <w:r w:rsidRPr="00A048CE">
              <w:rPr>
                <w:rFonts w:eastAsia="Times New Roman"/>
                <w:color w:val="000000"/>
              </w:rPr>
              <w:t>14</w:t>
            </w:r>
          </w:p>
        </w:tc>
        <w:tc>
          <w:tcPr>
            <w:tcW w:w="7847" w:type="dxa"/>
            <w:tcBorders>
              <w:top w:val="single" w:sz="4" w:space="0" w:color="000000"/>
              <w:left w:val="single" w:sz="4" w:space="0" w:color="000000"/>
              <w:bottom w:val="single" w:sz="4" w:space="0" w:color="000000"/>
              <w:right w:val="single" w:sz="4" w:space="0" w:color="000000"/>
            </w:tcBorders>
            <w:hideMark/>
          </w:tcPr>
          <w:p w14:paraId="7B75F0FC" w14:textId="77777777" w:rsidR="006B3BAF" w:rsidRPr="00A048CE" w:rsidRDefault="006B3BAF" w:rsidP="00624DA4">
            <w:pPr>
              <w:spacing w:line="240" w:lineRule="auto"/>
              <w:ind w:right="-113"/>
              <w:rPr>
                <w:rFonts w:eastAsia="Times New Roman"/>
              </w:rPr>
            </w:pPr>
            <w:r w:rsidRPr="00A048CE">
              <w:rPr>
                <w:rFonts w:eastAsia="Times New Roman"/>
                <w:color w:val="000000"/>
              </w:rPr>
              <w:t>Associação esportiva</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6AAF612" w14:textId="77777777" w:rsidR="006B3BAF" w:rsidRPr="00A048CE" w:rsidRDefault="006B3BAF" w:rsidP="00624DA4">
            <w:pPr>
              <w:spacing w:line="240" w:lineRule="auto"/>
              <w:jc w:val="center"/>
              <w:rPr>
                <w:rFonts w:eastAsia="Times New Roman"/>
              </w:rPr>
            </w:pPr>
          </w:p>
        </w:tc>
      </w:tr>
      <w:tr w:rsidR="006B3BAF" w:rsidRPr="00A048CE" w14:paraId="0610B6CD" w14:textId="77777777" w:rsidTr="00624DA4">
        <w:tc>
          <w:tcPr>
            <w:tcW w:w="483" w:type="dxa"/>
            <w:tcBorders>
              <w:top w:val="single" w:sz="4" w:space="0" w:color="000000"/>
              <w:left w:val="single" w:sz="4" w:space="0" w:color="000000"/>
              <w:bottom w:val="single" w:sz="4" w:space="0" w:color="000000"/>
              <w:right w:val="single" w:sz="4" w:space="0" w:color="000000"/>
            </w:tcBorders>
            <w:hideMark/>
          </w:tcPr>
          <w:p w14:paraId="2ECF410D" w14:textId="77777777" w:rsidR="006B3BAF" w:rsidRPr="00A048CE" w:rsidRDefault="006B3BAF" w:rsidP="00624DA4">
            <w:pPr>
              <w:spacing w:line="240" w:lineRule="auto"/>
              <w:rPr>
                <w:rFonts w:eastAsia="Times New Roman"/>
                <w:color w:val="000000"/>
              </w:rPr>
            </w:pPr>
            <w:r w:rsidRPr="00A048CE">
              <w:rPr>
                <w:rFonts w:eastAsia="Times New Roman"/>
                <w:color w:val="000000"/>
              </w:rPr>
              <w:t>15</w:t>
            </w:r>
          </w:p>
        </w:tc>
        <w:tc>
          <w:tcPr>
            <w:tcW w:w="7847" w:type="dxa"/>
            <w:tcBorders>
              <w:top w:val="single" w:sz="4" w:space="0" w:color="000000"/>
              <w:left w:val="single" w:sz="4" w:space="0" w:color="000000"/>
              <w:bottom w:val="single" w:sz="4" w:space="0" w:color="000000"/>
              <w:right w:val="single" w:sz="4" w:space="0" w:color="000000"/>
            </w:tcBorders>
            <w:hideMark/>
          </w:tcPr>
          <w:p w14:paraId="5FFF6849" w14:textId="77777777" w:rsidR="006B3BAF" w:rsidRPr="00A048CE" w:rsidRDefault="006B3BAF" w:rsidP="00624DA4">
            <w:pPr>
              <w:spacing w:line="240" w:lineRule="auto"/>
              <w:ind w:right="-113"/>
              <w:rPr>
                <w:rFonts w:eastAsia="Times New Roman"/>
              </w:rPr>
            </w:pPr>
            <w:r w:rsidRPr="00A048CE">
              <w:rPr>
                <w:rFonts w:eastAsia="Times New Roman"/>
                <w:color w:val="000000"/>
              </w:rPr>
              <w:t>Coletivos Periféricos, anticapitalistas, classistas e democráticos. Frentes de resistência e lutas. Fóruns</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450AD2E" w14:textId="77777777" w:rsidR="006B3BAF" w:rsidRPr="00A048CE" w:rsidRDefault="006B3BAF" w:rsidP="00624DA4">
            <w:pPr>
              <w:spacing w:line="240" w:lineRule="auto"/>
              <w:jc w:val="center"/>
              <w:rPr>
                <w:rFonts w:eastAsia="Times New Roman"/>
                <w:color w:val="000000"/>
              </w:rPr>
            </w:pPr>
            <w:r w:rsidRPr="00A048CE">
              <w:rPr>
                <w:rFonts w:eastAsia="Times New Roman"/>
                <w:color w:val="000000"/>
              </w:rPr>
              <w:t>5</w:t>
            </w:r>
          </w:p>
        </w:tc>
      </w:tr>
      <w:tr w:rsidR="006B3BAF" w:rsidRPr="00A048CE" w14:paraId="7CF894AE" w14:textId="77777777" w:rsidTr="00624DA4">
        <w:tc>
          <w:tcPr>
            <w:tcW w:w="483" w:type="dxa"/>
            <w:tcBorders>
              <w:top w:val="single" w:sz="4" w:space="0" w:color="000000"/>
              <w:left w:val="single" w:sz="4" w:space="0" w:color="000000"/>
              <w:bottom w:val="single" w:sz="4" w:space="0" w:color="000000"/>
              <w:right w:val="single" w:sz="4" w:space="0" w:color="000000"/>
            </w:tcBorders>
            <w:hideMark/>
          </w:tcPr>
          <w:p w14:paraId="4A4177F7" w14:textId="77777777" w:rsidR="006B3BAF" w:rsidRPr="00A048CE" w:rsidRDefault="006B3BAF" w:rsidP="00624DA4">
            <w:pPr>
              <w:spacing w:line="240" w:lineRule="auto"/>
              <w:rPr>
                <w:rFonts w:eastAsia="Times New Roman"/>
                <w:color w:val="000000"/>
              </w:rPr>
            </w:pPr>
            <w:r w:rsidRPr="00A048CE">
              <w:rPr>
                <w:rFonts w:eastAsia="Times New Roman"/>
                <w:color w:val="000000"/>
              </w:rPr>
              <w:t>16</w:t>
            </w:r>
          </w:p>
        </w:tc>
        <w:tc>
          <w:tcPr>
            <w:tcW w:w="7847" w:type="dxa"/>
            <w:tcBorders>
              <w:top w:val="single" w:sz="4" w:space="0" w:color="000000"/>
              <w:left w:val="single" w:sz="4" w:space="0" w:color="000000"/>
              <w:bottom w:val="single" w:sz="4" w:space="0" w:color="000000"/>
              <w:right w:val="single" w:sz="4" w:space="0" w:color="000000"/>
            </w:tcBorders>
            <w:hideMark/>
          </w:tcPr>
          <w:p w14:paraId="4CA41FFD" w14:textId="77777777" w:rsidR="006B3BAF" w:rsidRPr="00A048CE" w:rsidRDefault="006B3BAF" w:rsidP="00624DA4">
            <w:pPr>
              <w:spacing w:line="240" w:lineRule="auto"/>
              <w:ind w:right="-113"/>
              <w:rPr>
                <w:rFonts w:eastAsia="Times New Roman"/>
              </w:rPr>
            </w:pPr>
            <w:r w:rsidRPr="00A048CE">
              <w:rPr>
                <w:rFonts w:eastAsia="Times New Roman"/>
                <w:color w:val="000000"/>
              </w:rPr>
              <w:t>Não identificado, nome fantasia ou apenas sigla</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F6BFDE8" w14:textId="77777777" w:rsidR="006B3BAF" w:rsidRPr="00A048CE" w:rsidRDefault="006B3BAF" w:rsidP="00624DA4">
            <w:pPr>
              <w:spacing w:line="240" w:lineRule="auto"/>
              <w:jc w:val="center"/>
              <w:rPr>
                <w:rFonts w:eastAsia="Times New Roman"/>
                <w:color w:val="000000"/>
              </w:rPr>
            </w:pPr>
          </w:p>
        </w:tc>
      </w:tr>
      <w:tr w:rsidR="006B3BAF" w:rsidRPr="00A048CE" w14:paraId="1EF6C7B0" w14:textId="77777777" w:rsidTr="00624DA4">
        <w:tc>
          <w:tcPr>
            <w:tcW w:w="483" w:type="dxa"/>
            <w:tcBorders>
              <w:top w:val="single" w:sz="4" w:space="0" w:color="000000"/>
              <w:left w:val="single" w:sz="4" w:space="0" w:color="000000"/>
              <w:bottom w:val="single" w:sz="4" w:space="0" w:color="000000"/>
              <w:right w:val="single" w:sz="4" w:space="0" w:color="000000"/>
            </w:tcBorders>
          </w:tcPr>
          <w:p w14:paraId="676CCA86" w14:textId="77777777" w:rsidR="006B3BAF" w:rsidRPr="00A048CE" w:rsidRDefault="006B3BAF" w:rsidP="00624DA4">
            <w:pPr>
              <w:spacing w:line="240" w:lineRule="auto"/>
              <w:rPr>
                <w:rFonts w:eastAsia="Times New Roman"/>
                <w:color w:val="000000"/>
              </w:rPr>
            </w:pPr>
          </w:p>
        </w:tc>
        <w:tc>
          <w:tcPr>
            <w:tcW w:w="7847" w:type="dxa"/>
            <w:tcBorders>
              <w:top w:val="single" w:sz="4" w:space="0" w:color="000000"/>
              <w:left w:val="single" w:sz="4" w:space="0" w:color="000000"/>
              <w:bottom w:val="single" w:sz="4" w:space="0" w:color="000000"/>
              <w:right w:val="single" w:sz="4" w:space="0" w:color="000000"/>
            </w:tcBorders>
          </w:tcPr>
          <w:p w14:paraId="53A2657F" w14:textId="77777777" w:rsidR="006B3BAF" w:rsidRPr="00A048CE" w:rsidRDefault="006B3BAF" w:rsidP="00624DA4">
            <w:pPr>
              <w:spacing w:line="240" w:lineRule="auto"/>
              <w:rPr>
                <w:rFonts w:eastAsia="Times New Roman"/>
                <w:color w:val="000000"/>
              </w:rPr>
            </w:pP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1CABC8" w14:textId="77777777" w:rsidR="006B3BAF" w:rsidRPr="00A048CE" w:rsidRDefault="006B3BAF" w:rsidP="00624DA4">
            <w:pPr>
              <w:spacing w:line="240" w:lineRule="auto"/>
              <w:jc w:val="center"/>
              <w:rPr>
                <w:rFonts w:eastAsia="Times New Roman"/>
                <w:color w:val="000000"/>
              </w:rPr>
            </w:pPr>
            <w:r w:rsidRPr="00A048CE">
              <w:rPr>
                <w:rFonts w:eastAsia="Times New Roman"/>
                <w:color w:val="000000"/>
              </w:rPr>
              <w:t>101</w:t>
            </w:r>
          </w:p>
        </w:tc>
      </w:tr>
    </w:tbl>
    <w:p w14:paraId="7C576EF8" w14:textId="77777777" w:rsidR="006B3BAF" w:rsidRPr="004F2B81" w:rsidRDefault="006B3BAF" w:rsidP="006B3BAF">
      <w:pPr>
        <w:spacing w:line="240" w:lineRule="auto"/>
        <w:rPr>
          <w:rFonts w:eastAsia="Times New Roman"/>
          <w:sz w:val="20"/>
          <w:szCs w:val="20"/>
          <w:lang w:eastAsia="en-US"/>
        </w:rPr>
      </w:pPr>
      <w:r w:rsidRPr="004F2B81">
        <w:rPr>
          <w:rFonts w:eastAsia="Times New Roman"/>
          <w:sz w:val="20"/>
          <w:szCs w:val="20"/>
        </w:rPr>
        <w:t xml:space="preserve">Fonte: Histórias. Todas as Páginas. Mapa dos Movimentos Sociais em Saúde. Disponível </w:t>
      </w:r>
      <w:hyperlink r:id="rId11" w:history="1">
        <w:r w:rsidRPr="00A048CE">
          <w:rPr>
            <w:rStyle w:val="Hyperlink"/>
            <w:rFonts w:eastAsia="Times New Roman"/>
            <w:color w:val="1155CC"/>
            <w:sz w:val="20"/>
            <w:szCs w:val="20"/>
          </w:rPr>
          <w:t>https://mapamovsaude.net.br/index.php/Especial:Todas_as_p%C3%A1ginas</w:t>
        </w:r>
      </w:hyperlink>
      <w:r w:rsidRPr="00A048CE">
        <w:rPr>
          <w:rFonts w:eastAsia="Times New Roman"/>
          <w:color w:val="383D41"/>
          <w:sz w:val="20"/>
          <w:szCs w:val="20"/>
        </w:rPr>
        <w:t xml:space="preserve"> </w:t>
      </w:r>
      <w:r w:rsidRPr="004F2B81">
        <w:rPr>
          <w:rFonts w:eastAsia="Times New Roman"/>
          <w:sz w:val="20"/>
          <w:szCs w:val="20"/>
        </w:rPr>
        <w:t>Consulta em 22 de junho de 2025. Elaboração da autora</w:t>
      </w:r>
    </w:p>
    <w:p w14:paraId="41491D99" w14:textId="77777777" w:rsidR="006B3BAF" w:rsidRPr="00A048CE" w:rsidRDefault="006B3BAF" w:rsidP="006B3BAF">
      <w:pPr>
        <w:rPr>
          <w:rFonts w:eastAsia="Calibri"/>
          <w:bCs/>
          <w:color w:val="FF0000"/>
          <w:sz w:val="24"/>
          <w:szCs w:val="24"/>
          <w:shd w:val="clear" w:color="auto" w:fill="FFFFFF"/>
        </w:rPr>
      </w:pPr>
    </w:p>
    <w:p w14:paraId="2D015A03" w14:textId="77777777" w:rsidR="006B3BAF" w:rsidRPr="00A048CE" w:rsidRDefault="006B3BAF" w:rsidP="006B3BAF">
      <w:pPr>
        <w:ind w:firstLine="708"/>
        <w:jc w:val="both"/>
        <w:rPr>
          <w:bCs/>
          <w:sz w:val="24"/>
          <w:szCs w:val="24"/>
          <w:shd w:val="clear" w:color="auto" w:fill="FFFFFF"/>
        </w:rPr>
      </w:pPr>
      <w:r w:rsidRPr="00A048CE">
        <w:rPr>
          <w:bCs/>
          <w:sz w:val="24"/>
          <w:szCs w:val="24"/>
          <w:shd w:val="clear" w:color="auto" w:fill="FFFFFF"/>
        </w:rPr>
        <w:t xml:space="preserve">Na descrição das 101 histórias observamos que apenas 14 (13,8%) explicitamente indicam que fazem a defesa dos Sistema Único de Saúde (SUS) e outros 22 (21,7%) pautam entre suas ações a defesa da saúde pública e de serviços setoriais como saúde da mulher, saúde mental, saúde na favela pela perspectiva antirracista, saúde da população LGBT+, educação popular em saúde, entre outros. </w:t>
      </w:r>
    </w:p>
    <w:p w14:paraId="27E7005B" w14:textId="77777777" w:rsidR="006B3BAF" w:rsidRPr="00A048CE" w:rsidRDefault="006B3BAF" w:rsidP="006B3BAF">
      <w:pPr>
        <w:ind w:firstLine="708"/>
        <w:jc w:val="both"/>
        <w:rPr>
          <w:bCs/>
          <w:sz w:val="24"/>
          <w:szCs w:val="24"/>
          <w:shd w:val="clear" w:color="auto" w:fill="FFFFFF"/>
        </w:rPr>
      </w:pPr>
      <w:r w:rsidRPr="00A048CE">
        <w:rPr>
          <w:bCs/>
          <w:sz w:val="24"/>
          <w:szCs w:val="24"/>
          <w:shd w:val="clear" w:color="auto" w:fill="FFFFFF"/>
        </w:rPr>
        <w:t>As finalidades das ações dos movimentos sociais em apreciação formam um amplo leque temático e são transversais ao conjunto de políticas sociais brasileiras, ao mesmo tempo compreendemos que o horizonte político-organizativo da grande maioria desses movimentos sociais é bastante focalizado. Chama a atenção que por se tratar de um Mapa Colaborativo dos Movimentos Sociais em Saúde aproximadamente 60% dos registros não fazem referências ao SUS e a serviço de saúde. Não desconhecemos o conceito ampliado de saúde e as suas determinações socioeconômicas que estão contempladas no leque temático das ações dos movimentos sociais que integra</w:t>
      </w:r>
      <w:r>
        <w:rPr>
          <w:bCs/>
          <w:sz w:val="24"/>
          <w:szCs w:val="24"/>
          <w:shd w:val="clear" w:color="auto" w:fill="FFFFFF"/>
        </w:rPr>
        <w:t>m</w:t>
      </w:r>
      <w:r w:rsidRPr="00A048CE">
        <w:rPr>
          <w:bCs/>
          <w:sz w:val="24"/>
          <w:szCs w:val="24"/>
          <w:shd w:val="clear" w:color="auto" w:fill="FFFFFF"/>
        </w:rPr>
        <w:t xml:space="preserve"> o Mapa, mas questionamos se o propósito de tornar o SUS mais participativo e próximo dos movimentos sociais com a produção do Mapa interativo está se concretizando.</w:t>
      </w:r>
    </w:p>
    <w:p w14:paraId="64055FAC" w14:textId="723A606C" w:rsidR="006B3BAF" w:rsidRPr="00A048CE" w:rsidRDefault="006B3BAF" w:rsidP="006B3BAF">
      <w:pPr>
        <w:ind w:firstLine="708"/>
        <w:jc w:val="both"/>
        <w:rPr>
          <w:bCs/>
          <w:sz w:val="24"/>
          <w:szCs w:val="24"/>
          <w:shd w:val="clear" w:color="auto" w:fill="FFFFFF"/>
        </w:rPr>
      </w:pPr>
      <w:r w:rsidRPr="00A048CE">
        <w:rPr>
          <w:bCs/>
          <w:sz w:val="24"/>
          <w:szCs w:val="24"/>
          <w:shd w:val="clear" w:color="auto" w:fill="FFFFFF"/>
        </w:rPr>
        <w:t xml:space="preserve">Ainda carecendo de uma conceituação precisa, nas linhas 1, 2, 7 e 11 os registros podem ser caracterizados como os novos movimentos sociais. Estes se organizam na conjuntura neoliberal a partir da crítica da inadequação campo da teoria social crítica incapaz de dar conta da explicação da ação dos indivíduos para a criação </w:t>
      </w:r>
      <w:r w:rsidRPr="00A048CE">
        <w:rPr>
          <w:bCs/>
          <w:sz w:val="24"/>
          <w:szCs w:val="24"/>
          <w:shd w:val="clear" w:color="auto" w:fill="FFFFFF"/>
        </w:rPr>
        <w:lastRenderedPageBreak/>
        <w:t>de esquemas interpretativos que enfatizam a cultura, a ideologia, as lutas sociais cotidianas, a solidariedade entre as pessoas de um grupo ou movimento social e o processo de identidade criado. Tais pautas evidenciam a sua relevância, l</w:t>
      </w:r>
      <w:r>
        <w:rPr>
          <w:bCs/>
          <w:sz w:val="24"/>
          <w:szCs w:val="24"/>
          <w:shd w:val="clear" w:color="auto" w:fill="FFFFFF"/>
        </w:rPr>
        <w:t>egitimidade social e o silenci</w:t>
      </w:r>
      <w:r w:rsidRPr="00A048CE">
        <w:rPr>
          <w:bCs/>
          <w:sz w:val="24"/>
          <w:szCs w:val="24"/>
          <w:shd w:val="clear" w:color="auto" w:fill="FFFFFF"/>
        </w:rPr>
        <w:t>ament</w:t>
      </w:r>
      <w:r w:rsidR="00601F5C">
        <w:rPr>
          <w:bCs/>
          <w:sz w:val="24"/>
          <w:szCs w:val="24"/>
          <w:shd w:val="clear" w:color="auto" w:fill="FFFFFF"/>
        </w:rPr>
        <w:t>o</w:t>
      </w:r>
      <w:r w:rsidRPr="00A048CE">
        <w:rPr>
          <w:bCs/>
          <w:sz w:val="24"/>
          <w:szCs w:val="24"/>
          <w:shd w:val="clear" w:color="auto" w:fill="FFFFFF"/>
        </w:rPr>
        <w:t xml:space="preserve"> histórico, ao tempo que colocam uma série de novos desafios no campo democrático-popular, para compreender suas determinações e organizar suas lutas. A isso reconhecemos que a luta de classes e o antagonismo capital e trabalho vem se metamorfoseando e ganhando novas expressões em cada momento histórico, mas a mesma essência permanece (Krüger. 2019).</w:t>
      </w:r>
    </w:p>
    <w:p w14:paraId="3D3447AA" w14:textId="3767EDEE" w:rsidR="006B3BAF" w:rsidRDefault="006B3BAF" w:rsidP="006B3BAF">
      <w:pPr>
        <w:ind w:firstLine="708"/>
        <w:jc w:val="both"/>
        <w:rPr>
          <w:bCs/>
          <w:sz w:val="24"/>
          <w:szCs w:val="24"/>
          <w:shd w:val="clear" w:color="auto" w:fill="FFFFFF"/>
        </w:rPr>
      </w:pPr>
      <w:r w:rsidRPr="00A048CE">
        <w:rPr>
          <w:bCs/>
          <w:sz w:val="24"/>
          <w:szCs w:val="24"/>
          <w:shd w:val="clear" w:color="auto" w:fill="FFFFFF"/>
        </w:rPr>
        <w:t>Longe de qualquer culpabilização de sujeitos (movimentos sociais), pois sabemos que diante da cultura política autoritária, repressiva e clientelista são processos exigentes em âmbito individual e coletivo. E o coletivo muitas vezes se fragmenta, não se consolida e não ganha interiorização territorial. Assim, construir sustentação social para práticas dos movimentos sociais em saúde, na defesa do SUS, implica construir outras bases para a cultura política vigente. No antagonismo das relações capital e trabalho, na era do paradigma neoliberal, inúmeras mediações no campo da repressão, da sedução e da materialidade das condições de vida da classe trabalhadora são colocadas cotidianamente, atuando para tornar as práticas organizativas dos trabalhadores e dos setores populares uma experiência esparsa e pontual. É uma luta exigente no campo teórico-metodológico e político-estratégico que cotidianamente se renova, se metamorfoseia com elementos tradicionais e da modernidade. E nesse sentido, o SUS e os movimento sociais que o defendem, possuem a árdua tarefa de defendê-lo como um projeto nacional, que se realiza mediante gestão pública e estatal, com princípios de universalidade, integralidade e participação social deliberativa.</w:t>
      </w:r>
    </w:p>
    <w:p w14:paraId="19AE1A1B" w14:textId="77777777" w:rsidR="006B3BAF" w:rsidRPr="006934A6" w:rsidRDefault="006B3BAF" w:rsidP="006B3BAF">
      <w:pPr>
        <w:ind w:firstLine="708"/>
        <w:jc w:val="both"/>
        <w:rPr>
          <w:bCs/>
          <w:sz w:val="24"/>
          <w:szCs w:val="24"/>
          <w:shd w:val="clear" w:color="auto" w:fill="FFFFFF"/>
        </w:rPr>
      </w:pPr>
      <w:r w:rsidRPr="006934A6">
        <w:rPr>
          <w:bCs/>
          <w:sz w:val="24"/>
          <w:szCs w:val="24"/>
          <w:shd w:val="clear" w:color="auto" w:fill="FFFFFF"/>
        </w:rPr>
        <w:t xml:space="preserve">Nesse sentido, finalizamos relembrando a afirmação da coordenadora do Mapa que “é importantíssimo nesse contexto, para dar visibilidade, saber quem são e o que fazem os movimentos sociais em Saúde”. Como é um projeto inicial, as referências deste texto são apenas sugestivas para o </w:t>
      </w:r>
      <w:proofErr w:type="spellStart"/>
      <w:r w:rsidRPr="006934A6">
        <w:rPr>
          <w:bCs/>
          <w:sz w:val="24"/>
          <w:szCs w:val="24"/>
          <w:shd w:val="clear" w:color="auto" w:fill="FFFFFF"/>
        </w:rPr>
        <w:t>MapaMovSaúde</w:t>
      </w:r>
      <w:proofErr w:type="spellEnd"/>
      <w:r w:rsidRPr="006934A6">
        <w:rPr>
          <w:bCs/>
          <w:sz w:val="24"/>
          <w:szCs w:val="24"/>
          <w:shd w:val="clear" w:color="auto" w:fill="FFFFFF"/>
        </w:rPr>
        <w:t xml:space="preserve"> melhor cumprir seu propósito</w:t>
      </w:r>
      <w:r>
        <w:rPr>
          <w:bCs/>
          <w:sz w:val="24"/>
          <w:szCs w:val="24"/>
          <w:shd w:val="clear" w:color="auto" w:fill="FFFFFF"/>
        </w:rPr>
        <w:t>.</w:t>
      </w:r>
    </w:p>
    <w:p w14:paraId="472C2D03" w14:textId="77777777" w:rsidR="006B3BAF" w:rsidRDefault="006B3BAF" w:rsidP="006B3BAF">
      <w:pPr>
        <w:spacing w:line="360" w:lineRule="auto"/>
        <w:jc w:val="both"/>
        <w:rPr>
          <w:sz w:val="24"/>
          <w:szCs w:val="24"/>
        </w:rPr>
      </w:pPr>
    </w:p>
    <w:p w14:paraId="04C7B691" w14:textId="77777777" w:rsidR="006B3BAF" w:rsidRPr="001876F8" w:rsidRDefault="006B3BAF" w:rsidP="006B3BAF">
      <w:pPr>
        <w:spacing w:line="360" w:lineRule="auto"/>
        <w:jc w:val="both"/>
        <w:rPr>
          <w:b/>
          <w:caps/>
          <w:sz w:val="24"/>
          <w:szCs w:val="24"/>
        </w:rPr>
      </w:pPr>
      <w:r w:rsidRPr="001876F8">
        <w:rPr>
          <w:b/>
          <w:caps/>
          <w:sz w:val="24"/>
          <w:szCs w:val="24"/>
        </w:rPr>
        <w:t xml:space="preserve">Referências </w:t>
      </w:r>
    </w:p>
    <w:p w14:paraId="7CB3906B" w14:textId="77777777" w:rsidR="006B3BAF" w:rsidRPr="001876F8" w:rsidRDefault="006B3BAF" w:rsidP="006B3BAF">
      <w:pPr>
        <w:spacing w:before="100" w:beforeAutospacing="1" w:after="100" w:afterAutospacing="1" w:line="240" w:lineRule="auto"/>
        <w:jc w:val="both"/>
        <w:rPr>
          <w:bCs/>
          <w:color w:val="000000"/>
          <w:sz w:val="24"/>
          <w:szCs w:val="24"/>
          <w:shd w:val="clear" w:color="auto" w:fill="FFFFFF"/>
        </w:rPr>
      </w:pPr>
      <w:r w:rsidRPr="001876F8">
        <w:rPr>
          <w:bCs/>
          <w:color w:val="000000"/>
          <w:sz w:val="24"/>
          <w:szCs w:val="24"/>
          <w:shd w:val="clear" w:color="auto" w:fill="FFFFFF"/>
        </w:rPr>
        <w:t xml:space="preserve">BRASIL. Ministério da Saúde lança </w:t>
      </w:r>
      <w:proofErr w:type="spellStart"/>
      <w:r w:rsidRPr="001876F8">
        <w:rPr>
          <w:bCs/>
          <w:color w:val="000000"/>
          <w:sz w:val="24"/>
          <w:szCs w:val="24"/>
          <w:shd w:val="clear" w:color="auto" w:fill="FFFFFF"/>
        </w:rPr>
        <w:t>MapaMovSaúde</w:t>
      </w:r>
      <w:proofErr w:type="spellEnd"/>
      <w:r w:rsidRPr="001876F8">
        <w:rPr>
          <w:bCs/>
          <w:color w:val="000000"/>
          <w:sz w:val="24"/>
          <w:szCs w:val="24"/>
          <w:shd w:val="clear" w:color="auto" w:fill="FFFFFF"/>
        </w:rPr>
        <w:t xml:space="preserve"> para fortalecer a participação social no SUS. Publicado em 12/09/2024a. Disponível </w:t>
      </w:r>
      <w:hyperlink r:id="rId12" w:history="1">
        <w:r w:rsidRPr="001876F8">
          <w:rPr>
            <w:rStyle w:val="Hyperlink"/>
            <w:bCs/>
            <w:sz w:val="24"/>
            <w:szCs w:val="24"/>
            <w:shd w:val="clear" w:color="auto" w:fill="FFFFFF"/>
          </w:rPr>
          <w:t>https://www.gov.br/saude/pt-br/assuntos/noticias/2024/setembro/ministerio-da-saude-lanca-mapamovsaude-para-fortalecer-a-participacao-social-no-sus</w:t>
        </w:r>
      </w:hyperlink>
      <w:r w:rsidRPr="001876F8">
        <w:rPr>
          <w:bCs/>
          <w:color w:val="000000"/>
          <w:sz w:val="24"/>
          <w:szCs w:val="24"/>
          <w:shd w:val="clear" w:color="auto" w:fill="FFFFFF"/>
        </w:rPr>
        <w:t xml:space="preserve"> </w:t>
      </w:r>
    </w:p>
    <w:p w14:paraId="0FB85E79" w14:textId="77777777" w:rsidR="006B3BAF" w:rsidRPr="001876F8" w:rsidRDefault="006B3BAF" w:rsidP="006B3BAF">
      <w:pPr>
        <w:spacing w:before="100" w:beforeAutospacing="1" w:after="100" w:afterAutospacing="1" w:line="240" w:lineRule="auto"/>
        <w:jc w:val="both"/>
        <w:rPr>
          <w:bCs/>
          <w:color w:val="000000"/>
          <w:sz w:val="24"/>
          <w:szCs w:val="24"/>
          <w:shd w:val="clear" w:color="auto" w:fill="FFFFFF"/>
        </w:rPr>
      </w:pPr>
      <w:r w:rsidRPr="001876F8">
        <w:rPr>
          <w:bCs/>
          <w:sz w:val="24"/>
          <w:szCs w:val="24"/>
          <w:shd w:val="clear" w:color="auto" w:fill="FFFFFF"/>
        </w:rPr>
        <w:lastRenderedPageBreak/>
        <w:t xml:space="preserve">BRASIL. Lançamento Plataforma </w:t>
      </w:r>
      <w:r w:rsidRPr="001876F8">
        <w:rPr>
          <w:color w:val="000000"/>
          <w:sz w:val="24"/>
          <w:szCs w:val="24"/>
          <w:shd w:val="clear" w:color="auto" w:fill="FFFFFF"/>
        </w:rPr>
        <w:t>Mapa Colaborativo dos Movimentos Sociais em Saúde</w:t>
      </w:r>
      <w:r w:rsidRPr="001876F8">
        <w:rPr>
          <w:bCs/>
          <w:sz w:val="24"/>
          <w:szCs w:val="24"/>
          <w:shd w:val="clear" w:color="auto" w:fill="FFFFFF"/>
        </w:rPr>
        <w:t xml:space="preserve">. </w:t>
      </w:r>
      <w:proofErr w:type="spellStart"/>
      <w:r w:rsidRPr="001876F8">
        <w:rPr>
          <w:bCs/>
          <w:sz w:val="24"/>
          <w:szCs w:val="24"/>
          <w:shd w:val="clear" w:color="auto" w:fill="FFFFFF"/>
        </w:rPr>
        <w:t>minsaude</w:t>
      </w:r>
      <w:proofErr w:type="spellEnd"/>
      <w:r w:rsidRPr="001876F8">
        <w:rPr>
          <w:bCs/>
          <w:sz w:val="24"/>
          <w:szCs w:val="24"/>
          <w:shd w:val="clear" w:color="auto" w:fill="FFFFFF"/>
        </w:rPr>
        <w:t xml:space="preserve">. Publicação em 14 set. 2024.b Ministério da Saúde. Disponível </w:t>
      </w:r>
      <w:hyperlink r:id="rId13" w:history="1">
        <w:r w:rsidRPr="001876F8">
          <w:rPr>
            <w:rStyle w:val="Hyperlink"/>
            <w:bCs/>
            <w:sz w:val="24"/>
            <w:szCs w:val="24"/>
            <w:shd w:val="clear" w:color="auto" w:fill="FFFFFF"/>
          </w:rPr>
          <w:t>https://www.instagram.com/reel/C_5wIwGxUYJ/?utm_source=ig_web_copy_link&amp;igsh=MzRlODBiNWFlZA</w:t>
        </w:r>
      </w:hyperlink>
      <w:r w:rsidRPr="001876F8">
        <w:rPr>
          <w:bCs/>
          <w:sz w:val="24"/>
          <w:szCs w:val="24"/>
          <w:shd w:val="clear" w:color="auto" w:fill="FFFFFF"/>
        </w:rPr>
        <w:t xml:space="preserve">== </w:t>
      </w:r>
    </w:p>
    <w:p w14:paraId="2F0CF657" w14:textId="77777777" w:rsidR="006B3BAF" w:rsidRPr="001876F8" w:rsidRDefault="006B3BAF" w:rsidP="006B3BAF">
      <w:pPr>
        <w:spacing w:before="100" w:beforeAutospacing="1" w:after="100" w:afterAutospacing="1" w:line="240" w:lineRule="auto"/>
        <w:jc w:val="both"/>
        <w:rPr>
          <w:sz w:val="24"/>
          <w:szCs w:val="24"/>
        </w:rPr>
      </w:pPr>
      <w:r w:rsidRPr="001876F8">
        <w:rPr>
          <w:sz w:val="24"/>
          <w:szCs w:val="24"/>
        </w:rPr>
        <w:t>BRASIL. Relatório Final 17ª Conferência Nacional de Saúde (17ª CNS). 2024. Associação Rede UNIDA.</w:t>
      </w:r>
    </w:p>
    <w:p w14:paraId="1F532BCB" w14:textId="77777777" w:rsidR="006B3BAF" w:rsidRPr="001876F8" w:rsidRDefault="006B3BAF" w:rsidP="006B3BAF">
      <w:pPr>
        <w:spacing w:before="100" w:beforeAutospacing="1" w:after="100" w:afterAutospacing="1" w:line="240" w:lineRule="auto"/>
        <w:jc w:val="both"/>
        <w:rPr>
          <w:bCs/>
          <w:color w:val="000000"/>
          <w:sz w:val="24"/>
          <w:szCs w:val="24"/>
          <w:shd w:val="clear" w:color="auto" w:fill="FFFFFF"/>
        </w:rPr>
      </w:pPr>
      <w:r w:rsidRPr="001876F8">
        <w:rPr>
          <w:bCs/>
          <w:color w:val="000000"/>
          <w:sz w:val="24"/>
          <w:szCs w:val="24"/>
          <w:shd w:val="clear" w:color="auto" w:fill="FFFFFF"/>
        </w:rPr>
        <w:t>BRINGEL, Bruno. Mudanças no ativismo contemporâneo: controvérsias, diálogos e tendências. In: FASE. A luta popular urbana por seus protagonistas: direito à cidade, direitos nas cidades. Rio de Janeiro: Fase, 2018. [pp. 20 – 29</w:t>
      </w:r>
      <w:proofErr w:type="gramStart"/>
      <w:r w:rsidRPr="001876F8">
        <w:rPr>
          <w:bCs/>
          <w:color w:val="000000"/>
          <w:sz w:val="24"/>
          <w:szCs w:val="24"/>
          <w:shd w:val="clear" w:color="auto" w:fill="FFFFFF"/>
        </w:rPr>
        <w:t>] .</w:t>
      </w:r>
      <w:proofErr w:type="gramEnd"/>
      <w:r w:rsidRPr="001876F8">
        <w:rPr>
          <w:bCs/>
          <w:color w:val="000000"/>
          <w:sz w:val="24"/>
          <w:szCs w:val="24"/>
          <w:shd w:val="clear" w:color="auto" w:fill="FFFFFF"/>
        </w:rPr>
        <w:t xml:space="preserve"> Disponível em </w:t>
      </w:r>
      <w:hyperlink r:id="rId14" w:history="1">
        <w:r w:rsidRPr="001876F8">
          <w:rPr>
            <w:rStyle w:val="Hyperlink"/>
            <w:bCs/>
            <w:sz w:val="24"/>
            <w:szCs w:val="24"/>
            <w:shd w:val="clear" w:color="auto" w:fill="FFFFFF"/>
          </w:rPr>
          <w:t>https://fase.org.br/wp-content/uploads/2019/02/PUBLICACAO-FINAL-DIGITAL-PARA-SITE.pdf</w:t>
        </w:r>
      </w:hyperlink>
      <w:r w:rsidRPr="001876F8">
        <w:rPr>
          <w:bCs/>
          <w:color w:val="000000"/>
          <w:sz w:val="24"/>
          <w:szCs w:val="24"/>
          <w:shd w:val="clear" w:color="auto" w:fill="FFFFFF"/>
        </w:rPr>
        <w:t>. Acesso em 22/08/2025.</w:t>
      </w:r>
    </w:p>
    <w:p w14:paraId="54C3C976" w14:textId="77777777" w:rsidR="006B3BAF" w:rsidRPr="001876F8" w:rsidRDefault="006B3BAF" w:rsidP="006B3BAF">
      <w:pPr>
        <w:spacing w:before="100" w:beforeAutospacing="1" w:after="100" w:afterAutospacing="1" w:line="240" w:lineRule="auto"/>
        <w:jc w:val="both"/>
        <w:rPr>
          <w:bCs/>
          <w:color w:val="000000"/>
          <w:sz w:val="24"/>
          <w:szCs w:val="24"/>
          <w:shd w:val="clear" w:color="auto" w:fill="FFFFFF"/>
        </w:rPr>
      </w:pPr>
      <w:r w:rsidRPr="001876F8">
        <w:rPr>
          <w:bCs/>
          <w:color w:val="000000"/>
          <w:sz w:val="24"/>
          <w:szCs w:val="24"/>
          <w:shd w:val="clear" w:color="auto" w:fill="FFFFFF"/>
        </w:rPr>
        <w:t xml:space="preserve">FASE. A luta popular urbana por seus protagonistas: direito à cidade, direitos nas cidades. Rio de Janeiro: Fase, 2018. Disponível em </w:t>
      </w:r>
      <w:hyperlink r:id="rId15" w:history="1">
        <w:r w:rsidRPr="001876F8">
          <w:rPr>
            <w:rStyle w:val="Hyperlink"/>
            <w:bCs/>
            <w:sz w:val="24"/>
            <w:szCs w:val="24"/>
            <w:shd w:val="clear" w:color="auto" w:fill="FFFFFF"/>
          </w:rPr>
          <w:t>https://fase.org.br/wp-content/uploads/2019/02/PUBLICACAO-FINAL-DIGITAL-PARA-SITE.pdf</w:t>
        </w:r>
      </w:hyperlink>
      <w:r w:rsidRPr="001876F8">
        <w:rPr>
          <w:bCs/>
          <w:color w:val="000000"/>
          <w:sz w:val="24"/>
          <w:szCs w:val="24"/>
          <w:shd w:val="clear" w:color="auto" w:fill="FFFFFF"/>
        </w:rPr>
        <w:t>.  Acesso em 22/08/2025.</w:t>
      </w:r>
    </w:p>
    <w:p w14:paraId="76148EFA" w14:textId="77777777" w:rsidR="006B3BAF" w:rsidRPr="001876F8" w:rsidRDefault="006B3BAF" w:rsidP="006B3BAF">
      <w:pPr>
        <w:spacing w:before="100" w:beforeAutospacing="1" w:after="100" w:afterAutospacing="1" w:line="240" w:lineRule="auto"/>
        <w:jc w:val="both"/>
        <w:rPr>
          <w:bCs/>
          <w:color w:val="000000"/>
          <w:sz w:val="24"/>
          <w:szCs w:val="24"/>
          <w:shd w:val="clear" w:color="auto" w:fill="FFFFFF"/>
        </w:rPr>
      </w:pPr>
      <w:r w:rsidRPr="001876F8">
        <w:rPr>
          <w:bCs/>
          <w:color w:val="000000"/>
          <w:sz w:val="24"/>
          <w:szCs w:val="24"/>
          <w:shd w:val="clear" w:color="auto" w:fill="FFFFFF"/>
        </w:rPr>
        <w:t>FLEURY, Sonia. Reforma sanitária: múltiplas leituras, diálogos e controvérsias. In. ______ (org.). Teoria da Reforma Sanitária: diálogos críticos. Editora Fiocruz: Rio de Janeiro. 2028; p. 15-30.</w:t>
      </w:r>
    </w:p>
    <w:p w14:paraId="0DBE083B" w14:textId="77777777" w:rsidR="006B3BAF" w:rsidRPr="001876F8" w:rsidRDefault="006B3BAF" w:rsidP="006B3BAF">
      <w:pPr>
        <w:spacing w:before="100" w:beforeAutospacing="1" w:after="100" w:afterAutospacing="1" w:line="240" w:lineRule="auto"/>
        <w:jc w:val="both"/>
        <w:rPr>
          <w:sz w:val="24"/>
          <w:szCs w:val="24"/>
        </w:rPr>
      </w:pPr>
      <w:r w:rsidRPr="001876F8">
        <w:rPr>
          <w:bCs/>
          <w:color w:val="000000"/>
          <w:sz w:val="24"/>
          <w:szCs w:val="24"/>
          <w:shd w:val="clear" w:color="auto" w:fill="FFFFFF"/>
        </w:rPr>
        <w:t>FLEURY, Sonia. Construir o Amanhã hoje – Desafios enfrentados pela 17ª Conferência Nacional de Saúde.</w:t>
      </w:r>
      <w:r w:rsidRPr="001876F8">
        <w:rPr>
          <w:sz w:val="24"/>
          <w:szCs w:val="24"/>
        </w:rPr>
        <w:t xml:space="preserve"> </w:t>
      </w:r>
      <w:r w:rsidRPr="001876F8">
        <w:rPr>
          <w:bCs/>
          <w:color w:val="000000"/>
          <w:sz w:val="24"/>
          <w:szCs w:val="24"/>
          <w:shd w:val="clear" w:color="auto" w:fill="FFFFFF"/>
        </w:rPr>
        <w:t xml:space="preserve">Publicado 06 </w:t>
      </w:r>
      <w:proofErr w:type="gramStart"/>
      <w:r w:rsidRPr="001876F8">
        <w:rPr>
          <w:bCs/>
          <w:color w:val="000000"/>
          <w:sz w:val="24"/>
          <w:szCs w:val="24"/>
          <w:shd w:val="clear" w:color="auto" w:fill="FFFFFF"/>
        </w:rPr>
        <w:t>Julho</w:t>
      </w:r>
      <w:proofErr w:type="gramEnd"/>
      <w:r w:rsidRPr="001876F8">
        <w:rPr>
          <w:bCs/>
          <w:color w:val="000000"/>
          <w:sz w:val="24"/>
          <w:szCs w:val="24"/>
          <w:shd w:val="clear" w:color="auto" w:fill="FFFFFF"/>
        </w:rPr>
        <w:t xml:space="preserve"> 2023. Disponível </w:t>
      </w:r>
      <w:hyperlink r:id="rId16" w:history="1">
        <w:r w:rsidRPr="001876F8">
          <w:rPr>
            <w:rStyle w:val="Hyperlink"/>
            <w:bCs/>
            <w:sz w:val="24"/>
            <w:szCs w:val="24"/>
            <w:shd w:val="clear" w:color="auto" w:fill="FFFFFF"/>
          </w:rPr>
          <w:t>https://cee.fiocruz.br/?q=construir-o-Amanh%C3%A3-hoje-Desafios-enfrentados-pela-17-Conferencia-Nacional-de-Saude-por-Sonia-Fleury</w:t>
        </w:r>
      </w:hyperlink>
      <w:r w:rsidRPr="001876F8">
        <w:rPr>
          <w:bCs/>
          <w:color w:val="000000"/>
          <w:sz w:val="24"/>
          <w:szCs w:val="24"/>
          <w:shd w:val="clear" w:color="auto" w:fill="FFFFFF"/>
        </w:rPr>
        <w:t xml:space="preserve"> </w:t>
      </w:r>
    </w:p>
    <w:p w14:paraId="4E4E7934" w14:textId="77777777" w:rsidR="006B3BAF" w:rsidRPr="001876F8" w:rsidRDefault="006B3BAF" w:rsidP="006B3BAF">
      <w:pPr>
        <w:spacing w:before="100" w:beforeAutospacing="1" w:after="100" w:afterAutospacing="1" w:line="240" w:lineRule="auto"/>
        <w:jc w:val="both"/>
        <w:rPr>
          <w:bCs/>
          <w:color w:val="000000"/>
          <w:sz w:val="24"/>
          <w:szCs w:val="24"/>
          <w:shd w:val="clear" w:color="auto" w:fill="FFFFFF"/>
        </w:rPr>
      </w:pPr>
      <w:r w:rsidRPr="001876F8">
        <w:rPr>
          <w:bCs/>
          <w:color w:val="000000"/>
          <w:sz w:val="24"/>
          <w:szCs w:val="24"/>
          <w:shd w:val="clear" w:color="auto" w:fill="FFFFFF"/>
        </w:rPr>
        <w:t>GERSCHMAN, Silvia. Democracia Inconclusa: um estudo da Reforma sanitária brasileira. Rio de Janeiro. Fiocruz, 1995.</w:t>
      </w:r>
    </w:p>
    <w:p w14:paraId="338C9B74" w14:textId="77777777" w:rsidR="006B3BAF" w:rsidRPr="001876F8" w:rsidRDefault="006B3BAF" w:rsidP="006B3BAF">
      <w:pPr>
        <w:spacing w:before="100" w:beforeAutospacing="1" w:after="100" w:afterAutospacing="1" w:line="240" w:lineRule="auto"/>
        <w:jc w:val="both"/>
        <w:rPr>
          <w:bCs/>
          <w:color w:val="000000"/>
          <w:sz w:val="24"/>
          <w:szCs w:val="24"/>
          <w:shd w:val="clear" w:color="auto" w:fill="FFFFFF"/>
        </w:rPr>
      </w:pPr>
      <w:r w:rsidRPr="001876F8">
        <w:rPr>
          <w:bCs/>
          <w:color w:val="000000"/>
          <w:sz w:val="24"/>
          <w:szCs w:val="24"/>
          <w:shd w:val="clear" w:color="auto" w:fill="FFFFFF"/>
        </w:rPr>
        <w:t>GOHN, Maria. Glória. Teoria dos movimentos sociais paradigmas clássicos e contemporâneos. Edições Loyola. São Paulo: 1997.</w:t>
      </w:r>
    </w:p>
    <w:p w14:paraId="343489A2" w14:textId="77777777" w:rsidR="006B3BAF" w:rsidRPr="001876F8" w:rsidRDefault="006B3BAF" w:rsidP="006B3BAF">
      <w:pPr>
        <w:spacing w:before="100" w:beforeAutospacing="1" w:after="100" w:afterAutospacing="1" w:line="240" w:lineRule="auto"/>
        <w:jc w:val="both"/>
        <w:rPr>
          <w:bCs/>
          <w:color w:val="000000"/>
          <w:sz w:val="24"/>
          <w:szCs w:val="24"/>
          <w:shd w:val="clear" w:color="auto" w:fill="FFFFFF"/>
        </w:rPr>
      </w:pPr>
      <w:r w:rsidRPr="001876F8">
        <w:rPr>
          <w:bCs/>
          <w:color w:val="000000"/>
          <w:sz w:val="24"/>
          <w:szCs w:val="24"/>
          <w:shd w:val="clear" w:color="auto" w:fill="FFFFFF"/>
        </w:rPr>
        <w:t xml:space="preserve">KRUGER, T. R. Neoliberalismo, Subjetividade e Movimentos sociais:  da luta de classes a </w:t>
      </w:r>
      <w:proofErr w:type="spellStart"/>
      <w:r w:rsidRPr="001876F8">
        <w:rPr>
          <w:bCs/>
          <w:color w:val="000000"/>
          <w:sz w:val="24"/>
          <w:szCs w:val="24"/>
          <w:shd w:val="clear" w:color="auto" w:fill="FFFFFF"/>
        </w:rPr>
        <w:t>setorialização</w:t>
      </w:r>
      <w:proofErr w:type="spellEnd"/>
      <w:r w:rsidRPr="001876F8">
        <w:rPr>
          <w:bCs/>
          <w:color w:val="000000"/>
          <w:sz w:val="24"/>
          <w:szCs w:val="24"/>
          <w:shd w:val="clear" w:color="auto" w:fill="FFFFFF"/>
        </w:rPr>
        <w:t xml:space="preserve">. In. </w:t>
      </w:r>
      <w:proofErr w:type="spellStart"/>
      <w:r w:rsidRPr="001876F8">
        <w:rPr>
          <w:bCs/>
          <w:color w:val="000000"/>
          <w:sz w:val="24"/>
          <w:szCs w:val="24"/>
          <w:shd w:val="clear" w:color="auto" w:fill="FFFFFF"/>
        </w:rPr>
        <w:t>Ditrich</w:t>
      </w:r>
      <w:proofErr w:type="spellEnd"/>
      <w:r w:rsidRPr="001876F8">
        <w:rPr>
          <w:bCs/>
          <w:color w:val="000000"/>
          <w:sz w:val="24"/>
          <w:szCs w:val="24"/>
          <w:shd w:val="clear" w:color="auto" w:fill="FFFFFF"/>
        </w:rPr>
        <w:t>, M. G.; BRANCO, J. O. e ULRICH, M. C. G. (</w:t>
      </w:r>
      <w:proofErr w:type="spellStart"/>
      <w:r w:rsidRPr="001876F8">
        <w:rPr>
          <w:bCs/>
          <w:color w:val="000000"/>
          <w:sz w:val="24"/>
          <w:szCs w:val="24"/>
          <w:shd w:val="clear" w:color="auto" w:fill="FFFFFF"/>
        </w:rPr>
        <w:t>Orgs</w:t>
      </w:r>
      <w:proofErr w:type="spellEnd"/>
      <w:r w:rsidRPr="001876F8">
        <w:rPr>
          <w:bCs/>
          <w:color w:val="000000"/>
          <w:sz w:val="24"/>
          <w:szCs w:val="24"/>
          <w:shd w:val="clear" w:color="auto" w:fill="FFFFFF"/>
        </w:rPr>
        <w:t xml:space="preserve">) Diálogos sobre a vida: políticas públicas, educação, saúde e direito. - Itajaí, </w:t>
      </w:r>
      <w:proofErr w:type="gramStart"/>
      <w:r w:rsidRPr="001876F8">
        <w:rPr>
          <w:bCs/>
          <w:color w:val="000000"/>
          <w:sz w:val="24"/>
          <w:szCs w:val="24"/>
          <w:shd w:val="clear" w:color="auto" w:fill="FFFFFF"/>
        </w:rPr>
        <w:t>SC. :</w:t>
      </w:r>
      <w:proofErr w:type="gramEnd"/>
      <w:r w:rsidRPr="001876F8">
        <w:rPr>
          <w:bCs/>
          <w:color w:val="000000"/>
          <w:sz w:val="24"/>
          <w:szCs w:val="24"/>
          <w:shd w:val="clear" w:color="auto" w:fill="FFFFFF"/>
        </w:rPr>
        <w:t xml:space="preserve"> Universidade do Vale do Itajaí : CAPES, 2020.</w:t>
      </w:r>
    </w:p>
    <w:p w14:paraId="5E90D32F" w14:textId="77777777" w:rsidR="006B3BAF" w:rsidRPr="001876F8" w:rsidRDefault="006B3BAF" w:rsidP="006B3BAF">
      <w:pPr>
        <w:spacing w:before="100" w:beforeAutospacing="1" w:after="100" w:afterAutospacing="1" w:line="240" w:lineRule="auto"/>
        <w:jc w:val="both"/>
        <w:rPr>
          <w:bCs/>
          <w:color w:val="000000"/>
          <w:sz w:val="24"/>
          <w:szCs w:val="24"/>
          <w:shd w:val="clear" w:color="auto" w:fill="FFFFFF"/>
        </w:rPr>
      </w:pPr>
      <w:r w:rsidRPr="001876F8">
        <w:rPr>
          <w:bCs/>
          <w:color w:val="000000"/>
          <w:sz w:val="24"/>
          <w:szCs w:val="24"/>
          <w:shd w:val="clear" w:color="auto" w:fill="FFFFFF"/>
        </w:rPr>
        <w:t xml:space="preserve">MAPAMOVSAUDE. O Projeto. Mapa origens e fundamentos. Histórias.  Sem data. Disponível. </w:t>
      </w:r>
      <w:hyperlink r:id="rId17" w:history="1">
        <w:r w:rsidRPr="001876F8">
          <w:rPr>
            <w:rStyle w:val="Hyperlink"/>
            <w:bCs/>
            <w:sz w:val="24"/>
            <w:szCs w:val="24"/>
            <w:shd w:val="clear" w:color="auto" w:fill="FFFFFF"/>
          </w:rPr>
          <w:t>https://mapamovsaude.net.br/index.php/O_Projeto</w:t>
        </w:r>
      </w:hyperlink>
      <w:r w:rsidRPr="001876F8">
        <w:rPr>
          <w:bCs/>
          <w:color w:val="000000"/>
          <w:sz w:val="24"/>
          <w:szCs w:val="24"/>
          <w:shd w:val="clear" w:color="auto" w:fill="FFFFFF"/>
        </w:rPr>
        <w:t>. Consulta em 22 de junho de 2025 e 19 ag. 2025.</w:t>
      </w:r>
    </w:p>
    <w:p w14:paraId="750288EA" w14:textId="77777777" w:rsidR="006B3BAF" w:rsidRPr="001876F8" w:rsidRDefault="006B3BAF" w:rsidP="006B3BAF">
      <w:pPr>
        <w:spacing w:before="100" w:beforeAutospacing="1" w:after="100" w:afterAutospacing="1" w:line="240" w:lineRule="auto"/>
        <w:jc w:val="both"/>
        <w:rPr>
          <w:bCs/>
          <w:color w:val="000000"/>
          <w:sz w:val="24"/>
          <w:szCs w:val="24"/>
          <w:shd w:val="clear" w:color="auto" w:fill="FFFFFF"/>
        </w:rPr>
      </w:pPr>
      <w:r w:rsidRPr="001876F8">
        <w:rPr>
          <w:bCs/>
          <w:color w:val="000000"/>
          <w:sz w:val="24"/>
          <w:szCs w:val="24"/>
          <w:shd w:val="clear" w:color="auto" w:fill="FFFFFF"/>
        </w:rPr>
        <w:lastRenderedPageBreak/>
        <w:t>MONTAÑO, Carlos; DURIGUETTO, Maria Lúcia. Estado, classe e movimento social. 3º ed. Cortez. São Paulo, 2011.</w:t>
      </w:r>
    </w:p>
    <w:p w14:paraId="7D4B66D9" w14:textId="77777777" w:rsidR="006B3BAF" w:rsidRPr="001876F8" w:rsidRDefault="006B3BAF" w:rsidP="006B3BAF">
      <w:pPr>
        <w:spacing w:before="100" w:beforeAutospacing="1" w:after="100" w:afterAutospacing="1" w:line="240" w:lineRule="auto"/>
        <w:jc w:val="both"/>
        <w:rPr>
          <w:bCs/>
          <w:color w:val="000000"/>
          <w:sz w:val="24"/>
          <w:szCs w:val="24"/>
          <w:shd w:val="clear" w:color="auto" w:fill="FFFFFF"/>
        </w:rPr>
      </w:pPr>
      <w:r w:rsidRPr="001876F8">
        <w:rPr>
          <w:bCs/>
          <w:color w:val="000000"/>
          <w:sz w:val="24"/>
          <w:szCs w:val="24"/>
          <w:shd w:val="clear" w:color="auto" w:fill="FFFFFF"/>
        </w:rPr>
        <w:t xml:space="preserve">PASSOS, Juliana. 17ª Conferência Nacional de Saúde: diversidade e defesa dos direitos humanos marcam edição. Publicado em 08 ag. 2023. Disponível </w:t>
      </w:r>
      <w:hyperlink r:id="rId18" w:history="1">
        <w:r w:rsidRPr="001876F8">
          <w:rPr>
            <w:rStyle w:val="Hyperlink"/>
            <w:bCs/>
            <w:sz w:val="24"/>
            <w:szCs w:val="24"/>
            <w:shd w:val="clear" w:color="auto" w:fill="FFFFFF"/>
          </w:rPr>
          <w:t>https://www.epsjv.fiocruz.br/noticias/reportagem/17a-conferencia-nacional-de-saude-diversidade-e-defesa-dos-direitos-humanos</w:t>
        </w:r>
      </w:hyperlink>
      <w:r w:rsidRPr="001876F8">
        <w:rPr>
          <w:bCs/>
          <w:color w:val="000000"/>
          <w:sz w:val="24"/>
          <w:szCs w:val="24"/>
          <w:shd w:val="clear" w:color="auto" w:fill="FFFFFF"/>
        </w:rPr>
        <w:t xml:space="preserve"> </w:t>
      </w:r>
    </w:p>
    <w:p w14:paraId="50B59E1F" w14:textId="77777777" w:rsidR="006B3BAF" w:rsidRPr="001876F8" w:rsidRDefault="006B3BAF" w:rsidP="006B3BAF">
      <w:pPr>
        <w:spacing w:before="100" w:beforeAutospacing="1" w:after="100" w:afterAutospacing="1" w:line="240" w:lineRule="auto"/>
        <w:jc w:val="both"/>
        <w:rPr>
          <w:bCs/>
          <w:color w:val="000000"/>
          <w:sz w:val="24"/>
          <w:szCs w:val="24"/>
          <w:shd w:val="clear" w:color="auto" w:fill="FFFFFF"/>
        </w:rPr>
      </w:pPr>
      <w:r w:rsidRPr="001876F8">
        <w:rPr>
          <w:bCs/>
          <w:color w:val="000000"/>
          <w:sz w:val="24"/>
          <w:szCs w:val="24"/>
          <w:shd w:val="clear" w:color="auto" w:fill="FFFFFF"/>
        </w:rPr>
        <w:t>TEIXEIRA, Sonia Fleury (</w:t>
      </w:r>
      <w:proofErr w:type="spellStart"/>
      <w:r w:rsidRPr="001876F8">
        <w:rPr>
          <w:bCs/>
          <w:color w:val="000000"/>
          <w:sz w:val="24"/>
          <w:szCs w:val="24"/>
          <w:shd w:val="clear" w:color="auto" w:fill="FFFFFF"/>
        </w:rPr>
        <w:t>org</w:t>
      </w:r>
      <w:proofErr w:type="spellEnd"/>
      <w:r w:rsidRPr="001876F8">
        <w:rPr>
          <w:bCs/>
          <w:color w:val="000000"/>
          <w:sz w:val="24"/>
          <w:szCs w:val="24"/>
          <w:shd w:val="clear" w:color="auto" w:fill="FFFFFF"/>
        </w:rPr>
        <w:t>). Reflexões teóricas sobre a democracia e reforma sanitária. In. ________. Reforma sanitária em busca de uma teoria. Cortez Editora: São Paulo. ABRASCO: Rio de Janeiro, 1989.</w:t>
      </w:r>
    </w:p>
    <w:p w14:paraId="1313D48E" w14:textId="77777777" w:rsidR="00FE2305" w:rsidRDefault="00FE2305" w:rsidP="007E7315">
      <w:pPr>
        <w:spacing w:line="360" w:lineRule="auto"/>
        <w:jc w:val="center"/>
        <w:rPr>
          <w:rFonts w:eastAsia="Times New Roman"/>
          <w:sz w:val="24"/>
        </w:rPr>
      </w:pPr>
    </w:p>
    <w:p w14:paraId="3D37074B" w14:textId="77777777" w:rsidR="006B3BAF" w:rsidRDefault="006B3BAF" w:rsidP="007E7315">
      <w:pPr>
        <w:spacing w:line="360" w:lineRule="auto"/>
        <w:jc w:val="center"/>
        <w:rPr>
          <w:rFonts w:eastAsia="Times New Roman"/>
          <w:b/>
          <w:bCs/>
          <w:caps/>
          <w:sz w:val="24"/>
        </w:rPr>
      </w:pPr>
    </w:p>
    <w:p w14:paraId="74D67D09" w14:textId="77777777" w:rsidR="00E31959" w:rsidRPr="00E31959" w:rsidRDefault="00E31959" w:rsidP="00E31959">
      <w:pPr>
        <w:adjustRightInd w:val="0"/>
        <w:snapToGrid w:val="0"/>
        <w:spacing w:line="360" w:lineRule="auto"/>
        <w:jc w:val="center"/>
        <w:rPr>
          <w:b/>
          <w:bCs/>
          <w:color w:val="000000" w:themeColor="text1"/>
          <w:sz w:val="24"/>
          <w:szCs w:val="24"/>
        </w:rPr>
      </w:pPr>
      <w:r w:rsidRPr="00E31959">
        <w:rPr>
          <w:b/>
          <w:bCs/>
          <w:color w:val="000000" w:themeColor="text1"/>
          <w:sz w:val="24"/>
          <w:szCs w:val="24"/>
        </w:rPr>
        <w:t>CAMINHOS E TENSÕES DA INSTITUCIONALIZAÇÃO DOS CONSELHOS LOCAIS DE SAÚDE</w:t>
      </w:r>
    </w:p>
    <w:p w14:paraId="6387B129" w14:textId="77777777" w:rsidR="00E31959" w:rsidRPr="00480920" w:rsidRDefault="00E31959" w:rsidP="00E31959">
      <w:pPr>
        <w:adjustRightInd w:val="0"/>
        <w:snapToGrid w:val="0"/>
        <w:spacing w:line="360" w:lineRule="auto"/>
        <w:jc w:val="both"/>
        <w:rPr>
          <w:color w:val="000000" w:themeColor="text1"/>
        </w:rPr>
      </w:pPr>
    </w:p>
    <w:p w14:paraId="67A46B80" w14:textId="77777777" w:rsidR="00E31959" w:rsidRPr="00480920" w:rsidRDefault="00E31959" w:rsidP="00E31959">
      <w:pPr>
        <w:adjustRightInd w:val="0"/>
        <w:snapToGrid w:val="0"/>
        <w:spacing w:line="360" w:lineRule="auto"/>
        <w:jc w:val="right"/>
        <w:rPr>
          <w:color w:val="000000" w:themeColor="text1"/>
        </w:rPr>
      </w:pPr>
      <w:r w:rsidRPr="00480920">
        <w:rPr>
          <w:color w:val="000000" w:themeColor="text1"/>
        </w:rPr>
        <w:t>Andréia de Oliveira</w:t>
      </w:r>
    </w:p>
    <w:p w14:paraId="29BD0623" w14:textId="77777777" w:rsidR="00E31959" w:rsidRPr="00480920" w:rsidRDefault="00E31959" w:rsidP="00E31959">
      <w:pPr>
        <w:adjustRightInd w:val="0"/>
        <w:snapToGrid w:val="0"/>
        <w:spacing w:line="360" w:lineRule="auto"/>
        <w:jc w:val="both"/>
        <w:rPr>
          <w:rStyle w:val="Forte"/>
          <w:b w:val="0"/>
          <w:bCs w:val="0"/>
          <w:color w:val="000000" w:themeColor="text1"/>
        </w:rPr>
      </w:pPr>
    </w:p>
    <w:p w14:paraId="53A13120" w14:textId="77777777" w:rsidR="00E31959" w:rsidRPr="00564BD0" w:rsidRDefault="00E31959" w:rsidP="00E31959">
      <w:pPr>
        <w:adjustRightInd w:val="0"/>
        <w:snapToGrid w:val="0"/>
        <w:spacing w:line="240" w:lineRule="auto"/>
        <w:ind w:left="2835"/>
        <w:jc w:val="both"/>
        <w:rPr>
          <w:color w:val="000000" w:themeColor="text1"/>
          <w:sz w:val="20"/>
          <w:szCs w:val="20"/>
        </w:rPr>
      </w:pPr>
      <w:r w:rsidRPr="00564BD0">
        <w:rPr>
          <w:rStyle w:val="Forte"/>
          <w:color w:val="000000" w:themeColor="text1"/>
          <w:sz w:val="20"/>
          <w:szCs w:val="20"/>
        </w:rPr>
        <w:t>Resumo:</w:t>
      </w:r>
      <w:r w:rsidRPr="00564BD0">
        <w:rPr>
          <w:color w:val="000000" w:themeColor="text1"/>
          <w:sz w:val="20"/>
          <w:szCs w:val="20"/>
        </w:rPr>
        <w:t xml:space="preserve"> A participação social como princípio estruturante do SUS constitui marco relevante, porém as práticas cotidianas denotam distanciamento entre discurso institucional e democratização dos serviços, resultando em estratégias funcionais ao Estado, esvaziadas de caráter emancipador. O ensaio busca refletir a institucionalização dos Conselhos Locais de Saúde, com ênfase em suas potencialidades e desafios para o fortalecimento de práticas participativas críticas e </w:t>
      </w:r>
      <w:proofErr w:type="spellStart"/>
      <w:r w:rsidRPr="00564BD0">
        <w:rPr>
          <w:color w:val="000000" w:themeColor="text1"/>
          <w:sz w:val="20"/>
          <w:szCs w:val="20"/>
        </w:rPr>
        <w:t>territorializadas</w:t>
      </w:r>
      <w:proofErr w:type="spellEnd"/>
      <w:r w:rsidRPr="00564BD0">
        <w:rPr>
          <w:color w:val="000000" w:themeColor="text1"/>
          <w:sz w:val="20"/>
          <w:szCs w:val="20"/>
        </w:rPr>
        <w:t xml:space="preserve"> na Atenção Primária à Saúde. Com base na teoria crítica e na perspectiva da determinação social do processo saúde-doença, articulam-se análise documental e reflexões de experiências profissionais e práticas extensionistas. Segundo os resultados, a participação permanece burocratizada e instrumentalizada, limitando a atuação dos CLS como instâncias efetivas. Embora tenham potencial para fomentar práticas críticas e consciências sanitárias nos territórios, os CLS correm risco de captura por lógicas adesistas e </w:t>
      </w:r>
      <w:proofErr w:type="spellStart"/>
      <w:r w:rsidRPr="00564BD0">
        <w:rPr>
          <w:color w:val="000000" w:themeColor="text1"/>
          <w:sz w:val="20"/>
          <w:szCs w:val="20"/>
        </w:rPr>
        <w:t>gerencialistas</w:t>
      </w:r>
      <w:proofErr w:type="spellEnd"/>
      <w:r w:rsidRPr="00564BD0">
        <w:rPr>
          <w:color w:val="000000" w:themeColor="text1"/>
          <w:sz w:val="20"/>
          <w:szCs w:val="20"/>
        </w:rPr>
        <w:t xml:space="preserve">. Conclui-se que fortalecer a participação requer superar enfoques tecnocráticos e adotar agendas políticas voltadas à formação crítica de sujeitos sociais populares. </w:t>
      </w:r>
    </w:p>
    <w:p w14:paraId="69E66C3E" w14:textId="77777777" w:rsidR="00E31959" w:rsidRPr="00564BD0" w:rsidRDefault="00E31959" w:rsidP="00E31959">
      <w:pPr>
        <w:adjustRightInd w:val="0"/>
        <w:snapToGrid w:val="0"/>
        <w:spacing w:line="240" w:lineRule="auto"/>
        <w:ind w:left="2835"/>
        <w:jc w:val="both"/>
        <w:rPr>
          <w:color w:val="000000" w:themeColor="text1"/>
          <w:sz w:val="20"/>
          <w:szCs w:val="20"/>
        </w:rPr>
      </w:pPr>
      <w:r w:rsidRPr="00564BD0">
        <w:rPr>
          <w:color w:val="000000" w:themeColor="text1"/>
          <w:sz w:val="20"/>
          <w:szCs w:val="20"/>
        </w:rPr>
        <w:t xml:space="preserve">Palavras-chave: Participação social; Conselhos Locais de Saúde; políticas públicas de saúde. </w:t>
      </w:r>
    </w:p>
    <w:p w14:paraId="47D37BA3" w14:textId="77777777" w:rsidR="00E31959" w:rsidRPr="00564BD0" w:rsidRDefault="00E31959" w:rsidP="00E31959">
      <w:pPr>
        <w:adjustRightInd w:val="0"/>
        <w:snapToGrid w:val="0"/>
        <w:ind w:left="2835"/>
        <w:jc w:val="both"/>
        <w:rPr>
          <w:color w:val="000000" w:themeColor="text1"/>
          <w:sz w:val="20"/>
          <w:szCs w:val="20"/>
        </w:rPr>
      </w:pPr>
    </w:p>
    <w:p w14:paraId="173AF263" w14:textId="77777777" w:rsidR="00E31959" w:rsidRPr="00564BD0" w:rsidRDefault="00E31959" w:rsidP="00E31959">
      <w:pPr>
        <w:adjustRightInd w:val="0"/>
        <w:snapToGrid w:val="0"/>
        <w:spacing w:line="240" w:lineRule="auto"/>
        <w:ind w:left="2835"/>
        <w:jc w:val="both"/>
        <w:rPr>
          <w:rFonts w:eastAsiaTheme="majorEastAsia"/>
          <w:color w:val="000000" w:themeColor="text1"/>
          <w:sz w:val="20"/>
          <w:szCs w:val="20"/>
          <w:lang w:val="en-GB"/>
        </w:rPr>
      </w:pPr>
      <w:r w:rsidRPr="00E31959">
        <w:rPr>
          <w:color w:val="000000" w:themeColor="text1"/>
          <w:sz w:val="20"/>
          <w:szCs w:val="20"/>
          <w:lang w:val="en-US"/>
        </w:rPr>
        <w:t xml:space="preserve">Abstract: </w:t>
      </w:r>
      <w:r w:rsidRPr="00564BD0">
        <w:rPr>
          <w:rFonts w:eastAsiaTheme="majorEastAsia"/>
          <w:color w:val="000000" w:themeColor="text1"/>
          <w:sz w:val="20"/>
          <w:szCs w:val="20"/>
          <w:lang w:val="en-GB"/>
        </w:rPr>
        <w:t xml:space="preserve">Social participation as a structuring principle of the SUS constitutes a relevant milestone, however daily practices denote a distance between institutional discourse and the democratization of services, </w:t>
      </w:r>
      <w:r w:rsidRPr="00564BD0">
        <w:rPr>
          <w:rStyle w:val="y2iqfc"/>
          <w:rFonts w:eastAsiaTheme="majorEastAsia"/>
          <w:color w:val="000000" w:themeColor="text1"/>
          <w:sz w:val="20"/>
          <w:szCs w:val="20"/>
          <w:lang w:val="en"/>
        </w:rPr>
        <w:t xml:space="preserve">resulting in strategies that are functional to the State and </w:t>
      </w:r>
      <w:r w:rsidRPr="00564BD0">
        <w:rPr>
          <w:rStyle w:val="y2iqfc"/>
          <w:rFonts w:eastAsiaTheme="majorEastAsia"/>
          <w:color w:val="000000" w:themeColor="text1"/>
          <w:sz w:val="20"/>
          <w:szCs w:val="20"/>
          <w:lang w:val="en"/>
        </w:rPr>
        <w:lastRenderedPageBreak/>
        <w:t xml:space="preserve">devoid of an emancipatory character. </w:t>
      </w:r>
      <w:r w:rsidRPr="00E31959">
        <w:rPr>
          <w:color w:val="000000" w:themeColor="text1"/>
          <w:sz w:val="20"/>
          <w:szCs w:val="20"/>
          <w:lang w:val="en-US"/>
        </w:rPr>
        <w:t xml:space="preserve">To analyze the institutionalization of Local Health Councils, with an emphasis on their potential and challenges for strengthening critical and territorially grounded participatory practices in Primary Health Care. </w:t>
      </w:r>
      <w:r w:rsidRPr="00564BD0">
        <w:rPr>
          <w:rFonts w:eastAsiaTheme="majorEastAsia"/>
          <w:color w:val="000000" w:themeColor="text1"/>
          <w:sz w:val="20"/>
          <w:szCs w:val="20"/>
          <w:lang w:val="en-GB"/>
        </w:rPr>
        <w:t xml:space="preserve">Based on critical theory and the perspective of social determination of the health-disease process, documentary analysis and reflections on professional experiences and extension practices are articulated. T According to the results, participation remains bureaucratized and instrumentalized, limiting the role of CLS as effective bodies. Although they have the potential to foster critical practices and health awareness in the territories, CLSs run the risk of being captured by </w:t>
      </w:r>
      <w:proofErr w:type="spellStart"/>
      <w:r w:rsidRPr="00564BD0">
        <w:rPr>
          <w:rFonts w:eastAsiaTheme="majorEastAsia"/>
          <w:color w:val="000000" w:themeColor="text1"/>
          <w:sz w:val="20"/>
          <w:szCs w:val="20"/>
          <w:lang w:val="en-GB"/>
        </w:rPr>
        <w:t>adherist</w:t>
      </w:r>
      <w:proofErr w:type="spellEnd"/>
      <w:r w:rsidRPr="00564BD0">
        <w:rPr>
          <w:rFonts w:eastAsiaTheme="majorEastAsia"/>
          <w:color w:val="000000" w:themeColor="text1"/>
          <w:sz w:val="20"/>
          <w:szCs w:val="20"/>
          <w:lang w:val="en-GB"/>
        </w:rPr>
        <w:t xml:space="preserve"> and managerialist logics. It is concluded that strengthening participation requires overcoming technocratic approaches and adopting a political agenda aimed at the critical formation of popular social subjects.</w:t>
      </w:r>
    </w:p>
    <w:p w14:paraId="4B716F18" w14:textId="77777777" w:rsidR="00E31959" w:rsidRPr="00564BD0" w:rsidRDefault="00E31959" w:rsidP="00E31959">
      <w:pPr>
        <w:adjustRightInd w:val="0"/>
        <w:snapToGrid w:val="0"/>
        <w:spacing w:line="240" w:lineRule="auto"/>
        <w:ind w:left="2835"/>
        <w:jc w:val="both"/>
        <w:rPr>
          <w:rFonts w:eastAsiaTheme="majorEastAsia"/>
          <w:color w:val="000000" w:themeColor="text1"/>
          <w:sz w:val="20"/>
          <w:szCs w:val="20"/>
          <w:lang w:val="en-GB"/>
        </w:rPr>
      </w:pPr>
      <w:r w:rsidRPr="00564BD0">
        <w:rPr>
          <w:rFonts w:eastAsiaTheme="majorEastAsia"/>
          <w:color w:val="000000" w:themeColor="text1"/>
          <w:sz w:val="20"/>
          <w:szCs w:val="20"/>
          <w:lang w:val="en-GB"/>
        </w:rPr>
        <w:t xml:space="preserve">Keywords: </w:t>
      </w:r>
      <w:r w:rsidRPr="00564BD0">
        <w:rPr>
          <w:color w:val="000000" w:themeColor="text1"/>
          <w:sz w:val="20"/>
          <w:szCs w:val="20"/>
          <w:lang w:val="en-GB"/>
        </w:rPr>
        <w:t xml:space="preserve">Social participation; </w:t>
      </w:r>
      <w:r w:rsidRPr="00564BD0">
        <w:rPr>
          <w:rFonts w:eastAsiaTheme="majorEastAsia"/>
          <w:color w:val="000000" w:themeColor="text1"/>
          <w:sz w:val="20"/>
          <w:szCs w:val="20"/>
          <w:lang w:val="en-GB"/>
        </w:rPr>
        <w:t>Local Health Councils; public health policies.</w:t>
      </w:r>
    </w:p>
    <w:p w14:paraId="59BFCF39" w14:textId="77777777" w:rsidR="00E31959" w:rsidRPr="00E31959" w:rsidRDefault="00E31959" w:rsidP="00E31959">
      <w:pPr>
        <w:adjustRightInd w:val="0"/>
        <w:snapToGrid w:val="0"/>
        <w:spacing w:line="360" w:lineRule="auto"/>
        <w:jc w:val="both"/>
        <w:rPr>
          <w:color w:val="000000" w:themeColor="text1"/>
          <w:lang w:val="en-US"/>
        </w:rPr>
      </w:pPr>
    </w:p>
    <w:p w14:paraId="2E7D9FF0" w14:textId="77777777" w:rsidR="00E31959" w:rsidRPr="00E31959" w:rsidRDefault="00E31959" w:rsidP="00E31959">
      <w:pPr>
        <w:adjustRightInd w:val="0"/>
        <w:snapToGrid w:val="0"/>
        <w:spacing w:line="360" w:lineRule="auto"/>
        <w:jc w:val="both"/>
        <w:rPr>
          <w:b/>
          <w:bCs/>
          <w:color w:val="000000" w:themeColor="text1"/>
        </w:rPr>
      </w:pPr>
      <w:bookmarkStart w:id="1" w:name="_Hlk200358940"/>
      <w:r w:rsidRPr="00E31959">
        <w:rPr>
          <w:b/>
          <w:bCs/>
          <w:color w:val="000000" w:themeColor="text1"/>
        </w:rPr>
        <w:t>1 INTRODUÇÃO</w:t>
      </w:r>
    </w:p>
    <w:p w14:paraId="246D990C" w14:textId="77777777" w:rsidR="00E31959" w:rsidRPr="00480920" w:rsidRDefault="00E31959" w:rsidP="00E31959">
      <w:pPr>
        <w:adjustRightInd w:val="0"/>
        <w:snapToGrid w:val="0"/>
        <w:spacing w:line="360" w:lineRule="auto"/>
        <w:jc w:val="both"/>
        <w:rPr>
          <w:color w:val="000000" w:themeColor="text1"/>
        </w:rPr>
      </w:pPr>
    </w:p>
    <w:p w14:paraId="1B95398D" w14:textId="77777777" w:rsidR="00E31959" w:rsidRPr="00480920" w:rsidRDefault="00E31959" w:rsidP="00E31959">
      <w:pPr>
        <w:adjustRightInd w:val="0"/>
        <w:snapToGrid w:val="0"/>
        <w:spacing w:line="360" w:lineRule="auto"/>
        <w:jc w:val="both"/>
        <w:rPr>
          <w:color w:val="000000" w:themeColor="text1"/>
        </w:rPr>
      </w:pPr>
      <w:r w:rsidRPr="00480920">
        <w:rPr>
          <w:color w:val="000000" w:themeColor="text1"/>
        </w:rPr>
        <w:tab/>
        <w:t xml:space="preserve">O reconhecimento normativo da participação social como um dos princípios estruturantes do Sistema Único de Saúde (SUS) representa um marco na consolidação e na historicidade das políticas públicas no Brasil, ao inscrever a cidadania como componente ativo na formulação, gestão e controle das ações e serviços de saúde. </w:t>
      </w:r>
      <w:r w:rsidRPr="00480920">
        <w:rPr>
          <w:rStyle w:val="Forte"/>
          <w:rFonts w:eastAsiaTheme="majorEastAsia"/>
        </w:rPr>
        <w:t>Trata-se de um princípio consagrado constitucionalmente e reforçado em diversas normativas infralegais que, embora permeado por contradições,</w:t>
      </w:r>
      <w:r w:rsidRPr="00480920">
        <w:t xml:space="preserve"> </w:t>
      </w:r>
      <w:r w:rsidRPr="00480920">
        <w:rPr>
          <w:color w:val="000000" w:themeColor="text1"/>
        </w:rPr>
        <w:t>expressa o esforço de diferentes sujeitos políticos na construção histórica de um sistema de saúde democrático, universal e orientado pela perspectiva do direito humano à saúde.</w:t>
      </w:r>
    </w:p>
    <w:p w14:paraId="46CDA80B" w14:textId="77777777" w:rsidR="00E31959" w:rsidRPr="00480920" w:rsidRDefault="00E31959" w:rsidP="00E31959">
      <w:pPr>
        <w:adjustRightInd w:val="0"/>
        <w:snapToGrid w:val="0"/>
        <w:spacing w:line="360" w:lineRule="auto"/>
        <w:ind w:firstLine="708"/>
        <w:jc w:val="both"/>
        <w:rPr>
          <w:color w:val="000000" w:themeColor="text1"/>
        </w:rPr>
      </w:pPr>
      <w:r w:rsidRPr="00480920">
        <w:t>Conforme destacam Kruger e Machado (2015), o conceito de participação é disputado por distintos projetos societários. De um lado, é apropriado por abordagens neoliberais, que esvaziam seu conteúdo crítico ao reduzi-lo a estratégias de governabilidade e de adesão dos usuários às políticas públicas. De outro, no campo crítico, compreende-se a participação como expressão da luta por direitos, pela democratização e pela transformação social.</w:t>
      </w:r>
    </w:p>
    <w:p w14:paraId="5AB49552" w14:textId="77777777" w:rsidR="00E31959" w:rsidRPr="00480920" w:rsidRDefault="00E31959" w:rsidP="00E31959">
      <w:pPr>
        <w:adjustRightInd w:val="0"/>
        <w:snapToGrid w:val="0"/>
        <w:spacing w:line="360" w:lineRule="auto"/>
        <w:jc w:val="both"/>
        <w:rPr>
          <w:color w:val="000000" w:themeColor="text1"/>
        </w:rPr>
      </w:pPr>
      <w:r w:rsidRPr="00480920">
        <w:rPr>
          <w:color w:val="000000" w:themeColor="text1"/>
        </w:rPr>
        <w:tab/>
        <w:t xml:space="preserve">Nesse cenário, os Conselhos Locais de Saúde (CLS), especialmente no contexto da Atenção Primária à Saúde (APS), </w:t>
      </w:r>
      <w:r w:rsidRPr="00480920">
        <w:rPr>
          <w:rStyle w:val="Forte"/>
          <w:rFonts w:eastAsiaTheme="majorEastAsia"/>
        </w:rPr>
        <w:t xml:space="preserve">se configuram como </w:t>
      </w:r>
      <w:r w:rsidRPr="00480920">
        <w:rPr>
          <w:color w:val="000000" w:themeColor="text1"/>
        </w:rPr>
        <w:t xml:space="preserve">espaços potenciais de participação social e consciência crítico-sanitária. Previstos na Resolução do Conselho Nacional de Saúde Nº 714/2023, os CLS constituem dispositivos institucionais, criados com a função de promover o protagonismo da população nos processos decisórios em saúde no nível local, com o intuito de fortalecer o vínculo entre gestão e comunidade. Todavia, sua institucionalização enfrenta </w:t>
      </w:r>
      <w:r w:rsidRPr="00480920">
        <w:rPr>
          <w:color w:val="000000" w:themeColor="text1"/>
        </w:rPr>
        <w:lastRenderedPageBreak/>
        <w:t>múltiplos desafios: desde a fragilidade estrutural e a ausência de apoio institucional efetivo até resistências culturais e políticas, que tensionam seu papel entre a democratização do sistema e a reprodução de uma participação esvaziada de sentido político.</w:t>
      </w:r>
    </w:p>
    <w:p w14:paraId="5CD15722" w14:textId="77777777" w:rsidR="00E31959" w:rsidRPr="00480920" w:rsidRDefault="00E31959" w:rsidP="00E31959">
      <w:pPr>
        <w:adjustRightInd w:val="0"/>
        <w:snapToGrid w:val="0"/>
        <w:spacing w:line="360" w:lineRule="auto"/>
        <w:jc w:val="both"/>
        <w:rPr>
          <w:color w:val="000000" w:themeColor="text1"/>
        </w:rPr>
      </w:pPr>
      <w:r w:rsidRPr="00480920">
        <w:rPr>
          <w:color w:val="000000" w:themeColor="text1"/>
        </w:rPr>
        <w:tab/>
        <w:t xml:space="preserve">Apesar desse marco político e jurídico, as práticas concretas desenvolvidas nos territórios denunciam um descompasso entre os ideais normativos da participação e a realidade vivenciada nos serviços de saúde. A institucionalização da participação, embora avance em termos formais, frequentemente assume formatos funcionalistas e tecnocráticos, que a reduzem a uma dimensão meramente consultiva, limitada por estruturas burocráticas e orientada por lógicas </w:t>
      </w:r>
      <w:proofErr w:type="spellStart"/>
      <w:r w:rsidRPr="00480920">
        <w:rPr>
          <w:color w:val="000000" w:themeColor="text1"/>
        </w:rPr>
        <w:t>gerencialistas</w:t>
      </w:r>
      <w:proofErr w:type="spellEnd"/>
      <w:r w:rsidRPr="00480920">
        <w:rPr>
          <w:color w:val="000000" w:themeColor="text1"/>
        </w:rPr>
        <w:t>. Tal configuração esvazia o potencial crítico e transformador da participação social, restringindo sua capacidade de promover a emancipação política dos sujeitos coletivos envolvidos nos processos de saúde-doença. (OLIVEIRA, 2015).</w:t>
      </w:r>
    </w:p>
    <w:p w14:paraId="6608A637" w14:textId="77777777" w:rsidR="00E31959" w:rsidRDefault="00E31959" w:rsidP="00E31959">
      <w:pPr>
        <w:adjustRightInd w:val="0"/>
        <w:snapToGrid w:val="0"/>
        <w:spacing w:line="360" w:lineRule="auto"/>
        <w:ind w:firstLine="708"/>
        <w:jc w:val="both"/>
        <w:rPr>
          <w:color w:val="000000" w:themeColor="text1"/>
        </w:rPr>
      </w:pPr>
      <w:r w:rsidRPr="00480920">
        <w:t xml:space="preserve">Diante desse contexto, este ensaio tem como objetivo refletir sobre a institucionalização dos Conselhos Locais de Saúde, com ênfase em suas potencialidades e desafios para o fortalecimento de práticas participativas críticas e </w:t>
      </w:r>
      <w:proofErr w:type="spellStart"/>
      <w:r w:rsidRPr="00480920">
        <w:t>territorializadas</w:t>
      </w:r>
      <w:proofErr w:type="spellEnd"/>
      <w:r w:rsidRPr="00480920">
        <w:t xml:space="preserve"> na Atenção Primária à Saúde.</w:t>
      </w:r>
      <w:r w:rsidRPr="00480920">
        <w:rPr>
          <w:color w:val="FF0000"/>
        </w:rPr>
        <w:t xml:space="preserve"> </w:t>
      </w:r>
      <w:r w:rsidRPr="00480920">
        <w:rPr>
          <w:color w:val="000000" w:themeColor="text1"/>
        </w:rPr>
        <w:t xml:space="preserve">No estudo adota-se como referência teórica a perspectiva da determinação social do processo saúde-doença, fundamentada na abordagem </w:t>
      </w:r>
      <w:proofErr w:type="spellStart"/>
      <w:r w:rsidRPr="00480920">
        <w:rPr>
          <w:color w:val="000000" w:themeColor="text1"/>
        </w:rPr>
        <w:t>sociocrítica</w:t>
      </w:r>
      <w:proofErr w:type="spellEnd"/>
      <w:r w:rsidRPr="00480920">
        <w:rPr>
          <w:color w:val="000000" w:themeColor="text1"/>
        </w:rPr>
        <w:t xml:space="preserve">, com base na teoria social marxista. (BREILH, 2013). </w:t>
      </w:r>
    </w:p>
    <w:p w14:paraId="74DD7746" w14:textId="77777777" w:rsidR="00E31959" w:rsidRPr="008D763E" w:rsidRDefault="00E31959" w:rsidP="00E31959">
      <w:pPr>
        <w:adjustRightInd w:val="0"/>
        <w:snapToGrid w:val="0"/>
        <w:spacing w:line="360" w:lineRule="auto"/>
        <w:ind w:firstLine="708"/>
        <w:jc w:val="both"/>
        <w:rPr>
          <w:color w:val="000000" w:themeColor="text1"/>
        </w:rPr>
      </w:pPr>
      <w:r w:rsidRPr="00480920">
        <w:rPr>
          <w:color w:val="000000" w:themeColor="text1"/>
        </w:rPr>
        <w:t xml:space="preserve">A metodologia do estudo incluiu análise documental e revisão crítica de instrumentos oriundos de duas vertentes: as principais normativas do Ministério da Saúde, produzidas no processo do novo ordenamento político-jurídico e social do país, instituído com a Constituição Federal do Brasil de 1988 (BRASIL, 1988); e em instrumentos do Conselho Nacional de </w:t>
      </w:r>
      <w:proofErr w:type="gramStart"/>
      <w:r w:rsidRPr="00480920">
        <w:rPr>
          <w:color w:val="000000" w:themeColor="text1"/>
        </w:rPr>
        <w:t>Saúde  (</w:t>
      </w:r>
      <w:proofErr w:type="gramEnd"/>
      <w:r w:rsidRPr="00480920">
        <w:rPr>
          <w:color w:val="000000" w:themeColor="text1"/>
        </w:rPr>
        <w:t xml:space="preserve">CNS) que atuam como indutores da regulação da participação social na APS, com ênfase na Resolução do CNS Nº 714/2023 (BRASIL, 2023). Nessa Resolução são formuladas diretrizes para a criação de </w:t>
      </w:r>
      <w:r>
        <w:rPr>
          <w:color w:val="000000" w:themeColor="text1"/>
        </w:rPr>
        <w:t>CLS</w:t>
      </w:r>
      <w:r w:rsidRPr="00480920">
        <w:rPr>
          <w:color w:val="000000" w:themeColor="text1"/>
        </w:rPr>
        <w:t xml:space="preserve"> nas Unidades Básicas de Saúde, com o propósito de reconhecer </w:t>
      </w:r>
      <w:r>
        <w:rPr>
          <w:color w:val="000000" w:themeColor="text1"/>
        </w:rPr>
        <w:t>tais conselhos</w:t>
      </w:r>
      <w:r w:rsidRPr="00480920">
        <w:rPr>
          <w:color w:val="000000" w:themeColor="text1"/>
        </w:rPr>
        <w:t xml:space="preserve"> como espaços fundamentais de controle social e democratização da gestão local em saúde. Na análise das normativas legais foram incorporadas, além de estudo bibliográfico sobre o tema, reflexões </w:t>
      </w:r>
      <w:r w:rsidRPr="00480920">
        <w:t>advindas da trajetória profissional e acadêmica da autora, vinculada à pesquisa e extensão em saúde coletiva e participação social.</w:t>
      </w:r>
    </w:p>
    <w:p w14:paraId="6F35BCD3" w14:textId="77777777" w:rsidR="00E31959" w:rsidRPr="00480920" w:rsidRDefault="00E31959" w:rsidP="00E31959">
      <w:pPr>
        <w:adjustRightInd w:val="0"/>
        <w:snapToGrid w:val="0"/>
        <w:spacing w:line="360" w:lineRule="auto"/>
        <w:jc w:val="both"/>
        <w:rPr>
          <w:color w:val="000000" w:themeColor="text1"/>
        </w:rPr>
      </w:pPr>
    </w:p>
    <w:p w14:paraId="7B99E95A" w14:textId="77777777" w:rsidR="00E31959" w:rsidRPr="00E31959" w:rsidRDefault="00E31959" w:rsidP="00E31959">
      <w:pPr>
        <w:adjustRightInd w:val="0"/>
        <w:snapToGrid w:val="0"/>
        <w:spacing w:line="360" w:lineRule="auto"/>
        <w:jc w:val="both"/>
        <w:rPr>
          <w:b/>
          <w:bCs/>
          <w:color w:val="000000" w:themeColor="text1"/>
        </w:rPr>
      </w:pPr>
      <w:r w:rsidRPr="00E31959">
        <w:rPr>
          <w:b/>
          <w:bCs/>
          <w:color w:val="000000" w:themeColor="text1"/>
        </w:rPr>
        <w:t>2 DISCUSSÃO</w:t>
      </w:r>
    </w:p>
    <w:p w14:paraId="5A9A27E4" w14:textId="77777777" w:rsidR="00E31959" w:rsidRPr="00480920" w:rsidRDefault="00E31959" w:rsidP="00E31959">
      <w:pPr>
        <w:adjustRightInd w:val="0"/>
        <w:snapToGrid w:val="0"/>
        <w:spacing w:line="360" w:lineRule="auto"/>
        <w:jc w:val="both"/>
        <w:rPr>
          <w:color w:val="000000" w:themeColor="text1"/>
        </w:rPr>
      </w:pPr>
    </w:p>
    <w:p w14:paraId="66F93BF4" w14:textId="77777777" w:rsidR="00E31959" w:rsidRPr="00480920" w:rsidRDefault="00E31959" w:rsidP="00E31959">
      <w:pPr>
        <w:adjustRightInd w:val="0"/>
        <w:snapToGrid w:val="0"/>
        <w:spacing w:line="360" w:lineRule="auto"/>
        <w:jc w:val="both"/>
        <w:rPr>
          <w:color w:val="000000" w:themeColor="text1"/>
        </w:rPr>
      </w:pPr>
      <w:r w:rsidRPr="00480920">
        <w:rPr>
          <w:color w:val="000000" w:themeColor="text1"/>
        </w:rPr>
        <w:t>2.1 A Resolução C</w:t>
      </w:r>
      <w:r>
        <w:rPr>
          <w:color w:val="000000" w:themeColor="text1"/>
        </w:rPr>
        <w:t>NS</w:t>
      </w:r>
      <w:r w:rsidRPr="00480920">
        <w:rPr>
          <w:color w:val="000000" w:themeColor="text1"/>
        </w:rPr>
        <w:t xml:space="preserve"> Nº 714/2023 </w:t>
      </w:r>
      <w:r>
        <w:rPr>
          <w:color w:val="000000" w:themeColor="text1"/>
        </w:rPr>
        <w:t>e</w:t>
      </w:r>
      <w:r w:rsidRPr="00480920">
        <w:rPr>
          <w:color w:val="000000" w:themeColor="text1"/>
        </w:rPr>
        <w:t>m Análise Crítica: caminhos e tensões da institucionalização dos conselhos locais de saúde</w:t>
      </w:r>
    </w:p>
    <w:p w14:paraId="027DEF96" w14:textId="77777777" w:rsidR="00E31959" w:rsidRPr="00480920" w:rsidRDefault="00E31959" w:rsidP="00E31959">
      <w:pPr>
        <w:adjustRightInd w:val="0"/>
        <w:snapToGrid w:val="0"/>
        <w:spacing w:line="360" w:lineRule="auto"/>
        <w:jc w:val="both"/>
        <w:rPr>
          <w:color w:val="000000" w:themeColor="text1"/>
        </w:rPr>
      </w:pPr>
    </w:p>
    <w:p w14:paraId="345D0F35" w14:textId="77777777" w:rsidR="00E31959" w:rsidRPr="00480920" w:rsidRDefault="00E31959" w:rsidP="00E31959">
      <w:pPr>
        <w:adjustRightInd w:val="0"/>
        <w:snapToGrid w:val="0"/>
        <w:spacing w:line="360" w:lineRule="auto"/>
        <w:jc w:val="both"/>
        <w:rPr>
          <w:color w:val="000000" w:themeColor="text1"/>
        </w:rPr>
      </w:pPr>
      <w:r w:rsidRPr="00480920">
        <w:rPr>
          <w:color w:val="000000" w:themeColor="text1"/>
        </w:rPr>
        <w:tab/>
        <w:t>A Resolução Nº 714 do Conselho Nacional de Saúde, de 02 de julho de 2023 (</w:t>
      </w:r>
      <w:r w:rsidRPr="00480920">
        <w:rPr>
          <w:rStyle w:val="Forte"/>
          <w:color w:val="000000" w:themeColor="text1"/>
        </w:rPr>
        <w:t>BRASIL, 2023)</w:t>
      </w:r>
      <w:r w:rsidRPr="00480920">
        <w:rPr>
          <w:color w:val="000000" w:themeColor="text1"/>
        </w:rPr>
        <w:t xml:space="preserve">, estabelece diretrizes para o desenvolvimento de uma campanha nacional voltada à criação de </w:t>
      </w:r>
      <w:r>
        <w:rPr>
          <w:color w:val="000000" w:themeColor="text1"/>
        </w:rPr>
        <w:t>CLS</w:t>
      </w:r>
      <w:r w:rsidRPr="00480920">
        <w:rPr>
          <w:color w:val="000000" w:themeColor="text1"/>
        </w:rPr>
        <w:t xml:space="preserve"> nas Unidades Básicas de Saúde (UBS). Publicada no Diário Oficial da União em 23 de agosto de 2023, a medida tem como propósito ampliar e fortalecer a participação social e o controle social nas políticas públicas de saúde, promovendo uma maior aproximação entre os serviços de saúde e a comunidade.</w:t>
      </w:r>
    </w:p>
    <w:p w14:paraId="711D2331" w14:textId="77777777" w:rsidR="00E31959" w:rsidRPr="00480920" w:rsidRDefault="00E31959" w:rsidP="00E31959">
      <w:pPr>
        <w:adjustRightInd w:val="0"/>
        <w:snapToGrid w:val="0"/>
        <w:spacing w:line="360" w:lineRule="auto"/>
        <w:jc w:val="both"/>
      </w:pPr>
      <w:r w:rsidRPr="00480920">
        <w:rPr>
          <w:color w:val="000000" w:themeColor="text1"/>
        </w:rPr>
        <w:tab/>
      </w:r>
      <w:r w:rsidRPr="00480920">
        <w:t xml:space="preserve">Na Resolução 714/2023, destaca-se a relevância dos CLS como espaços de participação social nas UBS, </w:t>
      </w:r>
      <w:r w:rsidRPr="00480920">
        <w:rPr>
          <w:rStyle w:val="Forte"/>
          <w:rFonts w:eastAsiaTheme="majorEastAsia"/>
        </w:rPr>
        <w:t>tendo como finalidade principal</w:t>
      </w:r>
      <w:r w:rsidRPr="00480920">
        <w:t xml:space="preserve"> aproximar a comunidade dos serviços, envolver-se no planejamento das atividades da unidade e fortalecer o compromisso com os serviços públicos de saúde e com o SUS.</w:t>
      </w:r>
    </w:p>
    <w:p w14:paraId="05DC15D3" w14:textId="77777777" w:rsidR="00E31959" w:rsidRPr="00480920" w:rsidRDefault="00E31959" w:rsidP="00E31959">
      <w:pPr>
        <w:adjustRightInd w:val="0"/>
        <w:snapToGrid w:val="0"/>
        <w:spacing w:line="360" w:lineRule="auto"/>
        <w:ind w:firstLine="708"/>
        <w:jc w:val="both"/>
        <w:rPr>
          <w:color w:val="000000" w:themeColor="text1"/>
        </w:rPr>
      </w:pPr>
      <w:r w:rsidRPr="00480920">
        <w:rPr>
          <w:color w:val="000000" w:themeColor="text1"/>
        </w:rPr>
        <w:t>A criação desses Conselhos será responsabilidade dos Conselhos Municipais de Saúde, por meio de resoluções próprias homologadas pelo executivo municipal, conforme estabelece a Lei Federal Nº 8.142/1990 (BRASIL, 1990). A composição dos CLS deverá ser paritária, sendo 50% de representantes dos usuários, 25% de trabalhadores da saúde, e 25% de gestores e prestadores de serviços conveniados ou sem fins lucrativos.</w:t>
      </w:r>
    </w:p>
    <w:p w14:paraId="673DFF6A" w14:textId="77777777" w:rsidR="00E31959" w:rsidRPr="00480920" w:rsidRDefault="00E31959" w:rsidP="00E31959">
      <w:pPr>
        <w:adjustRightInd w:val="0"/>
        <w:snapToGrid w:val="0"/>
        <w:spacing w:line="360" w:lineRule="auto"/>
        <w:jc w:val="both"/>
        <w:rPr>
          <w:color w:val="000000" w:themeColor="text1"/>
        </w:rPr>
      </w:pPr>
      <w:r w:rsidRPr="00480920">
        <w:rPr>
          <w:color w:val="000000" w:themeColor="text1"/>
        </w:rPr>
        <w:tab/>
      </w:r>
      <w:r w:rsidRPr="00480920">
        <w:t xml:space="preserve">Cada conselho poderá contar com um mínimo de quatro e um máximo de dezesseis membros efetivos, além do mesmo número de suplentes, a depender do porte da unidade. Todas as decisões dos CLS deverão ser encaminhadas aos respectivos Conselhos Municipais de Saúde e às Secretarias Municipais de Saúde, </w:t>
      </w:r>
      <w:r w:rsidRPr="00480920">
        <w:rPr>
          <w:rStyle w:val="Forte"/>
          <w:rFonts w:eastAsiaTheme="majorEastAsia"/>
        </w:rPr>
        <w:t>a fim de garantir</w:t>
      </w:r>
      <w:r w:rsidRPr="00480920">
        <w:t xml:space="preserve"> o fluxo de informações e a integração entre as instâncias deliberativas.</w:t>
      </w:r>
    </w:p>
    <w:p w14:paraId="507C7573" w14:textId="77777777" w:rsidR="00E31959" w:rsidRPr="00480920" w:rsidRDefault="00E31959" w:rsidP="00E31959">
      <w:pPr>
        <w:adjustRightInd w:val="0"/>
        <w:snapToGrid w:val="0"/>
        <w:spacing w:line="360" w:lineRule="auto"/>
        <w:ind w:firstLine="708"/>
        <w:jc w:val="both"/>
        <w:rPr>
          <w:color w:val="000000" w:themeColor="text1"/>
        </w:rPr>
      </w:pPr>
      <w:r w:rsidRPr="00480920">
        <w:t xml:space="preserve">A gestão municipal deverá assegurar as condições necessárias para o funcionamento regular dos CLS, conforme previsto no artigo 44 da Lei Complementar nº 141/2012, incluindo recursos humanos, infraestrutura logística e </w:t>
      </w:r>
      <w:r w:rsidRPr="00480920">
        <w:rPr>
          <w:rStyle w:val="Forte"/>
          <w:rFonts w:eastAsiaTheme="majorEastAsia"/>
        </w:rPr>
        <w:t>ações formativas permanentes</w:t>
      </w:r>
      <w:r w:rsidRPr="00480920">
        <w:t xml:space="preserve"> para os conselheiros (BRASIL, 2012). Além disso, todos os conselhos deverão ser registrados no Sistema de Acompanhamento de Conselhos de Saúde (SIACS), mantido pelo Conselho Nacional de Saúde.</w:t>
      </w:r>
    </w:p>
    <w:p w14:paraId="51B2A4DA" w14:textId="77777777" w:rsidR="00E31959" w:rsidRPr="00480920" w:rsidRDefault="00E31959" w:rsidP="00E31959">
      <w:pPr>
        <w:adjustRightInd w:val="0"/>
        <w:snapToGrid w:val="0"/>
        <w:spacing w:line="360" w:lineRule="auto"/>
        <w:jc w:val="both"/>
      </w:pPr>
      <w:r w:rsidRPr="00480920">
        <w:rPr>
          <w:color w:val="000000" w:themeColor="text1"/>
        </w:rPr>
        <w:lastRenderedPageBreak/>
        <w:tab/>
      </w:r>
      <w:r w:rsidRPr="00480920">
        <w:t>A Resolução 714/2023 está amparada em um conjunto de normativas legais e diretrizes anteriores, como a Resolução CNS nº 453/2012 (BRASIL, 2012a), que orienta a estruturação dos Conselhos de Saúde, e a Política Nacional de Atenção Básica – PNAB/2017 (BRASIL, 2017), que reconhece os Conselhos Locais como instrumentos essenciais para o fortalecimento da gestão local e do controle social na atenção básica.</w:t>
      </w:r>
    </w:p>
    <w:p w14:paraId="4D6B247F" w14:textId="77777777" w:rsidR="00E31959" w:rsidRPr="00480920" w:rsidRDefault="00E31959" w:rsidP="00E31959">
      <w:pPr>
        <w:adjustRightInd w:val="0"/>
        <w:snapToGrid w:val="0"/>
        <w:spacing w:line="360" w:lineRule="auto"/>
        <w:jc w:val="both"/>
        <w:rPr>
          <w:color w:val="000000" w:themeColor="text1"/>
        </w:rPr>
      </w:pPr>
      <w:r w:rsidRPr="00480920">
        <w:tab/>
      </w:r>
      <w:r w:rsidRPr="00480920">
        <w:rPr>
          <w:rStyle w:val="Forte"/>
          <w:rFonts w:eastAsiaTheme="majorEastAsia"/>
        </w:rPr>
        <w:t>Entretanto</w:t>
      </w:r>
      <w:r w:rsidRPr="00480920">
        <w:t xml:space="preserve">, a institucionalização dos CLS por meio da Resolução nº 714/2023 apresenta contradições e limitações estruturais. </w:t>
      </w:r>
      <w:r w:rsidRPr="00480920">
        <w:rPr>
          <w:rStyle w:val="Forte"/>
          <w:rFonts w:eastAsiaTheme="majorEastAsia"/>
        </w:rPr>
        <w:t>Ainda que</w:t>
      </w:r>
      <w:r w:rsidRPr="00480920">
        <w:t xml:space="preserve"> a normativa reforce formalmente o papel dos Conselhos Locais como instâncias legítimas de participação social, seu conteúdo se ancora em uma concepção institucionalista e regulatória da participação, </w:t>
      </w:r>
      <w:r w:rsidRPr="00480920">
        <w:rPr>
          <w:rStyle w:val="Forte"/>
          <w:rFonts w:eastAsiaTheme="majorEastAsia"/>
        </w:rPr>
        <w:t>tendendo a desconsiderar</w:t>
      </w:r>
      <w:r w:rsidRPr="00480920">
        <w:t xml:space="preserve"> as dinâmicas territoriais, as disputas políticas e a complexidade da realidade social na qual esses conselhos deveriam se enraizar.</w:t>
      </w:r>
    </w:p>
    <w:p w14:paraId="22640C28" w14:textId="77777777" w:rsidR="00E31959" w:rsidRPr="00480920" w:rsidRDefault="00E31959" w:rsidP="00E31959">
      <w:pPr>
        <w:adjustRightInd w:val="0"/>
        <w:snapToGrid w:val="0"/>
        <w:spacing w:line="360" w:lineRule="auto"/>
        <w:jc w:val="both"/>
      </w:pPr>
      <w:r w:rsidRPr="00480920">
        <w:rPr>
          <w:color w:val="000000" w:themeColor="text1"/>
        </w:rPr>
        <w:tab/>
      </w:r>
      <w:r w:rsidRPr="00480920">
        <w:rPr>
          <w:rStyle w:val="Forte"/>
          <w:rFonts w:eastAsiaTheme="majorEastAsia"/>
        </w:rPr>
        <w:t>Desse modo</w:t>
      </w:r>
      <w:r w:rsidRPr="00480920">
        <w:t xml:space="preserve">, compreende-se que a existência formal dos Conselhos Locais, por si só, </w:t>
      </w:r>
      <w:r w:rsidRPr="00480920">
        <w:rPr>
          <w:rStyle w:val="Forte"/>
          <w:rFonts w:eastAsiaTheme="majorEastAsia"/>
        </w:rPr>
        <w:t>não é suficiente para promover</w:t>
      </w:r>
      <w:r w:rsidRPr="00480920">
        <w:t xml:space="preserve"> a construção de uma participação democrática, crítica e emancipadora. Ao contrário, quando sua criação se dá exclusivamente por meio de resoluções burocráticas, em resposta a exigências legais, sem o necessário enraizamento nas lutas populares e em processos formativos contínuos de sujeitos políticos nos territórios, tais conselhos correm o risco de se tornarem instrumentos tecnocráticos, funcionais à gestão, e incapazes de tensionar o modelo hegemônico de atenção à saúde.</w:t>
      </w:r>
    </w:p>
    <w:p w14:paraId="73332335" w14:textId="77777777" w:rsidR="00E31959" w:rsidRPr="00480920" w:rsidRDefault="00E31959" w:rsidP="00E31959">
      <w:pPr>
        <w:adjustRightInd w:val="0"/>
        <w:snapToGrid w:val="0"/>
        <w:spacing w:line="360" w:lineRule="auto"/>
        <w:ind w:firstLine="708"/>
        <w:jc w:val="both"/>
      </w:pPr>
      <w:r w:rsidRPr="00480920">
        <w:t xml:space="preserve">A ênfase da Resolução nº 714/2023 na paridade e na composição formal, </w:t>
      </w:r>
      <w:r w:rsidRPr="00480920">
        <w:rPr>
          <w:rStyle w:val="Forte"/>
          <w:rFonts w:eastAsiaTheme="majorEastAsia"/>
        </w:rPr>
        <w:t>embora juridicamente relevante</w:t>
      </w:r>
      <w:r w:rsidRPr="00480920">
        <w:t>, revela-se insuficiente diante dos obstáculos concretos evidenciados em estudos de campo. Tais obstáculos incluem a fragilidade da formação política dos conselheiros, a ausência de apoio institucional efetivo e a desarticulação com os movimentos sociais organizados nos territórios.</w:t>
      </w:r>
    </w:p>
    <w:p w14:paraId="0BDAAFCD" w14:textId="77777777" w:rsidR="00E31959" w:rsidRPr="00480920" w:rsidRDefault="00E31959" w:rsidP="00E31959">
      <w:pPr>
        <w:adjustRightInd w:val="0"/>
        <w:snapToGrid w:val="0"/>
        <w:spacing w:line="360" w:lineRule="auto"/>
        <w:ind w:firstLine="708"/>
        <w:jc w:val="both"/>
      </w:pPr>
      <w:r w:rsidRPr="00480920">
        <w:t xml:space="preserve">Além disso, a proposta de composição paritária, com no mínimo de quatro membros, suscita reflexões sobre a natureza e função desses conselhos. Os CLS, por sua natureza comunitária e </w:t>
      </w:r>
      <w:proofErr w:type="spellStart"/>
      <w:r w:rsidRPr="00480920">
        <w:t>territorializada</w:t>
      </w:r>
      <w:proofErr w:type="spellEnd"/>
      <w:r w:rsidRPr="00480920">
        <w:t xml:space="preserve">, </w:t>
      </w:r>
      <w:r w:rsidRPr="00480920">
        <w:rPr>
          <w:rStyle w:val="Forte"/>
          <w:rFonts w:eastAsiaTheme="majorEastAsia"/>
        </w:rPr>
        <w:t>devem possibilitar</w:t>
      </w:r>
      <w:r w:rsidRPr="00480920">
        <w:t xml:space="preserve"> a organização política de sujeitos locais e a formação político-sanitária crítica. </w:t>
      </w:r>
      <w:r w:rsidRPr="00480920">
        <w:rPr>
          <w:rStyle w:val="Forte"/>
          <w:rFonts w:eastAsiaTheme="majorEastAsia"/>
        </w:rPr>
        <w:t>Portanto, não devem se restringir</w:t>
      </w:r>
      <w:r w:rsidRPr="00480920">
        <w:t xml:space="preserve"> nem se moldar totalmente às lógicas e formas organizativas das demais instâncias (municipais, estaduais/distrital e nacional).</w:t>
      </w:r>
      <w:r w:rsidRPr="00480920">
        <w:rPr>
          <w:color w:val="000000" w:themeColor="text1"/>
        </w:rPr>
        <w:t xml:space="preserve"> </w:t>
      </w:r>
    </w:p>
    <w:p w14:paraId="5F971593" w14:textId="77777777" w:rsidR="00E31959" w:rsidRPr="00480920" w:rsidRDefault="00E31959" w:rsidP="00E31959">
      <w:pPr>
        <w:adjustRightInd w:val="0"/>
        <w:snapToGrid w:val="0"/>
        <w:spacing w:line="360" w:lineRule="auto"/>
        <w:ind w:firstLine="708"/>
        <w:jc w:val="both"/>
      </w:pPr>
      <w:r w:rsidRPr="00480920">
        <w:t xml:space="preserve">Como demonstra o estudo de Oliveira (2015), o processo democrático participativo não se efetiva apenas pela existência de um arcabouço normativo, mas pela mobilização e </w:t>
      </w:r>
      <w:r w:rsidRPr="00480920">
        <w:lastRenderedPageBreak/>
        <w:t xml:space="preserve">protagonismo político dos sujeitos populares, frequentemente inviabilizados por uma lógica de participação adesista e despolitizada. </w:t>
      </w:r>
      <w:r w:rsidRPr="00480920">
        <w:rPr>
          <w:rStyle w:val="Forte"/>
          <w:rFonts w:eastAsiaTheme="majorEastAsia"/>
        </w:rPr>
        <w:t>Ademais</w:t>
      </w:r>
      <w:r w:rsidRPr="00480920">
        <w:t>, ao não enfrentar de forma contundente a desigual distribuição de poder nos territórios e as condições estruturais que limitam o acesso aos espaços decisórios, a Resolução tende a naturalizar uma cultura participativa fragilizada, muitas vezes instrumentalizada para legitimar a gestão pública em detrimento de sua função crítica e transformadora.</w:t>
      </w:r>
    </w:p>
    <w:p w14:paraId="42239AE5" w14:textId="77777777" w:rsidR="00E31959" w:rsidRPr="00480920" w:rsidRDefault="00E31959" w:rsidP="00E31959">
      <w:pPr>
        <w:adjustRightInd w:val="0"/>
        <w:snapToGrid w:val="0"/>
        <w:spacing w:line="360" w:lineRule="auto"/>
        <w:ind w:firstLine="708"/>
        <w:jc w:val="both"/>
        <w:rPr>
          <w:color w:val="000000" w:themeColor="text1"/>
        </w:rPr>
      </w:pPr>
      <w:r w:rsidRPr="00480920">
        <w:rPr>
          <w:rStyle w:val="Forte"/>
          <w:rFonts w:eastAsiaTheme="majorEastAsia"/>
        </w:rPr>
        <w:t>Dessa forma</w:t>
      </w:r>
      <w:r w:rsidRPr="00480920">
        <w:t>, para que a Resolução nº 714/2023 cumpra, de fato, um papel estratégico na ampliação da democracia sanitária, é urgente investir em processos permanentes de formação crítica, no fortalecimento dos vínculos entre os Conselhos Locais e os coletivos populares e na valorização das experiências autônomas de organização comunitária. Essas experiências, historicamente, sustentam a luta por saúde como direito, e não como mercadoria.</w:t>
      </w:r>
    </w:p>
    <w:p w14:paraId="6AFA0BA5" w14:textId="77777777" w:rsidR="00E31959" w:rsidRPr="00480920" w:rsidRDefault="00E31959" w:rsidP="00E31959">
      <w:pPr>
        <w:adjustRightInd w:val="0"/>
        <w:snapToGrid w:val="0"/>
        <w:spacing w:line="360" w:lineRule="auto"/>
        <w:jc w:val="both"/>
        <w:rPr>
          <w:color w:val="000000" w:themeColor="text1"/>
        </w:rPr>
      </w:pPr>
      <w:r w:rsidRPr="00480920">
        <w:rPr>
          <w:color w:val="000000" w:themeColor="text1"/>
        </w:rPr>
        <w:tab/>
      </w:r>
    </w:p>
    <w:p w14:paraId="159DAB96" w14:textId="77777777" w:rsidR="00E31959" w:rsidRPr="00E31959" w:rsidRDefault="00E31959" w:rsidP="00E31959">
      <w:pPr>
        <w:adjustRightInd w:val="0"/>
        <w:snapToGrid w:val="0"/>
        <w:spacing w:line="360" w:lineRule="auto"/>
        <w:jc w:val="both"/>
        <w:rPr>
          <w:b/>
          <w:bCs/>
          <w:color w:val="000000" w:themeColor="text1"/>
        </w:rPr>
      </w:pPr>
      <w:r w:rsidRPr="00E31959">
        <w:rPr>
          <w:b/>
          <w:bCs/>
          <w:color w:val="000000" w:themeColor="text1"/>
        </w:rPr>
        <w:t>2.2 Entre o normativo e o emancipador: contradições da participação social na Atenção Primária à Saúde</w:t>
      </w:r>
    </w:p>
    <w:p w14:paraId="5CCC49AB" w14:textId="77777777" w:rsidR="00E31959" w:rsidRPr="00480920" w:rsidRDefault="00E31959" w:rsidP="00E31959">
      <w:pPr>
        <w:adjustRightInd w:val="0"/>
        <w:snapToGrid w:val="0"/>
        <w:spacing w:line="360" w:lineRule="auto"/>
        <w:jc w:val="both"/>
        <w:rPr>
          <w:color w:val="000000" w:themeColor="text1"/>
        </w:rPr>
      </w:pPr>
    </w:p>
    <w:p w14:paraId="24331D75" w14:textId="77777777" w:rsidR="00E31959" w:rsidRPr="00480920" w:rsidRDefault="00E31959" w:rsidP="00E31959">
      <w:pPr>
        <w:adjustRightInd w:val="0"/>
        <w:snapToGrid w:val="0"/>
        <w:spacing w:line="360" w:lineRule="auto"/>
        <w:jc w:val="both"/>
        <w:rPr>
          <w:color w:val="000000" w:themeColor="text1"/>
        </w:rPr>
      </w:pPr>
      <w:r w:rsidRPr="00480920">
        <w:rPr>
          <w:color w:val="000000" w:themeColor="text1"/>
        </w:rPr>
        <w:tab/>
      </w:r>
      <w:r w:rsidRPr="00480920">
        <w:t xml:space="preserve">Os CLS, especialmente quando vinculados de modo orgânico à Atenção Primária à Saúde (APS), </w:t>
      </w:r>
      <w:r w:rsidRPr="00480920">
        <w:rPr>
          <w:rStyle w:val="Forte"/>
          <w:rFonts w:eastAsiaTheme="majorEastAsia"/>
        </w:rPr>
        <w:t>configuram-se</w:t>
      </w:r>
      <w:r w:rsidRPr="00480920">
        <w:t xml:space="preserve"> como espaços potenciais de consciência sanitária e de aprofundamento do controle social. Como explicitado na Resolução do Conselho Nacional de Saúde nº 714/2023, os CLS são dispositivos institucionais com a função de promover o protagonismo da população nos processos decisórios em saúde no nível local, </w:t>
      </w:r>
      <w:r w:rsidRPr="00480920">
        <w:rPr>
          <w:rStyle w:val="Forte"/>
          <w:rFonts w:eastAsiaTheme="majorEastAsia"/>
        </w:rPr>
        <w:t>fortalecendo os vínculos</w:t>
      </w:r>
      <w:r w:rsidRPr="00480920">
        <w:t xml:space="preserve"> entre gestão e comunidade. </w:t>
      </w:r>
      <w:r w:rsidRPr="00480920">
        <w:rPr>
          <w:rStyle w:val="Forte"/>
          <w:rFonts w:eastAsiaTheme="majorEastAsia"/>
        </w:rPr>
        <w:t>Entretanto</w:t>
      </w:r>
      <w:r w:rsidRPr="00480920">
        <w:t>, sua institucionalização enfrenta múltiplos desafios, que vão desde a fragilidade estrutural e ausência de apoio institucional efetivo até resistências culturais e políticas que tensionam seu papel entre a democratização real do sistema e a reprodução de uma participação esvaziada de sentido político.</w:t>
      </w:r>
    </w:p>
    <w:p w14:paraId="57FDE067" w14:textId="77777777" w:rsidR="00E31959" w:rsidRPr="00480920" w:rsidRDefault="00E31959" w:rsidP="00E31959">
      <w:pPr>
        <w:adjustRightInd w:val="0"/>
        <w:snapToGrid w:val="0"/>
        <w:spacing w:line="360" w:lineRule="auto"/>
        <w:ind w:firstLine="708"/>
        <w:jc w:val="both"/>
      </w:pPr>
      <w:r w:rsidRPr="00480920">
        <w:t xml:space="preserve">Na revisão de escopo conduzida por </w:t>
      </w:r>
      <w:proofErr w:type="spellStart"/>
      <w:r w:rsidRPr="00480920">
        <w:t>Buziquia</w:t>
      </w:r>
      <w:proofErr w:type="spellEnd"/>
      <w:r w:rsidRPr="00480920">
        <w:t xml:space="preserve"> et al. (2023), foi identificada uma produção científica diversa, porém marcada por </w:t>
      </w:r>
      <w:r w:rsidRPr="00480920">
        <w:rPr>
          <w:rStyle w:val="Forte"/>
          <w:rFonts w:eastAsiaTheme="majorEastAsia"/>
        </w:rPr>
        <w:t>recorrentes críticas</w:t>
      </w:r>
      <w:r w:rsidRPr="00480920">
        <w:t xml:space="preserve"> à burocratização e à fragilização dos mecanismos formais de participação social. Destacam-se, nesse conjunto, os obstáculos enfrentados na implementação dos CLS. A essas dificuldades, as autorias agregam os desafios decorrentes da desarticulação dos espaços participativos e das iniciativas de democratização das relações sociais, fenômenos intensificados nos últimos </w:t>
      </w:r>
      <w:r w:rsidRPr="00480920">
        <w:lastRenderedPageBreak/>
        <w:t xml:space="preserve">anos sob o influxo do modelo de </w:t>
      </w:r>
      <w:proofErr w:type="spellStart"/>
      <w:r w:rsidRPr="00480920">
        <w:t>austericídio</w:t>
      </w:r>
      <w:proofErr w:type="spellEnd"/>
      <w:r w:rsidRPr="00480920">
        <w:t xml:space="preserve">, do </w:t>
      </w:r>
      <w:proofErr w:type="spellStart"/>
      <w:r w:rsidRPr="00480920">
        <w:t>desfinanciamento</w:t>
      </w:r>
      <w:proofErr w:type="spellEnd"/>
      <w:r w:rsidRPr="00480920">
        <w:t xml:space="preserve"> do SUS e do desmonte das políticas públicas.</w:t>
      </w:r>
    </w:p>
    <w:p w14:paraId="4196B386" w14:textId="77777777" w:rsidR="00E31959" w:rsidRPr="00F33907" w:rsidRDefault="00E31959" w:rsidP="00E31959">
      <w:pPr>
        <w:pStyle w:val="NormalWeb"/>
        <w:adjustRightInd w:val="0"/>
        <w:snapToGrid w:val="0"/>
        <w:spacing w:before="0" w:beforeAutospacing="0" w:after="0" w:afterAutospacing="0" w:line="360" w:lineRule="auto"/>
        <w:jc w:val="both"/>
        <w:rPr>
          <w:rFonts w:ascii="Arial" w:hAnsi="Arial" w:cs="Arial"/>
          <w:color w:val="000000" w:themeColor="text1"/>
          <w:sz w:val="22"/>
          <w:szCs w:val="22"/>
        </w:rPr>
      </w:pPr>
      <w:r w:rsidRPr="00480920">
        <w:rPr>
          <w:color w:val="000000" w:themeColor="text1"/>
        </w:rPr>
        <w:tab/>
      </w:r>
      <w:proofErr w:type="spellStart"/>
      <w:r w:rsidRPr="00F33907">
        <w:rPr>
          <w:rFonts w:ascii="Arial" w:hAnsi="Arial" w:cs="Arial"/>
          <w:color w:val="000000" w:themeColor="text1"/>
          <w:sz w:val="22"/>
          <w:szCs w:val="22"/>
        </w:rPr>
        <w:t>Buziquia</w:t>
      </w:r>
      <w:proofErr w:type="spellEnd"/>
      <w:r w:rsidRPr="00F33907">
        <w:rPr>
          <w:rFonts w:ascii="Arial" w:hAnsi="Arial" w:cs="Arial"/>
          <w:color w:val="000000" w:themeColor="text1"/>
          <w:sz w:val="22"/>
          <w:szCs w:val="22"/>
        </w:rPr>
        <w:t xml:space="preserve">; Gonçalves; </w:t>
      </w:r>
      <w:proofErr w:type="spellStart"/>
      <w:r w:rsidRPr="00F33907">
        <w:rPr>
          <w:rFonts w:ascii="Arial" w:hAnsi="Arial" w:cs="Arial"/>
          <w:color w:val="000000" w:themeColor="text1"/>
          <w:sz w:val="22"/>
          <w:szCs w:val="22"/>
        </w:rPr>
        <w:t>Loeck</w:t>
      </w:r>
      <w:proofErr w:type="spellEnd"/>
      <w:r w:rsidRPr="00F33907">
        <w:rPr>
          <w:rFonts w:ascii="Arial" w:hAnsi="Arial" w:cs="Arial"/>
          <w:sz w:val="22"/>
          <w:szCs w:val="22"/>
        </w:rPr>
        <w:t xml:space="preserve"> (2024), reforçam que a participação institucionalizada enfrenta obstáculos significativos, como a ausência de formação política, o desprestígio institucional dos conselhos e o predomínio de práticas técnico-administrativas que </w:t>
      </w:r>
      <w:r w:rsidRPr="00F33907">
        <w:rPr>
          <w:rStyle w:val="Forte"/>
          <w:rFonts w:ascii="Arial" w:eastAsiaTheme="majorEastAsia" w:hAnsi="Arial" w:cs="Arial"/>
          <w:sz w:val="22"/>
          <w:szCs w:val="22"/>
        </w:rPr>
        <w:t xml:space="preserve">desmobilizam </w:t>
      </w:r>
      <w:r w:rsidRPr="00F33907">
        <w:rPr>
          <w:rFonts w:ascii="Arial" w:hAnsi="Arial" w:cs="Arial"/>
          <w:sz w:val="22"/>
          <w:szCs w:val="22"/>
        </w:rPr>
        <w:t xml:space="preserve">o engajamento popular. </w:t>
      </w:r>
      <w:r w:rsidRPr="00F33907">
        <w:rPr>
          <w:rStyle w:val="Forte"/>
          <w:rFonts w:ascii="Arial" w:eastAsiaTheme="majorEastAsia" w:hAnsi="Arial" w:cs="Arial"/>
          <w:sz w:val="22"/>
          <w:szCs w:val="22"/>
        </w:rPr>
        <w:t>Apesar disso</w:t>
      </w:r>
      <w:r w:rsidRPr="00F33907">
        <w:rPr>
          <w:rFonts w:ascii="Arial" w:hAnsi="Arial" w:cs="Arial"/>
          <w:sz w:val="22"/>
          <w:szCs w:val="22"/>
        </w:rPr>
        <w:t xml:space="preserve">, o estudo também evidencia que a promoção da democracia sanitária exige a valorização de espaços participativos, formal e informal, bem como o investimento em formação crítica, vínculos comunitários e escuta ativa, a fim de transformar os CLS em espaços vivos, enraizados nos territórios e capazes de radicalizar os princípios do SUS. </w:t>
      </w:r>
    </w:p>
    <w:p w14:paraId="4D71E8EE" w14:textId="77777777" w:rsidR="00E31959" w:rsidRPr="00480920" w:rsidRDefault="00E31959" w:rsidP="00E31959">
      <w:pPr>
        <w:shd w:val="clear" w:color="auto" w:fill="FFFFFF"/>
        <w:adjustRightInd w:val="0"/>
        <w:snapToGrid w:val="0"/>
        <w:spacing w:line="360" w:lineRule="auto"/>
        <w:jc w:val="both"/>
      </w:pPr>
      <w:r w:rsidRPr="00480920">
        <w:rPr>
          <w:color w:val="000000" w:themeColor="text1"/>
        </w:rPr>
        <w:tab/>
        <w:t xml:space="preserve">De modo geral, os CLS enfrentam limitações de ordem estrutural, cultural e política, </w:t>
      </w:r>
      <w:r w:rsidRPr="00480920">
        <w:t xml:space="preserve">que comprometem sua consolidação como instâncias efetivas de participação social. Além disso, observam-se contradições inerentes à forma como esses conselhos têm sido institucionalizados, o que </w:t>
      </w:r>
      <w:r w:rsidRPr="00480920">
        <w:rPr>
          <w:rStyle w:val="Forte"/>
          <w:rFonts w:eastAsiaTheme="majorEastAsia"/>
        </w:rPr>
        <w:t>tensiona seu papel</w:t>
      </w:r>
      <w:r w:rsidRPr="00480920">
        <w:t xml:space="preserve"> entre o fortalecimento democrático e sua funcionalidade à lógica do Estado. </w:t>
      </w:r>
    </w:p>
    <w:p w14:paraId="2601D6B8" w14:textId="77777777" w:rsidR="00E31959" w:rsidRPr="00480920" w:rsidRDefault="00E31959" w:rsidP="00E31959">
      <w:pPr>
        <w:shd w:val="clear" w:color="auto" w:fill="FFFFFF"/>
        <w:adjustRightInd w:val="0"/>
        <w:snapToGrid w:val="0"/>
        <w:spacing w:line="360" w:lineRule="auto"/>
        <w:ind w:firstLine="708"/>
        <w:jc w:val="both"/>
        <w:rPr>
          <w:color w:val="000000" w:themeColor="text1"/>
        </w:rPr>
      </w:pPr>
      <w:r w:rsidRPr="00480920">
        <w:rPr>
          <w:rStyle w:val="Forte"/>
          <w:rFonts w:eastAsiaTheme="majorEastAsia"/>
        </w:rPr>
        <w:t>Por um lado</w:t>
      </w:r>
      <w:r w:rsidRPr="00480920">
        <w:t xml:space="preserve">, os Conselhos Locais podem se configurar como espaços estratégicos de participação popular e de construção coletiva de ações em saúde, com potencial para fomentar práticas críticas, formar consciências sanitárias nos territórios e recolocar os sujeitos coletivos no centro das decisões sobre as políticas públicas de saúde. Quando bem estruturados e articulados com a comunidade, esses espaços possibilitam o exercício da cidadania ativa e o enfrentamento das expressões da questão social no campo da saúde. </w:t>
      </w:r>
      <w:r w:rsidRPr="00480920">
        <w:rPr>
          <w:rStyle w:val="Forte"/>
          <w:rFonts w:eastAsiaTheme="majorEastAsia"/>
        </w:rPr>
        <w:t>Por outro lado</w:t>
      </w:r>
      <w:r w:rsidRPr="00480920">
        <w:t xml:space="preserve">, existe o risco de que tais conselhos sejam capturados por uma lógica institucional adesista, </w:t>
      </w:r>
      <w:proofErr w:type="spellStart"/>
      <w:r w:rsidRPr="00480920">
        <w:t>gerencialista</w:t>
      </w:r>
      <w:proofErr w:type="spellEnd"/>
      <w:r w:rsidRPr="00480920">
        <w:t xml:space="preserve"> e tecnocrática, </w:t>
      </w:r>
      <w:r w:rsidRPr="00480920">
        <w:rPr>
          <w:rStyle w:val="Forte"/>
          <w:rFonts w:eastAsiaTheme="majorEastAsia"/>
        </w:rPr>
        <w:t>transformando-se</w:t>
      </w:r>
      <w:r w:rsidRPr="00480920">
        <w:t xml:space="preserve"> em instrumentos de legitimação de decisões previamente tomadas pela gestão (BARROS; COSTA, 2023).</w:t>
      </w:r>
    </w:p>
    <w:p w14:paraId="2F9705AB" w14:textId="77777777" w:rsidR="00E31959" w:rsidRDefault="00E31959" w:rsidP="00E31959">
      <w:pPr>
        <w:adjustRightInd w:val="0"/>
        <w:snapToGrid w:val="0"/>
        <w:spacing w:line="360" w:lineRule="auto"/>
        <w:jc w:val="both"/>
        <w:rPr>
          <w:color w:val="000000" w:themeColor="text1"/>
        </w:rPr>
      </w:pPr>
      <w:r w:rsidRPr="00480920">
        <w:rPr>
          <w:color w:val="000000" w:themeColor="text1"/>
        </w:rPr>
        <w:tab/>
        <w:t xml:space="preserve">Esse esvaziamento político pode resultar na desmobilização de espaços comunitários populares e historicamente reivindicativos, tais como associações de moradores, movimentos populares e coletivos sociais, atuantes em defesa de políticas públicas integradas. Tal processo contribui para a fragmentação das lutas sociais e para o enfraquecimento da articulação intersetorial e transversal entre diferentes políticas públicas – saúde, educação, assistência social, habitação – fundamentais para o enfrentamento das desigualdades sociais </w:t>
      </w:r>
      <w:r w:rsidRPr="00480920">
        <w:rPr>
          <w:color w:val="000000" w:themeColor="text1"/>
        </w:rPr>
        <w:lastRenderedPageBreak/>
        <w:t>nos territórios, e para a recolocação dos sujeitos coletivos no centro das decisões sobre políticas públicas em saúde.</w:t>
      </w:r>
    </w:p>
    <w:p w14:paraId="4FC14D22" w14:textId="77777777" w:rsidR="00E31959" w:rsidRPr="00480920" w:rsidRDefault="00E31959" w:rsidP="00E31959">
      <w:pPr>
        <w:adjustRightInd w:val="0"/>
        <w:snapToGrid w:val="0"/>
        <w:spacing w:line="360" w:lineRule="auto"/>
        <w:ind w:firstLine="708"/>
        <w:jc w:val="both"/>
        <w:rPr>
          <w:color w:val="000000" w:themeColor="text1"/>
        </w:rPr>
      </w:pPr>
      <w:r w:rsidRPr="00480920">
        <w:t xml:space="preserve">Essa ambivalência evidencia a necessidade de uma </w:t>
      </w:r>
      <w:proofErr w:type="spellStart"/>
      <w:r w:rsidRPr="00480920">
        <w:rPr>
          <w:rStyle w:val="Forte"/>
          <w:rFonts w:eastAsiaTheme="majorEastAsia"/>
        </w:rPr>
        <w:t>repolitização</w:t>
      </w:r>
      <w:proofErr w:type="spellEnd"/>
      <w:r w:rsidRPr="00480920">
        <w:rPr>
          <w:rStyle w:val="Forte"/>
          <w:rFonts w:eastAsiaTheme="majorEastAsia"/>
        </w:rPr>
        <w:t xml:space="preserve"> da participação social</w:t>
      </w:r>
      <w:r w:rsidRPr="00480920">
        <w:t xml:space="preserve"> na APS. Para que os Conselhos Locais não apenas existam formalmente, mas se constituam como espaços vivos de democracia participativa — protagonizados por sujeitos populares e comprometidos com a radicalização dos princípios do SUS — é fundamental </w:t>
      </w:r>
      <w:r w:rsidRPr="00480920">
        <w:rPr>
          <w:rStyle w:val="Forte"/>
          <w:rFonts w:eastAsiaTheme="majorEastAsia"/>
        </w:rPr>
        <w:t>superar a concepção minimalista, burocrática e normatizada da participação na APS</w:t>
      </w:r>
      <w:r w:rsidRPr="00480920">
        <w:t>. Isso exige o fortalecimento dos vínculos com os movimentos sociais organizados e a promoção de processos formativos permanentes, capazes de ampliar a compreensão de usuários e trabalhadores sobre a política de saúde como campo de disputa e construção coletiva de direitos.</w:t>
      </w:r>
    </w:p>
    <w:p w14:paraId="45B8ED4A" w14:textId="77777777" w:rsidR="00E31959" w:rsidRPr="00480920" w:rsidRDefault="00E31959" w:rsidP="00E31959">
      <w:pPr>
        <w:adjustRightInd w:val="0"/>
        <w:snapToGrid w:val="0"/>
        <w:spacing w:line="360" w:lineRule="auto"/>
        <w:jc w:val="both"/>
        <w:rPr>
          <w:color w:val="000000" w:themeColor="text1"/>
        </w:rPr>
      </w:pPr>
      <w:r w:rsidRPr="00480920">
        <w:rPr>
          <w:color w:val="000000" w:themeColor="text1"/>
        </w:rPr>
        <w:tab/>
      </w:r>
      <w:r w:rsidRPr="00480920">
        <w:rPr>
          <w:rStyle w:val="Forte"/>
          <w:rFonts w:eastAsiaTheme="majorEastAsia"/>
        </w:rPr>
        <w:t>Dessa forma</w:t>
      </w:r>
      <w:r w:rsidRPr="00480920">
        <w:t xml:space="preserve">, torna-se urgente politizar o cotidiano da APS, superando práticas tecnocráticas e promovendo processos participativos verdadeiramente enraizados nos territórios. Isso implica </w:t>
      </w:r>
      <w:r w:rsidRPr="00480920">
        <w:rPr>
          <w:rStyle w:val="Forte"/>
          <w:rFonts w:eastAsiaTheme="majorEastAsia"/>
        </w:rPr>
        <w:t>investir na formação política crítica</w:t>
      </w:r>
      <w:r w:rsidRPr="00480920">
        <w:t xml:space="preserve"> de trabalhadores e usuárias(os) do SUS; </w:t>
      </w:r>
      <w:r w:rsidRPr="00480920">
        <w:rPr>
          <w:rStyle w:val="Forte"/>
          <w:rFonts w:eastAsiaTheme="majorEastAsia"/>
        </w:rPr>
        <w:t>articular</w:t>
      </w:r>
      <w:r w:rsidRPr="00480920">
        <w:t xml:space="preserve"> espaços institucionais com mobilizações comunitárias; e </w:t>
      </w:r>
      <w:r w:rsidRPr="00480920">
        <w:rPr>
          <w:rStyle w:val="Forte"/>
          <w:rFonts w:eastAsiaTheme="majorEastAsia"/>
        </w:rPr>
        <w:t>revalorizar</w:t>
      </w:r>
      <w:r w:rsidRPr="00480920">
        <w:t xml:space="preserve"> os princípios fundantes da Reforma Sanitária Brasileira, como a universalidade, a justiça social e a participação social (OLIVEIRA, 2015).</w:t>
      </w:r>
    </w:p>
    <w:p w14:paraId="627404DA" w14:textId="77777777" w:rsidR="00E31959" w:rsidRDefault="00E31959" w:rsidP="00E31959">
      <w:pPr>
        <w:shd w:val="clear" w:color="auto" w:fill="FFFFFF"/>
        <w:adjustRightInd w:val="0"/>
        <w:snapToGrid w:val="0"/>
        <w:spacing w:line="360" w:lineRule="auto"/>
        <w:jc w:val="both"/>
      </w:pPr>
      <w:r w:rsidRPr="00480920">
        <w:rPr>
          <w:color w:val="000000" w:themeColor="text1"/>
        </w:rPr>
        <w:t xml:space="preserve"> </w:t>
      </w:r>
      <w:r w:rsidRPr="00480920">
        <w:rPr>
          <w:color w:val="000000" w:themeColor="text1"/>
        </w:rPr>
        <w:tab/>
      </w:r>
      <w:r w:rsidRPr="00480920">
        <w:t xml:space="preserve">A Educação Popular em Saúde (EPS), nessa direção, pode </w:t>
      </w:r>
      <w:r w:rsidRPr="00480920">
        <w:rPr>
          <w:rStyle w:val="Forte"/>
          <w:rFonts w:eastAsiaTheme="majorEastAsia"/>
        </w:rPr>
        <w:t>configurar-se</w:t>
      </w:r>
      <w:r w:rsidRPr="00480920">
        <w:t xml:space="preserve"> como uma estratégia para o fortalecimento da participação na APS, sobretudo no âmbito dos Conselhos Locais de Saúde. Ao recolocar o diálogo como centralidade nas práticas participativas, a EPS rompe com modelos verticalizados e tecnocráticos, promove o encontro entre saberes diversos e reconhece o território como espaço de construção coletiva de consciência sanitária.</w:t>
      </w:r>
    </w:p>
    <w:p w14:paraId="17EAF84A" w14:textId="77777777" w:rsidR="00E31959" w:rsidRDefault="00E31959" w:rsidP="00E31959">
      <w:pPr>
        <w:shd w:val="clear" w:color="auto" w:fill="FFFFFF"/>
        <w:adjustRightInd w:val="0"/>
        <w:snapToGrid w:val="0"/>
        <w:spacing w:line="360" w:lineRule="auto"/>
        <w:ind w:firstLine="708"/>
        <w:jc w:val="both"/>
      </w:pPr>
      <w:r w:rsidRPr="00480920">
        <w:t xml:space="preserve">Os achados do estudo de Cruz et al. (2012) revelam que, quando orientadas pelos princípios da EPS, as experiências nos CLS tendem a favorecer a escuta ativa e o reconhecimento dos saberes populares, criando condições para a formação crítica e emancipatória dos sujeitos envolvidos. Além disso, evidenciam que a EPS potencializa o protagonismo de coletivos populares, fortalecendo vínculos comunitários e resgatando o sentido político da participação. Nesse processo, a prática educativa deixa de ser um instrumento de convencimento e passa a ser um </w:t>
      </w:r>
      <w:r w:rsidRPr="00480920">
        <w:rPr>
          <w:rStyle w:val="Forte"/>
          <w:rFonts w:eastAsiaTheme="majorEastAsia"/>
        </w:rPr>
        <w:t>exercício coletivo de construção de sentidos, estratégias e lutas</w:t>
      </w:r>
      <w:r w:rsidRPr="00480920">
        <w:t>, em diálogo com a vida concreta e com os desafios cotidianos dos territórios.</w:t>
      </w:r>
    </w:p>
    <w:p w14:paraId="2C43E13C" w14:textId="77777777" w:rsidR="00E31959" w:rsidRPr="00480920" w:rsidRDefault="00E31959" w:rsidP="00E31959">
      <w:pPr>
        <w:shd w:val="clear" w:color="auto" w:fill="FFFFFF"/>
        <w:adjustRightInd w:val="0"/>
        <w:snapToGrid w:val="0"/>
        <w:spacing w:line="360" w:lineRule="auto"/>
        <w:ind w:firstLine="708"/>
        <w:jc w:val="both"/>
      </w:pPr>
      <w:r w:rsidRPr="00480920">
        <w:rPr>
          <w:rStyle w:val="Forte"/>
          <w:rFonts w:eastAsiaTheme="majorEastAsia"/>
        </w:rPr>
        <w:lastRenderedPageBreak/>
        <w:t>Reitera-se, por fim,</w:t>
      </w:r>
      <w:r w:rsidRPr="00480920">
        <w:t xml:space="preserve"> que a participação social na APS requer a superação dos enfoques </w:t>
      </w:r>
      <w:proofErr w:type="spellStart"/>
      <w:r w:rsidRPr="00480920">
        <w:t>gerencialistas</w:t>
      </w:r>
      <w:proofErr w:type="spellEnd"/>
      <w:r w:rsidRPr="00480920">
        <w:t xml:space="preserve"> e a adoção de uma agenda política voltada à formação de sujeitos sociais críticos e comprometidos com a transformação das realidades locais. A defesa de princípios democráticos na saúde não se restringe à criação de canais formais de escuta e deliberação: </w:t>
      </w:r>
      <w:r w:rsidRPr="00480920">
        <w:rPr>
          <w:rStyle w:val="Forte"/>
          <w:rFonts w:eastAsiaTheme="majorEastAsia"/>
        </w:rPr>
        <w:t>depende, sobretudo, da reorganização dos processos de trabalho em saúde</w:t>
      </w:r>
      <w:r w:rsidRPr="00480920">
        <w:t xml:space="preserve"> e da inserção ativa da população na construção das políticas públicas.</w:t>
      </w:r>
    </w:p>
    <w:p w14:paraId="43249709" w14:textId="77777777" w:rsidR="00E31959" w:rsidRPr="00480920" w:rsidRDefault="00E31959" w:rsidP="00E31959">
      <w:pPr>
        <w:adjustRightInd w:val="0"/>
        <w:snapToGrid w:val="0"/>
        <w:spacing w:line="360" w:lineRule="auto"/>
        <w:jc w:val="both"/>
        <w:rPr>
          <w:color w:val="000000" w:themeColor="text1"/>
        </w:rPr>
      </w:pPr>
    </w:p>
    <w:bookmarkEnd w:id="1"/>
    <w:p w14:paraId="6DC2FEBF" w14:textId="77777777" w:rsidR="00E31959" w:rsidRPr="00480920" w:rsidRDefault="00E31959" w:rsidP="00E31959">
      <w:pPr>
        <w:adjustRightInd w:val="0"/>
        <w:snapToGrid w:val="0"/>
        <w:spacing w:line="360" w:lineRule="auto"/>
        <w:jc w:val="both"/>
        <w:rPr>
          <w:color w:val="000000" w:themeColor="text1"/>
        </w:rPr>
      </w:pPr>
      <w:r w:rsidRPr="00480920">
        <w:rPr>
          <w:color w:val="000000" w:themeColor="text1"/>
        </w:rPr>
        <w:tab/>
      </w:r>
    </w:p>
    <w:p w14:paraId="6CB3D45A" w14:textId="77777777" w:rsidR="00E31959" w:rsidRPr="00E31959" w:rsidRDefault="00E31959" w:rsidP="00E31959">
      <w:pPr>
        <w:adjustRightInd w:val="0"/>
        <w:snapToGrid w:val="0"/>
        <w:spacing w:line="360" w:lineRule="auto"/>
        <w:jc w:val="both"/>
        <w:rPr>
          <w:b/>
          <w:bCs/>
          <w:color w:val="000000" w:themeColor="text1"/>
        </w:rPr>
      </w:pPr>
      <w:r w:rsidRPr="00E31959">
        <w:rPr>
          <w:b/>
          <w:bCs/>
          <w:color w:val="000000" w:themeColor="text1"/>
        </w:rPr>
        <w:t>3 CONCLUSÃO</w:t>
      </w:r>
    </w:p>
    <w:p w14:paraId="49E68159" w14:textId="77777777" w:rsidR="00E31959" w:rsidRPr="00480920" w:rsidRDefault="00E31959" w:rsidP="00E31959">
      <w:pPr>
        <w:adjustRightInd w:val="0"/>
        <w:snapToGrid w:val="0"/>
        <w:spacing w:line="360" w:lineRule="auto"/>
        <w:jc w:val="both"/>
        <w:rPr>
          <w:color w:val="000000" w:themeColor="text1"/>
        </w:rPr>
      </w:pPr>
    </w:p>
    <w:p w14:paraId="2AFD0887" w14:textId="77777777" w:rsidR="00E31959" w:rsidRPr="00480920" w:rsidRDefault="00E31959" w:rsidP="00E31959">
      <w:pPr>
        <w:adjustRightInd w:val="0"/>
        <w:snapToGrid w:val="0"/>
        <w:spacing w:line="360" w:lineRule="auto"/>
        <w:jc w:val="both"/>
        <w:rPr>
          <w:color w:val="000000" w:themeColor="text1"/>
        </w:rPr>
      </w:pPr>
      <w:r w:rsidRPr="00480920">
        <w:rPr>
          <w:color w:val="000000" w:themeColor="text1"/>
        </w:rPr>
        <w:tab/>
        <w:t>No presente ensaio, as análises convergem para o entendimento de que as práticas participativas na Atenção Primária à Saúde se encontram, em grande medida, reduzidas a uma lógica institucional de característica formal, marcada pela burocratização e instrumentalização da participação. A implementação de práticas de cunho participativo depende, fortemente, do perfil de lideranças comunitárias, da sensibilidade política de profissionais da saúde, do processo de formação política e de qualificação em saúde de pessoas envolvidas. A força direcionada no sentido de uma possível perspectiva de cumprimento das normativas infralegais, pautada por uma observância apenas legal, em detrimento da ênfase para articular forças políticas dos movimentos sociais e coletivos organizados nos territórios, fragiliza a construção de espaços de deliberação efetivos, a serem empreendidos por indivíduos, grupos sociais e comunidades na sociedade brasileira.</w:t>
      </w:r>
    </w:p>
    <w:p w14:paraId="483CEAAD" w14:textId="77777777" w:rsidR="00E31959" w:rsidRPr="00480920" w:rsidRDefault="00E31959" w:rsidP="00E31959">
      <w:pPr>
        <w:adjustRightInd w:val="0"/>
        <w:snapToGrid w:val="0"/>
        <w:spacing w:line="360" w:lineRule="auto"/>
        <w:jc w:val="both"/>
        <w:rPr>
          <w:color w:val="000000" w:themeColor="text1"/>
        </w:rPr>
      </w:pPr>
      <w:r w:rsidRPr="00480920">
        <w:rPr>
          <w:color w:val="000000" w:themeColor="text1"/>
        </w:rPr>
        <w:tab/>
        <w:t>Compreende-se que a participação social na APS, mesmo quando formalmente estruturada, permanece submetida a processos de burocratização e instrumentalização, o que limita a potência dos CLS como espaços críticos de formulação política. Ainda assim, reconhece-se que esses Conselhos, quando articulados a processos formativos, experiências populares e práticas de organização coletiva, podem se configurar como núcleos vivos de construção de consciência sanitária e cidadania ativa nos territórios.</w:t>
      </w:r>
    </w:p>
    <w:p w14:paraId="6403BB33" w14:textId="77777777" w:rsidR="00E31959" w:rsidRPr="00480920" w:rsidRDefault="00E31959" w:rsidP="00E31959">
      <w:pPr>
        <w:adjustRightInd w:val="0"/>
        <w:snapToGrid w:val="0"/>
        <w:spacing w:line="360" w:lineRule="auto"/>
        <w:jc w:val="both"/>
        <w:rPr>
          <w:color w:val="000000" w:themeColor="text1"/>
        </w:rPr>
      </w:pPr>
      <w:r w:rsidRPr="00480920">
        <w:rPr>
          <w:color w:val="000000" w:themeColor="text1"/>
        </w:rPr>
        <w:tab/>
        <w:t xml:space="preserve">Os </w:t>
      </w:r>
      <w:r>
        <w:rPr>
          <w:color w:val="000000" w:themeColor="text1"/>
        </w:rPr>
        <w:t>CLS</w:t>
      </w:r>
      <w:r w:rsidRPr="00480920">
        <w:rPr>
          <w:color w:val="000000" w:themeColor="text1"/>
        </w:rPr>
        <w:t xml:space="preserve"> enfrentam limitações estruturais, culturais e políticas, as quais comprometem sua consolidação como instâncias efetivas de participação social e, além disso, tensionam seu papel entre o fortalecimento democrático e a funcionalidade ao Estado. Os CLS podem </w:t>
      </w:r>
      <w:r w:rsidRPr="00480920">
        <w:rPr>
          <w:color w:val="000000" w:themeColor="text1"/>
        </w:rPr>
        <w:lastRenderedPageBreak/>
        <w:t xml:space="preserve">ser organizados como espaços de fomento às práticas de participação crítica e de formação de consciências sanitárias vivas nos territórios. </w:t>
      </w:r>
    </w:p>
    <w:p w14:paraId="7E3170E2" w14:textId="77777777" w:rsidR="00E31959" w:rsidRPr="00480920" w:rsidRDefault="00E31959" w:rsidP="00E31959">
      <w:pPr>
        <w:adjustRightInd w:val="0"/>
        <w:snapToGrid w:val="0"/>
        <w:spacing w:line="360" w:lineRule="auto"/>
        <w:jc w:val="both"/>
        <w:rPr>
          <w:color w:val="000000" w:themeColor="text1"/>
        </w:rPr>
      </w:pPr>
      <w:r w:rsidRPr="00480920">
        <w:rPr>
          <w:color w:val="000000" w:themeColor="text1"/>
        </w:rPr>
        <w:tab/>
        <w:t xml:space="preserve">Conclui-se que a consolidação da participação social na Atenção Primária à Saúde requer a superação de enfoques </w:t>
      </w:r>
      <w:proofErr w:type="spellStart"/>
      <w:r w:rsidRPr="00480920">
        <w:rPr>
          <w:color w:val="000000" w:themeColor="text1"/>
        </w:rPr>
        <w:t>gerencialistas</w:t>
      </w:r>
      <w:proofErr w:type="spellEnd"/>
      <w:r w:rsidRPr="00480920">
        <w:rPr>
          <w:color w:val="000000" w:themeColor="text1"/>
        </w:rPr>
        <w:t>, além da adoção de uma agenda política voltada à formação crítica de sujeitos sociais populares. A defesa de princípios democráticos na saúde não se limita à criação de canais formais, mas depende, essencialmente, da reorganização dos processos de trabalho em saúde e da inserção ativa da população na produção das políticas públicas.</w:t>
      </w:r>
    </w:p>
    <w:p w14:paraId="49C49ABE" w14:textId="77777777" w:rsidR="00E31959" w:rsidRPr="00480920" w:rsidRDefault="00E31959" w:rsidP="00E31959">
      <w:pPr>
        <w:adjustRightInd w:val="0"/>
        <w:snapToGrid w:val="0"/>
        <w:spacing w:line="360" w:lineRule="auto"/>
        <w:jc w:val="both"/>
        <w:rPr>
          <w:color w:val="000000" w:themeColor="text1"/>
        </w:rPr>
      </w:pPr>
      <w:r w:rsidRPr="00480920">
        <w:rPr>
          <w:color w:val="000000" w:themeColor="text1"/>
        </w:rPr>
        <w:tab/>
      </w:r>
      <w:r>
        <w:t xml:space="preserve">Defende-se, contudo, que o fortalecimento da participação social na Atenção Primária à Saúde requer uma </w:t>
      </w:r>
      <w:proofErr w:type="spellStart"/>
      <w:r>
        <w:t>repolitização</w:t>
      </w:r>
      <w:proofErr w:type="spellEnd"/>
      <w:r>
        <w:t xml:space="preserve"> profunda e a superação de paradigmas tecnocráticos, em favor de um processo dialético capaz de enfrentar as expressões da questão social. Esse processo deve estar ancorado em práticas territoriais comprometidas com a universalidade do direito à saúde, com a justiça social e com a construção de novas formas de sociabilidade humana.</w:t>
      </w:r>
    </w:p>
    <w:p w14:paraId="1671429E" w14:textId="77777777" w:rsidR="00E31959" w:rsidRPr="00480920" w:rsidRDefault="00E31959" w:rsidP="00E31959">
      <w:pPr>
        <w:adjustRightInd w:val="0"/>
        <w:snapToGrid w:val="0"/>
        <w:spacing w:line="360" w:lineRule="auto"/>
        <w:jc w:val="both"/>
        <w:rPr>
          <w:color w:val="000000" w:themeColor="text1"/>
        </w:rPr>
      </w:pPr>
    </w:p>
    <w:p w14:paraId="121567D7" w14:textId="77777777" w:rsidR="00E31959" w:rsidRPr="00480920" w:rsidRDefault="00E31959" w:rsidP="00E31959">
      <w:pPr>
        <w:snapToGrid w:val="0"/>
        <w:jc w:val="both"/>
        <w:rPr>
          <w:color w:val="000000" w:themeColor="text1"/>
        </w:rPr>
      </w:pPr>
      <w:r w:rsidRPr="00480920">
        <w:rPr>
          <w:color w:val="000000" w:themeColor="text1"/>
        </w:rPr>
        <w:t>REFERÊNCIAS</w:t>
      </w:r>
    </w:p>
    <w:p w14:paraId="5A3D5EAC" w14:textId="77777777" w:rsidR="00E31959" w:rsidRPr="00480920" w:rsidRDefault="00E31959" w:rsidP="00E31959">
      <w:pPr>
        <w:snapToGrid w:val="0"/>
        <w:jc w:val="both"/>
        <w:rPr>
          <w:color w:val="000000" w:themeColor="text1"/>
        </w:rPr>
      </w:pPr>
    </w:p>
    <w:p w14:paraId="7F65D5D4" w14:textId="77777777" w:rsidR="00E31959" w:rsidRPr="00480920" w:rsidRDefault="00E31959" w:rsidP="00E31959">
      <w:pPr>
        <w:adjustRightInd w:val="0"/>
        <w:snapToGrid w:val="0"/>
        <w:jc w:val="both"/>
        <w:rPr>
          <w:color w:val="000000" w:themeColor="text1"/>
        </w:rPr>
      </w:pPr>
    </w:p>
    <w:p w14:paraId="00C9350F" w14:textId="77777777" w:rsidR="00E31959" w:rsidRPr="00480920" w:rsidRDefault="00E31959" w:rsidP="00E31959">
      <w:pPr>
        <w:shd w:val="clear" w:color="auto" w:fill="FFFFFF"/>
        <w:adjustRightInd w:val="0"/>
        <w:snapToGrid w:val="0"/>
        <w:jc w:val="both"/>
        <w:rPr>
          <w:color w:val="000000" w:themeColor="text1"/>
        </w:rPr>
      </w:pPr>
      <w:r w:rsidRPr="00480920">
        <w:rPr>
          <w:rStyle w:val="Forte"/>
          <w:color w:val="000000" w:themeColor="text1"/>
        </w:rPr>
        <w:t>BRASIL. Ministério da Saúde. Conselho Nacional de Saúde.</w:t>
      </w:r>
      <w:r w:rsidRPr="00480920">
        <w:rPr>
          <w:color w:val="000000" w:themeColor="text1"/>
        </w:rPr>
        <w:t xml:space="preserve"> Resolução Nº 714, de 2 de julho de 2023. Diário Oficial da União, Brasília, 16 jan. 2012, Seção I. Disponível em: https://www.planalto.gov.br/ccivil_03/leis/lcp/lcp141.htm. Acesso em: 4 set. 2025.</w:t>
      </w:r>
    </w:p>
    <w:p w14:paraId="42052A7C" w14:textId="77777777" w:rsidR="00E31959" w:rsidRPr="00480920" w:rsidRDefault="00E31959" w:rsidP="00E31959">
      <w:pPr>
        <w:shd w:val="clear" w:color="auto" w:fill="FFFFFF"/>
        <w:adjustRightInd w:val="0"/>
        <w:snapToGrid w:val="0"/>
        <w:jc w:val="both"/>
        <w:rPr>
          <w:color w:val="000000" w:themeColor="text1"/>
        </w:rPr>
      </w:pPr>
    </w:p>
    <w:p w14:paraId="5B3BAD10" w14:textId="77777777" w:rsidR="00E31959" w:rsidRPr="00480920" w:rsidRDefault="00E31959" w:rsidP="00E31959">
      <w:pPr>
        <w:shd w:val="clear" w:color="auto" w:fill="FFFFFF"/>
        <w:adjustRightInd w:val="0"/>
        <w:snapToGrid w:val="0"/>
        <w:jc w:val="both"/>
        <w:rPr>
          <w:color w:val="000000" w:themeColor="text1"/>
        </w:rPr>
      </w:pPr>
      <w:r w:rsidRPr="00480920">
        <w:rPr>
          <w:rStyle w:val="Forte"/>
          <w:color w:val="000000" w:themeColor="text1"/>
        </w:rPr>
        <w:t>BRASIL. Ministério da Saúde. Conselho Nacional de Saúde.</w:t>
      </w:r>
      <w:r w:rsidRPr="00480920">
        <w:rPr>
          <w:color w:val="000000" w:themeColor="text1"/>
        </w:rPr>
        <w:t xml:space="preserve"> Resolução Nº 453, de 10 de maio de 2012a. Aprova as diretrizes para instituição, reformulação, reestruturação e funcionamento dos Conselhos de Saúde. Diário Oficial da União Nº 109, Seção 1, P. 138. Disponível em: https://conselho.saude.pr.gov.br/sites/ces/arquivos_restritos/files/migrados/File/Legislacao/Resolucao_453_CNS.pdf. Acesso em: 4 set. 2025.</w:t>
      </w:r>
    </w:p>
    <w:p w14:paraId="1B6B3833" w14:textId="77777777" w:rsidR="00E31959" w:rsidRPr="00480920" w:rsidRDefault="00E31959" w:rsidP="00E31959">
      <w:pPr>
        <w:adjustRightInd w:val="0"/>
        <w:snapToGrid w:val="0"/>
        <w:jc w:val="both"/>
        <w:rPr>
          <w:color w:val="000000" w:themeColor="text1"/>
        </w:rPr>
      </w:pPr>
    </w:p>
    <w:p w14:paraId="7B57B9E4" w14:textId="77777777" w:rsidR="00E31959" w:rsidRPr="00480920" w:rsidRDefault="00E31959" w:rsidP="00E31959">
      <w:pPr>
        <w:shd w:val="clear" w:color="auto" w:fill="FFFFFF"/>
        <w:adjustRightInd w:val="0"/>
        <w:snapToGrid w:val="0"/>
        <w:jc w:val="both"/>
        <w:rPr>
          <w:color w:val="000000" w:themeColor="text1"/>
        </w:rPr>
      </w:pPr>
      <w:r w:rsidRPr="00480920">
        <w:rPr>
          <w:rStyle w:val="Forte"/>
          <w:color w:val="000000" w:themeColor="text1"/>
        </w:rPr>
        <w:t xml:space="preserve">BRASIL. Ministério da Saúde. Portaria </w:t>
      </w:r>
      <w:r w:rsidRPr="00480920">
        <w:rPr>
          <w:color w:val="000000" w:themeColor="text1"/>
        </w:rPr>
        <w:t>Nº 2.436, de 21 de setembro de 2017 Aprova a Política Nacional de Atenção Básica, estabelecendo a revisão de diretrizes para a organização da Atenção Básica, no âmbito do Sistema Único de Saúde (SUS). Diário Oficial da União Nº 183, Brasília, 22 set. 2017, Seção 1, P. 67-76. Disponível em: https://bvsms.saude.gov.br/bvs/saudelegis/gm/2017/prt2436_22_09_2017.html. Acesso em: 4 set. 2025.</w:t>
      </w:r>
    </w:p>
    <w:p w14:paraId="6F8356F6" w14:textId="77777777" w:rsidR="00E31959" w:rsidRPr="00480920" w:rsidRDefault="00E31959" w:rsidP="00E31959">
      <w:pPr>
        <w:adjustRightInd w:val="0"/>
        <w:snapToGrid w:val="0"/>
        <w:jc w:val="both"/>
        <w:rPr>
          <w:color w:val="000000" w:themeColor="text1"/>
        </w:rPr>
      </w:pPr>
    </w:p>
    <w:p w14:paraId="1CAC1461" w14:textId="77777777" w:rsidR="00E31959" w:rsidRPr="00480920" w:rsidRDefault="00E31959" w:rsidP="00E31959">
      <w:pPr>
        <w:shd w:val="clear" w:color="auto" w:fill="FFFFFF"/>
        <w:adjustRightInd w:val="0"/>
        <w:snapToGrid w:val="0"/>
        <w:jc w:val="both"/>
        <w:rPr>
          <w:color w:val="000000" w:themeColor="text1"/>
        </w:rPr>
      </w:pPr>
      <w:r w:rsidRPr="00480920">
        <w:rPr>
          <w:color w:val="000000" w:themeColor="text1"/>
        </w:rPr>
        <w:lastRenderedPageBreak/>
        <w:t>BRASIL. Presidência da República. Constituição da República Federativa do Brasil de 1988. Diário Oficial da União, Brasília, 5 out. 1988, Seção 1, P. 1. Disponível em: https://www.planalto.gov.br/ccivil_03/constituicao/constituicao.htm. Acesso em: 4 set. 2025.</w:t>
      </w:r>
    </w:p>
    <w:p w14:paraId="10968E34" w14:textId="77777777" w:rsidR="00E31959" w:rsidRPr="00480920" w:rsidRDefault="00E31959" w:rsidP="00E31959">
      <w:pPr>
        <w:shd w:val="clear" w:color="auto" w:fill="FFFFFF"/>
        <w:adjustRightInd w:val="0"/>
        <w:snapToGrid w:val="0"/>
        <w:jc w:val="both"/>
        <w:rPr>
          <w:color w:val="000000" w:themeColor="text1"/>
        </w:rPr>
      </w:pPr>
      <w:bookmarkStart w:id="2" w:name="B6_ref"/>
      <w:bookmarkStart w:id="3" w:name="B7_ref"/>
      <w:bookmarkEnd w:id="2"/>
      <w:bookmarkEnd w:id="3"/>
    </w:p>
    <w:p w14:paraId="7ADA26DF" w14:textId="77777777" w:rsidR="00E31959" w:rsidRPr="00480920" w:rsidRDefault="00E31959" w:rsidP="00E31959">
      <w:pPr>
        <w:shd w:val="clear" w:color="auto" w:fill="FFFFFF"/>
        <w:adjustRightInd w:val="0"/>
        <w:snapToGrid w:val="0"/>
        <w:jc w:val="both"/>
        <w:rPr>
          <w:color w:val="000000" w:themeColor="text1"/>
        </w:rPr>
      </w:pPr>
      <w:r w:rsidRPr="00480920">
        <w:rPr>
          <w:color w:val="000000" w:themeColor="text1"/>
        </w:rPr>
        <w:t>BRASIL. Presidência da República. Lei Complementar Nº 141, de 13 de janeiro de 2012 Regulamenta o § 3o do art. 198 da Constituição Federal para dispor sobre os valores mínimos a serem aplicados anualmente pela União, Estados, Distrito Federal e Municípios em ações e serviços públicos de saúde; estabelece os critérios de rateio dos recursos de transferências para a saúde e as normas de fiscalização, avaliação e controle das despesas com saúde nas 3 (três) esferas de governo; revoga dispositivos das Leis nos 8.080, de 19 de setembro de 1990, e 8.689, de 27 de julho de 1993; e dá outras providências.. Diário Oficial da União, Brasília, 31 dez. 1990, Seção 1, P. 25694. Disponível em: https://www.planalto.gov.br/ccivil_03/leis/l8142.htm. Acesso em: 04 set. 2025.</w:t>
      </w:r>
    </w:p>
    <w:p w14:paraId="1E122BE1" w14:textId="77777777" w:rsidR="00E31959" w:rsidRPr="00480920" w:rsidRDefault="00E31959" w:rsidP="00E31959">
      <w:pPr>
        <w:shd w:val="clear" w:color="auto" w:fill="FFFFFF"/>
        <w:adjustRightInd w:val="0"/>
        <w:snapToGrid w:val="0"/>
        <w:jc w:val="both"/>
        <w:rPr>
          <w:color w:val="000000" w:themeColor="text1"/>
        </w:rPr>
      </w:pPr>
    </w:p>
    <w:p w14:paraId="3A2A1BBF" w14:textId="77777777" w:rsidR="00E31959" w:rsidRPr="00480920" w:rsidRDefault="00E31959" w:rsidP="00E31959">
      <w:pPr>
        <w:adjustRightInd w:val="0"/>
        <w:snapToGrid w:val="0"/>
        <w:jc w:val="both"/>
        <w:rPr>
          <w:color w:val="000000" w:themeColor="text1"/>
        </w:rPr>
      </w:pPr>
      <w:r w:rsidRPr="00480920">
        <w:rPr>
          <w:color w:val="000000" w:themeColor="text1"/>
        </w:rPr>
        <w:t>BRASIL. Presidência da República. Lei Nº 8.142, de 28 de dezembro de 1990. Dispõe sobre a participação da comunidade na gestão do Sistema Único de Saúde (SUS) e sobre as transferências intergovernamentais de recursos financeiros na área da saúde e dá outras providências. Diário Oficial da União, Brasília, 31 dez. 1990, Seção 1, P. 25694. Disponível em: https://www.planalto.gov.br/ccivil_03/leis/l8142.htm. Acesso em: 04 set. 2025.</w:t>
      </w:r>
    </w:p>
    <w:p w14:paraId="7C775363" w14:textId="77777777" w:rsidR="00E31959" w:rsidRPr="00480920" w:rsidRDefault="00E31959" w:rsidP="00E31959">
      <w:pPr>
        <w:adjustRightInd w:val="0"/>
        <w:snapToGrid w:val="0"/>
        <w:jc w:val="both"/>
        <w:rPr>
          <w:color w:val="000000" w:themeColor="text1"/>
        </w:rPr>
      </w:pPr>
    </w:p>
    <w:p w14:paraId="08C6F77A" w14:textId="77777777" w:rsidR="00E31959" w:rsidRPr="00E31959" w:rsidRDefault="00E31959" w:rsidP="00E31959">
      <w:pPr>
        <w:shd w:val="clear" w:color="auto" w:fill="FFFFFF"/>
        <w:adjustRightInd w:val="0"/>
        <w:snapToGrid w:val="0"/>
        <w:jc w:val="both"/>
        <w:rPr>
          <w:color w:val="000000" w:themeColor="text1"/>
          <w:lang w:val="es-CO"/>
        </w:rPr>
      </w:pPr>
      <w:r w:rsidRPr="00480920">
        <w:rPr>
          <w:color w:val="000000" w:themeColor="text1"/>
          <w:lang w:val="es-ES"/>
        </w:rPr>
        <w:t xml:space="preserve">BREILH, J. La determinación social de la salud como herramienta de transformación hacia una nueva salud pública (salud colectiva). Rev. </w:t>
      </w:r>
      <w:proofErr w:type="spellStart"/>
      <w:r w:rsidRPr="00480920">
        <w:rPr>
          <w:color w:val="000000" w:themeColor="text1"/>
          <w:lang w:val="es-ES"/>
        </w:rPr>
        <w:t>Fac</w:t>
      </w:r>
      <w:proofErr w:type="spellEnd"/>
      <w:r w:rsidRPr="00480920">
        <w:rPr>
          <w:color w:val="000000" w:themeColor="text1"/>
          <w:lang w:val="es-ES"/>
        </w:rPr>
        <w:t xml:space="preserve">. </w:t>
      </w:r>
      <w:proofErr w:type="spellStart"/>
      <w:r w:rsidRPr="00480920">
        <w:rPr>
          <w:color w:val="000000" w:themeColor="text1"/>
          <w:lang w:val="es-ES"/>
        </w:rPr>
        <w:t>Nac</w:t>
      </w:r>
      <w:proofErr w:type="spellEnd"/>
      <w:r w:rsidRPr="00480920">
        <w:rPr>
          <w:color w:val="000000" w:themeColor="text1"/>
          <w:lang w:val="es-ES"/>
        </w:rPr>
        <w:t xml:space="preserve">. Salud Pública, v. 31, </w:t>
      </w:r>
      <w:proofErr w:type="spellStart"/>
      <w:r w:rsidRPr="00480920">
        <w:rPr>
          <w:color w:val="000000" w:themeColor="text1"/>
          <w:lang w:val="es-ES"/>
        </w:rPr>
        <w:t>Supl</w:t>
      </w:r>
      <w:proofErr w:type="spellEnd"/>
      <w:r w:rsidRPr="00480920">
        <w:rPr>
          <w:color w:val="000000" w:themeColor="text1"/>
          <w:lang w:val="es-ES"/>
        </w:rPr>
        <w:t xml:space="preserve">. 1, Medellín, </w:t>
      </w:r>
      <w:proofErr w:type="spellStart"/>
      <w:r w:rsidRPr="00480920">
        <w:rPr>
          <w:color w:val="000000" w:themeColor="text1"/>
          <w:lang w:val="es-ES"/>
        </w:rPr>
        <w:t>Dec</w:t>
      </w:r>
      <w:proofErr w:type="spellEnd"/>
      <w:r w:rsidRPr="00480920">
        <w:rPr>
          <w:color w:val="000000" w:themeColor="text1"/>
          <w:lang w:val="es-ES"/>
        </w:rPr>
        <w:t xml:space="preserve">. 2013. Disponible en: http://www.scielo.org.co/scielo.php?script=sci_arttext&amp;pid=S0120-386X2013000400002. </w:t>
      </w:r>
    </w:p>
    <w:p w14:paraId="5410B632" w14:textId="77777777" w:rsidR="00E31959" w:rsidRPr="00E31959" w:rsidRDefault="00E31959" w:rsidP="00E31959">
      <w:pPr>
        <w:adjustRightInd w:val="0"/>
        <w:snapToGrid w:val="0"/>
        <w:jc w:val="both"/>
        <w:rPr>
          <w:color w:val="000000" w:themeColor="text1"/>
          <w:lang w:val="es-CO"/>
        </w:rPr>
      </w:pPr>
    </w:p>
    <w:p w14:paraId="202A82D1" w14:textId="77777777" w:rsidR="00E31959" w:rsidRPr="00480920" w:rsidRDefault="00E31959" w:rsidP="00E31959">
      <w:pPr>
        <w:adjustRightInd w:val="0"/>
        <w:snapToGrid w:val="0"/>
        <w:jc w:val="both"/>
        <w:rPr>
          <w:color w:val="000000" w:themeColor="text1"/>
        </w:rPr>
      </w:pPr>
      <w:r w:rsidRPr="00480920">
        <w:rPr>
          <w:color w:val="000000" w:themeColor="text1"/>
        </w:rPr>
        <w:t xml:space="preserve">BUZIQUIA, Sabrina Pontes; GONÇALVES, </w:t>
      </w:r>
      <w:proofErr w:type="spellStart"/>
      <w:r w:rsidRPr="00480920">
        <w:rPr>
          <w:color w:val="000000" w:themeColor="text1"/>
        </w:rPr>
        <w:t>Tonantzin</w:t>
      </w:r>
      <w:proofErr w:type="spellEnd"/>
      <w:r w:rsidRPr="00480920">
        <w:rPr>
          <w:color w:val="000000" w:themeColor="text1"/>
        </w:rPr>
        <w:t xml:space="preserve"> Ribeiro; LOECK, Jardel Fischer; JUNGES, José Roque. Experiências de participação social no contexto da Atenção Primária em Saúde: um estudo qualitativo. </w:t>
      </w:r>
      <w:proofErr w:type="spellStart"/>
      <w:r w:rsidRPr="00480920">
        <w:rPr>
          <w:color w:val="000000" w:themeColor="text1"/>
        </w:rPr>
        <w:t>Physis</w:t>
      </w:r>
      <w:proofErr w:type="spellEnd"/>
      <w:r w:rsidRPr="00480920">
        <w:rPr>
          <w:color w:val="000000" w:themeColor="text1"/>
        </w:rPr>
        <w:t xml:space="preserve">, v. </w:t>
      </w:r>
      <w:r w:rsidRPr="00480920">
        <w:rPr>
          <w:rFonts w:eastAsiaTheme="majorEastAsia"/>
          <w:color w:val="000000" w:themeColor="text1"/>
        </w:rPr>
        <w:t>34, 2024. Disponível em: https://www.scielosp.org/j/physis/i/2024.v34/</w:t>
      </w:r>
      <w:r w:rsidRPr="00480920">
        <w:rPr>
          <w:color w:val="000000" w:themeColor="text1"/>
        </w:rPr>
        <w:t>. Acesso em: 4 set. 2025.</w:t>
      </w:r>
    </w:p>
    <w:p w14:paraId="19E95FEC" w14:textId="77777777" w:rsidR="00E31959" w:rsidRPr="00480920" w:rsidRDefault="00E31959" w:rsidP="00E31959">
      <w:pPr>
        <w:adjustRightInd w:val="0"/>
        <w:snapToGrid w:val="0"/>
        <w:jc w:val="both"/>
        <w:rPr>
          <w:color w:val="000000" w:themeColor="text1"/>
        </w:rPr>
      </w:pPr>
    </w:p>
    <w:p w14:paraId="2911ABF7" w14:textId="77777777" w:rsidR="00E31959" w:rsidRPr="00480920" w:rsidRDefault="00E31959" w:rsidP="00E31959">
      <w:pPr>
        <w:adjustRightInd w:val="0"/>
        <w:snapToGrid w:val="0"/>
        <w:jc w:val="both"/>
        <w:rPr>
          <w:color w:val="000000" w:themeColor="text1"/>
        </w:rPr>
      </w:pPr>
      <w:r w:rsidRPr="00480920">
        <w:rPr>
          <w:color w:val="000000" w:themeColor="text1"/>
        </w:rPr>
        <w:t xml:space="preserve">BUZIQUIA, S, P.; JUNGES, J. R.; LOPES, P. P. S.; NIED, C.; GONÇALVES, T. R. Participação social e Atenção Primária em Saúde no Brasil: uma revisão de escopo. </w:t>
      </w:r>
      <w:proofErr w:type="spellStart"/>
      <w:r w:rsidRPr="00480920">
        <w:rPr>
          <w:color w:val="000000" w:themeColor="text1"/>
        </w:rPr>
        <w:t>Saude</w:t>
      </w:r>
      <w:proofErr w:type="spellEnd"/>
      <w:r w:rsidRPr="00480920">
        <w:rPr>
          <w:color w:val="000000" w:themeColor="text1"/>
        </w:rPr>
        <w:t xml:space="preserve"> soc. v. 32, n. 1, São Paulo, 2023. Disponível em: https://www.scielo.br/j/sausoc/a/DmJfByh5D7GXMpkd7cdfwph/?lang=pt. Acesso em: 4 set. 2025.</w:t>
      </w:r>
    </w:p>
    <w:p w14:paraId="25FEE44B" w14:textId="77777777" w:rsidR="00E31959" w:rsidRPr="00480920" w:rsidRDefault="00E31959" w:rsidP="00E31959">
      <w:pPr>
        <w:adjustRightInd w:val="0"/>
        <w:snapToGrid w:val="0"/>
        <w:jc w:val="both"/>
      </w:pPr>
    </w:p>
    <w:p w14:paraId="3E88E89D" w14:textId="77777777" w:rsidR="00E31959" w:rsidRPr="00480920" w:rsidRDefault="00E31959" w:rsidP="00E31959">
      <w:pPr>
        <w:adjustRightInd w:val="0"/>
        <w:snapToGrid w:val="0"/>
        <w:jc w:val="both"/>
        <w:rPr>
          <w:color w:val="000000" w:themeColor="text1"/>
        </w:rPr>
      </w:pPr>
      <w:r w:rsidRPr="00480920">
        <w:t xml:space="preserve">CRUZ, P.J.S.C.; VIEIRA, S.C.R.; MASSA, N. M.; ARAÚJO, T. A.M.; VASCONCELOS, A. C.C.P. </w:t>
      </w:r>
      <w:r w:rsidRPr="00480920">
        <w:rPr>
          <w:rStyle w:val="Forte"/>
          <w:rFonts w:eastAsiaTheme="majorEastAsia"/>
        </w:rPr>
        <w:t xml:space="preserve">Desafios para a participação popular em saúde: reflexões a partir da educação popular na construção de conselho local de saúde em comunidades de João Pessoa, PB. </w:t>
      </w:r>
      <w:r w:rsidRPr="00480920">
        <w:rPr>
          <w:rStyle w:val="nfase"/>
          <w:rFonts w:eastAsiaTheme="majorEastAsia"/>
        </w:rPr>
        <w:t>Saúde e Sociedade.</w:t>
      </w:r>
      <w:r w:rsidRPr="00480920">
        <w:t xml:space="preserve"> São Paulo, v. 21, n.4, p.1087-1100, 2012.  DOI: </w:t>
      </w:r>
      <w:hyperlink r:id="rId19" w:tgtFrame="_blank" w:history="1">
        <w:r w:rsidRPr="00480920">
          <w:rPr>
            <w:rStyle w:val="Hyperlink"/>
            <w:rFonts w:eastAsiaTheme="majorEastAsia"/>
            <w:color w:val="3867CE"/>
            <w:shd w:val="clear" w:color="auto" w:fill="FFFFFF"/>
          </w:rPr>
          <w:t>https://doi.org/10.1590/S0104-12902012000400025</w:t>
        </w:r>
      </w:hyperlink>
      <w:r w:rsidRPr="00480920">
        <w:t xml:space="preserve"> </w:t>
      </w:r>
      <w:r w:rsidRPr="00480920">
        <w:rPr>
          <w:color w:val="000000" w:themeColor="text1"/>
        </w:rPr>
        <w:t>Acesso em: 4 set. 2025.</w:t>
      </w:r>
    </w:p>
    <w:p w14:paraId="2550A0EF" w14:textId="77777777" w:rsidR="00E31959" w:rsidRPr="00480920" w:rsidRDefault="00E31959" w:rsidP="00E31959">
      <w:pPr>
        <w:adjustRightInd w:val="0"/>
        <w:snapToGrid w:val="0"/>
        <w:jc w:val="both"/>
      </w:pPr>
    </w:p>
    <w:p w14:paraId="213AB8C2" w14:textId="77777777" w:rsidR="00E31959" w:rsidRPr="00480920" w:rsidRDefault="00E31959" w:rsidP="00E31959">
      <w:pPr>
        <w:adjustRightInd w:val="0"/>
        <w:snapToGrid w:val="0"/>
        <w:jc w:val="both"/>
        <w:rPr>
          <w:color w:val="000000" w:themeColor="text1"/>
        </w:rPr>
      </w:pPr>
    </w:p>
    <w:p w14:paraId="64CEAC56" w14:textId="77777777" w:rsidR="00E31959" w:rsidRPr="00480920" w:rsidRDefault="00E31959" w:rsidP="00E31959">
      <w:pPr>
        <w:adjustRightInd w:val="0"/>
        <w:snapToGrid w:val="0"/>
        <w:jc w:val="both"/>
        <w:rPr>
          <w:color w:val="000000" w:themeColor="text1"/>
        </w:rPr>
      </w:pPr>
      <w:r w:rsidRPr="00480920">
        <w:rPr>
          <w:color w:val="000000" w:themeColor="text1"/>
        </w:rPr>
        <w:t xml:space="preserve">OLIVEIRA, A. Expressões e tendências da participação em saúde na Atenção Primária à Saúde. SER Social, v. 17, n. 36, p. 104-123, Brasília, 2015. DOI: </w:t>
      </w:r>
      <w:hyperlink r:id="rId20" w:tgtFrame="_new" w:history="1">
        <w:r w:rsidRPr="00480920">
          <w:rPr>
            <w:rStyle w:val="Hyperlink"/>
            <w:color w:val="000000" w:themeColor="text1"/>
          </w:rPr>
          <w:t>https://doi.org/10.26512/ser_social.v17i36.13418</w:t>
        </w:r>
      </w:hyperlink>
      <w:r w:rsidRPr="00480920">
        <w:rPr>
          <w:color w:val="000000" w:themeColor="text1"/>
        </w:rPr>
        <w:t>. Acesso em: 22 ago. 2025.</w:t>
      </w:r>
    </w:p>
    <w:p w14:paraId="67B6527B" w14:textId="77777777" w:rsidR="00E31959" w:rsidRPr="00480920" w:rsidRDefault="00E31959" w:rsidP="00E31959">
      <w:pPr>
        <w:adjustRightInd w:val="0"/>
        <w:snapToGrid w:val="0"/>
        <w:jc w:val="both"/>
        <w:rPr>
          <w:rStyle w:val="Hyperlink"/>
          <w:rFonts w:eastAsiaTheme="majorEastAsia"/>
          <w:color w:val="000000" w:themeColor="text1"/>
        </w:rPr>
      </w:pPr>
    </w:p>
    <w:p w14:paraId="58872075" w14:textId="77777777" w:rsidR="00E31959" w:rsidRPr="00480920" w:rsidRDefault="00E31959" w:rsidP="00E31959">
      <w:pPr>
        <w:adjustRightInd w:val="0"/>
        <w:snapToGrid w:val="0"/>
        <w:jc w:val="both"/>
        <w:rPr>
          <w:rStyle w:val="Hyperlink"/>
          <w:rFonts w:eastAsiaTheme="majorEastAsia"/>
          <w:color w:val="000000" w:themeColor="text1"/>
        </w:rPr>
      </w:pPr>
    </w:p>
    <w:p w14:paraId="52F5184C" w14:textId="77777777" w:rsidR="00E31959" w:rsidRPr="00480920" w:rsidRDefault="00E31959" w:rsidP="00E31959">
      <w:pPr>
        <w:spacing w:line="360" w:lineRule="auto"/>
        <w:jc w:val="both"/>
      </w:pPr>
      <w:r w:rsidRPr="002009E1">
        <w:t xml:space="preserve">KRUGER, Tânia Regina; MACHADO, Cristiane </w:t>
      </w:r>
      <w:proofErr w:type="spellStart"/>
      <w:r w:rsidRPr="002009E1">
        <w:t>Canez</w:t>
      </w:r>
      <w:proofErr w:type="spellEnd"/>
      <w:r w:rsidRPr="002009E1">
        <w:t>. O tema da participação e as bases teórico-políticas do Serviço Social. In: Textos &amp; Contextos (Porto Alegre), v. 14, n. 1, p. 49 - 61, jan./jun. 2015. Disponível em: http://revistaseletronicas.pucrs.br/ojs/index.php/fass/article/view/20174/13308.</w:t>
      </w:r>
      <w:r w:rsidRPr="00480920">
        <w:t xml:space="preserve">  </w:t>
      </w:r>
    </w:p>
    <w:p w14:paraId="1FB1F5C0" w14:textId="77777777" w:rsidR="00E31959" w:rsidRPr="00480920" w:rsidRDefault="00E31959" w:rsidP="00E31959">
      <w:pPr>
        <w:adjustRightInd w:val="0"/>
        <w:snapToGrid w:val="0"/>
        <w:jc w:val="both"/>
        <w:rPr>
          <w:rStyle w:val="Hyperlink"/>
          <w:rFonts w:eastAsiaTheme="majorEastAsia"/>
          <w:color w:val="000000" w:themeColor="text1"/>
        </w:rPr>
      </w:pPr>
    </w:p>
    <w:p w14:paraId="6DB9ED42" w14:textId="77777777" w:rsidR="006B3BAF" w:rsidRDefault="006B3BAF" w:rsidP="007E7315">
      <w:pPr>
        <w:spacing w:line="360" w:lineRule="auto"/>
        <w:jc w:val="center"/>
        <w:rPr>
          <w:rFonts w:eastAsia="Times New Roman"/>
          <w:b/>
          <w:bCs/>
          <w:caps/>
          <w:sz w:val="24"/>
        </w:rPr>
      </w:pPr>
    </w:p>
    <w:p w14:paraId="15C65B40" w14:textId="77777777" w:rsidR="006B3BAF" w:rsidRDefault="006B3BAF" w:rsidP="007E7315">
      <w:pPr>
        <w:spacing w:line="360" w:lineRule="auto"/>
        <w:jc w:val="center"/>
        <w:rPr>
          <w:rFonts w:eastAsia="Times New Roman"/>
          <w:b/>
          <w:bCs/>
          <w:caps/>
          <w:sz w:val="24"/>
        </w:rPr>
      </w:pPr>
    </w:p>
    <w:p w14:paraId="2FA2EC52" w14:textId="77777777" w:rsidR="006B3BAF" w:rsidRDefault="006B3BAF" w:rsidP="007E7315">
      <w:pPr>
        <w:spacing w:line="360" w:lineRule="auto"/>
        <w:jc w:val="center"/>
        <w:rPr>
          <w:rFonts w:eastAsia="Times New Roman"/>
          <w:b/>
          <w:bCs/>
          <w:caps/>
          <w:sz w:val="24"/>
        </w:rPr>
      </w:pPr>
    </w:p>
    <w:p w14:paraId="71D97292" w14:textId="77777777" w:rsidR="006B3BAF" w:rsidRDefault="006B3BAF" w:rsidP="007E7315">
      <w:pPr>
        <w:spacing w:line="360" w:lineRule="auto"/>
        <w:jc w:val="center"/>
        <w:rPr>
          <w:rFonts w:eastAsia="Times New Roman"/>
          <w:b/>
          <w:bCs/>
          <w:caps/>
          <w:sz w:val="24"/>
        </w:rPr>
      </w:pPr>
    </w:p>
    <w:p w14:paraId="1E20A5E1" w14:textId="77777777" w:rsidR="006B3BAF" w:rsidRDefault="006B3BAF" w:rsidP="007E7315">
      <w:pPr>
        <w:spacing w:line="360" w:lineRule="auto"/>
        <w:jc w:val="center"/>
        <w:rPr>
          <w:rFonts w:eastAsia="Times New Roman"/>
          <w:b/>
          <w:bCs/>
          <w:caps/>
          <w:sz w:val="24"/>
        </w:rPr>
      </w:pPr>
    </w:p>
    <w:p w14:paraId="3B26DD13" w14:textId="77777777" w:rsidR="006B3BAF" w:rsidRDefault="006B3BAF" w:rsidP="007E7315">
      <w:pPr>
        <w:spacing w:line="360" w:lineRule="auto"/>
        <w:jc w:val="center"/>
        <w:rPr>
          <w:rFonts w:eastAsia="Times New Roman"/>
          <w:b/>
          <w:bCs/>
          <w:caps/>
          <w:sz w:val="24"/>
        </w:rPr>
      </w:pPr>
    </w:p>
    <w:p w14:paraId="4AEF8E72" w14:textId="77777777" w:rsidR="006B3BAF" w:rsidRDefault="006B3BAF" w:rsidP="007E7315">
      <w:pPr>
        <w:spacing w:line="360" w:lineRule="auto"/>
        <w:jc w:val="center"/>
        <w:rPr>
          <w:rFonts w:eastAsia="Times New Roman"/>
          <w:b/>
          <w:bCs/>
          <w:caps/>
          <w:sz w:val="24"/>
        </w:rPr>
      </w:pPr>
    </w:p>
    <w:p w14:paraId="084ED7F5" w14:textId="77777777" w:rsidR="006B3BAF" w:rsidRDefault="006B3BAF" w:rsidP="007E7315">
      <w:pPr>
        <w:spacing w:line="360" w:lineRule="auto"/>
        <w:jc w:val="center"/>
        <w:rPr>
          <w:rFonts w:eastAsia="Times New Roman"/>
          <w:b/>
          <w:bCs/>
          <w:caps/>
          <w:sz w:val="24"/>
        </w:rPr>
      </w:pPr>
    </w:p>
    <w:p w14:paraId="736848C3" w14:textId="77777777" w:rsidR="006B3BAF" w:rsidRDefault="006B3BAF" w:rsidP="007E7315">
      <w:pPr>
        <w:spacing w:line="360" w:lineRule="auto"/>
        <w:jc w:val="center"/>
        <w:rPr>
          <w:rFonts w:eastAsia="Times New Roman"/>
          <w:b/>
          <w:bCs/>
          <w:caps/>
          <w:sz w:val="24"/>
        </w:rPr>
      </w:pPr>
    </w:p>
    <w:p w14:paraId="0C9F3A4E" w14:textId="77777777" w:rsidR="006B3BAF" w:rsidRDefault="006B3BAF" w:rsidP="007E7315">
      <w:pPr>
        <w:spacing w:line="360" w:lineRule="auto"/>
        <w:jc w:val="center"/>
        <w:rPr>
          <w:rFonts w:eastAsia="Times New Roman"/>
          <w:b/>
          <w:bCs/>
          <w:caps/>
          <w:sz w:val="24"/>
        </w:rPr>
      </w:pPr>
    </w:p>
    <w:p w14:paraId="4FFDA4CE" w14:textId="77777777" w:rsidR="006B3BAF" w:rsidRDefault="006B3BAF" w:rsidP="007E7315">
      <w:pPr>
        <w:spacing w:line="360" w:lineRule="auto"/>
        <w:jc w:val="center"/>
        <w:rPr>
          <w:rFonts w:eastAsia="Times New Roman"/>
          <w:b/>
          <w:bCs/>
          <w:caps/>
          <w:sz w:val="24"/>
        </w:rPr>
      </w:pPr>
    </w:p>
    <w:p w14:paraId="61E8EDA8" w14:textId="77777777" w:rsidR="006B3BAF" w:rsidRDefault="006B3BAF" w:rsidP="007E7315">
      <w:pPr>
        <w:spacing w:line="360" w:lineRule="auto"/>
        <w:jc w:val="center"/>
        <w:rPr>
          <w:rFonts w:eastAsia="Times New Roman"/>
          <w:b/>
          <w:bCs/>
          <w:caps/>
          <w:sz w:val="24"/>
        </w:rPr>
      </w:pPr>
    </w:p>
    <w:p w14:paraId="4BD684F8" w14:textId="77777777" w:rsidR="006B3BAF" w:rsidRDefault="006B3BAF" w:rsidP="007E7315">
      <w:pPr>
        <w:spacing w:line="360" w:lineRule="auto"/>
        <w:jc w:val="center"/>
        <w:rPr>
          <w:rFonts w:eastAsia="Times New Roman"/>
          <w:b/>
          <w:bCs/>
          <w:caps/>
          <w:sz w:val="24"/>
        </w:rPr>
      </w:pPr>
    </w:p>
    <w:p w14:paraId="50F14F03" w14:textId="77777777" w:rsidR="006B3BAF" w:rsidRDefault="006B3BAF" w:rsidP="007E7315">
      <w:pPr>
        <w:spacing w:line="360" w:lineRule="auto"/>
        <w:jc w:val="center"/>
        <w:rPr>
          <w:rFonts w:eastAsia="Times New Roman"/>
          <w:b/>
          <w:bCs/>
          <w:caps/>
          <w:sz w:val="24"/>
        </w:rPr>
      </w:pPr>
    </w:p>
    <w:p w14:paraId="0DDDA1B9" w14:textId="77777777" w:rsidR="006B3BAF" w:rsidRDefault="006B3BAF" w:rsidP="007E7315">
      <w:pPr>
        <w:spacing w:line="360" w:lineRule="auto"/>
        <w:jc w:val="center"/>
        <w:rPr>
          <w:rFonts w:eastAsia="Times New Roman"/>
          <w:b/>
          <w:bCs/>
          <w:caps/>
          <w:sz w:val="24"/>
        </w:rPr>
      </w:pPr>
    </w:p>
    <w:p w14:paraId="1B87E732" w14:textId="77777777" w:rsidR="006B3BAF" w:rsidRDefault="006B3BAF" w:rsidP="007E7315">
      <w:pPr>
        <w:spacing w:line="360" w:lineRule="auto"/>
        <w:jc w:val="center"/>
        <w:rPr>
          <w:rFonts w:eastAsia="Times New Roman"/>
          <w:b/>
          <w:bCs/>
          <w:caps/>
          <w:sz w:val="24"/>
        </w:rPr>
      </w:pPr>
    </w:p>
    <w:p w14:paraId="3FB27236" w14:textId="77777777" w:rsidR="006B3BAF" w:rsidRDefault="006B3BAF" w:rsidP="007E7315">
      <w:pPr>
        <w:spacing w:line="360" w:lineRule="auto"/>
        <w:jc w:val="center"/>
        <w:rPr>
          <w:rFonts w:eastAsia="Times New Roman"/>
          <w:b/>
          <w:bCs/>
          <w:caps/>
          <w:sz w:val="24"/>
        </w:rPr>
      </w:pPr>
    </w:p>
    <w:p w14:paraId="5DF61B77" w14:textId="77777777" w:rsidR="006B3BAF" w:rsidRDefault="006B3BAF" w:rsidP="007E7315">
      <w:pPr>
        <w:spacing w:line="360" w:lineRule="auto"/>
        <w:jc w:val="center"/>
        <w:rPr>
          <w:rFonts w:eastAsia="Times New Roman"/>
          <w:b/>
          <w:bCs/>
          <w:caps/>
          <w:sz w:val="24"/>
        </w:rPr>
      </w:pPr>
    </w:p>
    <w:p w14:paraId="23CEA261" w14:textId="77777777" w:rsidR="006B3BAF" w:rsidRDefault="006B3BAF" w:rsidP="007E7315">
      <w:pPr>
        <w:spacing w:line="360" w:lineRule="auto"/>
        <w:jc w:val="center"/>
        <w:rPr>
          <w:rFonts w:eastAsia="Times New Roman"/>
          <w:b/>
          <w:bCs/>
          <w:caps/>
          <w:sz w:val="24"/>
        </w:rPr>
      </w:pPr>
    </w:p>
    <w:p w14:paraId="0CFC4068" w14:textId="77777777" w:rsidR="006B3BAF" w:rsidRDefault="006B3BAF" w:rsidP="007E7315">
      <w:pPr>
        <w:spacing w:line="360" w:lineRule="auto"/>
        <w:jc w:val="center"/>
        <w:rPr>
          <w:rFonts w:eastAsia="Times New Roman"/>
          <w:b/>
          <w:bCs/>
          <w:caps/>
          <w:sz w:val="24"/>
        </w:rPr>
      </w:pPr>
    </w:p>
    <w:p w14:paraId="569262DA" w14:textId="77777777" w:rsidR="006B3BAF" w:rsidRDefault="006B3BAF" w:rsidP="007E7315">
      <w:pPr>
        <w:spacing w:line="360" w:lineRule="auto"/>
        <w:jc w:val="center"/>
        <w:rPr>
          <w:rFonts w:eastAsia="Times New Roman"/>
          <w:b/>
          <w:bCs/>
          <w:caps/>
          <w:sz w:val="24"/>
        </w:rPr>
      </w:pPr>
    </w:p>
    <w:p w14:paraId="77D21B80" w14:textId="443F970B" w:rsidR="007E7315" w:rsidRPr="00FE2305" w:rsidRDefault="00407F0D" w:rsidP="007E7315">
      <w:pPr>
        <w:spacing w:line="360" w:lineRule="auto"/>
        <w:jc w:val="center"/>
        <w:rPr>
          <w:b/>
          <w:bCs/>
          <w:caps/>
          <w:sz w:val="24"/>
          <w:szCs w:val="24"/>
        </w:rPr>
      </w:pPr>
      <w:r w:rsidRPr="00FE2305">
        <w:rPr>
          <w:rFonts w:eastAsia="Times New Roman"/>
          <w:b/>
          <w:bCs/>
          <w:caps/>
          <w:sz w:val="24"/>
        </w:rPr>
        <w:t>SUBFINANCIAMENTO, DESFINANCIAMENTO E Lutas em Defesa do Financiamento DO SUS</w:t>
      </w:r>
    </w:p>
    <w:p w14:paraId="5275F190" w14:textId="77777777" w:rsidR="002A3F4A" w:rsidRPr="00FE2305" w:rsidRDefault="00EE3BB0" w:rsidP="00EE3BB0">
      <w:pPr>
        <w:spacing w:line="360" w:lineRule="auto"/>
        <w:jc w:val="right"/>
        <w:rPr>
          <w:sz w:val="24"/>
          <w:szCs w:val="24"/>
        </w:rPr>
      </w:pPr>
      <w:r w:rsidRPr="00FE2305">
        <w:rPr>
          <w:rFonts w:eastAsia="Times New Roman"/>
          <w:sz w:val="24"/>
        </w:rPr>
        <w:t xml:space="preserve">Vanda Micheli </w:t>
      </w:r>
      <w:proofErr w:type="spellStart"/>
      <w:r w:rsidRPr="00FE2305">
        <w:rPr>
          <w:rFonts w:eastAsia="Times New Roman"/>
          <w:sz w:val="24"/>
        </w:rPr>
        <w:t>Burginski</w:t>
      </w:r>
      <w:proofErr w:type="spellEnd"/>
    </w:p>
    <w:p w14:paraId="11C10917" w14:textId="77777777" w:rsidR="00EE3BB0" w:rsidRPr="00FE2305" w:rsidRDefault="00EE3BB0" w:rsidP="004F776F">
      <w:pPr>
        <w:spacing w:line="360" w:lineRule="auto"/>
        <w:ind w:left="2835"/>
        <w:jc w:val="both"/>
        <w:rPr>
          <w:b/>
          <w:sz w:val="24"/>
          <w:szCs w:val="24"/>
        </w:rPr>
      </w:pPr>
    </w:p>
    <w:p w14:paraId="358680C9" w14:textId="77777777" w:rsidR="004F776F" w:rsidRPr="00FE2305" w:rsidRDefault="004F776F" w:rsidP="00FE2305">
      <w:pPr>
        <w:spacing w:line="240" w:lineRule="auto"/>
        <w:ind w:left="2835"/>
        <w:jc w:val="both"/>
        <w:rPr>
          <w:b/>
          <w:bCs/>
          <w:sz w:val="20"/>
          <w:szCs w:val="20"/>
        </w:rPr>
      </w:pPr>
      <w:r w:rsidRPr="00FE2305">
        <w:rPr>
          <w:rFonts w:eastAsia="Times New Roman"/>
          <w:b/>
          <w:bCs/>
          <w:sz w:val="24"/>
        </w:rPr>
        <w:t>Resumo</w:t>
      </w:r>
    </w:p>
    <w:p w14:paraId="0407792A" w14:textId="77777777" w:rsidR="00C23C6F" w:rsidRPr="00FE2305" w:rsidRDefault="00C23C6F" w:rsidP="00FE2305">
      <w:pPr>
        <w:spacing w:line="240" w:lineRule="auto"/>
        <w:ind w:left="2835"/>
        <w:jc w:val="both"/>
        <w:rPr>
          <w:sz w:val="20"/>
          <w:szCs w:val="20"/>
        </w:rPr>
      </w:pPr>
      <w:r w:rsidRPr="00FE2305">
        <w:rPr>
          <w:rFonts w:eastAsia="Times New Roman"/>
          <w:sz w:val="20"/>
          <w:szCs w:val="20"/>
        </w:rPr>
        <w:t>O trabalho analisa o financiamento do Sistema Único de Saúde (SUS) no Brasil entre 2016 e 2024, com foco nos impactos das contrarreformas institucionais. Destacam-se a Emenda Constitucional nº 95/2016, que instituiu o teto de gastos, e sua substituição pela Lei Complementar nº 200/2023, conhecida como Novo Arcabouço Fiscal. A pesquisa evidencia como tais dispositivos intensificaram o processo histórico de subfinanciamento e, mais recentemente, de desfinanciamento do SUS, ao limitar a expansão dos gastos sociais, favorecer a estagnação orçamentária e reforçar a privatização da saúde. Metodologicamente, o estudo baseia-se na análise de dados do SIGA Brasil e de documentos normativos, buscando identificar as disputas em torno do orçamento público e suas consequências para a universalização e efetividade do direito à saúde.</w:t>
      </w:r>
    </w:p>
    <w:p w14:paraId="2DBFE114" w14:textId="77777777" w:rsidR="00C23C6F" w:rsidRPr="00FE2305" w:rsidRDefault="00C23C6F" w:rsidP="00FE2305">
      <w:pPr>
        <w:spacing w:line="240" w:lineRule="auto"/>
        <w:ind w:left="2835"/>
        <w:jc w:val="both"/>
        <w:rPr>
          <w:sz w:val="20"/>
          <w:szCs w:val="20"/>
        </w:rPr>
      </w:pPr>
      <w:r w:rsidRPr="00FE2305">
        <w:rPr>
          <w:rFonts w:eastAsia="Times New Roman"/>
          <w:sz w:val="20"/>
          <w:szCs w:val="20"/>
        </w:rPr>
        <w:t>Palavras-chave: SUS, Austeridade Fiscal, Arcabouço Fiscal, Movimentos Sociais, Controle Social.</w:t>
      </w:r>
    </w:p>
    <w:p w14:paraId="352A852C" w14:textId="77777777" w:rsidR="008340DF" w:rsidRPr="00FE2305" w:rsidRDefault="008340DF" w:rsidP="00FE2305">
      <w:pPr>
        <w:spacing w:line="240" w:lineRule="auto"/>
        <w:ind w:left="2835"/>
        <w:jc w:val="both"/>
        <w:rPr>
          <w:sz w:val="20"/>
          <w:szCs w:val="20"/>
        </w:rPr>
      </w:pPr>
    </w:p>
    <w:p w14:paraId="3B43B8B5" w14:textId="77777777" w:rsidR="004F776F" w:rsidRPr="00FE2305" w:rsidRDefault="004F776F" w:rsidP="00FE2305">
      <w:pPr>
        <w:spacing w:line="240" w:lineRule="auto"/>
        <w:ind w:left="2835"/>
        <w:jc w:val="both"/>
        <w:rPr>
          <w:b/>
          <w:bCs/>
          <w:sz w:val="24"/>
          <w:szCs w:val="24"/>
          <w:lang w:val="en-US"/>
        </w:rPr>
      </w:pPr>
      <w:r w:rsidRPr="00FE2305">
        <w:rPr>
          <w:rFonts w:eastAsia="Times New Roman"/>
          <w:b/>
          <w:bCs/>
          <w:sz w:val="24"/>
          <w:szCs w:val="24"/>
          <w:lang w:val="en-US"/>
        </w:rPr>
        <w:t>Abstract</w:t>
      </w:r>
    </w:p>
    <w:p w14:paraId="3011DBC9" w14:textId="77777777" w:rsidR="00D64C1B" w:rsidRPr="00FE2305" w:rsidRDefault="00D64C1B" w:rsidP="00FE2305">
      <w:pPr>
        <w:spacing w:line="240" w:lineRule="auto"/>
        <w:ind w:left="2835"/>
        <w:jc w:val="both"/>
        <w:rPr>
          <w:sz w:val="20"/>
          <w:szCs w:val="20"/>
          <w:lang w:val="en-US"/>
        </w:rPr>
      </w:pPr>
      <w:r w:rsidRPr="00FE2305">
        <w:rPr>
          <w:rFonts w:eastAsia="Times New Roman"/>
          <w:sz w:val="20"/>
          <w:szCs w:val="20"/>
          <w:lang w:val="en-US"/>
        </w:rPr>
        <w:t xml:space="preserve">This paper analyzes the financing of the Brazilian Unified Health System (SUS) between 2016 and 2024, focusing on the impacts of institutional counter-reforms. It highlights Constitutional Amendment No. 95/2016, which imposed the federal spending cap, and its replacement by Complementary Law No. 200/2023, known as the New Fiscal Framework. The study demonstrates how these instruments intensified the historical process of underfunding and, more recently, defunding of SUS by restricting the expansion of social spending, contributing to budget stagnation and reinforcing health privatization. Methodologically, the research is based on the analysis of official documents and budgetary data from SIGA </w:t>
      </w:r>
      <w:proofErr w:type="spellStart"/>
      <w:r w:rsidRPr="00FE2305">
        <w:rPr>
          <w:rFonts w:eastAsia="Times New Roman"/>
          <w:sz w:val="20"/>
          <w:szCs w:val="20"/>
          <w:lang w:val="en-US"/>
        </w:rPr>
        <w:t>Brasil</w:t>
      </w:r>
      <w:proofErr w:type="spellEnd"/>
      <w:r w:rsidRPr="00FE2305">
        <w:rPr>
          <w:rFonts w:eastAsia="Times New Roman"/>
          <w:sz w:val="20"/>
          <w:szCs w:val="20"/>
          <w:lang w:val="en-US"/>
        </w:rPr>
        <w:t>, seeking to identify the disputes surrounding the public fund and their consequences for the universalization and effectiveness of the right to health.</w:t>
      </w:r>
    </w:p>
    <w:p w14:paraId="3829744E" w14:textId="77777777" w:rsidR="00D64C1B" w:rsidRPr="00FE2305" w:rsidRDefault="00D64C1B" w:rsidP="00FE2305">
      <w:pPr>
        <w:spacing w:line="240" w:lineRule="auto"/>
        <w:ind w:left="2835"/>
        <w:jc w:val="both"/>
        <w:rPr>
          <w:sz w:val="20"/>
          <w:szCs w:val="20"/>
          <w:lang w:val="en-US"/>
        </w:rPr>
      </w:pPr>
      <w:r w:rsidRPr="00FE2305">
        <w:rPr>
          <w:rFonts w:eastAsia="Times New Roman"/>
          <w:sz w:val="20"/>
          <w:szCs w:val="20"/>
          <w:lang w:val="en-US"/>
        </w:rPr>
        <w:t>Keywords: Unified Health System; Fiscal Austerity; Fiscal Framework; Social Movements; Social Control.</w:t>
      </w:r>
    </w:p>
    <w:p w14:paraId="295F9659" w14:textId="77777777" w:rsidR="004F776F" w:rsidRPr="00FE2305" w:rsidRDefault="004F776F" w:rsidP="004F776F">
      <w:pPr>
        <w:spacing w:line="360" w:lineRule="auto"/>
        <w:ind w:left="2835"/>
        <w:jc w:val="both"/>
        <w:rPr>
          <w:sz w:val="24"/>
          <w:szCs w:val="24"/>
          <w:lang w:val="en-US"/>
        </w:rPr>
      </w:pPr>
    </w:p>
    <w:p w14:paraId="776A29FF" w14:textId="77777777" w:rsidR="004F776F" w:rsidRPr="005F21A5" w:rsidRDefault="004F776F" w:rsidP="00F2735F">
      <w:pPr>
        <w:spacing w:line="360" w:lineRule="auto"/>
        <w:rPr>
          <w:b/>
          <w:bCs/>
          <w:sz w:val="24"/>
          <w:szCs w:val="24"/>
        </w:rPr>
      </w:pPr>
      <w:r w:rsidRPr="005F21A5">
        <w:rPr>
          <w:rFonts w:eastAsia="Times New Roman"/>
          <w:b/>
          <w:bCs/>
          <w:sz w:val="24"/>
        </w:rPr>
        <w:t>1 INTRODUÇÃO</w:t>
      </w:r>
    </w:p>
    <w:p w14:paraId="3EDA1519" w14:textId="77777777" w:rsidR="004F776F" w:rsidRPr="00FE2305" w:rsidRDefault="004F776F" w:rsidP="00F2735F">
      <w:pPr>
        <w:spacing w:line="360" w:lineRule="auto"/>
        <w:jc w:val="both"/>
        <w:rPr>
          <w:sz w:val="24"/>
          <w:szCs w:val="24"/>
        </w:rPr>
      </w:pPr>
    </w:p>
    <w:p w14:paraId="4F68247E" w14:textId="0B6A423A" w:rsidR="00C23C6F" w:rsidRPr="00FE2305" w:rsidRDefault="00C23C6F" w:rsidP="00C23C6F">
      <w:pPr>
        <w:spacing w:line="360" w:lineRule="auto"/>
        <w:ind w:firstLine="720"/>
        <w:jc w:val="both"/>
        <w:rPr>
          <w:sz w:val="24"/>
          <w:szCs w:val="24"/>
        </w:rPr>
      </w:pPr>
      <w:r w:rsidRPr="00FE2305">
        <w:rPr>
          <w:rFonts w:eastAsia="Times New Roman"/>
          <w:sz w:val="24"/>
        </w:rPr>
        <w:t xml:space="preserve">A efetivação do direito à saúde, materializada pelo SUS, sempre esteve atravessada por disputas orçamentárias e por um histórico de subfinanciamento. </w:t>
      </w:r>
      <w:r w:rsidRPr="00FE2305">
        <w:rPr>
          <w:rFonts w:eastAsia="Times New Roman"/>
          <w:sz w:val="24"/>
        </w:rPr>
        <w:lastRenderedPageBreak/>
        <w:t>Desde a década de 1990, reformas institucionais e medidas fiscais vêm restringindo a expansão dos gastos sociais, ao mesmo tempo em que ampliam o espaço para o setor privado no interior do sistema público.</w:t>
      </w:r>
    </w:p>
    <w:p w14:paraId="694CC964" w14:textId="36AF4C92" w:rsidR="00C23C6F" w:rsidRPr="00FE2305" w:rsidRDefault="00C23C6F" w:rsidP="00C23C6F">
      <w:pPr>
        <w:spacing w:line="360" w:lineRule="auto"/>
        <w:jc w:val="both"/>
        <w:rPr>
          <w:sz w:val="24"/>
          <w:szCs w:val="24"/>
        </w:rPr>
      </w:pPr>
      <w:r w:rsidRPr="00FE2305">
        <w:rPr>
          <w:rFonts w:eastAsia="Times New Roman"/>
          <w:sz w:val="24"/>
        </w:rPr>
        <w:t xml:space="preserve">Esse quadro agravou-se com a promulgação da Emenda Constitucional nº 95/2016, que congelou por vinte anos os gastos primários da União, desconsiderando os pisos constitucionais da saúde. A medida, ao lado de outras reformas, inaugurou um período de desfinanciamento, cuja consequência direta foi a estagnação dos recursos federais destinados ao SUS. Em 2023, a substituição da EC 95 pela Lei Complementar nº 200/2023 não reverteu esse processo; ao contrário, manteve limites ao crescimento real das despesas, </w:t>
      </w:r>
      <w:r w:rsidR="00FE2305">
        <w:rPr>
          <w:rFonts w:eastAsia="Times New Roman"/>
          <w:sz w:val="24"/>
        </w:rPr>
        <w:t>reafirmando</w:t>
      </w:r>
      <w:r w:rsidRPr="00FE2305">
        <w:rPr>
          <w:rFonts w:eastAsia="Times New Roman"/>
          <w:sz w:val="24"/>
        </w:rPr>
        <w:t xml:space="preserve"> a lógica de austeridade fiscal.</w:t>
      </w:r>
    </w:p>
    <w:p w14:paraId="41D6F671" w14:textId="2C82EEC9" w:rsidR="00C23C6F" w:rsidRPr="00FE2305" w:rsidRDefault="00C23C6F" w:rsidP="00C23C6F">
      <w:pPr>
        <w:spacing w:line="360" w:lineRule="auto"/>
        <w:ind w:firstLine="720"/>
        <w:jc w:val="both"/>
        <w:rPr>
          <w:sz w:val="24"/>
          <w:szCs w:val="24"/>
        </w:rPr>
      </w:pPr>
      <w:r w:rsidRPr="00FE2305">
        <w:rPr>
          <w:rFonts w:eastAsia="Times New Roman"/>
          <w:sz w:val="24"/>
        </w:rPr>
        <w:t>Neste contexto, o presente trabalho tem como objetivo analisar os efeitos das regras fiscais recentes sobre o financiamento do SUS, com ênfase no período de 2016 a 202</w:t>
      </w:r>
      <w:r w:rsidR="00FE2305">
        <w:rPr>
          <w:rFonts w:eastAsia="Times New Roman"/>
          <w:sz w:val="24"/>
        </w:rPr>
        <w:t>4</w:t>
      </w:r>
      <w:r w:rsidRPr="00FE2305">
        <w:rPr>
          <w:rFonts w:eastAsia="Times New Roman"/>
          <w:sz w:val="24"/>
        </w:rPr>
        <w:t>. Para tanto, utiliza dados orçamentários do SIGA Brasil e documentos oficiais como base empírica, articulando-os a uma perspectiva crítica que busca compreender como tais mecanismos afetam a efetividade do direito à saúde e revelam a correlação de forças em torno do fundo público.</w:t>
      </w:r>
    </w:p>
    <w:p w14:paraId="6EB92337" w14:textId="77777777" w:rsidR="004F776F" w:rsidRPr="00FE2305" w:rsidRDefault="004F776F" w:rsidP="00F2735F">
      <w:pPr>
        <w:spacing w:line="360" w:lineRule="auto"/>
        <w:jc w:val="both"/>
        <w:rPr>
          <w:sz w:val="24"/>
          <w:szCs w:val="24"/>
        </w:rPr>
      </w:pPr>
    </w:p>
    <w:p w14:paraId="4F88F0D6" w14:textId="77777777" w:rsidR="00B1162F" w:rsidRPr="00A71D24" w:rsidRDefault="004F776F" w:rsidP="00F2735F">
      <w:pPr>
        <w:spacing w:line="360" w:lineRule="auto"/>
        <w:jc w:val="both"/>
        <w:rPr>
          <w:b/>
          <w:bCs/>
          <w:sz w:val="24"/>
          <w:szCs w:val="24"/>
        </w:rPr>
      </w:pPr>
      <w:r w:rsidRPr="00A71D24">
        <w:rPr>
          <w:rFonts w:eastAsia="Times New Roman"/>
          <w:b/>
          <w:bCs/>
          <w:sz w:val="24"/>
        </w:rPr>
        <w:t>2 A saga em busca do financiamento do SUS</w:t>
      </w:r>
    </w:p>
    <w:p w14:paraId="538C2552" w14:textId="77777777" w:rsidR="00C23C6F" w:rsidRPr="00FE2305" w:rsidRDefault="00C23C6F" w:rsidP="007E7315">
      <w:pPr>
        <w:spacing w:line="360" w:lineRule="auto"/>
        <w:ind w:firstLine="720"/>
        <w:jc w:val="both"/>
        <w:rPr>
          <w:sz w:val="24"/>
          <w:szCs w:val="24"/>
        </w:rPr>
      </w:pPr>
    </w:p>
    <w:p w14:paraId="4280A3FD" w14:textId="77777777" w:rsidR="00A44A5D" w:rsidRPr="00FE2305" w:rsidRDefault="00860F41" w:rsidP="007E7315">
      <w:pPr>
        <w:spacing w:line="360" w:lineRule="auto"/>
        <w:ind w:firstLine="720"/>
        <w:jc w:val="both"/>
        <w:rPr>
          <w:sz w:val="24"/>
          <w:szCs w:val="24"/>
        </w:rPr>
      </w:pPr>
      <w:r w:rsidRPr="00FE2305">
        <w:rPr>
          <w:rFonts w:eastAsia="Times New Roman"/>
          <w:sz w:val="24"/>
        </w:rPr>
        <w:t>A saúde, a previdência e a assistência social compõem, desde a Constituição Federal (CF) de 1988, o sistema de Seguridade Social brasileiro, cada uma delas com orçamento próprio e contribuições sociais específicas, além dos recursos do orçamento fiscal (art. 195 da Constituição da República). Isso resultou em uma disputa por orçamento no interior da Seguridade Social, uma vez que também comportam diretrizes específicas de organização.</w:t>
      </w:r>
    </w:p>
    <w:p w14:paraId="5C1FFBA6" w14:textId="5EFF4058" w:rsidR="00A44A5D" w:rsidRPr="00FE2305" w:rsidRDefault="00A44A5D" w:rsidP="007E7315">
      <w:pPr>
        <w:spacing w:line="360" w:lineRule="auto"/>
        <w:ind w:firstLine="720"/>
        <w:jc w:val="both"/>
        <w:rPr>
          <w:sz w:val="24"/>
          <w:szCs w:val="24"/>
        </w:rPr>
      </w:pPr>
      <w:r w:rsidRPr="00FE2305">
        <w:rPr>
          <w:rFonts w:eastAsia="Times New Roman"/>
          <w:sz w:val="24"/>
        </w:rPr>
        <w:t>É necessário destacar que a saúde se constituiu como mercadoria e importante fonte de lucros para o capital, portanto a criação do</w:t>
      </w:r>
      <w:r w:rsidR="00A71D24">
        <w:rPr>
          <w:rFonts w:eastAsia="Times New Roman"/>
          <w:sz w:val="24"/>
        </w:rPr>
        <w:t xml:space="preserve"> SUS</w:t>
      </w:r>
      <w:r w:rsidRPr="00FE2305">
        <w:rPr>
          <w:rFonts w:eastAsia="Times New Roman"/>
          <w:sz w:val="24"/>
        </w:rPr>
        <w:t xml:space="preserve"> foi historicamente marcad</w:t>
      </w:r>
      <w:r w:rsidR="00A71D24">
        <w:rPr>
          <w:rFonts w:eastAsia="Times New Roman"/>
          <w:sz w:val="24"/>
        </w:rPr>
        <w:t>o</w:t>
      </w:r>
      <w:r w:rsidRPr="00FE2305">
        <w:rPr>
          <w:rFonts w:eastAsia="Times New Roman"/>
          <w:sz w:val="24"/>
        </w:rPr>
        <w:t xml:space="preserve"> por intensas contradições e só foi possível mediante a organização e pressões políticas de diversos setores populares, com destaque para o movimento de reforma </w:t>
      </w:r>
      <w:r w:rsidRPr="00FE2305">
        <w:rPr>
          <w:rFonts w:eastAsia="Times New Roman"/>
          <w:sz w:val="24"/>
        </w:rPr>
        <w:lastRenderedPageBreak/>
        <w:t>sanitária, que em seus primórdios, empreendeu uma oposição à saúde enquanto mercadoria; em defesa de sua estatização e da alocação exclusiva de seus recursos públicos para a ampliação dos serviços prestados.</w:t>
      </w:r>
    </w:p>
    <w:p w14:paraId="5205E7DF" w14:textId="7310DEDF" w:rsidR="00860F41" w:rsidRPr="00FE2305" w:rsidRDefault="00860F41" w:rsidP="007E7315">
      <w:pPr>
        <w:spacing w:line="360" w:lineRule="auto"/>
        <w:ind w:firstLine="720"/>
        <w:jc w:val="both"/>
        <w:rPr>
          <w:sz w:val="24"/>
          <w:szCs w:val="24"/>
        </w:rPr>
      </w:pPr>
      <w:r w:rsidRPr="00FE2305">
        <w:rPr>
          <w:rFonts w:eastAsia="Times New Roman"/>
          <w:sz w:val="24"/>
        </w:rPr>
        <w:t xml:space="preserve">Nos anos 1990, com a criação da Lei Orgânica da Saúde (LOS), iniciou-se a transição de um modelo anterior, baseado na medicina previdenciária, verticalizado, centrado na doença e restrito à participação popular, para um modelo de proteção social inovador, subsidiado pelos princípios da universalidade, da equidade, da integralidade e do cuidado humanizado em saúde. Em relação à sua forma de organização e gestão, estabeleceu-se a regionalização, a hierarquização, a descentralização e o comando único, bem como a participação popular, abrangendo as três esferas (municipal, estadual e federal). Para atender os princípios constitucionais de descentralização foi necessário firmar formas de pactuação entre a União, Estados e Municípios, bem como “transferir para a gestão de estados e municípios recursos até então majoritariamente administrados pelo governo federal” (Piola et al., 2013, p. 8). O que implicou em desafios, seja na necessidade de ampliação do orçamento para </w:t>
      </w:r>
      <w:proofErr w:type="gramStart"/>
      <w:r w:rsidRPr="00FE2305">
        <w:rPr>
          <w:rFonts w:eastAsia="Times New Roman"/>
          <w:sz w:val="24"/>
        </w:rPr>
        <w:t>o nascente</w:t>
      </w:r>
      <w:proofErr w:type="gramEnd"/>
      <w:r w:rsidR="00A71D24">
        <w:rPr>
          <w:rFonts w:eastAsia="Times New Roman"/>
          <w:sz w:val="24"/>
        </w:rPr>
        <w:t xml:space="preserve"> SUS</w:t>
      </w:r>
      <w:r w:rsidRPr="00FE2305">
        <w:rPr>
          <w:rFonts w:eastAsia="Times New Roman"/>
          <w:sz w:val="24"/>
        </w:rPr>
        <w:t>, como também no redirecionamento desses recursos.</w:t>
      </w:r>
    </w:p>
    <w:p w14:paraId="479D2450" w14:textId="65EE4ECC" w:rsidR="00860F41" w:rsidRDefault="00A44A5D" w:rsidP="00EE3BB0">
      <w:pPr>
        <w:spacing w:line="360" w:lineRule="auto"/>
        <w:ind w:firstLine="720"/>
        <w:jc w:val="both"/>
        <w:rPr>
          <w:rFonts w:eastAsia="Times New Roman"/>
          <w:sz w:val="24"/>
        </w:rPr>
      </w:pPr>
      <w:r w:rsidRPr="00FE2305">
        <w:rPr>
          <w:rFonts w:eastAsia="Times New Roman"/>
          <w:sz w:val="24"/>
        </w:rPr>
        <w:t xml:space="preserve">Contudo, se mantém mais atual que nunca, após uma pandemia, um amplo debate entre a sociedade e </w:t>
      </w:r>
      <w:r w:rsidR="00690A5F">
        <w:rPr>
          <w:rFonts w:eastAsia="Times New Roman"/>
          <w:sz w:val="24"/>
        </w:rPr>
        <w:t xml:space="preserve">os </w:t>
      </w:r>
      <w:r w:rsidRPr="00FE2305">
        <w:rPr>
          <w:rFonts w:eastAsia="Times New Roman"/>
          <w:sz w:val="24"/>
        </w:rPr>
        <w:t xml:space="preserve">governos a respeito do financiamento suficiente, adequado e estável do SUS como condição para a garantia do direito à saúde. Esse tema sempre foi alvo de tensões, que ao longo de sua criação envolveu o Ministério da Saúde (MS), a área econômica do governo federal, estados e municípios, bem como os movimentos sociais e o controle social. Abaixo, apresentamos </w:t>
      </w:r>
      <w:r w:rsidR="0048769E">
        <w:rPr>
          <w:rFonts w:eastAsia="Times New Roman"/>
          <w:sz w:val="24"/>
        </w:rPr>
        <w:t>o</w:t>
      </w:r>
      <w:r w:rsidRPr="00FE2305">
        <w:rPr>
          <w:rFonts w:eastAsia="Times New Roman"/>
          <w:sz w:val="24"/>
        </w:rPr>
        <w:t xml:space="preserve"> quadro</w:t>
      </w:r>
      <w:r w:rsidR="0048769E">
        <w:rPr>
          <w:rFonts w:eastAsia="Times New Roman"/>
          <w:sz w:val="24"/>
        </w:rPr>
        <w:t xml:space="preserve"> 1</w:t>
      </w:r>
      <w:r w:rsidRPr="00FE2305">
        <w:rPr>
          <w:rFonts w:eastAsia="Times New Roman"/>
          <w:sz w:val="24"/>
        </w:rPr>
        <w:t xml:space="preserve"> que sistematiza a saga em busca pela garantia do financiamento da saúde.</w:t>
      </w:r>
    </w:p>
    <w:p w14:paraId="4A8F8C45" w14:textId="3EBEC230" w:rsidR="00AD5B58" w:rsidRDefault="00AD5B58" w:rsidP="00AD5B58">
      <w:pPr>
        <w:spacing w:line="360" w:lineRule="auto"/>
        <w:ind w:firstLine="720"/>
        <w:jc w:val="both"/>
        <w:rPr>
          <w:rFonts w:eastAsia="Times New Roman"/>
          <w:sz w:val="24"/>
        </w:rPr>
      </w:pPr>
      <w:r w:rsidRPr="00FE2305">
        <w:rPr>
          <w:rFonts w:eastAsia="Times New Roman"/>
          <w:sz w:val="24"/>
        </w:rPr>
        <w:t xml:space="preserve">O quadro </w:t>
      </w:r>
      <w:r>
        <w:rPr>
          <w:rFonts w:eastAsia="Times New Roman"/>
          <w:sz w:val="24"/>
        </w:rPr>
        <w:t>1</w:t>
      </w:r>
      <w:r w:rsidRPr="00FE2305">
        <w:rPr>
          <w:rFonts w:eastAsia="Times New Roman"/>
          <w:sz w:val="24"/>
        </w:rPr>
        <w:t xml:space="preserve"> é bem ilustrativo no sentido de sistematizar as disputas relacionadas ao financiamento da saúde e as regras que vão sendo estabelecidas desde a CF/1988 até os tempos atuais. No processo de garantia de financiamento do SUS, poderíamos destacar uma extensa trajetória de descumprimento dos preceitos constitucionais (SANTOS e FUNCIA, 2020). Segundo o Instituto de Direito Sanitário </w:t>
      </w:r>
      <w:r w:rsidRPr="00FE2305">
        <w:rPr>
          <w:rFonts w:eastAsia="Times New Roman"/>
          <w:sz w:val="24"/>
        </w:rPr>
        <w:lastRenderedPageBreak/>
        <w:t xml:space="preserve">(IDISA) se o Artigo 55, do Ato das Disposições Constitucionais Transitórias (ADCT) que determinava que para a aprovação da lei de diretrizes orçamentárias, 30% do Orçamento da Seguridade Social (OSS) deveria ser destinado à saúde tivesse sido cumprido, “os recursos federais da saúde seriam 271 bilhões e não 125 bilhões (2020), </w:t>
      </w:r>
      <w:bookmarkStart w:id="4" w:name="_Hlk208857257"/>
      <w:r w:rsidRPr="00FE2305">
        <w:rPr>
          <w:rFonts w:eastAsia="Times New Roman"/>
          <w:sz w:val="24"/>
        </w:rPr>
        <w:t>portanto, correspondente a uma diferença negativa de R$ 146,1 bilhões para o SUS” (</w:t>
      </w:r>
      <w:bookmarkEnd w:id="4"/>
      <w:r w:rsidR="00EB7948">
        <w:rPr>
          <w:rFonts w:eastAsia="Times New Roman"/>
          <w:sz w:val="24"/>
        </w:rPr>
        <w:t xml:space="preserve">Santos; </w:t>
      </w:r>
      <w:proofErr w:type="spellStart"/>
      <w:r w:rsidR="00EB7948">
        <w:rPr>
          <w:rFonts w:eastAsia="Times New Roman"/>
          <w:sz w:val="24"/>
        </w:rPr>
        <w:t>Funcia</w:t>
      </w:r>
      <w:proofErr w:type="spellEnd"/>
      <w:r w:rsidR="00EB7948">
        <w:rPr>
          <w:rFonts w:eastAsia="Times New Roman"/>
          <w:sz w:val="24"/>
        </w:rPr>
        <w:t>, 2020).</w:t>
      </w:r>
    </w:p>
    <w:p w14:paraId="4F5FBD5B" w14:textId="3168CD0D" w:rsidR="00AD5B58" w:rsidRPr="00814B7D" w:rsidRDefault="00AD5B58" w:rsidP="00814B7D">
      <w:pPr>
        <w:spacing w:line="240" w:lineRule="auto"/>
        <w:ind w:firstLine="720"/>
        <w:jc w:val="center"/>
        <w:rPr>
          <w:rFonts w:eastAsia="Times New Roman"/>
          <w:sz w:val="24"/>
        </w:rPr>
      </w:pPr>
      <w:r>
        <w:rPr>
          <w:rFonts w:eastAsia="Times New Roman"/>
          <w:b/>
          <w:bCs/>
          <w:sz w:val="24"/>
        </w:rPr>
        <w:t xml:space="preserve">Quadro 1 - </w:t>
      </w:r>
      <w:r w:rsidR="00814B7D" w:rsidRPr="00814B7D">
        <w:rPr>
          <w:rFonts w:eastAsia="Times New Roman"/>
          <w:sz w:val="24"/>
        </w:rPr>
        <w:t>Registro das sucessivas altera</w:t>
      </w:r>
      <w:r w:rsidR="00814B7D" w:rsidRPr="00814B7D">
        <w:rPr>
          <w:rFonts w:eastAsia="Times New Roman" w:hint="eastAsia"/>
          <w:sz w:val="24"/>
        </w:rPr>
        <w:t>çõ</w:t>
      </w:r>
      <w:r w:rsidR="00814B7D" w:rsidRPr="00814B7D">
        <w:rPr>
          <w:rFonts w:eastAsia="Times New Roman"/>
          <w:sz w:val="24"/>
        </w:rPr>
        <w:t>es dos pisos constitucionais para financiamento</w:t>
      </w:r>
      <w:r w:rsidR="00814B7D">
        <w:rPr>
          <w:rFonts w:eastAsia="Times New Roman"/>
          <w:sz w:val="24"/>
        </w:rPr>
        <w:t xml:space="preserve"> </w:t>
      </w:r>
      <w:r w:rsidR="00814B7D" w:rsidRPr="00814B7D">
        <w:rPr>
          <w:rFonts w:eastAsia="Times New Roman"/>
          <w:sz w:val="24"/>
        </w:rPr>
        <w:t>de ASPS pela Uni</w:t>
      </w:r>
      <w:r w:rsidR="00814B7D" w:rsidRPr="00814B7D">
        <w:rPr>
          <w:rFonts w:eastAsia="Times New Roman" w:hint="eastAsia"/>
          <w:sz w:val="24"/>
        </w:rPr>
        <w:t>ã</w:t>
      </w:r>
      <w:r w:rsidR="00814B7D" w:rsidRPr="00814B7D">
        <w:rPr>
          <w:rFonts w:eastAsia="Times New Roman"/>
          <w:sz w:val="24"/>
        </w:rPr>
        <w:t>o ap</w:t>
      </w:r>
      <w:r w:rsidR="00814B7D" w:rsidRPr="00814B7D">
        <w:rPr>
          <w:rFonts w:eastAsia="Times New Roman" w:hint="eastAsia"/>
          <w:sz w:val="24"/>
        </w:rPr>
        <w:t>ó</w:t>
      </w:r>
      <w:r w:rsidR="00814B7D" w:rsidRPr="00814B7D">
        <w:rPr>
          <w:rFonts w:eastAsia="Times New Roman"/>
          <w:sz w:val="24"/>
        </w:rPr>
        <w:t>s a promulga</w:t>
      </w:r>
      <w:r w:rsidR="00814B7D" w:rsidRPr="00814B7D">
        <w:rPr>
          <w:rFonts w:eastAsia="Times New Roman" w:hint="eastAsia"/>
          <w:sz w:val="24"/>
        </w:rPr>
        <w:t>çã</w:t>
      </w:r>
      <w:r w:rsidR="00814B7D" w:rsidRPr="00814B7D">
        <w:rPr>
          <w:rFonts w:eastAsia="Times New Roman"/>
          <w:sz w:val="24"/>
        </w:rPr>
        <w:t>o da EC n</w:t>
      </w:r>
      <w:r w:rsidR="00814B7D" w:rsidRPr="00814B7D">
        <w:rPr>
          <w:rFonts w:eastAsia="Times New Roman" w:hint="eastAsia"/>
          <w:sz w:val="24"/>
        </w:rPr>
        <w:t>º</w:t>
      </w:r>
      <w:r w:rsidR="00814B7D" w:rsidRPr="00814B7D">
        <w:rPr>
          <w:rFonts w:eastAsia="Times New Roman"/>
          <w:sz w:val="24"/>
        </w:rPr>
        <w:t xml:space="preserve"> 29/2000</w:t>
      </w:r>
    </w:p>
    <w:p w14:paraId="0A973A2F" w14:textId="2EFBD60B" w:rsidR="00AD5B58" w:rsidRPr="00FE2305" w:rsidRDefault="00AD5B58" w:rsidP="00EB7948">
      <w:pPr>
        <w:spacing w:line="360" w:lineRule="auto"/>
        <w:jc w:val="center"/>
        <w:rPr>
          <w:sz w:val="24"/>
          <w:szCs w:val="24"/>
        </w:rPr>
      </w:pPr>
      <w:r w:rsidRPr="00AD5B58">
        <w:rPr>
          <w:noProof/>
          <w:sz w:val="24"/>
          <w:szCs w:val="24"/>
        </w:rPr>
        <w:drawing>
          <wp:inline distT="0" distB="0" distL="0" distR="0" wp14:anchorId="0E4F4149" wp14:editId="2DF561D2">
            <wp:extent cx="5761990" cy="4554855"/>
            <wp:effectExtent l="0" t="0" r="0" b="0"/>
            <wp:docPr id="357741293"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41293" name="Imagem 1" descr="Tabela&#10;&#10;O conteúdo gerado por IA pode estar incorreto."/>
                    <pic:cNvPicPr/>
                  </pic:nvPicPr>
                  <pic:blipFill>
                    <a:blip r:embed="rId21"/>
                    <a:stretch>
                      <a:fillRect/>
                    </a:stretch>
                  </pic:blipFill>
                  <pic:spPr>
                    <a:xfrm>
                      <a:off x="0" y="0"/>
                      <a:ext cx="5761990" cy="4554855"/>
                    </a:xfrm>
                    <a:prstGeom prst="rect">
                      <a:avLst/>
                    </a:prstGeom>
                  </pic:spPr>
                </pic:pic>
              </a:graphicData>
            </a:graphic>
          </wp:inline>
        </w:drawing>
      </w:r>
    </w:p>
    <w:p w14:paraId="1B52D147" w14:textId="1A7977CE" w:rsidR="00AD5B58" w:rsidRPr="006A0599" w:rsidRDefault="006A0599" w:rsidP="00EB7948">
      <w:pPr>
        <w:spacing w:line="240" w:lineRule="auto"/>
        <w:rPr>
          <w:sz w:val="20"/>
          <w:szCs w:val="20"/>
        </w:rPr>
      </w:pPr>
      <w:r w:rsidRPr="006A0599">
        <w:rPr>
          <w:sz w:val="20"/>
          <w:szCs w:val="20"/>
        </w:rPr>
        <w:t>Fonte: Constituição Federal, LC nº 141/2012, LC nº 200/2023 e nº 201/202311-</w:t>
      </w:r>
    </w:p>
    <w:p w14:paraId="3BDD5DE0" w14:textId="77777777" w:rsidR="002E3A91" w:rsidRPr="00A71D24" w:rsidRDefault="002E3A91" w:rsidP="00EB7948">
      <w:pPr>
        <w:spacing w:line="240" w:lineRule="auto"/>
        <w:jc w:val="both"/>
        <w:rPr>
          <w:sz w:val="20"/>
          <w:szCs w:val="20"/>
        </w:rPr>
      </w:pPr>
      <w:r w:rsidRPr="00A71D24">
        <w:rPr>
          <w:rFonts w:eastAsia="Times New Roman"/>
          <w:sz w:val="20"/>
          <w:szCs w:val="20"/>
        </w:rPr>
        <w:t xml:space="preserve">Elaboração: </w:t>
      </w:r>
      <w:bookmarkStart w:id="5" w:name="_Hlk208857276"/>
      <w:r w:rsidRPr="00A71D24">
        <w:rPr>
          <w:rFonts w:eastAsia="Times New Roman"/>
          <w:sz w:val="20"/>
          <w:szCs w:val="20"/>
        </w:rPr>
        <w:t>PEREIRA, Blenda e al. Financiamento da saúde no Brasil: perspectivas dos estados e municípios. Brasília: CONASS, 2025.</w:t>
      </w:r>
      <w:bookmarkEnd w:id="5"/>
    </w:p>
    <w:p w14:paraId="36673BB5" w14:textId="77777777" w:rsidR="002E3A91" w:rsidRPr="00FE2305" w:rsidRDefault="002E3A91" w:rsidP="008340DF">
      <w:pPr>
        <w:spacing w:line="360" w:lineRule="auto"/>
        <w:ind w:firstLine="720"/>
        <w:jc w:val="both"/>
        <w:rPr>
          <w:sz w:val="24"/>
          <w:szCs w:val="24"/>
        </w:rPr>
      </w:pPr>
    </w:p>
    <w:p w14:paraId="59F3841F" w14:textId="74C5A3E4" w:rsidR="00860F41" w:rsidRPr="00FE2305" w:rsidRDefault="00860F41" w:rsidP="00EE3BB0">
      <w:pPr>
        <w:spacing w:line="360" w:lineRule="auto"/>
        <w:ind w:firstLine="720"/>
        <w:jc w:val="both"/>
        <w:rPr>
          <w:sz w:val="24"/>
          <w:szCs w:val="24"/>
        </w:rPr>
      </w:pPr>
      <w:r w:rsidRPr="00FE2305">
        <w:rPr>
          <w:rFonts w:eastAsia="Times New Roman"/>
          <w:sz w:val="24"/>
        </w:rPr>
        <w:lastRenderedPageBreak/>
        <w:t>Dez anos após a criação da Lei Orgânica da Saúde (LOS) em 1990, a Emenda Constitucional 29/2000 estabeleceu a forma de participação da União, dos Estados e dos municípios no financiamento do SUS. Foi a partir dessa emenda que se determinou que os estados e municípios deveriam destinar, inicialmente, no mínimo 7% de suas receitas para a saúde, alcançando até 2004 o percentual mínimo de 12% para os estados e 15% para os municípios (</w:t>
      </w:r>
      <w:r w:rsidR="005C0492">
        <w:rPr>
          <w:rFonts w:eastAsia="Times New Roman"/>
          <w:sz w:val="24"/>
        </w:rPr>
        <w:t>C</w:t>
      </w:r>
      <w:r w:rsidR="005C0492" w:rsidRPr="00FE2305">
        <w:rPr>
          <w:rFonts w:eastAsia="Times New Roman"/>
          <w:sz w:val="24"/>
        </w:rPr>
        <w:t>onceição</w:t>
      </w:r>
      <w:r w:rsidR="005C0492">
        <w:rPr>
          <w:rFonts w:eastAsia="Times New Roman"/>
          <w:sz w:val="24"/>
        </w:rPr>
        <w:t>;</w:t>
      </w:r>
      <w:r w:rsidR="005C0492" w:rsidRPr="00FE2305">
        <w:rPr>
          <w:rFonts w:eastAsia="Times New Roman"/>
          <w:sz w:val="24"/>
        </w:rPr>
        <w:t xml:space="preserve"> </w:t>
      </w:r>
      <w:proofErr w:type="spellStart"/>
      <w:r w:rsidR="005C0492">
        <w:rPr>
          <w:rFonts w:eastAsia="Times New Roman"/>
          <w:sz w:val="24"/>
        </w:rPr>
        <w:t>C</w:t>
      </w:r>
      <w:r w:rsidR="005C0492" w:rsidRPr="00FE2305">
        <w:rPr>
          <w:rFonts w:eastAsia="Times New Roman"/>
          <w:sz w:val="24"/>
        </w:rPr>
        <w:t>islaghi</w:t>
      </w:r>
      <w:proofErr w:type="spellEnd"/>
      <w:r w:rsidR="00EC033C">
        <w:rPr>
          <w:rFonts w:eastAsia="Times New Roman"/>
          <w:sz w:val="24"/>
        </w:rPr>
        <w:t>; T</w:t>
      </w:r>
      <w:r w:rsidR="005C0492" w:rsidRPr="00FE2305">
        <w:rPr>
          <w:rFonts w:eastAsia="Times New Roman"/>
          <w:sz w:val="24"/>
        </w:rPr>
        <w:t>eixeira</w:t>
      </w:r>
      <w:r w:rsidRPr="00FE2305">
        <w:rPr>
          <w:rFonts w:eastAsia="Times New Roman"/>
          <w:sz w:val="24"/>
        </w:rPr>
        <w:t>, 2012, p. 110). Já para a União, no primeiro ano, exigia-se um aumento de 5% em relação ao orçamento do ano anterior, seguido de reajustes anuais baseados na variação do PIB (</w:t>
      </w:r>
      <w:r w:rsidR="00622B4F">
        <w:rPr>
          <w:rFonts w:eastAsia="Times New Roman"/>
          <w:sz w:val="24"/>
        </w:rPr>
        <w:t>C</w:t>
      </w:r>
      <w:r w:rsidR="00622B4F" w:rsidRPr="00FE2305">
        <w:rPr>
          <w:rFonts w:eastAsia="Times New Roman"/>
          <w:sz w:val="24"/>
        </w:rPr>
        <w:t>onceição</w:t>
      </w:r>
      <w:r w:rsidR="00622B4F">
        <w:rPr>
          <w:rFonts w:eastAsia="Times New Roman"/>
          <w:sz w:val="24"/>
        </w:rPr>
        <w:t>;</w:t>
      </w:r>
      <w:r w:rsidR="00622B4F" w:rsidRPr="00FE2305">
        <w:rPr>
          <w:rFonts w:eastAsia="Times New Roman"/>
          <w:sz w:val="24"/>
        </w:rPr>
        <w:t xml:space="preserve"> </w:t>
      </w:r>
      <w:proofErr w:type="spellStart"/>
      <w:r w:rsidR="00622B4F">
        <w:rPr>
          <w:rFonts w:eastAsia="Times New Roman"/>
          <w:sz w:val="24"/>
        </w:rPr>
        <w:t>C</w:t>
      </w:r>
      <w:r w:rsidR="00622B4F" w:rsidRPr="00FE2305">
        <w:rPr>
          <w:rFonts w:eastAsia="Times New Roman"/>
          <w:sz w:val="24"/>
        </w:rPr>
        <w:t>islaghi</w:t>
      </w:r>
      <w:proofErr w:type="spellEnd"/>
      <w:r w:rsidR="00622B4F">
        <w:rPr>
          <w:rFonts w:eastAsia="Times New Roman"/>
          <w:sz w:val="24"/>
        </w:rPr>
        <w:t>; T</w:t>
      </w:r>
      <w:r w:rsidR="00622B4F" w:rsidRPr="00FE2305">
        <w:rPr>
          <w:rFonts w:eastAsia="Times New Roman"/>
          <w:sz w:val="24"/>
        </w:rPr>
        <w:t>eixeira, 2012, p. 110</w:t>
      </w:r>
      <w:r w:rsidRPr="00FE2305">
        <w:rPr>
          <w:rFonts w:eastAsia="Times New Roman"/>
          <w:sz w:val="24"/>
        </w:rPr>
        <w:t>).</w:t>
      </w:r>
    </w:p>
    <w:p w14:paraId="6E208CF3" w14:textId="748DB03B" w:rsidR="00860F41" w:rsidRPr="00FE2305" w:rsidRDefault="00860F41" w:rsidP="0011676D">
      <w:pPr>
        <w:spacing w:line="360" w:lineRule="auto"/>
        <w:ind w:firstLine="720"/>
        <w:jc w:val="both"/>
        <w:rPr>
          <w:sz w:val="24"/>
          <w:szCs w:val="24"/>
        </w:rPr>
      </w:pPr>
      <w:r w:rsidRPr="00FE2305">
        <w:rPr>
          <w:rFonts w:eastAsia="Times New Roman"/>
          <w:sz w:val="24"/>
        </w:rPr>
        <w:t>De acordo com Conceição</w:t>
      </w:r>
      <w:r w:rsidR="00943A1D">
        <w:rPr>
          <w:rFonts w:eastAsia="Times New Roman"/>
          <w:sz w:val="24"/>
        </w:rPr>
        <w:t>,</w:t>
      </w:r>
      <w:r w:rsidRPr="00FE2305">
        <w:rPr>
          <w:rFonts w:eastAsia="Times New Roman"/>
          <w:sz w:val="24"/>
        </w:rPr>
        <w:t xml:space="preserve"> </w:t>
      </w:r>
      <w:proofErr w:type="spellStart"/>
      <w:r w:rsidRPr="00FE2305">
        <w:rPr>
          <w:rFonts w:eastAsia="Times New Roman"/>
          <w:sz w:val="24"/>
        </w:rPr>
        <w:t>Cislaghi</w:t>
      </w:r>
      <w:proofErr w:type="spellEnd"/>
      <w:r w:rsidRPr="00FE2305">
        <w:rPr>
          <w:rFonts w:eastAsia="Times New Roman"/>
          <w:sz w:val="24"/>
        </w:rPr>
        <w:t xml:space="preserve"> e Teixeira (2012, p. 110), “apesar do avanço representado pela aprovação da EC nº 29, ao definir a vinculação de recursos entre as três esferas de governo e ao fortalecer o papel de controle e fiscalização dos Conselhos de Saúde”, é importante destacar que a emenda não especificou “a origem dos recursos, além de não determinar a proporção destinada a cada política dentro da seguridade social, desconsiderando as disputas existentes nesse contexto”.</w:t>
      </w:r>
    </w:p>
    <w:p w14:paraId="71CC317F" w14:textId="77777777" w:rsidR="00A44A5D" w:rsidRPr="00FE2305" w:rsidRDefault="00A44A5D" w:rsidP="00A44A5D">
      <w:pPr>
        <w:spacing w:line="360" w:lineRule="auto"/>
        <w:ind w:firstLine="720"/>
        <w:jc w:val="both"/>
        <w:rPr>
          <w:sz w:val="24"/>
          <w:szCs w:val="24"/>
        </w:rPr>
      </w:pPr>
      <w:r w:rsidRPr="00FE2305">
        <w:rPr>
          <w:rFonts w:eastAsia="Times New Roman"/>
          <w:sz w:val="24"/>
        </w:rPr>
        <w:t>Conforme pesquisa conduzida por Piola, Benevides e Viera (2018), embora a área da saúde tenha sofrido perdas orçamentárias devido a estratégias adotadas pelos governos em diferentes níveis da federação, a EC 29, juntamente com sua regulamentação pela LC 141/12, ainda assim contribuiu para a ampliação dos recursos públicos destinados ao financiamento do SUS.</w:t>
      </w:r>
    </w:p>
    <w:p w14:paraId="4193D2A4" w14:textId="5E01FA1D" w:rsidR="00A44A5D" w:rsidRPr="00FE2305" w:rsidRDefault="00860F41" w:rsidP="00EE3BB0">
      <w:pPr>
        <w:spacing w:line="360" w:lineRule="auto"/>
        <w:ind w:firstLine="720"/>
        <w:jc w:val="both"/>
        <w:rPr>
          <w:sz w:val="24"/>
          <w:szCs w:val="24"/>
          <w:shd w:val="clear" w:color="auto" w:fill="FFFFFF"/>
        </w:rPr>
      </w:pPr>
      <w:r w:rsidRPr="00FE2305">
        <w:rPr>
          <w:rFonts w:eastAsia="Times New Roman"/>
          <w:sz w:val="24"/>
        </w:rPr>
        <w:t xml:space="preserve">Em 2012, </w:t>
      </w:r>
      <w:r w:rsidR="00943A1D">
        <w:rPr>
          <w:rFonts w:eastAsia="Times New Roman"/>
          <w:sz w:val="24"/>
        </w:rPr>
        <w:t>por meio</w:t>
      </w:r>
      <w:r w:rsidRPr="00FE2305">
        <w:rPr>
          <w:rFonts w:eastAsia="Times New Roman"/>
          <w:sz w:val="24"/>
        </w:rPr>
        <w:t xml:space="preserve"> de projeto de iniciativa popular, encabeçado pelo Movimento Nacional em Defesa da Saúde Pública (Movimento +10) do Conselho Nacional de Saúde</w:t>
      </w:r>
      <w:r w:rsidR="006E5BED">
        <w:rPr>
          <w:rFonts w:eastAsia="Times New Roman"/>
          <w:sz w:val="24"/>
        </w:rPr>
        <w:t xml:space="preserve"> (CNS)</w:t>
      </w:r>
      <w:r w:rsidRPr="00FE2305">
        <w:rPr>
          <w:rFonts w:eastAsia="Times New Roman"/>
          <w:sz w:val="24"/>
        </w:rPr>
        <w:t>, preconizava 10% da Receita Corrente Bruta (RCB) da União para a saúde. Esse projeto coletou mais de 2 milhões de assinaturas (PLP 321/2013) e após foi arquivado em função da aprovação da Emenda Constitucional (EC) 86 de 2015. A pressão dos movimentos sociais foi fundamental para que houvesse articulação da área econômica do governo federal em torno da aprovação da EC86. Essa lei estabeleceu para o financiamento do SUS, um percentual das Receitas Correntes Líquida (RCL) da União. O percentual começaria a 15% em 2020.</w:t>
      </w:r>
    </w:p>
    <w:p w14:paraId="5F04C102" w14:textId="7BFD838A" w:rsidR="00860F41" w:rsidRPr="00FE2305" w:rsidRDefault="00860F41" w:rsidP="00EE3BB0">
      <w:pPr>
        <w:spacing w:line="360" w:lineRule="auto"/>
        <w:ind w:firstLine="720"/>
        <w:jc w:val="both"/>
        <w:rPr>
          <w:sz w:val="24"/>
          <w:szCs w:val="24"/>
        </w:rPr>
      </w:pPr>
      <w:r w:rsidRPr="00FE2305">
        <w:rPr>
          <w:rFonts w:eastAsia="Times New Roman"/>
          <w:sz w:val="24"/>
        </w:rPr>
        <w:lastRenderedPageBreak/>
        <w:t>Já grande parte dos movimentos organizados da sociedade civil em torno da defesa do financiamento do SUS (Movimento Saúde +10) à época defenderam que a vinculação alcançasse 10% da Receita Corrente Bruta (RCB) da União, como piso da esfera federal para compor o financiamento do SUS. Com esta aprovação a garantia conquistada na EC 29/2000 de que os recursos do SUS não seriam reduzidos de um ano para o outro, tendo como referência a atualização do valor aplicado no ano anterior pela variação nominal do PIB, foi perdida com a nova regra de cálculo do piso que passou a ser as Receitas Correntes Líquidas (RCL), a saber: 15% da Receita Corrente Líquida (RCL) da União, a ser implementado de forma escalonada e progressiva, em cinco anos: 13,2% em 2016; 13,7% em 2017; 14,1% em 2018; 14,5% em 2019; e 15,0% em 2020 (S</w:t>
      </w:r>
      <w:r w:rsidR="005E1465">
        <w:rPr>
          <w:rFonts w:eastAsia="Times New Roman"/>
          <w:sz w:val="24"/>
        </w:rPr>
        <w:t>alvador</w:t>
      </w:r>
      <w:r w:rsidRPr="00FE2305">
        <w:rPr>
          <w:rFonts w:eastAsia="Times New Roman"/>
          <w:sz w:val="24"/>
        </w:rPr>
        <w:t>, 2020).</w:t>
      </w:r>
    </w:p>
    <w:p w14:paraId="546D44FD" w14:textId="77777777" w:rsidR="0011676D" w:rsidRPr="00FE2305" w:rsidRDefault="0011676D" w:rsidP="00EE3BB0">
      <w:pPr>
        <w:spacing w:line="360" w:lineRule="auto"/>
        <w:ind w:firstLine="720"/>
        <w:jc w:val="both"/>
        <w:rPr>
          <w:b/>
          <w:bCs/>
          <w:sz w:val="24"/>
          <w:szCs w:val="24"/>
        </w:rPr>
      </w:pPr>
    </w:p>
    <w:p w14:paraId="7EFC80E3" w14:textId="77777777" w:rsidR="00834C93" w:rsidRPr="005F21A5" w:rsidRDefault="00834C93" w:rsidP="005E1465">
      <w:pPr>
        <w:spacing w:line="360" w:lineRule="auto"/>
        <w:jc w:val="both"/>
        <w:rPr>
          <w:b/>
          <w:bCs/>
          <w:sz w:val="24"/>
          <w:szCs w:val="24"/>
        </w:rPr>
      </w:pPr>
      <w:r w:rsidRPr="005F21A5">
        <w:rPr>
          <w:rFonts w:eastAsia="Times New Roman"/>
          <w:b/>
          <w:bCs/>
          <w:sz w:val="24"/>
        </w:rPr>
        <w:t>2.1 Do histórico subfinanciamento ao desfinanciamento do SUS e as disputas orçamentárias na atualidade</w:t>
      </w:r>
    </w:p>
    <w:p w14:paraId="37E982A5" w14:textId="77777777" w:rsidR="00C23C6F" w:rsidRPr="00FE2305" w:rsidRDefault="00C23C6F" w:rsidP="00A140F4">
      <w:pPr>
        <w:spacing w:line="360" w:lineRule="auto"/>
        <w:ind w:firstLine="720"/>
        <w:jc w:val="both"/>
        <w:rPr>
          <w:sz w:val="24"/>
          <w:szCs w:val="24"/>
        </w:rPr>
      </w:pPr>
    </w:p>
    <w:p w14:paraId="1445C94A" w14:textId="00EACE67" w:rsidR="00A140F4" w:rsidRPr="00FE2305" w:rsidRDefault="00A140F4" w:rsidP="00A140F4">
      <w:pPr>
        <w:spacing w:line="360" w:lineRule="auto"/>
        <w:ind w:firstLine="720"/>
        <w:jc w:val="both"/>
        <w:rPr>
          <w:sz w:val="24"/>
          <w:szCs w:val="24"/>
        </w:rPr>
      </w:pPr>
      <w:r w:rsidRPr="00FE2305">
        <w:rPr>
          <w:rFonts w:eastAsia="Times New Roman"/>
          <w:sz w:val="24"/>
        </w:rPr>
        <w:t xml:space="preserve">O SUS, desde sua implementação, passou por processos econômicos, políticos, gerenciais e financeiros que o descaracterizaram enquanto política universal, estatal e pública, sendo o subfinanciamento crônico e, (mais recentemente) o desfinanciamento e a intensificação de sua privatização, as características mais destacadas. Assim, o que se evidencia é que seu orçamento está aquém do necessário para sua universalização e </w:t>
      </w:r>
      <w:r w:rsidR="006E5BED">
        <w:rPr>
          <w:rFonts w:eastAsia="Times New Roman"/>
          <w:sz w:val="24"/>
        </w:rPr>
        <w:t xml:space="preserve">para a </w:t>
      </w:r>
      <w:r w:rsidRPr="00FE2305">
        <w:rPr>
          <w:rFonts w:eastAsia="Times New Roman"/>
          <w:sz w:val="24"/>
        </w:rPr>
        <w:t>garantia de princípios constitucionais.</w:t>
      </w:r>
    </w:p>
    <w:p w14:paraId="5447CB16" w14:textId="77777777" w:rsidR="00A55814" w:rsidRPr="00FE2305" w:rsidRDefault="00A55814" w:rsidP="00A140F4">
      <w:pPr>
        <w:spacing w:line="360" w:lineRule="auto"/>
        <w:ind w:firstLine="720"/>
        <w:jc w:val="both"/>
        <w:rPr>
          <w:sz w:val="24"/>
          <w:szCs w:val="24"/>
        </w:rPr>
      </w:pPr>
      <w:r w:rsidRPr="00FE2305">
        <w:rPr>
          <w:rFonts w:eastAsia="Times New Roman"/>
          <w:sz w:val="24"/>
        </w:rPr>
        <w:t>Em 2025 completamos 10 anos da aprovação da EC 86/2015 que veio por objetivo corrigir distorções no financiamento da saúde, aumentar recursos para o SUS e garantir a previsibilidade orçamentária. Essa emenda estabeleceu a determinação da execução orçamentária obrigatória de emendas parlamentares individuais equivalente a 1,2% da RCL, sendo 50% (0,6% da RCL) em ações e serviços públicos de saúde (ASPS) e regulamentou o piso constitucional de 15% da RCL para o SUS.</w:t>
      </w:r>
    </w:p>
    <w:p w14:paraId="66B4318D" w14:textId="4A1A9616" w:rsidR="006E5BED" w:rsidRPr="00AD360F" w:rsidRDefault="009108EB" w:rsidP="00AD360F">
      <w:pPr>
        <w:spacing w:line="360" w:lineRule="auto"/>
        <w:ind w:firstLine="720"/>
        <w:jc w:val="both"/>
        <w:rPr>
          <w:b/>
          <w:sz w:val="24"/>
          <w:szCs w:val="24"/>
        </w:rPr>
      </w:pPr>
      <w:r w:rsidRPr="00FE2305">
        <w:rPr>
          <w:rFonts w:eastAsia="Times New Roman"/>
          <w:sz w:val="24"/>
        </w:rPr>
        <w:t xml:space="preserve">Com a vigência da EC 95/2016 a regra constitucional estabelecida de 15% da RCL para o financiamento da saúde foi desconsiderada e se redefiniu o piso da </w:t>
      </w:r>
      <w:r w:rsidRPr="00FE2305">
        <w:rPr>
          <w:rFonts w:eastAsia="Times New Roman"/>
          <w:sz w:val="24"/>
        </w:rPr>
        <w:lastRenderedPageBreak/>
        <w:t>participação federal do SUS de acordo com novos parâmetros. Nesse período, conforme</w:t>
      </w:r>
      <w:r w:rsidR="007C75FD">
        <w:rPr>
          <w:rFonts w:eastAsia="Times New Roman"/>
          <w:sz w:val="24"/>
        </w:rPr>
        <w:t xml:space="preserve"> a</w:t>
      </w:r>
      <w:r w:rsidRPr="00FE2305">
        <w:rPr>
          <w:rFonts w:eastAsia="Times New Roman"/>
          <w:sz w:val="24"/>
        </w:rPr>
        <w:t xml:space="preserve"> tabela </w:t>
      </w:r>
      <w:r w:rsidR="007C75FD">
        <w:rPr>
          <w:rFonts w:eastAsia="Times New Roman"/>
          <w:sz w:val="24"/>
        </w:rPr>
        <w:t>1</w:t>
      </w:r>
      <w:r w:rsidRPr="00FE2305">
        <w:rPr>
          <w:rFonts w:eastAsia="Times New Roman"/>
          <w:sz w:val="24"/>
        </w:rPr>
        <w:t>, o SUS perdeu espaço no orçamento da Seguridade Social, devido ao congelamento das despesas primárias da União até 2036, o que significou além do histórico subfinanciamento, um desfinanciamento do SUS.</w:t>
      </w:r>
    </w:p>
    <w:p w14:paraId="7A43B456" w14:textId="4AFCFE4A" w:rsidR="008E603F" w:rsidRPr="006E5BED" w:rsidRDefault="008E603F" w:rsidP="00AD360F">
      <w:pPr>
        <w:spacing w:line="240" w:lineRule="auto"/>
        <w:jc w:val="center"/>
        <w:rPr>
          <w:b/>
          <w:bCs/>
          <w:sz w:val="24"/>
          <w:szCs w:val="24"/>
        </w:rPr>
      </w:pPr>
      <w:r w:rsidRPr="006E5BED">
        <w:rPr>
          <w:rFonts w:eastAsia="Times New Roman"/>
          <w:b/>
          <w:bCs/>
          <w:sz w:val="24"/>
        </w:rPr>
        <w:t>Tabela 1 – Orçamento da Seguridade Social, em R$ bilhões,</w:t>
      </w:r>
    </w:p>
    <w:p w14:paraId="126A4CD8" w14:textId="77777777" w:rsidR="00551CBB" w:rsidRPr="006E5BED" w:rsidRDefault="008E603F" w:rsidP="00AD360F">
      <w:pPr>
        <w:spacing w:line="240" w:lineRule="auto"/>
        <w:jc w:val="center"/>
        <w:rPr>
          <w:b/>
          <w:bCs/>
          <w:sz w:val="24"/>
          <w:szCs w:val="24"/>
        </w:rPr>
      </w:pPr>
      <w:r w:rsidRPr="006E5BED">
        <w:rPr>
          <w:rFonts w:eastAsia="Times New Roman"/>
          <w:b/>
          <w:bCs/>
          <w:sz w:val="24"/>
        </w:rPr>
        <w:t>a preços de dezembro de 2024 (IPCA)</w:t>
      </w:r>
    </w:p>
    <w:bookmarkStart w:id="6" w:name="_MON_1819348785"/>
    <w:bookmarkEnd w:id="6"/>
    <w:p w14:paraId="1312A8DA" w14:textId="77777777" w:rsidR="00551CBB" w:rsidRPr="00FE2305" w:rsidRDefault="002650A5" w:rsidP="008E603F">
      <w:pPr>
        <w:spacing w:line="360" w:lineRule="auto"/>
        <w:ind w:firstLine="720"/>
        <w:jc w:val="center"/>
        <w:rPr>
          <w:sz w:val="24"/>
          <w:szCs w:val="24"/>
        </w:rPr>
      </w:pPr>
      <w:r w:rsidRPr="00FE2305">
        <w:rPr>
          <w:rFonts w:eastAsia="Times New Roman"/>
          <w:sz w:val="24"/>
          <w:szCs w:val="24"/>
        </w:rPr>
        <w:object w:dxaOrig="6285" w:dyaOrig="2925" w14:anchorId="22F01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25pt;height:146.25pt" o:ole="">
            <v:imagedata r:id="rId22" o:title=""/>
          </v:shape>
          <o:OLEObject Type="Embed" ProgID="Excel.Sheet.12" ShapeID="_x0000_i1025" DrawAspect="Content" ObjectID="_1827310644" r:id="rId23"/>
        </w:object>
      </w:r>
    </w:p>
    <w:p w14:paraId="4DE47761" w14:textId="77777777" w:rsidR="008E603F" w:rsidRPr="006E5BED" w:rsidRDefault="008E603F" w:rsidP="006E5BED">
      <w:pPr>
        <w:spacing w:line="240" w:lineRule="auto"/>
        <w:ind w:left="1440" w:firstLine="720"/>
        <w:jc w:val="both"/>
        <w:rPr>
          <w:sz w:val="20"/>
          <w:szCs w:val="20"/>
        </w:rPr>
      </w:pPr>
      <w:r w:rsidRPr="006E5BED">
        <w:rPr>
          <w:rFonts w:eastAsia="Times New Roman"/>
          <w:sz w:val="20"/>
          <w:szCs w:val="20"/>
        </w:rPr>
        <w:t>Fonte: SIGA Brasil</w:t>
      </w:r>
    </w:p>
    <w:p w14:paraId="50C4A951" w14:textId="77777777" w:rsidR="008E603F" w:rsidRPr="006E5BED" w:rsidRDefault="008E603F" w:rsidP="006E5BED">
      <w:pPr>
        <w:spacing w:line="240" w:lineRule="auto"/>
        <w:ind w:left="1440" w:firstLine="720"/>
        <w:jc w:val="both"/>
        <w:rPr>
          <w:sz w:val="20"/>
          <w:szCs w:val="20"/>
        </w:rPr>
      </w:pPr>
      <w:r w:rsidRPr="006E5BED">
        <w:rPr>
          <w:rFonts w:eastAsia="Times New Roman"/>
          <w:sz w:val="20"/>
          <w:szCs w:val="20"/>
        </w:rPr>
        <w:t>Elaboração própria</w:t>
      </w:r>
    </w:p>
    <w:p w14:paraId="23A0638A" w14:textId="77777777" w:rsidR="008E603F" w:rsidRPr="006E5BED" w:rsidRDefault="008E603F" w:rsidP="006E5BED">
      <w:pPr>
        <w:spacing w:line="240" w:lineRule="auto"/>
        <w:ind w:left="1440" w:firstLine="720"/>
        <w:jc w:val="both"/>
        <w:rPr>
          <w:sz w:val="20"/>
          <w:szCs w:val="20"/>
        </w:rPr>
      </w:pPr>
      <w:r w:rsidRPr="006E5BED">
        <w:rPr>
          <w:rFonts w:eastAsia="Times New Roman"/>
          <w:sz w:val="20"/>
          <w:szCs w:val="20"/>
        </w:rPr>
        <w:t>Notas:</w:t>
      </w:r>
    </w:p>
    <w:p w14:paraId="5B177A2D" w14:textId="77777777" w:rsidR="008E603F" w:rsidRPr="006E5BED" w:rsidRDefault="008E603F" w:rsidP="006E5BED">
      <w:pPr>
        <w:numPr>
          <w:ilvl w:val="0"/>
          <w:numId w:val="1"/>
        </w:numPr>
        <w:spacing w:line="240" w:lineRule="auto"/>
        <w:jc w:val="both"/>
        <w:rPr>
          <w:sz w:val="20"/>
          <w:szCs w:val="20"/>
        </w:rPr>
      </w:pPr>
      <w:r w:rsidRPr="006E5BED">
        <w:rPr>
          <w:rFonts w:eastAsia="Times New Roman"/>
          <w:sz w:val="20"/>
          <w:szCs w:val="20"/>
        </w:rPr>
        <w:t>Exclui o refinanciamento da dívida pública.</w:t>
      </w:r>
    </w:p>
    <w:p w14:paraId="2EB6F068" w14:textId="77777777" w:rsidR="008E603F" w:rsidRPr="006E5BED" w:rsidRDefault="008E603F" w:rsidP="006E5BED">
      <w:pPr>
        <w:numPr>
          <w:ilvl w:val="0"/>
          <w:numId w:val="1"/>
        </w:numPr>
        <w:spacing w:line="240" w:lineRule="auto"/>
        <w:jc w:val="both"/>
        <w:rPr>
          <w:sz w:val="20"/>
          <w:szCs w:val="20"/>
        </w:rPr>
      </w:pPr>
      <w:r w:rsidRPr="006E5BED">
        <w:rPr>
          <w:rFonts w:eastAsia="Times New Roman"/>
          <w:sz w:val="20"/>
          <w:szCs w:val="20"/>
        </w:rPr>
        <w:t>Valores pagos no orçamento mais restos a pagar pagos.</w:t>
      </w:r>
    </w:p>
    <w:p w14:paraId="3B319A60" w14:textId="77777777" w:rsidR="008E603F" w:rsidRPr="006E5BED" w:rsidRDefault="008E603F" w:rsidP="006E5BED">
      <w:pPr>
        <w:numPr>
          <w:ilvl w:val="0"/>
          <w:numId w:val="1"/>
        </w:numPr>
        <w:spacing w:line="240" w:lineRule="auto"/>
        <w:jc w:val="both"/>
        <w:rPr>
          <w:sz w:val="20"/>
          <w:szCs w:val="20"/>
        </w:rPr>
      </w:pPr>
      <w:r w:rsidRPr="006E5BED">
        <w:rPr>
          <w:rFonts w:eastAsia="Times New Roman"/>
          <w:sz w:val="20"/>
          <w:szCs w:val="20"/>
        </w:rPr>
        <w:t>Exclui o orçamento extraordinário da “Covid 19” (EC 106/2020).</w:t>
      </w:r>
    </w:p>
    <w:p w14:paraId="78FC317C" w14:textId="77777777" w:rsidR="00551CBB" w:rsidRPr="00FE2305" w:rsidRDefault="00551CBB" w:rsidP="00834C93">
      <w:pPr>
        <w:spacing w:line="360" w:lineRule="auto"/>
        <w:ind w:firstLine="720"/>
        <w:jc w:val="both"/>
        <w:rPr>
          <w:sz w:val="24"/>
          <w:szCs w:val="24"/>
        </w:rPr>
      </w:pPr>
    </w:p>
    <w:p w14:paraId="7E034F5D" w14:textId="258475AE" w:rsidR="008630FE" w:rsidRPr="00FE2305" w:rsidRDefault="00104586" w:rsidP="00505849">
      <w:pPr>
        <w:spacing w:line="360" w:lineRule="auto"/>
        <w:ind w:firstLine="720"/>
        <w:jc w:val="both"/>
        <w:rPr>
          <w:sz w:val="24"/>
          <w:szCs w:val="24"/>
        </w:rPr>
      </w:pPr>
      <w:r w:rsidRPr="00FE2305">
        <w:rPr>
          <w:rFonts w:eastAsia="Times New Roman"/>
          <w:sz w:val="24"/>
        </w:rPr>
        <w:t>A EC 95/2016 congelou as ASPS pelo piso de 2017 e limitou a correção pelo IPCA, sob os efeitos da nova regra, a saúde passou de um orçamento de R$ 171,82 bilhões em 2016 para 162,30 bilhões. No período de 2018 a 2022 (excetuando as despesas do regime especial e extraordinário da COVID 19), as despesas com saúde saíram de 174,21 bilhões para 178,13 bilhões, o que denota uma estagnação dos gastos com saúde. Conforme Resolução nº 713, de 15 de junho de 2023, do Conselho Nacional de Saúde (CNS) entre 2018 e 2022, o SUS deixou de receber cerca de R$ 70,4 bilhões, valor que poderia ter sido investido na consolidação de uma rede de serviços públicos e universais de saúde.</w:t>
      </w:r>
    </w:p>
    <w:p w14:paraId="6008A396" w14:textId="77777777" w:rsidR="001E2357" w:rsidRPr="00FE2305" w:rsidRDefault="00E1531D" w:rsidP="00505849">
      <w:pPr>
        <w:spacing w:line="360" w:lineRule="auto"/>
        <w:ind w:firstLine="720"/>
        <w:jc w:val="both"/>
        <w:rPr>
          <w:sz w:val="24"/>
          <w:szCs w:val="24"/>
        </w:rPr>
      </w:pPr>
      <w:r w:rsidRPr="00FE2305">
        <w:rPr>
          <w:rFonts w:eastAsia="Times New Roman"/>
          <w:sz w:val="24"/>
        </w:rPr>
        <w:t xml:space="preserve">Em 2023 passa a vigorar o mínimo constitucional dos 15% da RCL para os gastos com saúde, havendo uma recomposição do seu orçamento. Contudo, essa recomposição não significou uma retomada dos gastos com saúde no patamar das </w:t>
      </w:r>
      <w:r w:rsidRPr="00FE2305">
        <w:rPr>
          <w:rFonts w:eastAsia="Times New Roman"/>
          <w:sz w:val="24"/>
        </w:rPr>
        <w:lastRenderedPageBreak/>
        <w:t>perdas ocorridas durante a vigência da EC 95/2016. Essa tem sido uma pauta posta pelos movimentos sociais e pelo controle social.</w:t>
      </w:r>
    </w:p>
    <w:p w14:paraId="23F3B39A" w14:textId="77777777" w:rsidR="0071351B" w:rsidRDefault="0091695E" w:rsidP="0071351B">
      <w:pPr>
        <w:spacing w:line="360" w:lineRule="auto"/>
        <w:ind w:firstLine="720"/>
        <w:jc w:val="both"/>
        <w:rPr>
          <w:sz w:val="24"/>
          <w:szCs w:val="24"/>
        </w:rPr>
      </w:pPr>
      <w:r w:rsidRPr="00FE2305">
        <w:rPr>
          <w:rFonts w:eastAsia="Times New Roman"/>
          <w:sz w:val="24"/>
        </w:rPr>
        <w:t>Outro aspecto a destacar é a participação do gasto com saúde em relação às outras políticas da seguridade social. Entre 2016 e 2024, a saúde teve um crescimento de 30,96%, enquanto a previdência cresceu 14,34% e a assistência social teve um crescimento de 131,49%</w:t>
      </w:r>
      <w:r w:rsidR="0094667D">
        <w:rPr>
          <w:rFonts w:eastAsia="Times New Roman"/>
          <w:sz w:val="24"/>
        </w:rPr>
        <w:t>, conforme os dados da tabela 1</w:t>
      </w:r>
      <w:r w:rsidRPr="00FE2305">
        <w:rPr>
          <w:rFonts w:eastAsia="Times New Roman"/>
          <w:sz w:val="24"/>
        </w:rPr>
        <w:t>. Os motivos para o expressivo crescimento do orçamento da assistência social podem ser atribuídos ao momento da pandemia, em que se institui o auxílio emergencial e o momento posterior foi caracterizado por um processo eleitoral em que essa política teve centralidade.</w:t>
      </w:r>
    </w:p>
    <w:p w14:paraId="2ADD755D" w14:textId="77777777" w:rsidR="00966825" w:rsidRDefault="0071351B" w:rsidP="00966825">
      <w:pPr>
        <w:spacing w:line="360" w:lineRule="auto"/>
        <w:ind w:firstLine="720"/>
        <w:jc w:val="both"/>
        <w:rPr>
          <w:sz w:val="24"/>
          <w:szCs w:val="24"/>
        </w:rPr>
      </w:pPr>
      <w:r w:rsidRPr="0071351B">
        <w:rPr>
          <w:color w:val="000000"/>
          <w:sz w:val="24"/>
        </w:rPr>
        <w:t>A LCP/200</w:t>
      </w:r>
      <w:r w:rsidR="00691E21">
        <w:rPr>
          <w:rStyle w:val="Refdenotaderodap"/>
          <w:color w:val="000000"/>
          <w:sz w:val="24"/>
        </w:rPr>
        <w:footnoteReference w:id="11"/>
      </w:r>
      <w:r w:rsidRPr="0071351B">
        <w:rPr>
          <w:color w:val="000000"/>
          <w:sz w:val="24"/>
        </w:rPr>
        <w:t xml:space="preserve"> de 30 de agosto de 2023, conhecida como Novo Arcabouço Fiscal (NAF), foi criada como substituta da EC 95/2016, apresentando regras mais flexíveis em relação à limitação dos gastos públicos. Essa legislação introduz mecanismos que regulam a expansão das despesas, especialmente as discricionárias do orçamento público. De acordo com a nova lei, as despesas primárias, incluindo os gastos sociais do governo federal, são limitadas a 70% das receitas. Além disso, o crescimento real dessas despesas (acima do IPCA) deve ser de no máximo 2,5% ao ano e de no mínimo 0,6%. Os instrumentos estabelecidos estão alinhados às metas de superávit primário.</w:t>
      </w:r>
    </w:p>
    <w:p w14:paraId="2CFEF05B" w14:textId="77777777" w:rsidR="00521B24" w:rsidRDefault="00966825" w:rsidP="00521B24">
      <w:pPr>
        <w:spacing w:line="360" w:lineRule="auto"/>
        <w:ind w:firstLine="720"/>
        <w:jc w:val="both"/>
        <w:rPr>
          <w:sz w:val="24"/>
          <w:szCs w:val="24"/>
        </w:rPr>
      </w:pPr>
      <w:r w:rsidRPr="00966825">
        <w:rPr>
          <w:color w:val="000000"/>
          <w:sz w:val="24"/>
        </w:rPr>
        <w:t>No orçamento de 2023, surgiu uma controvérsia, que resultou em consulta ao T</w:t>
      </w:r>
      <w:r>
        <w:rPr>
          <w:color w:val="000000"/>
          <w:sz w:val="24"/>
        </w:rPr>
        <w:t>ribunal de Contas da União (T</w:t>
      </w:r>
      <w:r w:rsidRPr="00966825">
        <w:rPr>
          <w:color w:val="000000"/>
          <w:sz w:val="24"/>
        </w:rPr>
        <w:t>CU</w:t>
      </w:r>
      <w:r>
        <w:rPr>
          <w:color w:val="000000"/>
          <w:sz w:val="24"/>
        </w:rPr>
        <w:t>)</w:t>
      </w:r>
      <w:r w:rsidRPr="00966825">
        <w:rPr>
          <w:color w:val="000000"/>
          <w:sz w:val="24"/>
        </w:rPr>
        <w:t xml:space="preserve">, acerca do cumprimento do piso mínimo de 15% da RCL. Prevaleceu o entendimento de considerar como base os 15% do valor estimado no PLOA de RCL. Esse critério resultou em uma redução mínima de R$ 2,6 bilhões em 2023 e poderia alcançar até R$ 5 bilhões, ao desconsiderar restos a pagar pagos, </w:t>
      </w:r>
      <w:r w:rsidR="004D6241">
        <w:rPr>
          <w:color w:val="000000"/>
          <w:sz w:val="24"/>
        </w:rPr>
        <w:t>que foi no sentido contrário</w:t>
      </w:r>
      <w:r w:rsidRPr="00966825">
        <w:rPr>
          <w:color w:val="000000"/>
          <w:sz w:val="24"/>
        </w:rPr>
        <w:t xml:space="preserve"> </w:t>
      </w:r>
      <w:r w:rsidR="004D6241">
        <w:rPr>
          <w:color w:val="000000"/>
          <w:sz w:val="24"/>
        </w:rPr>
        <w:t>d</w:t>
      </w:r>
      <w:r w:rsidRPr="00966825">
        <w:rPr>
          <w:color w:val="000000"/>
          <w:sz w:val="24"/>
        </w:rPr>
        <w:t>a Recomendação 016/2023 do Conselho Nacional de Saúde (CNS).</w:t>
      </w:r>
    </w:p>
    <w:p w14:paraId="4F683567" w14:textId="613578D1" w:rsidR="00B4406F" w:rsidRPr="00521B24" w:rsidRDefault="00521B24" w:rsidP="00521B24">
      <w:pPr>
        <w:spacing w:line="360" w:lineRule="auto"/>
        <w:ind w:firstLine="720"/>
        <w:jc w:val="both"/>
        <w:rPr>
          <w:sz w:val="24"/>
          <w:szCs w:val="24"/>
        </w:rPr>
      </w:pPr>
      <w:r w:rsidRPr="00521B24">
        <w:rPr>
          <w:color w:val="000000"/>
          <w:sz w:val="24"/>
        </w:rPr>
        <w:lastRenderedPageBreak/>
        <w:t xml:space="preserve">Em prazos superiores ao antigo teto dos gastos (EC 95), o </w:t>
      </w:r>
      <w:r>
        <w:rPr>
          <w:color w:val="000000"/>
          <w:sz w:val="24"/>
        </w:rPr>
        <w:t>NAF</w:t>
      </w:r>
      <w:r w:rsidRPr="00521B24">
        <w:rPr>
          <w:color w:val="000000"/>
          <w:sz w:val="24"/>
        </w:rPr>
        <w:t xml:space="preserve"> enfrentará desafios semelhantes, especialmente devido ao crescimento dos gastos constitucionais com benefícios previdenciários e à reintrodução dos pisos constitucionais de educação e saúde, que tendem a aumentar mais do que as despesas discricionárias sujeitas às novas regras. </w:t>
      </w:r>
      <w:r w:rsidR="000C1DB6">
        <w:rPr>
          <w:color w:val="000000"/>
          <w:sz w:val="24"/>
        </w:rPr>
        <w:t>As despesas discricionárias</w:t>
      </w:r>
      <w:r w:rsidRPr="00521B24">
        <w:rPr>
          <w:color w:val="000000"/>
          <w:sz w:val="24"/>
        </w:rPr>
        <w:t xml:space="preserve"> serão as primeiras a serem submetidas ao contingenciamento de recursos, mesmo representando uma parcela significativa dos gastos sociais essenciais à garantia dos direitos previstos no artigo 6º da Constituição Federal. A Lei Complementar 200/2023 pode oferecer riscos à manutenção dos gastos mínimos obrigatórios com saúde e educação.</w:t>
      </w:r>
    </w:p>
    <w:p w14:paraId="6D180274" w14:textId="24352070" w:rsidR="005F21A5" w:rsidRPr="000C1DB6" w:rsidRDefault="00A85C1A" w:rsidP="000C1DB6">
      <w:pPr>
        <w:spacing w:line="360" w:lineRule="auto"/>
        <w:ind w:firstLine="720"/>
        <w:jc w:val="both"/>
        <w:rPr>
          <w:sz w:val="24"/>
          <w:szCs w:val="24"/>
        </w:rPr>
      </w:pPr>
      <w:r w:rsidRPr="00FE2305">
        <w:rPr>
          <w:rFonts w:eastAsia="Times New Roman"/>
          <w:sz w:val="24"/>
        </w:rPr>
        <w:t>Nos últimos anos, a utilização de emendas parlamentares tem crescido de forma exorbitante: em 2016 foram destinados à saúde, por meio de emendas parlamentares cerca de 4,31 bilhões, já em 2024</w:t>
      </w:r>
      <w:r w:rsidR="005F21A5">
        <w:rPr>
          <w:rFonts w:eastAsia="Times New Roman"/>
          <w:sz w:val="24"/>
        </w:rPr>
        <w:t xml:space="preserve"> foram</w:t>
      </w:r>
      <w:r w:rsidRPr="00FE2305">
        <w:rPr>
          <w:rFonts w:eastAsia="Times New Roman"/>
          <w:sz w:val="24"/>
        </w:rPr>
        <w:t xml:space="preserve"> 24,11 bilhões,</w:t>
      </w:r>
      <w:r w:rsidR="00703335">
        <w:rPr>
          <w:rFonts w:eastAsia="Times New Roman"/>
          <w:sz w:val="24"/>
        </w:rPr>
        <w:t xml:space="preserve"> em valores corrigidos pelo IPCA</w:t>
      </w:r>
      <w:r w:rsidR="00EB1AEB">
        <w:rPr>
          <w:rFonts w:eastAsia="Times New Roman"/>
          <w:sz w:val="24"/>
        </w:rPr>
        <w:t>, conforme a tabela 2</w:t>
      </w:r>
      <w:r w:rsidR="00703335">
        <w:rPr>
          <w:rFonts w:eastAsia="Times New Roman"/>
          <w:sz w:val="24"/>
        </w:rPr>
        <w:t>. Trata-se de um crescimento exponencial com as emendas parlamentares compondo o piso de 15% da RCL e</w:t>
      </w:r>
      <w:r w:rsidR="00EB1AEB">
        <w:rPr>
          <w:rFonts w:eastAsia="Times New Roman"/>
          <w:sz w:val="24"/>
        </w:rPr>
        <w:t xml:space="preserve"> representando 10,71% do orçamento pago na função saúde, em 2024 (tabela 2). </w:t>
      </w:r>
    </w:p>
    <w:p w14:paraId="7B95C717" w14:textId="494EBF91" w:rsidR="00135710" w:rsidRPr="005F21A5" w:rsidRDefault="00135710" w:rsidP="000C1DB6">
      <w:pPr>
        <w:spacing w:line="240" w:lineRule="auto"/>
        <w:jc w:val="center"/>
        <w:rPr>
          <w:b/>
          <w:bCs/>
          <w:sz w:val="24"/>
          <w:szCs w:val="24"/>
        </w:rPr>
      </w:pPr>
      <w:r w:rsidRPr="005F21A5">
        <w:rPr>
          <w:rFonts w:eastAsia="Times New Roman"/>
          <w:b/>
          <w:bCs/>
          <w:sz w:val="24"/>
        </w:rPr>
        <w:t>Tabela 2 – Participação da Emendas Parlamentares</w:t>
      </w:r>
    </w:p>
    <w:p w14:paraId="3C03C6D9" w14:textId="77777777" w:rsidR="00135710" w:rsidRPr="005F21A5" w:rsidRDefault="00135710" w:rsidP="000C1DB6">
      <w:pPr>
        <w:spacing w:line="240" w:lineRule="auto"/>
        <w:jc w:val="center"/>
        <w:rPr>
          <w:b/>
          <w:bCs/>
          <w:sz w:val="24"/>
          <w:szCs w:val="24"/>
        </w:rPr>
      </w:pPr>
      <w:r w:rsidRPr="005F21A5">
        <w:rPr>
          <w:rFonts w:eastAsia="Times New Roman"/>
          <w:b/>
          <w:bCs/>
          <w:sz w:val="24"/>
        </w:rPr>
        <w:t>no orçamento da saúde %</w:t>
      </w:r>
    </w:p>
    <w:bookmarkStart w:id="7" w:name="_MON_1819473353"/>
    <w:bookmarkEnd w:id="7"/>
    <w:p w14:paraId="77F058A8" w14:textId="33D5B6EF" w:rsidR="00135710" w:rsidRPr="00FE2305" w:rsidRDefault="00E0025A" w:rsidP="000C1DB6">
      <w:pPr>
        <w:spacing w:line="360" w:lineRule="auto"/>
        <w:jc w:val="center"/>
        <w:rPr>
          <w:sz w:val="24"/>
          <w:szCs w:val="24"/>
        </w:rPr>
      </w:pPr>
      <w:r w:rsidRPr="00FE2305">
        <w:rPr>
          <w:rFonts w:eastAsia="Times New Roman"/>
          <w:sz w:val="24"/>
          <w:szCs w:val="24"/>
        </w:rPr>
        <w:object w:dxaOrig="4779" w:dyaOrig="2412" w14:anchorId="6F3F4796">
          <v:shape id="_x0000_i1026" type="#_x0000_t75" style="width:249.75pt;height:120.75pt" o:ole="">
            <v:imagedata r:id="rId24" o:title=""/>
          </v:shape>
          <o:OLEObject Type="Embed" ProgID="Excel.Sheet.12" ShapeID="_x0000_i1026" DrawAspect="Content" ObjectID="_1827310645" r:id="rId25"/>
        </w:object>
      </w:r>
    </w:p>
    <w:p w14:paraId="5A861F76" w14:textId="77777777" w:rsidR="00135710" w:rsidRPr="005F21A5" w:rsidRDefault="00135710" w:rsidP="000C1DB6">
      <w:pPr>
        <w:spacing w:line="240" w:lineRule="auto"/>
        <w:ind w:left="1440" w:firstLine="720"/>
        <w:jc w:val="both"/>
        <w:rPr>
          <w:sz w:val="20"/>
          <w:szCs w:val="20"/>
        </w:rPr>
      </w:pPr>
      <w:r w:rsidRPr="005F21A5">
        <w:rPr>
          <w:rFonts w:eastAsia="Times New Roman"/>
          <w:sz w:val="20"/>
          <w:szCs w:val="20"/>
        </w:rPr>
        <w:t>Fonte: SIGA Brasil</w:t>
      </w:r>
    </w:p>
    <w:p w14:paraId="6671EA93" w14:textId="77777777" w:rsidR="00135710" w:rsidRPr="005F21A5" w:rsidRDefault="00135710" w:rsidP="000C1DB6">
      <w:pPr>
        <w:spacing w:line="240" w:lineRule="auto"/>
        <w:ind w:left="1440" w:firstLine="720"/>
        <w:jc w:val="both"/>
        <w:rPr>
          <w:sz w:val="20"/>
          <w:szCs w:val="20"/>
        </w:rPr>
      </w:pPr>
      <w:r w:rsidRPr="005F21A5">
        <w:rPr>
          <w:rFonts w:eastAsia="Times New Roman"/>
          <w:sz w:val="20"/>
          <w:szCs w:val="20"/>
        </w:rPr>
        <w:t>Elaboração própria</w:t>
      </w:r>
    </w:p>
    <w:p w14:paraId="2E1CEF77" w14:textId="77777777" w:rsidR="0004226C" w:rsidRDefault="00135710" w:rsidP="0004226C">
      <w:pPr>
        <w:spacing w:line="240" w:lineRule="auto"/>
        <w:ind w:left="1440" w:firstLine="720"/>
        <w:jc w:val="both"/>
        <w:rPr>
          <w:sz w:val="20"/>
          <w:szCs w:val="20"/>
        </w:rPr>
      </w:pPr>
      <w:r w:rsidRPr="005F21A5">
        <w:rPr>
          <w:rFonts w:eastAsia="Times New Roman"/>
          <w:sz w:val="20"/>
          <w:szCs w:val="20"/>
        </w:rPr>
        <w:t>Notas:</w:t>
      </w:r>
    </w:p>
    <w:p w14:paraId="7975AD42" w14:textId="77777777" w:rsidR="0004226C" w:rsidRDefault="0004226C" w:rsidP="0004226C">
      <w:pPr>
        <w:spacing w:line="240" w:lineRule="auto"/>
        <w:ind w:left="1440" w:firstLine="720"/>
        <w:jc w:val="both"/>
        <w:rPr>
          <w:sz w:val="20"/>
          <w:szCs w:val="20"/>
        </w:rPr>
      </w:pPr>
      <w:r>
        <w:rPr>
          <w:sz w:val="20"/>
          <w:szCs w:val="20"/>
        </w:rPr>
        <w:t xml:space="preserve">1) </w:t>
      </w:r>
      <w:r w:rsidR="00135710" w:rsidRPr="005F21A5">
        <w:rPr>
          <w:rFonts w:eastAsia="Times New Roman"/>
          <w:sz w:val="20"/>
          <w:szCs w:val="20"/>
        </w:rPr>
        <w:t>Valores deflacionados pelo IPCA, a preços de dez/2024.</w:t>
      </w:r>
    </w:p>
    <w:p w14:paraId="6E8BB1AC" w14:textId="16F2B8AD" w:rsidR="00135710" w:rsidRPr="005F21A5" w:rsidRDefault="0004226C" w:rsidP="0004226C">
      <w:pPr>
        <w:spacing w:line="240" w:lineRule="auto"/>
        <w:ind w:left="1440" w:firstLine="720"/>
        <w:jc w:val="both"/>
        <w:rPr>
          <w:sz w:val="20"/>
          <w:szCs w:val="20"/>
        </w:rPr>
      </w:pPr>
      <w:r>
        <w:rPr>
          <w:sz w:val="20"/>
          <w:szCs w:val="20"/>
        </w:rPr>
        <w:t xml:space="preserve">2) </w:t>
      </w:r>
      <w:r w:rsidR="00135710" w:rsidRPr="005F21A5">
        <w:rPr>
          <w:rFonts w:eastAsia="Times New Roman"/>
          <w:sz w:val="20"/>
          <w:szCs w:val="20"/>
        </w:rPr>
        <w:t>Valores pagos mais restos a pagar pagos.</w:t>
      </w:r>
    </w:p>
    <w:p w14:paraId="002C0C7F" w14:textId="77777777" w:rsidR="00135710" w:rsidRPr="00FE2305" w:rsidRDefault="00135710" w:rsidP="00834C93">
      <w:pPr>
        <w:spacing w:line="360" w:lineRule="auto"/>
        <w:ind w:firstLine="720"/>
        <w:jc w:val="both"/>
        <w:rPr>
          <w:sz w:val="24"/>
          <w:szCs w:val="24"/>
        </w:rPr>
      </w:pPr>
    </w:p>
    <w:p w14:paraId="34E8251A" w14:textId="77777777" w:rsidR="00D90ED9" w:rsidRPr="00FE2305" w:rsidRDefault="002650A5" w:rsidP="002650A5">
      <w:pPr>
        <w:spacing w:line="360" w:lineRule="auto"/>
        <w:ind w:firstLine="720"/>
        <w:jc w:val="both"/>
        <w:rPr>
          <w:sz w:val="24"/>
          <w:szCs w:val="24"/>
        </w:rPr>
      </w:pPr>
      <w:r w:rsidRPr="00FE2305">
        <w:rPr>
          <w:rFonts w:eastAsia="Times New Roman"/>
          <w:sz w:val="24"/>
        </w:rPr>
        <w:t xml:space="preserve">As preocupações decorrentes estão relacionadas aos impactos negativos da falta de transparência da aplicação desses recursos na saúde, na eficiência e na </w:t>
      </w:r>
      <w:r w:rsidRPr="00FE2305">
        <w:rPr>
          <w:rFonts w:eastAsia="Times New Roman"/>
          <w:sz w:val="24"/>
        </w:rPr>
        <w:lastRenderedPageBreak/>
        <w:t>equidade das políticas de saúde. Outro aspecto a ser destacado é que há uma fragilização do planejamento estratégico do SUS, que pode vir a comprometer a execução de políticas previstas nos planos estabelecidos pela gestão.</w:t>
      </w:r>
    </w:p>
    <w:p w14:paraId="48E41C6E" w14:textId="77777777" w:rsidR="002650A5" w:rsidRPr="00FE2305" w:rsidRDefault="002650A5" w:rsidP="002650A5">
      <w:pPr>
        <w:spacing w:line="360" w:lineRule="auto"/>
        <w:ind w:firstLine="720"/>
        <w:jc w:val="both"/>
        <w:rPr>
          <w:sz w:val="24"/>
          <w:szCs w:val="24"/>
        </w:rPr>
      </w:pPr>
      <w:r w:rsidRPr="00FE2305">
        <w:rPr>
          <w:rFonts w:eastAsia="Times New Roman"/>
          <w:sz w:val="24"/>
          <w:szCs w:val="24"/>
        </w:rPr>
        <w:t xml:space="preserve">  </w:t>
      </w:r>
    </w:p>
    <w:p w14:paraId="722382D9" w14:textId="77777777" w:rsidR="004F776F" w:rsidRPr="005F21A5" w:rsidRDefault="004F776F" w:rsidP="004F776F">
      <w:pPr>
        <w:spacing w:line="360" w:lineRule="auto"/>
        <w:jc w:val="both"/>
        <w:rPr>
          <w:b/>
          <w:bCs/>
          <w:sz w:val="24"/>
          <w:szCs w:val="24"/>
        </w:rPr>
      </w:pPr>
      <w:r w:rsidRPr="005F21A5">
        <w:rPr>
          <w:rFonts w:eastAsia="Times New Roman"/>
          <w:b/>
          <w:bCs/>
          <w:sz w:val="24"/>
        </w:rPr>
        <w:t>3 CONCLUSÃO</w:t>
      </w:r>
    </w:p>
    <w:p w14:paraId="575FA555" w14:textId="77777777" w:rsidR="004F776F" w:rsidRPr="00FE2305" w:rsidRDefault="004F776F" w:rsidP="004F776F">
      <w:pPr>
        <w:spacing w:line="360" w:lineRule="auto"/>
        <w:jc w:val="both"/>
        <w:rPr>
          <w:sz w:val="24"/>
          <w:szCs w:val="24"/>
        </w:rPr>
      </w:pPr>
    </w:p>
    <w:p w14:paraId="0B569A4E" w14:textId="458C0AEA" w:rsidR="00372205" w:rsidRPr="00FE2305" w:rsidRDefault="00372205" w:rsidP="00372205">
      <w:pPr>
        <w:spacing w:line="360" w:lineRule="auto"/>
        <w:ind w:firstLine="720"/>
        <w:jc w:val="both"/>
        <w:rPr>
          <w:sz w:val="24"/>
          <w:szCs w:val="24"/>
        </w:rPr>
      </w:pPr>
      <w:r w:rsidRPr="00FE2305">
        <w:rPr>
          <w:rFonts w:eastAsia="Times New Roman"/>
          <w:sz w:val="24"/>
        </w:rPr>
        <w:t>A análise apresentada permite afirmar que o financiamento do SUS segue atravessado por um processo contínuo de subfinanciamento, que se aprofunda em períodos de austeridade fiscal e reformas institucionais. A partir da EC 95/2016, os limites impostos aos gastos sociais produziram um desfinanciamento concreto, com perdas significativas para a saúde pública. Mesmo a substituição por um novo regime fiscal, consubstanciado na LC 200/2023, manteve restrições estruturais que inibem a expansão necessária para a consolidação de um sistema universal, integral e equitativo.</w:t>
      </w:r>
    </w:p>
    <w:p w14:paraId="146A4F72" w14:textId="77777777" w:rsidR="00372205" w:rsidRPr="00FE2305" w:rsidRDefault="00372205" w:rsidP="00372205">
      <w:pPr>
        <w:spacing w:line="360" w:lineRule="auto"/>
        <w:ind w:firstLine="720"/>
        <w:jc w:val="both"/>
        <w:rPr>
          <w:sz w:val="24"/>
          <w:szCs w:val="24"/>
        </w:rPr>
      </w:pPr>
      <w:r w:rsidRPr="00FE2305">
        <w:rPr>
          <w:rFonts w:eastAsia="Times New Roman"/>
          <w:sz w:val="24"/>
        </w:rPr>
        <w:t>Paralelamente, cresce a presença do setor privado no interior do SUS, seja pela ampliação das parcerias público-privadas, seja pela crescente destinação de recursos às Organizações Sociais, ao mesmo tempo em que as emendas parlamentares ganham centralidade na definição das prioridades orçamentárias. Esse cenário fragiliza o planejamento estratégico do sistema e coloca em risco a efetividade de seus princípios constitucionais.</w:t>
      </w:r>
    </w:p>
    <w:p w14:paraId="4D76893A" w14:textId="77777777" w:rsidR="00372205" w:rsidRPr="00FE2305" w:rsidRDefault="00372205" w:rsidP="00372205">
      <w:pPr>
        <w:spacing w:line="360" w:lineRule="auto"/>
        <w:ind w:firstLine="720"/>
        <w:jc w:val="both"/>
        <w:rPr>
          <w:sz w:val="24"/>
          <w:szCs w:val="24"/>
        </w:rPr>
      </w:pPr>
      <w:r w:rsidRPr="00FE2305">
        <w:rPr>
          <w:rFonts w:eastAsia="Times New Roman"/>
          <w:sz w:val="24"/>
        </w:rPr>
        <w:t>Frente a isso, a defesa do financiamento público do SUS exige a convergência de esforços entre conselhos de saúde e movimentos sociais, em torno de pautas que vão desde a recomposição das perdas orçamentárias provocadas pela EC 95 até a revisão de mecanismos de renúncias tributárias e subsídios ao setor privado. A mobilização social e o fortalecimento do controle democrático sobre os recursos do fundo público aparecem, portanto, como condições fundamentais para frear a lógica da mercantilização da saúde e reafirmar o SUS como direito de cidadania e política pública essencial à vida da população.</w:t>
      </w:r>
    </w:p>
    <w:p w14:paraId="3164C76E" w14:textId="77777777" w:rsidR="004F776F" w:rsidRPr="00FE2305" w:rsidRDefault="004F776F" w:rsidP="00510834">
      <w:pPr>
        <w:spacing w:line="360" w:lineRule="auto"/>
        <w:rPr>
          <w:b/>
          <w:sz w:val="24"/>
          <w:szCs w:val="24"/>
        </w:rPr>
      </w:pPr>
    </w:p>
    <w:p w14:paraId="02438B26" w14:textId="288B86DB" w:rsidR="004F776F" w:rsidRPr="005F21A5" w:rsidRDefault="004F776F" w:rsidP="005F21A5">
      <w:pPr>
        <w:spacing w:line="360" w:lineRule="auto"/>
        <w:jc w:val="both"/>
        <w:rPr>
          <w:b/>
          <w:bCs/>
          <w:sz w:val="24"/>
          <w:szCs w:val="24"/>
        </w:rPr>
      </w:pPr>
      <w:r w:rsidRPr="005F21A5">
        <w:rPr>
          <w:rFonts w:eastAsia="Times New Roman"/>
          <w:b/>
          <w:bCs/>
          <w:sz w:val="24"/>
        </w:rPr>
        <w:lastRenderedPageBreak/>
        <w:t xml:space="preserve">REFERÊNCIAS </w:t>
      </w:r>
    </w:p>
    <w:p w14:paraId="743DEF84" w14:textId="77777777" w:rsidR="004F776F" w:rsidRDefault="004F776F" w:rsidP="004F776F">
      <w:pPr>
        <w:spacing w:line="360" w:lineRule="auto"/>
        <w:jc w:val="both"/>
        <w:rPr>
          <w:sz w:val="24"/>
          <w:szCs w:val="24"/>
        </w:rPr>
      </w:pPr>
    </w:p>
    <w:p w14:paraId="70B6C6ED" w14:textId="77777777" w:rsidR="00A839C3" w:rsidRDefault="00A839C3" w:rsidP="00A839C3">
      <w:pPr>
        <w:spacing w:line="240" w:lineRule="auto"/>
        <w:jc w:val="both"/>
        <w:rPr>
          <w:sz w:val="24"/>
          <w:szCs w:val="24"/>
        </w:rPr>
      </w:pPr>
      <w:r w:rsidRPr="00701EEE">
        <w:rPr>
          <w:sz w:val="24"/>
          <w:szCs w:val="24"/>
        </w:rPr>
        <w:t xml:space="preserve">BRASIL. </w:t>
      </w:r>
      <w:r w:rsidRPr="00701EEE">
        <w:rPr>
          <w:b/>
          <w:bCs/>
          <w:sz w:val="24"/>
          <w:szCs w:val="24"/>
        </w:rPr>
        <w:t>Emenda Constitucional nº 95</w:t>
      </w:r>
      <w:r w:rsidRPr="00701EEE">
        <w:rPr>
          <w:sz w:val="24"/>
          <w:szCs w:val="24"/>
        </w:rPr>
        <w:t xml:space="preserve">, de 15 dezembro de 2016. Altera o Ato das Disposições Constitucionais Transitórias, para instituir o Novo Regime Fiscal, e dá outras providências. Diário Oficial da União, Brasília, Seção 1, 15 dez. 2016. </w:t>
      </w:r>
    </w:p>
    <w:p w14:paraId="2EFA67F6" w14:textId="77777777" w:rsidR="00A839C3" w:rsidRDefault="00A839C3" w:rsidP="00A839C3">
      <w:pPr>
        <w:spacing w:line="240" w:lineRule="auto"/>
        <w:jc w:val="both"/>
        <w:rPr>
          <w:sz w:val="24"/>
          <w:szCs w:val="24"/>
        </w:rPr>
      </w:pPr>
    </w:p>
    <w:p w14:paraId="57731791" w14:textId="77777777" w:rsidR="00A839C3" w:rsidRDefault="00A839C3" w:rsidP="00A839C3">
      <w:pPr>
        <w:spacing w:line="240" w:lineRule="auto"/>
        <w:jc w:val="both"/>
        <w:rPr>
          <w:sz w:val="24"/>
          <w:szCs w:val="24"/>
        </w:rPr>
      </w:pPr>
      <w:r w:rsidRPr="00701EEE">
        <w:rPr>
          <w:sz w:val="24"/>
          <w:szCs w:val="24"/>
        </w:rPr>
        <w:t xml:space="preserve">BRASIL. </w:t>
      </w:r>
      <w:r w:rsidRPr="00701EEE">
        <w:rPr>
          <w:b/>
          <w:bCs/>
          <w:sz w:val="24"/>
          <w:szCs w:val="24"/>
        </w:rPr>
        <w:t>Lei Complementar nº 200</w:t>
      </w:r>
      <w:r w:rsidRPr="00701EEE">
        <w:rPr>
          <w:sz w:val="24"/>
          <w:szCs w:val="24"/>
        </w:rPr>
        <w:t xml:space="preserve">, de 30 de agosto de 2023. Institui regime fiscal sustentável para garantir a estabilidade macroeconômica do País e criar as condições adequadas ao crescimento socioeconômico, com fundamento no art. 6º da Emenda Constitucional nº 126, de 21 de dezembro de 2022, e no inciso VIII do </w:t>
      </w:r>
      <w:r w:rsidRPr="00701EEE">
        <w:rPr>
          <w:i/>
          <w:iCs/>
          <w:sz w:val="24"/>
          <w:szCs w:val="24"/>
        </w:rPr>
        <w:t xml:space="preserve">caput </w:t>
      </w:r>
      <w:r w:rsidRPr="00701EEE">
        <w:rPr>
          <w:sz w:val="24"/>
          <w:szCs w:val="24"/>
        </w:rPr>
        <w:t>e no parágrafo único do art. 163 da Constituição Federal; e altera a Lei Complementar nº 101, de 4 de maio de 2000 (Lei de Responsabilidade Fiscal). Diário Oficial da União, Brasília, Seção 1, 22 ago. 2023.</w:t>
      </w:r>
    </w:p>
    <w:p w14:paraId="51523407" w14:textId="77777777" w:rsidR="00A839C3" w:rsidRDefault="00A839C3" w:rsidP="00A839C3">
      <w:pPr>
        <w:spacing w:before="100" w:beforeAutospacing="1" w:after="100" w:afterAutospacing="1" w:line="240" w:lineRule="auto"/>
        <w:jc w:val="both"/>
        <w:rPr>
          <w:sz w:val="24"/>
          <w:szCs w:val="24"/>
        </w:rPr>
      </w:pPr>
      <w:r w:rsidRPr="00A839C3">
        <w:rPr>
          <w:sz w:val="24"/>
          <w:szCs w:val="24"/>
        </w:rPr>
        <w:t xml:space="preserve">BRASIL. Conselho Nacional de Saúde. </w:t>
      </w:r>
      <w:r w:rsidRPr="00A839C3">
        <w:rPr>
          <w:b/>
          <w:bCs/>
          <w:sz w:val="24"/>
          <w:szCs w:val="24"/>
        </w:rPr>
        <w:t>Resolução nº 713</w:t>
      </w:r>
      <w:r w:rsidRPr="00A839C3">
        <w:rPr>
          <w:sz w:val="24"/>
          <w:szCs w:val="24"/>
        </w:rPr>
        <w:t xml:space="preserve">, de 15 de junho de 2023. Aprova o Parecer Conclusivo sobre a avaliação do Relatório Quadrimestral de Prestação de Contas do 3º Quadrimestre de 2022 e do Relatório Anual de Gestão de 2022 do Ministério da Saúde. Brasília: CNS, 2023. Disponível em: </w:t>
      </w:r>
      <w:hyperlink r:id="rId26" w:tgtFrame="_new" w:history="1">
        <w:r w:rsidRPr="00A839C3">
          <w:rPr>
            <w:rStyle w:val="Hyperlink"/>
            <w:sz w:val="24"/>
            <w:szCs w:val="24"/>
          </w:rPr>
          <w:t>https://www.gov.br/conselho-nacional-de-saude/pt-br/acesso-a-informacao/legislacao/resolucoes/2023/resolucao-no-713.pdf</w:t>
        </w:r>
      </w:hyperlink>
      <w:r w:rsidRPr="00A839C3">
        <w:rPr>
          <w:sz w:val="24"/>
          <w:szCs w:val="24"/>
        </w:rPr>
        <w:t>. Acesso em: 13 maio 2025.</w:t>
      </w:r>
    </w:p>
    <w:p w14:paraId="0A4E3E95" w14:textId="2841B639" w:rsidR="002E72E5" w:rsidRDefault="00510834" w:rsidP="002E72E5">
      <w:pPr>
        <w:spacing w:before="100" w:beforeAutospacing="1" w:after="100" w:afterAutospacing="1" w:line="240" w:lineRule="auto"/>
        <w:jc w:val="both"/>
        <w:rPr>
          <w:sz w:val="24"/>
          <w:szCs w:val="24"/>
        </w:rPr>
      </w:pPr>
      <w:r w:rsidRPr="00A839C3">
        <w:rPr>
          <w:sz w:val="24"/>
          <w:szCs w:val="24"/>
        </w:rPr>
        <w:t>BRASIL. Conselho Nacional de Saúde</w:t>
      </w:r>
      <w:r w:rsidR="002E72E5" w:rsidRPr="00A839C3">
        <w:rPr>
          <w:sz w:val="24"/>
          <w:szCs w:val="24"/>
        </w:rPr>
        <w:t xml:space="preserve">. </w:t>
      </w:r>
      <w:r w:rsidR="002E72E5" w:rsidRPr="002E72E5">
        <w:rPr>
          <w:b/>
          <w:bCs/>
          <w:sz w:val="24"/>
          <w:szCs w:val="24"/>
        </w:rPr>
        <w:t>Recomendação nº 016</w:t>
      </w:r>
      <w:r w:rsidR="002E72E5" w:rsidRPr="002E72E5">
        <w:rPr>
          <w:sz w:val="24"/>
          <w:szCs w:val="24"/>
        </w:rPr>
        <w:t>, de 21 de setembro de 2023.Recomenda a não redução do valor do piso</w:t>
      </w:r>
      <w:r w:rsidR="002E72E5">
        <w:rPr>
          <w:sz w:val="24"/>
          <w:szCs w:val="24"/>
        </w:rPr>
        <w:t xml:space="preserve"> </w:t>
      </w:r>
      <w:r w:rsidR="002E72E5" w:rsidRPr="002E72E5">
        <w:rPr>
          <w:sz w:val="24"/>
          <w:szCs w:val="24"/>
        </w:rPr>
        <w:t>constitucional federal do SUS a partir de 2023.</w:t>
      </w:r>
      <w:r w:rsidR="002E72E5">
        <w:rPr>
          <w:sz w:val="24"/>
          <w:szCs w:val="24"/>
        </w:rPr>
        <w:t xml:space="preserve"> Disponível em </w:t>
      </w:r>
      <w:hyperlink r:id="rId27" w:history="1">
        <w:r w:rsidR="002E72E5" w:rsidRPr="00034F8F">
          <w:rPr>
            <w:rStyle w:val="Hyperlink"/>
            <w:sz w:val="24"/>
            <w:szCs w:val="24"/>
          </w:rPr>
          <w:t>https://www.gov.br/conselho-nacional-de-saude./pt-br/atos-normativos/recomendacoes/2023/recomendacao-no-016.pdf</w:t>
        </w:r>
      </w:hyperlink>
      <w:r w:rsidR="002E72E5">
        <w:rPr>
          <w:sz w:val="24"/>
          <w:szCs w:val="24"/>
        </w:rPr>
        <w:t xml:space="preserve"> Acesso em 1</w:t>
      </w:r>
      <w:r w:rsidR="00F56446">
        <w:rPr>
          <w:sz w:val="24"/>
          <w:szCs w:val="24"/>
        </w:rPr>
        <w:t>5 de setembro de 2025.</w:t>
      </w:r>
    </w:p>
    <w:p w14:paraId="5E240817" w14:textId="76C394A5" w:rsidR="00510834" w:rsidRDefault="00510834" w:rsidP="00510834">
      <w:pPr>
        <w:spacing w:before="100" w:beforeAutospacing="1" w:after="100" w:afterAutospacing="1" w:line="240" w:lineRule="auto"/>
        <w:jc w:val="both"/>
        <w:rPr>
          <w:sz w:val="24"/>
          <w:szCs w:val="24"/>
        </w:rPr>
      </w:pPr>
      <w:r w:rsidRPr="00A839C3">
        <w:rPr>
          <w:b/>
          <w:bCs/>
          <w:sz w:val="24"/>
          <w:szCs w:val="24"/>
        </w:rPr>
        <w:t>Resolução nº 713</w:t>
      </w:r>
      <w:r w:rsidRPr="00A839C3">
        <w:rPr>
          <w:sz w:val="24"/>
          <w:szCs w:val="24"/>
        </w:rPr>
        <w:t xml:space="preserve">, de 15 de junho de 2023. Aprova o Parecer Conclusivo sobre a avaliação do Relatório Quadrimestral de Prestação de Contas do 3º Quadrimestre de 2022 e do Relatório Anual de Gestão de 2022 do Ministério da Saúde. Brasília: CNS, 2023. Disponível em: </w:t>
      </w:r>
      <w:hyperlink r:id="rId28" w:tgtFrame="_new" w:history="1">
        <w:r w:rsidRPr="00A839C3">
          <w:rPr>
            <w:rStyle w:val="Hyperlink"/>
            <w:sz w:val="24"/>
            <w:szCs w:val="24"/>
          </w:rPr>
          <w:t>https://www.gov.br/conselho-nacional-de-saude/pt-br/acesso-a-informacao/legislacao/resolucoes/2023/resolucao-no-713.pdf</w:t>
        </w:r>
      </w:hyperlink>
      <w:r w:rsidRPr="00A839C3">
        <w:rPr>
          <w:sz w:val="24"/>
          <w:szCs w:val="24"/>
        </w:rPr>
        <w:t>. Acesso em: 13 maio 2025.</w:t>
      </w:r>
    </w:p>
    <w:p w14:paraId="59A535A5" w14:textId="548AB4E2" w:rsidR="000C790B" w:rsidRDefault="000C790B" w:rsidP="000C790B">
      <w:pPr>
        <w:spacing w:before="100" w:beforeAutospacing="1" w:after="100" w:afterAutospacing="1" w:line="240" w:lineRule="auto"/>
        <w:jc w:val="both"/>
        <w:rPr>
          <w:sz w:val="24"/>
          <w:szCs w:val="24"/>
        </w:rPr>
      </w:pPr>
      <w:r w:rsidRPr="000C790B">
        <w:rPr>
          <w:sz w:val="24"/>
          <w:szCs w:val="24"/>
        </w:rPr>
        <w:t xml:space="preserve">CONCEIÇÃO, </w:t>
      </w:r>
      <w:r>
        <w:rPr>
          <w:sz w:val="24"/>
          <w:szCs w:val="24"/>
        </w:rPr>
        <w:t>T. S.</w:t>
      </w:r>
      <w:r w:rsidRPr="000C790B">
        <w:rPr>
          <w:sz w:val="24"/>
          <w:szCs w:val="24"/>
        </w:rPr>
        <w:t>; CISLAGHI, J</w:t>
      </w:r>
      <w:r>
        <w:rPr>
          <w:sz w:val="24"/>
          <w:szCs w:val="24"/>
        </w:rPr>
        <w:t>. F.</w:t>
      </w:r>
      <w:r w:rsidRPr="000C790B">
        <w:rPr>
          <w:sz w:val="24"/>
          <w:szCs w:val="24"/>
        </w:rPr>
        <w:t xml:space="preserve">; TEIXEIRA, </w:t>
      </w:r>
      <w:r>
        <w:rPr>
          <w:sz w:val="24"/>
          <w:szCs w:val="24"/>
        </w:rPr>
        <w:t>S. O</w:t>
      </w:r>
      <w:r w:rsidRPr="000C790B">
        <w:rPr>
          <w:sz w:val="24"/>
          <w:szCs w:val="24"/>
        </w:rPr>
        <w:t xml:space="preserve">. </w:t>
      </w:r>
      <w:r>
        <w:rPr>
          <w:sz w:val="24"/>
          <w:szCs w:val="24"/>
        </w:rPr>
        <w:t>O f</w:t>
      </w:r>
      <w:r w:rsidRPr="000C790B">
        <w:rPr>
          <w:sz w:val="24"/>
          <w:szCs w:val="24"/>
        </w:rPr>
        <w:t>inanciamento da saúde no Brasil</w:t>
      </w:r>
      <w:r>
        <w:rPr>
          <w:sz w:val="24"/>
          <w:szCs w:val="24"/>
        </w:rPr>
        <w:t xml:space="preserve">: principais dilemas. In: </w:t>
      </w:r>
      <w:r w:rsidRPr="00923E7F">
        <w:rPr>
          <w:i/>
          <w:iCs/>
          <w:sz w:val="24"/>
          <w:szCs w:val="24"/>
        </w:rPr>
        <w:t xml:space="preserve">Revista </w:t>
      </w:r>
      <w:proofErr w:type="spellStart"/>
      <w:r w:rsidRPr="00923E7F">
        <w:rPr>
          <w:i/>
          <w:iCs/>
          <w:sz w:val="24"/>
          <w:szCs w:val="24"/>
        </w:rPr>
        <w:t>Temporalis</w:t>
      </w:r>
      <w:proofErr w:type="spellEnd"/>
      <w:r>
        <w:rPr>
          <w:sz w:val="24"/>
          <w:szCs w:val="24"/>
        </w:rPr>
        <w:t xml:space="preserve"> </w:t>
      </w:r>
      <w:r w:rsidRPr="000C790B">
        <w:rPr>
          <w:sz w:val="24"/>
          <w:szCs w:val="24"/>
        </w:rPr>
        <w:t>v. 12 n. 23 (2012)</w:t>
      </w:r>
      <w:r>
        <w:rPr>
          <w:sz w:val="24"/>
          <w:szCs w:val="24"/>
        </w:rPr>
        <w:t xml:space="preserve">. </w:t>
      </w:r>
    </w:p>
    <w:p w14:paraId="50A31080" w14:textId="6FE51EB9" w:rsidR="00510834" w:rsidRPr="000C790B" w:rsidRDefault="00510834" w:rsidP="000C790B">
      <w:pPr>
        <w:spacing w:before="100" w:beforeAutospacing="1" w:after="100" w:afterAutospacing="1" w:line="240" w:lineRule="auto"/>
        <w:jc w:val="both"/>
        <w:rPr>
          <w:sz w:val="24"/>
          <w:szCs w:val="24"/>
        </w:rPr>
      </w:pPr>
      <w:r w:rsidRPr="00510834">
        <w:rPr>
          <w:sz w:val="24"/>
          <w:szCs w:val="24"/>
        </w:rPr>
        <w:t>PEREIRA, Blenda e al. Financiamento da saúde no Brasil: perspectivas dos estados e municípios. Brasília: CONASS, 2025.</w:t>
      </w:r>
    </w:p>
    <w:p w14:paraId="04C802FA" w14:textId="195E35F4" w:rsidR="00A839C3" w:rsidRDefault="00A839C3" w:rsidP="00A839C3">
      <w:pPr>
        <w:spacing w:before="100" w:beforeAutospacing="1" w:after="100" w:afterAutospacing="1" w:line="240" w:lineRule="auto"/>
        <w:jc w:val="both"/>
        <w:rPr>
          <w:sz w:val="24"/>
          <w:szCs w:val="24"/>
        </w:rPr>
      </w:pPr>
      <w:r w:rsidRPr="00A839C3">
        <w:rPr>
          <w:sz w:val="24"/>
          <w:szCs w:val="24"/>
        </w:rPr>
        <w:lastRenderedPageBreak/>
        <w:t xml:space="preserve">PIOLA, Sérgio F.; BENEVIDES, Rodrigo P.; VIEIRA, Fabíola S. Financiamento público da saúde: uma história à procura de rumo. In: LIMA, Nísia Trindade et al. </w:t>
      </w:r>
      <w:r w:rsidRPr="00A839C3">
        <w:rPr>
          <w:i/>
          <w:iCs/>
          <w:sz w:val="24"/>
          <w:szCs w:val="24"/>
        </w:rPr>
        <w:t>Saúde e democracia: história e perspectivas do SUS</w:t>
      </w:r>
      <w:r w:rsidRPr="00A839C3">
        <w:rPr>
          <w:sz w:val="24"/>
          <w:szCs w:val="24"/>
        </w:rPr>
        <w:t xml:space="preserve">. 2. ed. rev. </w:t>
      </w:r>
      <w:proofErr w:type="spellStart"/>
      <w:r w:rsidRPr="00A839C3">
        <w:rPr>
          <w:sz w:val="24"/>
          <w:szCs w:val="24"/>
        </w:rPr>
        <w:t>ampl</w:t>
      </w:r>
      <w:proofErr w:type="spellEnd"/>
      <w:r w:rsidRPr="00A839C3">
        <w:rPr>
          <w:sz w:val="24"/>
          <w:szCs w:val="24"/>
        </w:rPr>
        <w:t>. Rio de Janeiro: Fiocruz, 2018. p. 505–526.</w:t>
      </w:r>
    </w:p>
    <w:p w14:paraId="06451717" w14:textId="213AB0E7" w:rsidR="00F56446" w:rsidRPr="00A839C3" w:rsidRDefault="00F56446" w:rsidP="00A839C3">
      <w:pPr>
        <w:spacing w:before="100" w:beforeAutospacing="1" w:after="100" w:afterAutospacing="1" w:line="240" w:lineRule="auto"/>
        <w:jc w:val="both"/>
        <w:rPr>
          <w:sz w:val="24"/>
          <w:szCs w:val="24"/>
        </w:rPr>
      </w:pPr>
      <w:r>
        <w:rPr>
          <w:sz w:val="24"/>
          <w:szCs w:val="24"/>
        </w:rPr>
        <w:t xml:space="preserve">SALVADOR, Evilasio. </w:t>
      </w:r>
      <w:r w:rsidR="007262FB" w:rsidRPr="007262FB">
        <w:rPr>
          <w:sz w:val="24"/>
          <w:szCs w:val="24"/>
        </w:rPr>
        <w:t xml:space="preserve">Fundo público e financiamento da política de saúde em tempos de ajuste fiscal. In: </w:t>
      </w:r>
      <w:r w:rsidR="007262FB">
        <w:rPr>
          <w:sz w:val="24"/>
          <w:szCs w:val="24"/>
        </w:rPr>
        <w:t xml:space="preserve">Andrade, </w:t>
      </w:r>
      <w:r w:rsidR="007262FB" w:rsidRPr="007262FB">
        <w:rPr>
          <w:sz w:val="24"/>
          <w:szCs w:val="24"/>
        </w:rPr>
        <w:t>R</w:t>
      </w:r>
      <w:r w:rsidR="007262FB">
        <w:rPr>
          <w:sz w:val="24"/>
          <w:szCs w:val="24"/>
        </w:rPr>
        <w:t>. et al (</w:t>
      </w:r>
      <w:proofErr w:type="spellStart"/>
      <w:r w:rsidR="007262FB">
        <w:rPr>
          <w:sz w:val="24"/>
          <w:szCs w:val="24"/>
        </w:rPr>
        <w:t>Orgs</w:t>
      </w:r>
      <w:proofErr w:type="spellEnd"/>
      <w:r w:rsidR="007262FB">
        <w:rPr>
          <w:sz w:val="24"/>
          <w:szCs w:val="24"/>
        </w:rPr>
        <w:t xml:space="preserve">.). </w:t>
      </w:r>
      <w:r w:rsidR="007262FB" w:rsidRPr="007262FB">
        <w:rPr>
          <w:sz w:val="24"/>
          <w:szCs w:val="24"/>
        </w:rPr>
        <w:t xml:space="preserve"> </w:t>
      </w:r>
      <w:r w:rsidR="007262FB" w:rsidRPr="007262FB">
        <w:rPr>
          <w:b/>
          <w:bCs/>
          <w:sz w:val="24"/>
          <w:szCs w:val="24"/>
        </w:rPr>
        <w:t>Campo minado: as investidas do capital contra a Seguridade Social Brasileira.</w:t>
      </w:r>
      <w:r w:rsidR="007262FB" w:rsidRPr="007262FB">
        <w:rPr>
          <w:sz w:val="24"/>
          <w:szCs w:val="24"/>
        </w:rPr>
        <w:t xml:space="preserve"> São Paulo; Manaus: </w:t>
      </w:r>
      <w:proofErr w:type="spellStart"/>
      <w:r w:rsidR="007262FB" w:rsidRPr="007262FB">
        <w:rPr>
          <w:sz w:val="24"/>
          <w:szCs w:val="24"/>
        </w:rPr>
        <w:t>Alexa</w:t>
      </w:r>
      <w:proofErr w:type="spellEnd"/>
      <w:r w:rsidR="007262FB" w:rsidRPr="007262FB">
        <w:rPr>
          <w:sz w:val="24"/>
          <w:szCs w:val="24"/>
        </w:rPr>
        <w:t xml:space="preserve"> Cultural; EDUA, 2020, </w:t>
      </w:r>
      <w:proofErr w:type="gramStart"/>
      <w:r w:rsidR="007262FB" w:rsidRPr="007262FB">
        <w:rPr>
          <w:sz w:val="24"/>
          <w:szCs w:val="24"/>
        </w:rPr>
        <w:t>v. ,</w:t>
      </w:r>
      <w:proofErr w:type="gramEnd"/>
      <w:r w:rsidR="007262FB" w:rsidRPr="007262FB">
        <w:rPr>
          <w:sz w:val="24"/>
          <w:szCs w:val="24"/>
        </w:rPr>
        <w:t xml:space="preserve"> p. 29-50.</w:t>
      </w:r>
    </w:p>
    <w:p w14:paraId="550300F2" w14:textId="77777777" w:rsidR="00A839C3" w:rsidRPr="00A839C3" w:rsidRDefault="00A839C3" w:rsidP="00A839C3">
      <w:pPr>
        <w:spacing w:before="100" w:beforeAutospacing="1" w:after="100" w:afterAutospacing="1" w:line="240" w:lineRule="auto"/>
        <w:jc w:val="both"/>
        <w:rPr>
          <w:sz w:val="24"/>
          <w:szCs w:val="24"/>
        </w:rPr>
      </w:pPr>
      <w:r w:rsidRPr="00A839C3">
        <w:rPr>
          <w:sz w:val="24"/>
          <w:szCs w:val="24"/>
        </w:rPr>
        <w:t xml:space="preserve">SANTOS, Lenir; FUNCIA, Francisco R. </w:t>
      </w:r>
      <w:r w:rsidRPr="00A839C3">
        <w:rPr>
          <w:i/>
          <w:iCs/>
          <w:sz w:val="24"/>
          <w:szCs w:val="24"/>
        </w:rPr>
        <w:t>Domingueira nº 21</w:t>
      </w:r>
      <w:r w:rsidRPr="00A839C3">
        <w:rPr>
          <w:sz w:val="24"/>
          <w:szCs w:val="24"/>
        </w:rPr>
        <w:t xml:space="preserve"> – </w:t>
      </w:r>
      <w:proofErr w:type="gramStart"/>
      <w:r w:rsidRPr="00A839C3">
        <w:rPr>
          <w:sz w:val="24"/>
          <w:szCs w:val="24"/>
        </w:rPr>
        <w:t>Maio</w:t>
      </w:r>
      <w:proofErr w:type="gramEnd"/>
      <w:r w:rsidRPr="00A839C3">
        <w:rPr>
          <w:sz w:val="24"/>
          <w:szCs w:val="24"/>
        </w:rPr>
        <w:t xml:space="preserve"> 2020. Instituto de Direito Sanitário Aplicado (IDISA). Disponível em</w:t>
      </w:r>
      <w:proofErr w:type="gramStart"/>
      <w:r w:rsidRPr="00A839C3">
        <w:rPr>
          <w:sz w:val="24"/>
          <w:szCs w:val="24"/>
        </w:rPr>
        <w:t>: .</w:t>
      </w:r>
      <w:proofErr w:type="gramEnd"/>
      <w:r w:rsidRPr="00A839C3">
        <w:rPr>
          <w:sz w:val="24"/>
          <w:szCs w:val="24"/>
        </w:rPr>
        <w:t xml:space="preserve"> Acesso em: 12 maio 2025.</w:t>
      </w:r>
    </w:p>
    <w:p w14:paraId="45631276" w14:textId="0750FD00" w:rsidR="00A839C3" w:rsidRPr="00A839C3" w:rsidRDefault="00A839C3" w:rsidP="00A839C3">
      <w:pPr>
        <w:spacing w:before="100" w:beforeAutospacing="1" w:after="100" w:afterAutospacing="1" w:line="240" w:lineRule="auto"/>
        <w:jc w:val="both"/>
        <w:rPr>
          <w:sz w:val="24"/>
          <w:szCs w:val="24"/>
        </w:rPr>
      </w:pPr>
      <w:r w:rsidRPr="00A839C3">
        <w:rPr>
          <w:sz w:val="24"/>
          <w:szCs w:val="24"/>
        </w:rPr>
        <w:t>VIEIRA, Fabíola S.; BENEVIDES, Rodrigo P. G. O financiamento público da saúde no Brasil: uma história de avanços e retrocessos.</w:t>
      </w:r>
      <w:r>
        <w:rPr>
          <w:sz w:val="24"/>
          <w:szCs w:val="24"/>
        </w:rPr>
        <w:t xml:space="preserve"> In:</w:t>
      </w:r>
      <w:r w:rsidRPr="00A839C3">
        <w:rPr>
          <w:sz w:val="24"/>
          <w:szCs w:val="24"/>
        </w:rPr>
        <w:t xml:space="preserve"> </w:t>
      </w:r>
      <w:r w:rsidRPr="00A839C3">
        <w:rPr>
          <w:i/>
          <w:iCs/>
          <w:sz w:val="24"/>
          <w:szCs w:val="24"/>
        </w:rPr>
        <w:t>Saúde em Debate</w:t>
      </w:r>
      <w:r w:rsidRPr="00A839C3">
        <w:rPr>
          <w:sz w:val="24"/>
          <w:szCs w:val="24"/>
        </w:rPr>
        <w:t>, Rio de Janeiro, v. 40, n. esp., p. 7–20, dez. 2016. Disponível em: https://www.scielo.br/j/sdeb/a/HcZSYFNGcfxMgjSyfKPKPNm/. Acesso em: 12 maio 2025.</w:t>
      </w:r>
    </w:p>
    <w:sectPr w:rsidR="00A839C3" w:rsidRPr="00A839C3" w:rsidSect="004F776F">
      <w:headerReference w:type="even" r:id="rId29"/>
      <w:headerReference w:type="default" r:id="rId30"/>
      <w:footerReference w:type="even" r:id="rId31"/>
      <w:footerReference w:type="default" r:id="rId32"/>
      <w:headerReference w:type="first" r:id="rId33"/>
      <w:footerReference w:type="first" r:id="rId34"/>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35FD6" w14:textId="77777777" w:rsidR="0093409E" w:rsidRDefault="0093409E">
      <w:pPr>
        <w:spacing w:line="240" w:lineRule="auto"/>
      </w:pPr>
      <w:r>
        <w:separator/>
      </w:r>
    </w:p>
  </w:endnote>
  <w:endnote w:type="continuationSeparator" w:id="0">
    <w:p w14:paraId="0E9401FF" w14:textId="77777777" w:rsidR="0093409E" w:rsidRDefault="009340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34D1E" w14:textId="77777777" w:rsidR="00EB1AEB" w:rsidRDefault="00EB1AE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02DF4" w14:textId="77777777" w:rsidR="00EB1AEB" w:rsidRDefault="00EB1AE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C973B" w14:textId="77777777" w:rsidR="00EB1AEB" w:rsidRDefault="00EB1AE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772EC" w14:textId="77777777" w:rsidR="0093409E" w:rsidRDefault="0093409E">
      <w:pPr>
        <w:spacing w:line="240" w:lineRule="auto"/>
      </w:pPr>
      <w:r>
        <w:separator/>
      </w:r>
    </w:p>
  </w:footnote>
  <w:footnote w:type="continuationSeparator" w:id="0">
    <w:p w14:paraId="34232650" w14:textId="77777777" w:rsidR="0093409E" w:rsidRDefault="0093409E">
      <w:pPr>
        <w:spacing w:line="240" w:lineRule="auto"/>
      </w:pPr>
      <w:r>
        <w:continuationSeparator/>
      </w:r>
    </w:p>
  </w:footnote>
  <w:footnote w:id="1">
    <w:p w14:paraId="6B69CCA0" w14:textId="77777777" w:rsidR="00FE2305" w:rsidRPr="0011676D" w:rsidRDefault="00FE2305" w:rsidP="00FE2305">
      <w:pPr>
        <w:shd w:val="clear" w:color="auto" w:fill="FFFFFF"/>
        <w:spacing w:line="240" w:lineRule="auto"/>
        <w:jc w:val="both"/>
        <w:rPr>
          <w:rFonts w:eastAsia="Times New Roman"/>
          <w:sz w:val="20"/>
          <w:szCs w:val="20"/>
          <w:highlight w:val="white"/>
        </w:rPr>
      </w:pPr>
      <w:r w:rsidRPr="0011676D">
        <w:rPr>
          <w:rStyle w:val="Refdenotaderodap"/>
          <w:sz w:val="20"/>
          <w:szCs w:val="20"/>
        </w:rPr>
        <w:footnoteRef/>
      </w:r>
      <w:r w:rsidRPr="0011676D">
        <w:rPr>
          <w:sz w:val="20"/>
          <w:szCs w:val="20"/>
        </w:rPr>
        <w:t xml:space="preserve"> </w:t>
      </w:r>
      <w:r w:rsidRPr="0011676D">
        <w:rPr>
          <w:rFonts w:eastAsia="Times New Roman"/>
          <w:sz w:val="20"/>
          <w:szCs w:val="20"/>
        </w:rPr>
        <w:t xml:space="preserve">Docente dos cursos de Graduação em Serviço Social e do Programa de Pós-Graduação em Política Social da Universidade de Brasília (UnB). Possui doutorado em Serviço Social pela Pontifícia Universidade Católica de São Paulo e </w:t>
      </w:r>
      <w:r w:rsidRPr="0011676D">
        <w:rPr>
          <w:rFonts w:eastAsia="Times New Roman"/>
          <w:sz w:val="20"/>
          <w:szCs w:val="20"/>
          <w:highlight w:val="white"/>
        </w:rPr>
        <w:t xml:space="preserve">pós-doutorado no Grupo de Investigación en Salud Pública na Faculdad de Ciencias de la salud - Universidade de Alicante/Espanha. Líder do </w:t>
      </w:r>
      <w:r w:rsidRPr="0011676D">
        <w:rPr>
          <w:rFonts w:eastAsia="Times New Roman"/>
          <w:sz w:val="20"/>
          <w:szCs w:val="20"/>
        </w:rPr>
        <w:t xml:space="preserve">Grupo de Estudos e Pesquisa em Saúde, Sociedade e Política Social – GEPSaúde. </w:t>
      </w:r>
      <w:r w:rsidRPr="0011676D">
        <w:rPr>
          <w:rFonts w:eastAsia="Times New Roman"/>
          <w:sz w:val="20"/>
          <w:szCs w:val="20"/>
          <w:highlight w:val="white"/>
        </w:rPr>
        <w:t xml:space="preserve">ORCID:  (CV: </w:t>
      </w:r>
      <w:hyperlink r:id="rId1">
        <w:r w:rsidRPr="0011676D">
          <w:rPr>
            <w:rFonts w:eastAsia="Times New Roman"/>
            <w:sz w:val="20"/>
            <w:szCs w:val="20"/>
            <w:highlight w:val="white"/>
            <w:u w:val="single"/>
          </w:rPr>
          <w:t>http://lattes.cnpq.br/0056976365794825</w:t>
        </w:r>
      </w:hyperlink>
      <w:r w:rsidRPr="0011676D">
        <w:rPr>
          <w:rFonts w:eastAsia="Times New Roman"/>
          <w:sz w:val="20"/>
          <w:szCs w:val="20"/>
          <w:highlight w:val="white"/>
        </w:rPr>
        <w:t xml:space="preserve">) </w:t>
      </w:r>
      <w:hyperlink r:id="rId2">
        <w:r w:rsidRPr="0011676D">
          <w:rPr>
            <w:rFonts w:eastAsia="Times New Roman"/>
            <w:sz w:val="20"/>
            <w:szCs w:val="20"/>
            <w:highlight w:val="white"/>
          </w:rPr>
          <w:t>https://orcid.org/0000-0001-8759-059X</w:t>
        </w:r>
      </w:hyperlink>
      <w:r w:rsidRPr="0011676D">
        <w:rPr>
          <w:rFonts w:eastAsia="Times New Roman"/>
          <w:sz w:val="20"/>
          <w:szCs w:val="20"/>
          <w:highlight w:val="white"/>
        </w:rPr>
        <w:t xml:space="preserve"> e-mail: </w:t>
      </w:r>
      <w:hyperlink r:id="rId3">
        <w:r w:rsidRPr="0011676D">
          <w:rPr>
            <w:rFonts w:eastAsia="Times New Roman"/>
            <w:sz w:val="20"/>
            <w:szCs w:val="20"/>
            <w:highlight w:val="white"/>
          </w:rPr>
          <w:t>andreiaoliveirasus@gmail.com</w:t>
        </w:r>
      </w:hyperlink>
      <w:r w:rsidRPr="0011676D">
        <w:rPr>
          <w:sz w:val="20"/>
          <w:szCs w:val="20"/>
        </w:rPr>
        <w:t xml:space="preserve"> ou </w:t>
      </w:r>
      <w:hyperlink r:id="rId4">
        <w:r w:rsidRPr="0011676D">
          <w:rPr>
            <w:rFonts w:eastAsia="Times New Roman"/>
            <w:sz w:val="20"/>
            <w:szCs w:val="20"/>
            <w:highlight w:val="white"/>
          </w:rPr>
          <w:t>andreiao@unb.br</w:t>
        </w:r>
      </w:hyperlink>
      <w:r w:rsidRPr="0011676D">
        <w:rPr>
          <w:rFonts w:eastAsia="Times New Roman"/>
          <w:sz w:val="20"/>
          <w:szCs w:val="20"/>
          <w:highlight w:val="white"/>
        </w:rPr>
        <w:t xml:space="preserve"> </w:t>
      </w:r>
    </w:p>
    <w:p w14:paraId="54DBF715" w14:textId="77777777" w:rsidR="00FE2305" w:rsidRPr="0011676D" w:rsidRDefault="00FE2305" w:rsidP="00FE2305">
      <w:pPr>
        <w:pStyle w:val="Textodenotaderodap"/>
      </w:pPr>
    </w:p>
  </w:footnote>
  <w:footnote w:id="2">
    <w:p w14:paraId="15A2BC45" w14:textId="77777777" w:rsidR="00FE2305" w:rsidRPr="0011676D" w:rsidRDefault="00FE2305" w:rsidP="00FE2305">
      <w:pPr>
        <w:shd w:val="clear" w:color="auto" w:fill="FFFFFF"/>
        <w:spacing w:line="240" w:lineRule="auto"/>
        <w:jc w:val="both"/>
        <w:rPr>
          <w:rFonts w:eastAsia="Times New Roman"/>
          <w:sz w:val="20"/>
          <w:szCs w:val="20"/>
          <w:highlight w:val="white"/>
        </w:rPr>
      </w:pPr>
      <w:r w:rsidRPr="0011676D">
        <w:rPr>
          <w:rStyle w:val="Refdenotaderodap"/>
          <w:sz w:val="20"/>
          <w:szCs w:val="20"/>
        </w:rPr>
        <w:footnoteRef/>
      </w:r>
      <w:r w:rsidRPr="0011676D">
        <w:rPr>
          <w:sz w:val="20"/>
          <w:szCs w:val="20"/>
        </w:rPr>
        <w:t xml:space="preserve"> </w:t>
      </w:r>
      <w:r w:rsidRPr="0011676D">
        <w:rPr>
          <w:rFonts w:eastAsia="Times New Roman"/>
          <w:sz w:val="20"/>
          <w:szCs w:val="20"/>
          <w:highlight w:val="white"/>
        </w:rPr>
        <w:t>Docente titular dos cursos de Graduação e Pós-Graduação do Departamento de Serviço Social da Universidade Federal de Santa Catarina. Possui doutorado em Serviço Social pela Universidade Federal de Pernambuco (2005) e pós-doutoramento no Centro de Estudos Sociais- CES - Universidade de Coimbra. (2018). Integrante do Núcleo de Estudos em Serviço Social e Organização Popular NESSOP (CV: http://lattes.cnpq.br/9979152057959009).  E-mail: tania.kruger@ufsc.br</w:t>
      </w:r>
    </w:p>
    <w:p w14:paraId="1F1D5C2A" w14:textId="77777777" w:rsidR="00FE2305" w:rsidRPr="0011676D" w:rsidRDefault="00FE2305" w:rsidP="00FE2305">
      <w:pPr>
        <w:pStyle w:val="Textodenotaderodap"/>
      </w:pPr>
    </w:p>
  </w:footnote>
  <w:footnote w:id="3">
    <w:p w14:paraId="44657A78" w14:textId="77777777" w:rsidR="00FE2305" w:rsidRDefault="00FE2305" w:rsidP="00FE2305">
      <w:pPr>
        <w:pStyle w:val="Textodenotaderodap"/>
        <w:spacing w:line="240" w:lineRule="auto"/>
        <w:jc w:val="both"/>
      </w:pPr>
      <w:r w:rsidRPr="0011676D">
        <w:rPr>
          <w:rStyle w:val="Refdenotaderodap"/>
        </w:rPr>
        <w:footnoteRef/>
      </w:r>
      <w:r w:rsidRPr="0011676D">
        <w:t xml:space="preserve"> Coordenadora da mesa. </w:t>
      </w:r>
      <w:r w:rsidRPr="0011676D">
        <w:rPr>
          <w:rFonts w:eastAsia="Times New Roman"/>
          <w:highlight w:val="white"/>
        </w:rPr>
        <w:t xml:space="preserve">Docente dos cursos de Serviço Social e do Programa de Pós-graduação em Política Social da Universidade Federal do Mato Grosso. Doutora pelo Programa de Pós-graduação em Política Social da Universidade de Brasília (UnB). Líder do Grupo de Pesquisa e Extensão sobre Movimentos Sociais, Controle Democrático e Financiamento da Saúde (GEMCOF/UFMT). Pesquisadora vinculada ao FOHPS/UnB (Núcleo de Estudos sobre Fundo Público, Orçamento, Hegemonia e Política Social). (CV: </w:t>
      </w:r>
      <w:hyperlink r:id="rId5" w:history="1">
        <w:r w:rsidRPr="0011676D">
          <w:rPr>
            <w:rStyle w:val="Hyperlink"/>
            <w:rFonts w:eastAsia="Times New Roman"/>
            <w:highlight w:val="white"/>
          </w:rPr>
          <w:t>http://lattes.cnpq.br/9178454746153446</w:t>
        </w:r>
      </w:hyperlink>
      <w:r w:rsidRPr="0011676D">
        <w:rPr>
          <w:rFonts w:eastAsia="Times New Roman"/>
          <w:highlight w:val="white"/>
        </w:rPr>
        <w:t xml:space="preserve">). E-mail: </w:t>
      </w:r>
      <w:hyperlink r:id="rId6" w:history="1">
        <w:r w:rsidRPr="0011676D">
          <w:rPr>
            <w:rStyle w:val="Hyperlink"/>
            <w:rFonts w:eastAsia="Times New Roman"/>
            <w:highlight w:val="white"/>
          </w:rPr>
          <w:t>vanda.burginski@ufmt.br</w:t>
        </w:r>
      </w:hyperlink>
    </w:p>
  </w:footnote>
  <w:footnote w:id="4">
    <w:p w14:paraId="627FFEE0" w14:textId="77777777" w:rsidR="006B3BAF" w:rsidRDefault="006B3BAF" w:rsidP="006B3BAF">
      <w:pPr>
        <w:pStyle w:val="Textodenotaderodap"/>
        <w:jc w:val="both"/>
      </w:pPr>
      <w:r w:rsidRPr="00E16639">
        <w:rPr>
          <w:rStyle w:val="Refdenotaderodap"/>
          <w:sz w:val="18"/>
        </w:rPr>
        <w:footnoteRef/>
      </w:r>
      <w:r w:rsidRPr="00E16639">
        <w:rPr>
          <w:sz w:val="18"/>
        </w:rPr>
        <w:t xml:space="preserve"> Professora do Departamento de Serviço Social da Universidade Federal de Santa Catarina. E-mail tania.kruger@ufsc.br</w:t>
      </w:r>
    </w:p>
  </w:footnote>
  <w:footnote w:id="5">
    <w:p w14:paraId="6361BBA1" w14:textId="1F09EB3D" w:rsidR="006B3BAF" w:rsidRPr="006B3BAF" w:rsidRDefault="006B3BAF" w:rsidP="00680EC6">
      <w:pPr>
        <w:pStyle w:val="Textodenotaderodap"/>
        <w:jc w:val="both"/>
      </w:pPr>
      <w:r w:rsidRPr="006B3BAF">
        <w:rPr>
          <w:rStyle w:val="Refdenotaderodap"/>
        </w:rPr>
        <w:footnoteRef/>
      </w:r>
      <w:r w:rsidRPr="006B3BAF">
        <w:t xml:space="preserve"> </w:t>
      </w:r>
      <w:r w:rsidRPr="006B3BAF">
        <w:rPr>
          <w:bCs/>
          <w:shd w:val="clear" w:color="auto" w:fill="FFFFFF"/>
        </w:rPr>
        <w:t>Lúcia Souto professora da Fiocruz, integrante do Centro Brasileiro de Estudo em Saúde (CEBES) e assessora de Participação Social e Diversidade do Ministério da Saúde na gestão da ministra da</w:t>
      </w:r>
      <w:r w:rsidR="00680EC6">
        <w:rPr>
          <w:bCs/>
          <w:shd w:val="clear" w:color="auto" w:fill="FFFFFF"/>
        </w:rPr>
        <w:t xml:space="preserve"> </w:t>
      </w:r>
      <w:r w:rsidRPr="006B3BAF">
        <w:rPr>
          <w:bCs/>
          <w:shd w:val="clear" w:color="auto" w:fill="FFFFFF"/>
        </w:rPr>
        <w:t>Saúde, Nísia Trindade de 02/01/2023 a 25/02/2025.</w:t>
      </w:r>
    </w:p>
  </w:footnote>
  <w:footnote w:id="6">
    <w:p w14:paraId="3767EAAD" w14:textId="0E5D0691" w:rsidR="006B3BAF" w:rsidRPr="006B3BAF" w:rsidRDefault="006B3BAF" w:rsidP="006B3BAF">
      <w:pPr>
        <w:spacing w:line="240" w:lineRule="auto"/>
        <w:jc w:val="both"/>
        <w:rPr>
          <w:bCs/>
          <w:color w:val="FF0000"/>
          <w:sz w:val="20"/>
          <w:szCs w:val="20"/>
          <w:shd w:val="clear" w:color="auto" w:fill="FFFFFF"/>
        </w:rPr>
      </w:pPr>
      <w:r w:rsidRPr="006B3BAF">
        <w:rPr>
          <w:rStyle w:val="Refdenotaderodap"/>
          <w:sz w:val="20"/>
          <w:szCs w:val="20"/>
        </w:rPr>
        <w:footnoteRef/>
      </w:r>
      <w:r w:rsidRPr="006B3BAF">
        <w:rPr>
          <w:sz w:val="20"/>
          <w:szCs w:val="20"/>
        </w:rPr>
        <w:t xml:space="preserve"> Cabe mencionar que </w:t>
      </w:r>
      <w:r w:rsidRPr="006B3BAF">
        <w:rPr>
          <w:color w:val="000000"/>
          <w:sz w:val="20"/>
          <w:szCs w:val="20"/>
          <w:shd w:val="clear" w:color="auto" w:fill="FFFFFF"/>
        </w:rPr>
        <w:t>Mapa Colaborativo dos Movimentos Sociais em Saúde no Instagram mapamovsaude (</w:t>
      </w:r>
      <w:hyperlink r:id="rId7" w:history="1">
        <w:r w:rsidRPr="006B3BAF">
          <w:rPr>
            <w:rStyle w:val="Hyperlink"/>
            <w:sz w:val="20"/>
            <w:szCs w:val="20"/>
            <w:shd w:val="clear" w:color="auto" w:fill="FFFFFF"/>
          </w:rPr>
          <w:t>https://www.instagram.com/mapamovsaude/</w:t>
        </w:r>
      </w:hyperlink>
      <w:r w:rsidRPr="006B3BAF">
        <w:rPr>
          <w:color w:val="000000"/>
          <w:sz w:val="20"/>
          <w:szCs w:val="20"/>
          <w:shd w:val="clear" w:color="auto" w:fill="FFFFFF"/>
        </w:rPr>
        <w:t>) apresentou 186 publicações entre todos, card e áudios, entre 31 de junho de 2024 a 09 de agosto de 2025. Os conteúdos se relacionam diretamente e indiretamente com o objetivo do Mapa, com temas da defesa do SUS e dos direitos sociais.</w:t>
      </w:r>
    </w:p>
  </w:footnote>
  <w:footnote w:id="7">
    <w:p w14:paraId="28A2CADD" w14:textId="77777777" w:rsidR="006B3BAF" w:rsidRPr="00680EC6" w:rsidRDefault="006B3BAF" w:rsidP="00680EC6">
      <w:pPr>
        <w:pStyle w:val="Textodenotaderodap"/>
        <w:jc w:val="both"/>
      </w:pPr>
      <w:r w:rsidRPr="00680EC6">
        <w:rPr>
          <w:rStyle w:val="Refdenotaderodap"/>
        </w:rPr>
        <w:footnoteRef/>
      </w:r>
      <w:r w:rsidRPr="00680EC6">
        <w:t xml:space="preserve"> Os movimentos sociais registrados e sem personalização de conteúdo apresentam internamente a seguinte mensagem: “Este movimento ainda não publicou uma história no MapaMovSaúde. Você faz parte ou conhece a trajetória e o legado do movimento...? Faça login e comece a escrever essa história! Sua contribuição é fundamental para que mais pessoas se conectem com essa iniciativa” (</w:t>
      </w:r>
      <w:r w:rsidRPr="00680EC6">
        <w:rPr>
          <w:bCs/>
          <w:color w:val="000000"/>
          <w:shd w:val="clear" w:color="auto" w:fill="FFFFFF"/>
        </w:rPr>
        <w:t>MapaMovSaude, 2025)</w:t>
      </w:r>
      <w:r w:rsidRPr="00680EC6">
        <w:t>.</w:t>
      </w:r>
    </w:p>
  </w:footnote>
  <w:footnote w:id="8">
    <w:p w14:paraId="084D35DD" w14:textId="77777777" w:rsidR="006B3BAF" w:rsidRPr="00680EC6" w:rsidRDefault="006B3BAF" w:rsidP="00680EC6">
      <w:pPr>
        <w:pStyle w:val="Default"/>
        <w:jc w:val="both"/>
        <w:rPr>
          <w:rFonts w:ascii="Arial" w:hAnsi="Arial" w:cs="Arial"/>
          <w:sz w:val="20"/>
          <w:szCs w:val="20"/>
        </w:rPr>
      </w:pPr>
      <w:r w:rsidRPr="00680EC6">
        <w:rPr>
          <w:rStyle w:val="Refdenotaderodap"/>
          <w:rFonts w:ascii="Arial" w:hAnsi="Arial" w:cs="Arial"/>
          <w:sz w:val="20"/>
          <w:szCs w:val="20"/>
        </w:rPr>
        <w:footnoteRef/>
      </w:r>
      <w:r w:rsidRPr="00680EC6">
        <w:rPr>
          <w:rFonts w:ascii="Arial" w:hAnsi="Arial" w:cs="Arial"/>
          <w:sz w:val="20"/>
          <w:szCs w:val="20"/>
        </w:rPr>
        <w:t xml:space="preserve"> Na ocasião dessa consulta se elaborou o seguinte texto: KRÜGER. TR. e OLIVEIRA, A. Movimentos sociais e saúde/SUS: perfil e finalidades. Ponência publicada na X Conferência Latinoamaericana y Caribenha de Ciencias Sociales. Bogotá, junho de 2025. Disponível </w:t>
      </w:r>
      <w:hyperlink r:id="rId8" w:history="1">
        <w:r w:rsidRPr="00680EC6">
          <w:rPr>
            <w:rStyle w:val="Hyperlink"/>
            <w:rFonts w:ascii="Arial" w:hAnsi="Arial" w:cs="Arial"/>
            <w:sz w:val="20"/>
            <w:szCs w:val="20"/>
          </w:rPr>
          <w:t>https://conferenciaclacso.org/programa/resumen_ponencia.php?&amp;ponencia=Conf-1-2880-30629&amp;d=4&amp;h=%&amp;ca=1&amp;eje=%&amp;sede=%</w:t>
        </w:r>
      </w:hyperlink>
      <w:r w:rsidRPr="00680EC6">
        <w:rPr>
          <w:rFonts w:ascii="Arial" w:hAnsi="Arial" w:cs="Arial"/>
          <w:sz w:val="20"/>
          <w:szCs w:val="20"/>
        </w:rPr>
        <w:t xml:space="preserve"> </w:t>
      </w:r>
    </w:p>
  </w:footnote>
  <w:footnote w:id="9">
    <w:p w14:paraId="15180DE5" w14:textId="77777777" w:rsidR="006B3BAF" w:rsidRPr="006B3BAF" w:rsidRDefault="006B3BAF" w:rsidP="006B3BAF">
      <w:pPr>
        <w:pStyle w:val="Textodenotaderodap"/>
      </w:pPr>
      <w:r w:rsidRPr="006B3BAF">
        <w:rPr>
          <w:rStyle w:val="Refdenotaderodap"/>
        </w:rPr>
        <w:footnoteRef/>
      </w:r>
      <w:r w:rsidRPr="006B3BAF">
        <w:t xml:space="preserve"> Por exemplo: ABRASCO, Abrasco, Associação Brasileira de Saúde Coletiva.</w:t>
      </w:r>
    </w:p>
  </w:footnote>
  <w:footnote w:id="10">
    <w:p w14:paraId="56D9BCEB" w14:textId="77777777" w:rsidR="006B3BAF" w:rsidRPr="00601F5C" w:rsidRDefault="006B3BAF" w:rsidP="00601F5C">
      <w:pPr>
        <w:shd w:val="clear" w:color="auto" w:fill="FFFFFF"/>
        <w:spacing w:line="240" w:lineRule="auto"/>
        <w:jc w:val="both"/>
        <w:rPr>
          <w:rFonts w:eastAsia="Times New Roman"/>
          <w:sz w:val="20"/>
          <w:szCs w:val="20"/>
        </w:rPr>
      </w:pPr>
      <w:r w:rsidRPr="00601F5C">
        <w:rPr>
          <w:rStyle w:val="Refdenotaderodap"/>
          <w:sz w:val="20"/>
          <w:szCs w:val="20"/>
        </w:rPr>
        <w:footnoteRef/>
      </w:r>
      <w:r w:rsidRPr="00601F5C">
        <w:rPr>
          <w:sz w:val="20"/>
          <w:szCs w:val="20"/>
        </w:rPr>
        <w:t xml:space="preserve"> Para melhor contextualizar este projeto realizamos algumas incursões com vistas a buscar informações conceituais, sua localização administrativa e de financiamento. No </w:t>
      </w:r>
      <w:r w:rsidRPr="00601F5C">
        <w:rPr>
          <w:sz w:val="20"/>
          <w:szCs w:val="20"/>
          <w:shd w:val="clear" w:color="auto" w:fill="FFFFFF"/>
        </w:rPr>
        <w:t xml:space="preserve">Fundo Nacional de Saúde – Portal Fale com o FNS recebemos em 30 de junho de 2025 a seguinte resposta: </w:t>
      </w:r>
      <w:r w:rsidRPr="00601F5C">
        <w:rPr>
          <w:rFonts w:eastAsia="Times New Roman"/>
          <w:sz w:val="20"/>
          <w:szCs w:val="20"/>
        </w:rPr>
        <w:t>Inicialmente, temos a informar que o Fundo Nacional de Saúde – FNS é o </w:t>
      </w:r>
      <w:r w:rsidRPr="00601F5C">
        <w:rPr>
          <w:rFonts w:eastAsia="Times New Roman"/>
          <w:bCs/>
          <w:sz w:val="20"/>
          <w:szCs w:val="20"/>
        </w:rPr>
        <w:t>gestor financeiro dos recursos do Sistema Único de Saúde - SUS na esfera Federal</w:t>
      </w:r>
      <w:r w:rsidRPr="00601F5C">
        <w:rPr>
          <w:rFonts w:eastAsia="Times New Roman"/>
          <w:sz w:val="20"/>
          <w:szCs w:val="20"/>
        </w:rPr>
        <w:t>, recursos esses destinados ao financiamento de diversos programas e ações governamentais sob a responsabilidade das Secretarias Finalísticas do Ministério da Saúde. Os repasses são realizados a partir das informações constantes dos processos de pagamento encaminhados ao FNS, de acordo com os valores autorizados a cada ente federativo e conforme o decreto de programação financeira. Quanto à solicitação, informo que a instituição deverá entrar em contato com a área técnica:</w:t>
      </w:r>
    </w:p>
    <w:p w14:paraId="7A315C15" w14:textId="77777777" w:rsidR="006B3BAF" w:rsidRPr="00601F5C" w:rsidRDefault="006B3BAF" w:rsidP="00601F5C">
      <w:pPr>
        <w:shd w:val="clear" w:color="auto" w:fill="FFFFFF"/>
        <w:spacing w:line="240" w:lineRule="auto"/>
        <w:jc w:val="both"/>
        <w:rPr>
          <w:rFonts w:eastAsia="Times New Roman"/>
          <w:sz w:val="20"/>
          <w:szCs w:val="20"/>
        </w:rPr>
      </w:pPr>
      <w:r w:rsidRPr="00601F5C">
        <w:rPr>
          <w:rFonts w:eastAsia="Times New Roman"/>
          <w:sz w:val="20"/>
          <w:szCs w:val="20"/>
        </w:rPr>
        <w:t xml:space="preserve">Secretaria de Vigilância em Saúde e Ambiente (SVSA) Tels: (61) 3315-3278/3676. E-mail: dagvs@saude.gov.br ou </w:t>
      </w:r>
      <w:hyperlink r:id="rId9" w:history="1">
        <w:r w:rsidRPr="00601F5C">
          <w:rPr>
            <w:rStyle w:val="Hyperlink"/>
            <w:rFonts w:eastAsia="Times New Roman"/>
            <w:color w:val="auto"/>
            <w:sz w:val="20"/>
            <w:szCs w:val="20"/>
          </w:rPr>
          <w:t>svsa@saude.gov.br</w:t>
        </w:r>
      </w:hyperlink>
      <w:r w:rsidRPr="00601F5C">
        <w:rPr>
          <w:rFonts w:eastAsia="Times New Roman"/>
          <w:sz w:val="20"/>
          <w:szCs w:val="20"/>
        </w:rPr>
        <w:t>.</w:t>
      </w:r>
    </w:p>
    <w:p w14:paraId="52A6943A" w14:textId="77777777" w:rsidR="006B3BAF" w:rsidRPr="00601F5C" w:rsidRDefault="006B3BAF" w:rsidP="00601F5C">
      <w:pPr>
        <w:shd w:val="clear" w:color="auto" w:fill="FFFFFF"/>
        <w:spacing w:line="240" w:lineRule="auto"/>
        <w:jc w:val="both"/>
        <w:rPr>
          <w:rFonts w:eastAsia="Times New Roman"/>
          <w:sz w:val="20"/>
          <w:szCs w:val="20"/>
        </w:rPr>
      </w:pPr>
      <w:r w:rsidRPr="00601F5C">
        <w:rPr>
          <w:rFonts w:eastAsia="Times New Roman"/>
          <w:sz w:val="20"/>
          <w:szCs w:val="20"/>
        </w:rPr>
        <w:t xml:space="preserve">Em contato por e-mail dagvs@saude.gov.br e </w:t>
      </w:r>
      <w:hyperlink r:id="rId10" w:history="1">
        <w:r w:rsidRPr="00601F5C">
          <w:rPr>
            <w:rStyle w:val="Hyperlink"/>
            <w:rFonts w:eastAsia="Times New Roman"/>
            <w:color w:val="auto"/>
            <w:sz w:val="20"/>
            <w:szCs w:val="20"/>
          </w:rPr>
          <w:t>svsa@saude.gov.br</w:t>
        </w:r>
      </w:hyperlink>
      <w:r w:rsidRPr="00601F5C">
        <w:rPr>
          <w:rFonts w:eastAsia="Times New Roman"/>
          <w:sz w:val="20"/>
          <w:szCs w:val="20"/>
        </w:rPr>
        <w:t xml:space="preserve">, não recebemos nenhuma resposta. </w:t>
      </w:r>
    </w:p>
    <w:p w14:paraId="5B9165FC" w14:textId="77777777" w:rsidR="006B3BAF" w:rsidRPr="00601F5C" w:rsidRDefault="006B3BAF" w:rsidP="00601F5C">
      <w:pPr>
        <w:shd w:val="clear" w:color="auto" w:fill="FFFFFF"/>
        <w:spacing w:line="240" w:lineRule="auto"/>
        <w:jc w:val="both"/>
        <w:rPr>
          <w:rFonts w:eastAsia="Calibri"/>
          <w:bCs/>
          <w:sz w:val="20"/>
          <w:szCs w:val="20"/>
          <w:shd w:val="clear" w:color="auto" w:fill="FFFFFF"/>
          <w:lang w:eastAsia="en-US"/>
        </w:rPr>
      </w:pPr>
      <w:r w:rsidRPr="00601F5C">
        <w:rPr>
          <w:rFonts w:eastAsia="Times New Roman"/>
          <w:sz w:val="20"/>
          <w:szCs w:val="20"/>
        </w:rPr>
        <w:t xml:space="preserve">Na página da </w:t>
      </w:r>
      <w:r w:rsidRPr="00601F5C">
        <w:rPr>
          <w:bCs/>
          <w:sz w:val="20"/>
          <w:szCs w:val="20"/>
          <w:shd w:val="clear" w:color="auto" w:fill="FFFFFF"/>
        </w:rPr>
        <w:t>assessoria de Participação Social e Diversidade do Ministério da Saúde, não localizamos nada além do nome e currículo da assessora.</w:t>
      </w:r>
    </w:p>
    <w:p w14:paraId="74026A7B" w14:textId="77777777" w:rsidR="006B3BAF" w:rsidRPr="00601F5C" w:rsidRDefault="006B3BAF" w:rsidP="00601F5C">
      <w:pPr>
        <w:shd w:val="clear" w:color="auto" w:fill="FFFFFF"/>
        <w:spacing w:line="240" w:lineRule="auto"/>
        <w:jc w:val="both"/>
        <w:rPr>
          <w:rFonts w:eastAsia="Times New Roman"/>
          <w:sz w:val="20"/>
          <w:szCs w:val="20"/>
        </w:rPr>
      </w:pPr>
      <w:r w:rsidRPr="00601F5C">
        <w:rPr>
          <w:rFonts w:eastAsia="Times New Roman"/>
          <w:sz w:val="20"/>
          <w:szCs w:val="20"/>
        </w:rPr>
        <w:t xml:space="preserve">Na página do Instituto de Comunicação e Informação Científica e Tecnológica em Saúde (ICICT) vinculado a Fiocruz encontramos notícias como esta: o Instituto de Comunicação e Informação em Saúde (Icict/Fiocruz) é um dos parceiros do projeto Mapa Colaborativo dos Movimentos Sociais em Saúde, liderado pela Assessoria de Participação Social e Diversidade do Ministério da Saúde (Fiocruz. 9º CSHS: Icict participa de atividade do Mapa Colaborativo dos Movimentos Sociais em Saúde. Por Hara Flaeschen (Abrasco) e Assessoria de Comunicação do Icict/Fiocruz. Publicado em 08/11/2023. Disponível </w:t>
      </w:r>
      <w:hyperlink r:id="rId11" w:history="1">
        <w:r w:rsidRPr="00601F5C">
          <w:rPr>
            <w:rStyle w:val="Hyperlink"/>
            <w:rFonts w:eastAsia="Times New Roman"/>
            <w:color w:val="auto"/>
            <w:sz w:val="20"/>
            <w:szCs w:val="20"/>
          </w:rPr>
          <w:t>https://www.icict.fiocruz.br/noticias/9o-cshs-icict-participa-de-atividade-do-mapa-colaborativo-dos-movimentos-sociais-em-saude</w:t>
        </w:r>
      </w:hyperlink>
      <w:r w:rsidRPr="00601F5C">
        <w:rPr>
          <w:rFonts w:eastAsia="Times New Roman"/>
          <w:sz w:val="20"/>
          <w:szCs w:val="20"/>
        </w:rPr>
        <w:t>).</w:t>
      </w:r>
    </w:p>
    <w:p w14:paraId="1BBBED24" w14:textId="77777777" w:rsidR="006B3BAF" w:rsidRPr="00601F5C" w:rsidRDefault="006B3BAF" w:rsidP="00601F5C">
      <w:pPr>
        <w:shd w:val="clear" w:color="auto" w:fill="FFFFFF"/>
        <w:spacing w:line="240" w:lineRule="auto"/>
        <w:jc w:val="both"/>
        <w:rPr>
          <w:rFonts w:eastAsia="Times New Roman"/>
          <w:sz w:val="20"/>
          <w:szCs w:val="20"/>
        </w:rPr>
      </w:pPr>
      <w:r w:rsidRPr="00601F5C">
        <w:rPr>
          <w:rFonts w:eastAsia="Times New Roman"/>
          <w:sz w:val="20"/>
          <w:szCs w:val="20"/>
        </w:rPr>
        <w:t xml:space="preserve">Na página do Conselho Nacional de Saúde encontramos a seguinte noticia ilustrada com algumas fotos: Movimentos sociais do Brasil ganham plataforma digital para contar e unir suas trajetórias. A plataforma Wiki aberta e gratuita será utilizada como estratégia para o mapeamento contínuo e emergente dos movimentos sociais em saúde. Publicado em 12/09/2024. Disponível </w:t>
      </w:r>
      <w:hyperlink r:id="rId12" w:history="1">
        <w:r w:rsidRPr="00601F5C">
          <w:rPr>
            <w:rStyle w:val="Hyperlink"/>
            <w:rFonts w:eastAsia="Times New Roman"/>
            <w:color w:val="auto"/>
            <w:sz w:val="20"/>
            <w:szCs w:val="20"/>
          </w:rPr>
          <w:t>https://www.gov.br/conselho-nacional-de-saude/pt-br/assuntos/noticias/2024/agosto/movimentos-sociais-do-brasil-ganham-plataforma-digital-para-contar-e-unir-suas-trajetorias</w:t>
        </w:r>
      </w:hyperlink>
      <w:r w:rsidRPr="00601F5C">
        <w:rPr>
          <w:rFonts w:eastAsia="Times New Roman"/>
          <w:sz w:val="20"/>
          <w:szCs w:val="20"/>
        </w:rPr>
        <w:t xml:space="preserve">. </w:t>
      </w:r>
    </w:p>
    <w:p w14:paraId="13854CAE" w14:textId="77777777" w:rsidR="006B3BAF" w:rsidRPr="00601F5C" w:rsidRDefault="006B3BAF" w:rsidP="00601F5C">
      <w:pPr>
        <w:pStyle w:val="Textodenotaderodap"/>
        <w:jc w:val="both"/>
      </w:pPr>
    </w:p>
  </w:footnote>
  <w:footnote w:id="11">
    <w:p w14:paraId="4C00EBD2" w14:textId="7B1F80BE" w:rsidR="00691E21" w:rsidRDefault="00691E21" w:rsidP="00D93350">
      <w:pPr>
        <w:pStyle w:val="Textodenotaderodap"/>
        <w:jc w:val="both"/>
      </w:pPr>
      <w:r>
        <w:rPr>
          <w:rStyle w:val="Refdenotaderodap"/>
        </w:rPr>
        <w:footnoteRef/>
      </w:r>
      <w:r>
        <w:t xml:space="preserve"> </w:t>
      </w:r>
      <w:r w:rsidR="00D93350" w:rsidRPr="00D93350">
        <w:t>Durante o período de transição para o novo governo, foi aprovada a EC 126, cujos artigos 6º e 9º determinam o envio ao Congresso Nacional de um Projeto de Lei Complementar para estabelecer um regime fiscal sustentável. O NAF (LCP 200/2023) foi apresentado visando cumprir essa exigência constitucional e propor alternativas diante dos desafios relacionados ao teto de gastos vigente.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F9185" w14:textId="77777777" w:rsidR="00EB1AEB" w:rsidRDefault="00EB1AE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5E457" w14:textId="4BA55333" w:rsidR="00FF4348" w:rsidRDefault="00F60193">
    <w:r>
      <w:rPr>
        <w:noProof/>
      </w:rPr>
      <w:drawing>
        <wp:anchor distT="114300" distB="114300" distL="114300" distR="114300" simplePos="0" relativeHeight="251657728" behindDoc="1" locked="0" layoutInCell="1" allowOverlap="1" wp14:anchorId="6E59F85E" wp14:editId="7E814080">
          <wp:simplePos x="0" y="0"/>
          <wp:positionH relativeFrom="page">
            <wp:align>right</wp:align>
          </wp:positionH>
          <wp:positionV relativeFrom="page">
            <wp:posOffset>141456</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AB5EF" w14:textId="77777777" w:rsidR="00EB1AEB" w:rsidRDefault="00EB1AE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D203AB"/>
    <w:multiLevelType w:val="hybridMultilevel"/>
    <w:tmpl w:val="94367CCC"/>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1B62140"/>
    <w:multiLevelType w:val="multilevel"/>
    <w:tmpl w:val="B078803A"/>
    <w:lvl w:ilvl="0">
      <w:start w:val="1"/>
      <w:numFmt w:val="decimal"/>
      <w:lvlText w:val="%1."/>
      <w:lvlJc w:val="left"/>
      <w:pPr>
        <w:ind w:left="720" w:hanging="360"/>
      </w:pPr>
      <w:rPr>
        <w:sz w:val="20"/>
        <w:szCs w:val="20"/>
      </w:rPr>
    </w:lvl>
    <w:lvl w:ilvl="1">
      <w:start w:val="1"/>
      <w:numFmt w:val="lowerLetter"/>
      <w:lvlText w:val="%2."/>
      <w:lvlJc w:val="left"/>
      <w:pPr>
        <w:ind w:left="1440" w:hanging="360"/>
      </w:pPr>
      <w:rPr>
        <w:rFonts w:ascii="Noto Sans Symbols" w:eastAsia="Noto Sans Symbols" w:hAnsi="Noto Sans Symbols" w:cs="Noto Sans Symbols"/>
        <w:sz w:val="20"/>
        <w:szCs w:val="20"/>
      </w:rPr>
    </w:lvl>
    <w:lvl w:ilvl="2">
      <w:start w:val="1"/>
      <w:numFmt w:val="lowerRoman"/>
      <w:lvlText w:val="%3."/>
      <w:lvlJc w:val="righ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rPr>
        <w:rFonts w:ascii="Noto Sans Symbols" w:eastAsia="Noto Sans Symbols" w:hAnsi="Noto Sans Symbols" w:cs="Noto Sans Symbols"/>
        <w:sz w:val="20"/>
        <w:szCs w:val="20"/>
      </w:rPr>
    </w:lvl>
    <w:lvl w:ilvl="4">
      <w:start w:val="1"/>
      <w:numFmt w:val="lowerLetter"/>
      <w:lvlText w:val="%5."/>
      <w:lvlJc w:val="left"/>
      <w:pPr>
        <w:ind w:left="3600" w:hanging="360"/>
      </w:pPr>
      <w:rPr>
        <w:rFonts w:ascii="Noto Sans Symbols" w:eastAsia="Noto Sans Symbols" w:hAnsi="Noto Sans Symbols" w:cs="Noto Sans Symbols"/>
        <w:sz w:val="20"/>
        <w:szCs w:val="20"/>
      </w:rPr>
    </w:lvl>
    <w:lvl w:ilvl="5">
      <w:start w:val="1"/>
      <w:numFmt w:val="lowerRoman"/>
      <w:lvlText w:val="%6."/>
      <w:lvlJc w:val="right"/>
      <w:pPr>
        <w:ind w:left="4320" w:hanging="360"/>
      </w:pPr>
      <w:rPr>
        <w:rFonts w:ascii="Noto Sans Symbols" w:eastAsia="Noto Sans Symbols" w:hAnsi="Noto Sans Symbols" w:cs="Noto Sans Symbols"/>
        <w:sz w:val="20"/>
        <w:szCs w:val="20"/>
      </w:rPr>
    </w:lvl>
    <w:lvl w:ilvl="6">
      <w:start w:val="1"/>
      <w:numFmt w:val="decimal"/>
      <w:lvlText w:val="%7."/>
      <w:lvlJc w:val="left"/>
      <w:pPr>
        <w:ind w:left="5040" w:hanging="360"/>
      </w:pPr>
      <w:rPr>
        <w:rFonts w:ascii="Noto Sans Symbols" w:eastAsia="Noto Sans Symbols" w:hAnsi="Noto Sans Symbols" w:cs="Noto Sans Symbols"/>
        <w:sz w:val="20"/>
        <w:szCs w:val="20"/>
      </w:rPr>
    </w:lvl>
    <w:lvl w:ilvl="7">
      <w:start w:val="1"/>
      <w:numFmt w:val="lowerLetter"/>
      <w:lvlText w:val="%8."/>
      <w:lvlJc w:val="left"/>
      <w:pPr>
        <w:ind w:left="5760" w:hanging="360"/>
      </w:pPr>
      <w:rPr>
        <w:rFonts w:ascii="Noto Sans Symbols" w:eastAsia="Noto Sans Symbols" w:hAnsi="Noto Sans Symbols" w:cs="Noto Sans Symbols"/>
        <w:sz w:val="20"/>
        <w:szCs w:val="20"/>
      </w:rPr>
    </w:lvl>
    <w:lvl w:ilvl="8">
      <w:start w:val="1"/>
      <w:numFmt w:val="lowerRoman"/>
      <w:lvlText w:val="%9."/>
      <w:lvlJc w:val="right"/>
      <w:pPr>
        <w:ind w:left="6480" w:hanging="360"/>
      </w:pPr>
      <w:rPr>
        <w:rFonts w:ascii="Noto Sans Symbols" w:eastAsia="Noto Sans Symbols" w:hAnsi="Noto Sans Symbols" w:cs="Noto Sans Symbols"/>
        <w:sz w:val="20"/>
        <w:szCs w:val="20"/>
      </w:rPr>
    </w:lvl>
  </w:abstractNum>
  <w:abstractNum w:abstractNumId="2" w15:restartNumberingAfterBreak="0">
    <w:nsid w:val="460F6569"/>
    <w:multiLevelType w:val="hybridMultilevel"/>
    <w:tmpl w:val="2B909072"/>
    <w:lvl w:ilvl="0" w:tplc="C8B8CADE">
      <w:start w:val="1"/>
      <w:numFmt w:val="decimal"/>
      <w:lvlText w:val="%1)"/>
      <w:lvlJc w:val="left"/>
      <w:pPr>
        <w:ind w:left="3600" w:hanging="360"/>
      </w:pPr>
      <w:rPr>
        <w:rFonts w:hint="default"/>
        <w:sz w:val="20"/>
      </w:rPr>
    </w:lvl>
    <w:lvl w:ilvl="1" w:tplc="04160019" w:tentative="1">
      <w:start w:val="1"/>
      <w:numFmt w:val="lowerLetter"/>
      <w:lvlText w:val="%2."/>
      <w:lvlJc w:val="left"/>
      <w:pPr>
        <w:ind w:left="4320" w:hanging="360"/>
      </w:pPr>
    </w:lvl>
    <w:lvl w:ilvl="2" w:tplc="0416001B" w:tentative="1">
      <w:start w:val="1"/>
      <w:numFmt w:val="lowerRoman"/>
      <w:lvlText w:val="%3."/>
      <w:lvlJc w:val="right"/>
      <w:pPr>
        <w:ind w:left="5040" w:hanging="180"/>
      </w:pPr>
    </w:lvl>
    <w:lvl w:ilvl="3" w:tplc="0416000F" w:tentative="1">
      <w:start w:val="1"/>
      <w:numFmt w:val="decimal"/>
      <w:lvlText w:val="%4."/>
      <w:lvlJc w:val="left"/>
      <w:pPr>
        <w:ind w:left="5760" w:hanging="360"/>
      </w:pPr>
    </w:lvl>
    <w:lvl w:ilvl="4" w:tplc="04160019" w:tentative="1">
      <w:start w:val="1"/>
      <w:numFmt w:val="lowerLetter"/>
      <w:lvlText w:val="%5."/>
      <w:lvlJc w:val="left"/>
      <w:pPr>
        <w:ind w:left="6480" w:hanging="360"/>
      </w:pPr>
    </w:lvl>
    <w:lvl w:ilvl="5" w:tplc="0416001B" w:tentative="1">
      <w:start w:val="1"/>
      <w:numFmt w:val="lowerRoman"/>
      <w:lvlText w:val="%6."/>
      <w:lvlJc w:val="right"/>
      <w:pPr>
        <w:ind w:left="7200" w:hanging="180"/>
      </w:pPr>
    </w:lvl>
    <w:lvl w:ilvl="6" w:tplc="0416000F" w:tentative="1">
      <w:start w:val="1"/>
      <w:numFmt w:val="decimal"/>
      <w:lvlText w:val="%7."/>
      <w:lvlJc w:val="left"/>
      <w:pPr>
        <w:ind w:left="7920" w:hanging="360"/>
      </w:pPr>
    </w:lvl>
    <w:lvl w:ilvl="7" w:tplc="04160019" w:tentative="1">
      <w:start w:val="1"/>
      <w:numFmt w:val="lowerLetter"/>
      <w:lvlText w:val="%8."/>
      <w:lvlJc w:val="left"/>
      <w:pPr>
        <w:ind w:left="8640" w:hanging="360"/>
      </w:pPr>
    </w:lvl>
    <w:lvl w:ilvl="8" w:tplc="0416001B" w:tentative="1">
      <w:start w:val="1"/>
      <w:numFmt w:val="lowerRoman"/>
      <w:lvlText w:val="%9."/>
      <w:lvlJc w:val="right"/>
      <w:pPr>
        <w:ind w:left="9360" w:hanging="180"/>
      </w:pPr>
    </w:lvl>
  </w:abstractNum>
  <w:abstractNum w:abstractNumId="3" w15:restartNumberingAfterBreak="0">
    <w:nsid w:val="4ECF29C3"/>
    <w:multiLevelType w:val="multilevel"/>
    <w:tmpl w:val="CB8E8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2578EC"/>
    <w:multiLevelType w:val="hybridMultilevel"/>
    <w:tmpl w:val="FAF6526E"/>
    <w:lvl w:ilvl="0" w:tplc="E548AF84">
      <w:start w:val="1"/>
      <w:numFmt w:val="decimal"/>
      <w:lvlText w:val="%1)"/>
      <w:lvlJc w:val="left"/>
      <w:pPr>
        <w:ind w:left="2520" w:hanging="360"/>
      </w:pPr>
      <w:rPr>
        <w:rFonts w:hint="default"/>
      </w:rPr>
    </w:lvl>
    <w:lvl w:ilvl="1" w:tplc="04160019" w:tentative="1">
      <w:start w:val="1"/>
      <w:numFmt w:val="lowerLetter"/>
      <w:lvlText w:val="%2."/>
      <w:lvlJc w:val="left"/>
      <w:pPr>
        <w:ind w:left="3240" w:hanging="360"/>
      </w:pPr>
    </w:lvl>
    <w:lvl w:ilvl="2" w:tplc="0416001B" w:tentative="1">
      <w:start w:val="1"/>
      <w:numFmt w:val="lowerRoman"/>
      <w:lvlText w:val="%3."/>
      <w:lvlJc w:val="right"/>
      <w:pPr>
        <w:ind w:left="3960" w:hanging="180"/>
      </w:pPr>
    </w:lvl>
    <w:lvl w:ilvl="3" w:tplc="0416000F" w:tentative="1">
      <w:start w:val="1"/>
      <w:numFmt w:val="decimal"/>
      <w:lvlText w:val="%4."/>
      <w:lvlJc w:val="left"/>
      <w:pPr>
        <w:ind w:left="4680" w:hanging="360"/>
      </w:pPr>
    </w:lvl>
    <w:lvl w:ilvl="4" w:tplc="04160019" w:tentative="1">
      <w:start w:val="1"/>
      <w:numFmt w:val="lowerLetter"/>
      <w:lvlText w:val="%5."/>
      <w:lvlJc w:val="left"/>
      <w:pPr>
        <w:ind w:left="5400" w:hanging="360"/>
      </w:pPr>
    </w:lvl>
    <w:lvl w:ilvl="5" w:tplc="0416001B" w:tentative="1">
      <w:start w:val="1"/>
      <w:numFmt w:val="lowerRoman"/>
      <w:lvlText w:val="%6."/>
      <w:lvlJc w:val="right"/>
      <w:pPr>
        <w:ind w:left="6120" w:hanging="180"/>
      </w:pPr>
    </w:lvl>
    <w:lvl w:ilvl="6" w:tplc="0416000F" w:tentative="1">
      <w:start w:val="1"/>
      <w:numFmt w:val="decimal"/>
      <w:lvlText w:val="%7."/>
      <w:lvlJc w:val="left"/>
      <w:pPr>
        <w:ind w:left="6840" w:hanging="360"/>
      </w:pPr>
    </w:lvl>
    <w:lvl w:ilvl="7" w:tplc="04160019" w:tentative="1">
      <w:start w:val="1"/>
      <w:numFmt w:val="lowerLetter"/>
      <w:lvlText w:val="%8."/>
      <w:lvlJc w:val="left"/>
      <w:pPr>
        <w:ind w:left="7560" w:hanging="360"/>
      </w:pPr>
    </w:lvl>
    <w:lvl w:ilvl="8" w:tplc="0416001B" w:tentative="1">
      <w:start w:val="1"/>
      <w:numFmt w:val="lowerRoman"/>
      <w:lvlText w:val="%9."/>
      <w:lvlJc w:val="right"/>
      <w:pPr>
        <w:ind w:left="8280" w:hanging="180"/>
      </w:pPr>
    </w:lvl>
  </w:abstractNum>
  <w:abstractNum w:abstractNumId="5" w15:restartNumberingAfterBreak="0">
    <w:nsid w:val="7C576A60"/>
    <w:multiLevelType w:val="hybridMultilevel"/>
    <w:tmpl w:val="B628AB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113E5"/>
    <w:rsid w:val="00026652"/>
    <w:rsid w:val="0004226C"/>
    <w:rsid w:val="000C1DB6"/>
    <w:rsid w:val="000C4D1F"/>
    <w:rsid w:val="000C790B"/>
    <w:rsid w:val="00104586"/>
    <w:rsid w:val="0011676D"/>
    <w:rsid w:val="00135710"/>
    <w:rsid w:val="00137AA1"/>
    <w:rsid w:val="00146387"/>
    <w:rsid w:val="00162DE4"/>
    <w:rsid w:val="00164EEB"/>
    <w:rsid w:val="001876F8"/>
    <w:rsid w:val="001E2357"/>
    <w:rsid w:val="001E35E7"/>
    <w:rsid w:val="00206AAC"/>
    <w:rsid w:val="00215AC1"/>
    <w:rsid w:val="0024482C"/>
    <w:rsid w:val="002650A5"/>
    <w:rsid w:val="00290C90"/>
    <w:rsid w:val="00292980"/>
    <w:rsid w:val="002A3F4A"/>
    <w:rsid w:val="002B22E3"/>
    <w:rsid w:val="002C7172"/>
    <w:rsid w:val="002E3A91"/>
    <w:rsid w:val="002E72E5"/>
    <w:rsid w:val="0031186D"/>
    <w:rsid w:val="00343FF9"/>
    <w:rsid w:val="00372205"/>
    <w:rsid w:val="00372A21"/>
    <w:rsid w:val="00382268"/>
    <w:rsid w:val="003968F7"/>
    <w:rsid w:val="003D5A3A"/>
    <w:rsid w:val="003E62C2"/>
    <w:rsid w:val="00407F0D"/>
    <w:rsid w:val="0048769E"/>
    <w:rsid w:val="004D6241"/>
    <w:rsid w:val="004F776F"/>
    <w:rsid w:val="00505849"/>
    <w:rsid w:val="00510419"/>
    <w:rsid w:val="00510834"/>
    <w:rsid w:val="00521B24"/>
    <w:rsid w:val="00551CBB"/>
    <w:rsid w:val="00577451"/>
    <w:rsid w:val="005A7890"/>
    <w:rsid w:val="005C0492"/>
    <w:rsid w:val="005C4655"/>
    <w:rsid w:val="005E1465"/>
    <w:rsid w:val="005F21A5"/>
    <w:rsid w:val="00601F5C"/>
    <w:rsid w:val="00612CF2"/>
    <w:rsid w:val="00622B4F"/>
    <w:rsid w:val="006568AC"/>
    <w:rsid w:val="00680EC6"/>
    <w:rsid w:val="00690A5F"/>
    <w:rsid w:val="00691C7A"/>
    <w:rsid w:val="00691E21"/>
    <w:rsid w:val="006927F7"/>
    <w:rsid w:val="006A0599"/>
    <w:rsid w:val="006B3BAF"/>
    <w:rsid w:val="006D59C5"/>
    <w:rsid w:val="006E5BED"/>
    <w:rsid w:val="006F29DF"/>
    <w:rsid w:val="00703335"/>
    <w:rsid w:val="00711AAD"/>
    <w:rsid w:val="0071351B"/>
    <w:rsid w:val="00721D14"/>
    <w:rsid w:val="007262FB"/>
    <w:rsid w:val="007B4662"/>
    <w:rsid w:val="007C75FD"/>
    <w:rsid w:val="007D16CA"/>
    <w:rsid w:val="007E7315"/>
    <w:rsid w:val="00814B7D"/>
    <w:rsid w:val="008340DF"/>
    <w:rsid w:val="00834C93"/>
    <w:rsid w:val="008472C5"/>
    <w:rsid w:val="00860F41"/>
    <w:rsid w:val="00862029"/>
    <w:rsid w:val="008630FE"/>
    <w:rsid w:val="008867DF"/>
    <w:rsid w:val="008B25E9"/>
    <w:rsid w:val="008B7941"/>
    <w:rsid w:val="008E603F"/>
    <w:rsid w:val="009108EB"/>
    <w:rsid w:val="0091695E"/>
    <w:rsid w:val="00923E7F"/>
    <w:rsid w:val="0093409E"/>
    <w:rsid w:val="00943A1D"/>
    <w:rsid w:val="0094667D"/>
    <w:rsid w:val="009478D0"/>
    <w:rsid w:val="0096635F"/>
    <w:rsid w:val="00966825"/>
    <w:rsid w:val="009805CD"/>
    <w:rsid w:val="009862CC"/>
    <w:rsid w:val="009A5815"/>
    <w:rsid w:val="009B3815"/>
    <w:rsid w:val="009C63B4"/>
    <w:rsid w:val="00A01EB3"/>
    <w:rsid w:val="00A115B5"/>
    <w:rsid w:val="00A140F4"/>
    <w:rsid w:val="00A21E00"/>
    <w:rsid w:val="00A25A64"/>
    <w:rsid w:val="00A4221E"/>
    <w:rsid w:val="00A44A5D"/>
    <w:rsid w:val="00A52B05"/>
    <w:rsid w:val="00A55814"/>
    <w:rsid w:val="00A669C2"/>
    <w:rsid w:val="00A71D24"/>
    <w:rsid w:val="00A839C3"/>
    <w:rsid w:val="00A85C1A"/>
    <w:rsid w:val="00AB4BD8"/>
    <w:rsid w:val="00AD0F07"/>
    <w:rsid w:val="00AD360F"/>
    <w:rsid w:val="00AD5B58"/>
    <w:rsid w:val="00B05D76"/>
    <w:rsid w:val="00B1162F"/>
    <w:rsid w:val="00B27687"/>
    <w:rsid w:val="00B4406F"/>
    <w:rsid w:val="00B5026F"/>
    <w:rsid w:val="00BA3C60"/>
    <w:rsid w:val="00BB06AC"/>
    <w:rsid w:val="00BC7C70"/>
    <w:rsid w:val="00C23C6F"/>
    <w:rsid w:val="00C43F5B"/>
    <w:rsid w:val="00C64CED"/>
    <w:rsid w:val="00C83D76"/>
    <w:rsid w:val="00C91BBD"/>
    <w:rsid w:val="00CB69B4"/>
    <w:rsid w:val="00CB7EF9"/>
    <w:rsid w:val="00CF17F5"/>
    <w:rsid w:val="00D64C1B"/>
    <w:rsid w:val="00D76ACA"/>
    <w:rsid w:val="00D90ED9"/>
    <w:rsid w:val="00D93350"/>
    <w:rsid w:val="00DA25F2"/>
    <w:rsid w:val="00DB6051"/>
    <w:rsid w:val="00DE3112"/>
    <w:rsid w:val="00E0025A"/>
    <w:rsid w:val="00E1531D"/>
    <w:rsid w:val="00E255F3"/>
    <w:rsid w:val="00E31959"/>
    <w:rsid w:val="00E31B5C"/>
    <w:rsid w:val="00E626AE"/>
    <w:rsid w:val="00E64E46"/>
    <w:rsid w:val="00EB1AEB"/>
    <w:rsid w:val="00EB7948"/>
    <w:rsid w:val="00EC033C"/>
    <w:rsid w:val="00EE3BB0"/>
    <w:rsid w:val="00F24365"/>
    <w:rsid w:val="00F2735F"/>
    <w:rsid w:val="00F33907"/>
    <w:rsid w:val="00F35BAF"/>
    <w:rsid w:val="00F5520F"/>
    <w:rsid w:val="00F56446"/>
    <w:rsid w:val="00F574E6"/>
    <w:rsid w:val="00F60193"/>
    <w:rsid w:val="00F64322"/>
    <w:rsid w:val="00F82D92"/>
    <w:rsid w:val="00F83495"/>
    <w:rsid w:val="00FE2305"/>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FE9F1"/>
  <w15:docId w15:val="{775F3F8D-FF01-458C-8582-2186DC9FA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7E7315"/>
    <w:rPr>
      <w:sz w:val="20"/>
      <w:szCs w:val="20"/>
    </w:rPr>
  </w:style>
  <w:style w:type="character" w:customStyle="1" w:styleId="TextodenotaderodapChar">
    <w:name w:val="Texto de nota de rodapé Char"/>
    <w:basedOn w:val="Fontepargpadro"/>
    <w:link w:val="Textodenotaderodap"/>
    <w:uiPriority w:val="99"/>
    <w:semiHidden/>
    <w:rsid w:val="007E7315"/>
  </w:style>
  <w:style w:type="character" w:styleId="Refdenotaderodap">
    <w:name w:val="footnote reference"/>
    <w:uiPriority w:val="99"/>
    <w:semiHidden/>
    <w:unhideWhenUsed/>
    <w:rsid w:val="007E7315"/>
    <w:rPr>
      <w:vertAlign w:val="superscript"/>
    </w:rPr>
  </w:style>
  <w:style w:type="character" w:styleId="Hyperlink">
    <w:name w:val="Hyperlink"/>
    <w:uiPriority w:val="99"/>
    <w:unhideWhenUsed/>
    <w:rsid w:val="007E7315"/>
    <w:rPr>
      <w:color w:val="0000FF"/>
      <w:u w:val="single"/>
    </w:rPr>
  </w:style>
  <w:style w:type="paragraph" w:styleId="PargrafodaLista">
    <w:name w:val="List Paragraph"/>
    <w:basedOn w:val="Normal"/>
    <w:uiPriority w:val="34"/>
    <w:qFormat/>
    <w:rsid w:val="002E3A91"/>
    <w:pPr>
      <w:spacing w:after="160" w:line="278" w:lineRule="auto"/>
      <w:ind w:left="720"/>
      <w:contextualSpacing/>
    </w:pPr>
    <w:rPr>
      <w:rFonts w:ascii="Aptos" w:eastAsia="Aptos" w:hAnsi="Aptos" w:cs="Times New Roman"/>
      <w:kern w:val="2"/>
      <w:sz w:val="24"/>
      <w:szCs w:val="24"/>
      <w:lang w:eastAsia="en-US"/>
    </w:rPr>
  </w:style>
  <w:style w:type="paragraph" w:styleId="NormalWeb">
    <w:name w:val="Normal (Web)"/>
    <w:basedOn w:val="Normal"/>
    <w:uiPriority w:val="99"/>
    <w:unhideWhenUsed/>
    <w:rsid w:val="002E3A91"/>
    <w:pPr>
      <w:spacing w:before="100" w:beforeAutospacing="1" w:after="100" w:afterAutospacing="1" w:line="240" w:lineRule="auto"/>
    </w:pPr>
    <w:rPr>
      <w:rFonts w:ascii="Times New Roman" w:eastAsia="Times New Roman" w:hAnsi="Times New Roman" w:cs="Times New Roman"/>
      <w:sz w:val="24"/>
      <w:szCs w:val="24"/>
    </w:rPr>
  </w:style>
  <w:style w:type="character" w:styleId="MenoPendente">
    <w:name w:val="Unresolved Mention"/>
    <w:basedOn w:val="Fontepargpadro"/>
    <w:uiPriority w:val="99"/>
    <w:semiHidden/>
    <w:unhideWhenUsed/>
    <w:rsid w:val="002E72E5"/>
    <w:rPr>
      <w:color w:val="605E5C"/>
      <w:shd w:val="clear" w:color="auto" w:fill="E1DFDD"/>
    </w:rPr>
  </w:style>
  <w:style w:type="paragraph" w:customStyle="1" w:styleId="Default">
    <w:name w:val="Default"/>
    <w:rsid w:val="006B3BAF"/>
    <w:pPr>
      <w:autoSpaceDE w:val="0"/>
      <w:autoSpaceDN w:val="0"/>
      <w:adjustRightInd w:val="0"/>
    </w:pPr>
    <w:rPr>
      <w:rFonts w:ascii="Open Sans" w:eastAsia="Calibri" w:hAnsi="Open Sans" w:cs="Open Sans"/>
      <w:color w:val="000000"/>
      <w:sz w:val="24"/>
      <w:szCs w:val="24"/>
      <w:lang w:eastAsia="en-US"/>
    </w:rPr>
  </w:style>
  <w:style w:type="character" w:styleId="Forte">
    <w:name w:val="Strong"/>
    <w:basedOn w:val="Fontepargpadro"/>
    <w:uiPriority w:val="22"/>
    <w:qFormat/>
    <w:rsid w:val="00E31959"/>
    <w:rPr>
      <w:b/>
      <w:bCs/>
    </w:rPr>
  </w:style>
  <w:style w:type="character" w:styleId="nfase">
    <w:name w:val="Emphasis"/>
    <w:basedOn w:val="Fontepargpadro"/>
    <w:uiPriority w:val="20"/>
    <w:qFormat/>
    <w:rsid w:val="00E31959"/>
    <w:rPr>
      <w:i/>
      <w:iCs/>
    </w:rPr>
  </w:style>
  <w:style w:type="character" w:customStyle="1" w:styleId="y2iqfc">
    <w:name w:val="y2iqfc"/>
    <w:basedOn w:val="Fontepargpadro"/>
    <w:rsid w:val="00E319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reel/C_5wIwGxUYJ/?utm_source=ig_web_copy_link&amp;igsh=MzRlODBiNWFlZA" TargetMode="External"/><Relationship Id="rId18" Type="http://schemas.openxmlformats.org/officeDocument/2006/relationships/hyperlink" Target="https://www.epsjv.fiocruz.br/noticias/reportagem/17a-conferencia-nacional-de-saude-diversidade-e-defesa-dos-direitos-humanos" TargetMode="External"/><Relationship Id="rId26" Type="http://schemas.openxmlformats.org/officeDocument/2006/relationships/hyperlink" Target="https://www.gov.br/conselho-nacional-de-saude/pt-br/acesso-a-informacao/legislacao/resolucoes/2023/resolucao-no-713.pdf" TargetMode="Externa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gov.br/saude/pt-br/assuntos/noticias/2024/setembro/ministerio-da-saude-lanca-mapamovsaude-para-fortalecer-a-participacao-social-no-sus" TargetMode="External"/><Relationship Id="rId17" Type="http://schemas.openxmlformats.org/officeDocument/2006/relationships/hyperlink" Target="https://mapamovsaude.net.br/index.php/O_Projeto" TargetMode="External"/><Relationship Id="rId25" Type="http://schemas.openxmlformats.org/officeDocument/2006/relationships/package" Target="embeddings/Microsoft_Excel_Worksheet1.xlsx"/><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ee.fiocruz.br/?q=construir-o-Amanh%C3%A3-hoje-Desafios-enfrentados-pela-17-Conferencia-Nacional-de-Saude-por-Sonia-Fleury" TargetMode="External"/><Relationship Id="rId20" Type="http://schemas.openxmlformats.org/officeDocument/2006/relationships/hyperlink" Target="https://doi.org/10.26512/ser_social.v17i36.13418"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pamovsaude.net.br/index.php/Especial:Todas_as_p%C3%A1gina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fase.org.br/wp-content/uploads/2019/02/PUBLICACAO-FINAL-DIGITAL-PARA-SITE.pdf" TargetMode="External"/><Relationship Id="rId23" Type="http://schemas.openxmlformats.org/officeDocument/2006/relationships/package" Target="embeddings/Microsoft_Excel_Worksheet.xlsx"/><Relationship Id="rId28" Type="http://schemas.openxmlformats.org/officeDocument/2006/relationships/hyperlink" Target="https://www.gov.br/conselho-nacional-de-saude/pt-br/acesso-a-informacao/legislacao/resolucoes/2023/resolucao-no-713.pdf" TargetMode="External"/><Relationship Id="rId36" Type="http://schemas.openxmlformats.org/officeDocument/2006/relationships/theme" Target="theme/theme1.xml"/><Relationship Id="rId10" Type="http://schemas.openxmlformats.org/officeDocument/2006/relationships/hyperlink" Target="https://mapamovsaude.net.br/index.php/Especial:Todas_as_p%C3%A1ginas" TargetMode="External"/><Relationship Id="rId19" Type="http://schemas.openxmlformats.org/officeDocument/2006/relationships/hyperlink" Target="https://doi.org/10.1590/S0104-12902012000400025"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apamovsaude.net.br/index.php/Especial:Todas_as_p%C3%A1ginas" TargetMode="External"/><Relationship Id="rId14" Type="http://schemas.openxmlformats.org/officeDocument/2006/relationships/hyperlink" Target="https://fase.org.br/wp-content/uploads/2019/02/PUBLICACAO-FINAL-DIGITAL-PARA-SITE.pdf" TargetMode="External"/><Relationship Id="rId22" Type="http://schemas.openxmlformats.org/officeDocument/2006/relationships/image" Target="media/image2.emf"/><Relationship Id="rId27" Type="http://schemas.openxmlformats.org/officeDocument/2006/relationships/hyperlink" Target="https://www.gov.br/conselho-nacional-de-saude./pt-br/atos-normativos/recomendacoes/2023/recomendacao-no-016.pdf"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mapamovsaude.net.br/index.php/Especial:Todas_as_p%C3%A1gina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onferenciaclacso.org/programa/resumen_ponencia.php?&amp;ponencia=Conf-1-2880-30629&amp;d=4&amp;h=%25&amp;ca=1&amp;eje=%25&amp;sede=%25" TargetMode="External"/><Relationship Id="rId3" Type="http://schemas.openxmlformats.org/officeDocument/2006/relationships/hyperlink" Target="mailto:andreiaoliveirasus@gmail.com" TargetMode="External"/><Relationship Id="rId7" Type="http://schemas.openxmlformats.org/officeDocument/2006/relationships/hyperlink" Target="https://www.instagram.com/mapamovsaude/" TargetMode="External"/><Relationship Id="rId12" Type="http://schemas.openxmlformats.org/officeDocument/2006/relationships/hyperlink" Target="https://www.gov.br/conselho-nacional-de-saude/pt-br/assuntos/noticias/2024/agosto/movimentos-sociais-do-brasil-ganham-plataforma-digital-para-contar-e-unir-suas-trajetorias" TargetMode="External"/><Relationship Id="rId2" Type="http://schemas.openxmlformats.org/officeDocument/2006/relationships/hyperlink" Target="https://orcid.org/0000-0001-8759-059X" TargetMode="External"/><Relationship Id="rId1" Type="http://schemas.openxmlformats.org/officeDocument/2006/relationships/hyperlink" Target="http://lattes.cnpq.br/0056976365794825" TargetMode="External"/><Relationship Id="rId6" Type="http://schemas.openxmlformats.org/officeDocument/2006/relationships/hyperlink" Target="mailto:vanda.burginski@ufmt.br" TargetMode="External"/><Relationship Id="rId11" Type="http://schemas.openxmlformats.org/officeDocument/2006/relationships/hyperlink" Target="https://www.icict.fiocruz.br/noticias/9o-cshs-icict-participa-de-atividade-do-mapa-colaborativo-dos-movimentos-sociais-em-saude" TargetMode="External"/><Relationship Id="rId5" Type="http://schemas.openxmlformats.org/officeDocument/2006/relationships/hyperlink" Target="http://lattes.cnpq.br/9178454746153446" TargetMode="External"/><Relationship Id="rId10" Type="http://schemas.openxmlformats.org/officeDocument/2006/relationships/hyperlink" Target="mailto:svsa@saude.gov.br" TargetMode="External"/><Relationship Id="rId4" Type="http://schemas.openxmlformats.org/officeDocument/2006/relationships/hyperlink" Target="mailto:andreiao@unb.br" TargetMode="External"/><Relationship Id="rId9" Type="http://schemas.openxmlformats.org/officeDocument/2006/relationships/hyperlink" Target="mailto:svsa@saude.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779D7-A044-4762-B81B-7D14F0324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13042</Words>
  <Characters>70432</Characters>
  <Application>Microsoft Office Word</Application>
  <DocSecurity>0</DocSecurity>
  <Lines>586</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83308</CharactersWithSpaces>
  <SharedDoc>false</SharedDoc>
  <HLinks>
    <vt:vector size="36" baseType="variant">
      <vt:variant>
        <vt:i4>3932230</vt:i4>
      </vt:variant>
      <vt:variant>
        <vt:i4>15</vt:i4>
      </vt:variant>
      <vt:variant>
        <vt:i4>0</vt:i4>
      </vt:variant>
      <vt:variant>
        <vt:i4>5</vt:i4>
      </vt:variant>
      <vt:variant>
        <vt:lpwstr>mailto:vanda.burginski@ufmt.br</vt:lpwstr>
      </vt:variant>
      <vt:variant>
        <vt:lpwstr/>
      </vt:variant>
      <vt:variant>
        <vt:i4>2097196</vt:i4>
      </vt:variant>
      <vt:variant>
        <vt:i4>12</vt:i4>
      </vt:variant>
      <vt:variant>
        <vt:i4>0</vt:i4>
      </vt:variant>
      <vt:variant>
        <vt:i4>5</vt:i4>
      </vt:variant>
      <vt:variant>
        <vt:lpwstr>http://lattes.cnpq.br/9178454746153446</vt:lpwstr>
      </vt:variant>
      <vt:variant>
        <vt:lpwstr/>
      </vt:variant>
      <vt:variant>
        <vt:i4>1114149</vt:i4>
      </vt:variant>
      <vt:variant>
        <vt:i4>9</vt:i4>
      </vt:variant>
      <vt:variant>
        <vt:i4>0</vt:i4>
      </vt:variant>
      <vt:variant>
        <vt:i4>5</vt:i4>
      </vt:variant>
      <vt:variant>
        <vt:lpwstr>mailto:andreiao@unb.br</vt:lpwstr>
      </vt:variant>
      <vt:variant>
        <vt:lpwstr/>
      </vt:variant>
      <vt:variant>
        <vt:i4>65575</vt:i4>
      </vt:variant>
      <vt:variant>
        <vt:i4>6</vt:i4>
      </vt:variant>
      <vt:variant>
        <vt:i4>0</vt:i4>
      </vt:variant>
      <vt:variant>
        <vt:i4>5</vt:i4>
      </vt:variant>
      <vt:variant>
        <vt:lpwstr>mailto:andreiaoliveirasus@gmail.com</vt:lpwstr>
      </vt:variant>
      <vt:variant>
        <vt:lpwstr/>
      </vt:variant>
      <vt:variant>
        <vt:i4>5439513</vt:i4>
      </vt:variant>
      <vt:variant>
        <vt:i4>3</vt:i4>
      </vt:variant>
      <vt:variant>
        <vt:i4>0</vt:i4>
      </vt:variant>
      <vt:variant>
        <vt:i4>5</vt:i4>
      </vt:variant>
      <vt:variant>
        <vt:lpwstr>https://orcid.org/0000-0001-8759-059X</vt:lpwstr>
      </vt:variant>
      <vt:variant>
        <vt:lpwstr/>
      </vt:variant>
      <vt:variant>
        <vt:i4>2687021</vt:i4>
      </vt:variant>
      <vt:variant>
        <vt:i4>0</vt:i4>
      </vt:variant>
      <vt:variant>
        <vt:i4>0</vt:i4>
      </vt:variant>
      <vt:variant>
        <vt:i4>5</vt:i4>
      </vt:variant>
      <vt:variant>
        <vt:lpwstr>http://lattes.cnpq.br/0056976365794825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Revista de Políticas Públicas RPP</cp:lastModifiedBy>
  <cp:revision>2</cp:revision>
  <dcterms:created xsi:type="dcterms:W3CDTF">2025-12-15T16:31:00Z</dcterms:created>
  <dcterms:modified xsi:type="dcterms:W3CDTF">2025-12-15T16:31:00Z</dcterms:modified>
</cp:coreProperties>
</file>