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BFD01" w14:textId="77777777" w:rsidR="00497A5C" w:rsidRPr="00F47225" w:rsidRDefault="00497A5C" w:rsidP="00497A5C">
      <w:pPr>
        <w:jc w:val="both"/>
        <w:rPr>
          <w:b/>
          <w:bCs/>
          <w:sz w:val="24"/>
          <w:szCs w:val="24"/>
        </w:rPr>
      </w:pPr>
      <w:r w:rsidRPr="00F47225">
        <w:rPr>
          <w:b/>
          <w:bCs/>
          <w:sz w:val="24"/>
          <w:szCs w:val="24"/>
        </w:rPr>
        <w:t>TÍTULO DA MESA COORDENADA</w:t>
      </w:r>
      <w:r w:rsidRPr="00F47225">
        <w:rPr>
          <w:sz w:val="24"/>
          <w:szCs w:val="24"/>
        </w:rPr>
        <w:t xml:space="preserve">: </w:t>
      </w:r>
      <w:r w:rsidRPr="00F47225">
        <w:rPr>
          <w:b/>
          <w:bCs/>
          <w:sz w:val="24"/>
          <w:szCs w:val="24"/>
        </w:rPr>
        <w:t>PROGRAMAS DE TRANSFERÊNCIA MONETÁRIA E RENDA BÁSICA UNIVERSAL NA AMÉRICA LATINA E CARIBE</w:t>
      </w:r>
    </w:p>
    <w:p w14:paraId="22C5FD5C" w14:textId="77777777" w:rsidR="00A1336A" w:rsidRDefault="00A1336A" w:rsidP="00497A5C">
      <w:pPr>
        <w:jc w:val="both"/>
        <w:rPr>
          <w:b/>
          <w:bCs/>
        </w:rPr>
      </w:pPr>
    </w:p>
    <w:p w14:paraId="20957EC7" w14:textId="77777777" w:rsidR="00A824C8" w:rsidRPr="00A824C8" w:rsidRDefault="00A824C8" w:rsidP="00A824C8">
      <w:pPr>
        <w:jc w:val="both"/>
        <w:rPr>
          <w:b/>
          <w:bCs/>
          <w:sz w:val="24"/>
          <w:szCs w:val="24"/>
        </w:rPr>
      </w:pPr>
      <w:r w:rsidRPr="00A824C8">
        <w:rPr>
          <w:b/>
          <w:bCs/>
          <w:sz w:val="24"/>
          <w:szCs w:val="24"/>
          <w:lang w:val="en"/>
        </w:rPr>
        <w:t>TITLE OF THE COORDINATED TABLE: CASH TRANSFER PROGRAMS AND UNIVERSAL BASIC INCOME IN LATIN AMERICA AND THE CARIBBEAN</w:t>
      </w:r>
    </w:p>
    <w:p w14:paraId="222D4F4B" w14:textId="77777777" w:rsidR="00A824C8" w:rsidRDefault="00A824C8" w:rsidP="00497A5C">
      <w:pPr>
        <w:jc w:val="both"/>
        <w:rPr>
          <w:b/>
          <w:bCs/>
        </w:rPr>
      </w:pPr>
    </w:p>
    <w:p w14:paraId="1A8BDF0B" w14:textId="77777777" w:rsidR="000318F5" w:rsidRDefault="000318F5" w:rsidP="000318F5">
      <w:pPr>
        <w:jc w:val="both"/>
      </w:pPr>
      <w:r>
        <w:t>Nome participante 1:</w:t>
      </w:r>
      <w:r w:rsidRPr="00A1336A">
        <w:t xml:space="preserve"> </w:t>
      </w:r>
      <w:r>
        <w:t xml:space="preserve">Carola C. Arregui. </w:t>
      </w:r>
      <w:r w:rsidRPr="0027733B">
        <w:t xml:space="preserve">Programa de Pós-graduação em Serviço Social da Pontifícia Universidade Católica de São Paulo. </w:t>
      </w:r>
      <w:r>
        <w:t xml:space="preserve">Pós-doutorado em economia na Université Alpes Grenoble-França, </w:t>
      </w:r>
      <w:r w:rsidRPr="0027733B">
        <w:t>Doutora em Serviço Social pela Pontifícia Universidade Católica de São Paulo; E-mail</w:t>
      </w:r>
      <w:r>
        <w:t>;</w:t>
      </w:r>
      <w:r w:rsidRPr="0027733B">
        <w:t xml:space="preserve"> </w:t>
      </w:r>
      <w:hyperlink r:id="rId8" w:history="1">
        <w:r w:rsidRPr="00931DE9">
          <w:rPr>
            <w:rStyle w:val="Hyperlink"/>
          </w:rPr>
          <w:t>carolaarregui@gmail.com</w:t>
        </w:r>
      </w:hyperlink>
    </w:p>
    <w:p w14:paraId="02F86A90" w14:textId="77777777" w:rsidR="000318F5" w:rsidRDefault="000318F5" w:rsidP="000318F5">
      <w:pPr>
        <w:jc w:val="center"/>
      </w:pPr>
      <w:r>
        <w:t>Coordenador</w:t>
      </w:r>
    </w:p>
    <w:p w14:paraId="0F1CC752" w14:textId="77777777" w:rsidR="000318F5" w:rsidRDefault="000318F5" w:rsidP="000318F5">
      <w:pPr>
        <w:jc w:val="both"/>
      </w:pPr>
      <w:r>
        <w:t xml:space="preserve">Nome participante 2: Maria Ozanira da Silva e Silva. </w:t>
      </w:r>
      <w:r w:rsidRPr="0027733B">
        <w:t>Programa de Pós-graduação</w:t>
      </w:r>
      <w:r>
        <w:t xml:space="preserve"> em Políticas Sociais/Grupo de Avaliação e Estudo de Pobreza e Políticas direcionadas à Pobreza da Universidade Federal do Maranhão.</w:t>
      </w:r>
      <w:r w:rsidRPr="00EF3DF5">
        <w:t xml:space="preserve"> </w:t>
      </w:r>
      <w:r>
        <w:t xml:space="preserve">Pós-doutorado e </w:t>
      </w:r>
      <w:r w:rsidRPr="0027733B">
        <w:t>Doutora em Serviço Social pela Pontifícia Universidade Católica de São Paulo; E-mail:</w:t>
      </w:r>
      <w:r w:rsidRPr="00EF3DF5">
        <w:t xml:space="preserve"> </w:t>
      </w:r>
      <w:hyperlink r:id="rId9" w:history="1">
        <w:r w:rsidRPr="00931DE9">
          <w:rPr>
            <w:rStyle w:val="Hyperlink"/>
          </w:rPr>
          <w:t>maria.ozanira@gmail.com</w:t>
        </w:r>
      </w:hyperlink>
    </w:p>
    <w:p w14:paraId="5E174053" w14:textId="77777777" w:rsidR="000318F5" w:rsidRDefault="000318F5" w:rsidP="000318F5">
      <w:pPr>
        <w:jc w:val="both"/>
      </w:pPr>
    </w:p>
    <w:p w14:paraId="3D0B8F16" w14:textId="77777777" w:rsidR="000318F5" w:rsidRPr="00F72859" w:rsidRDefault="000318F5" w:rsidP="000318F5">
      <w:pPr>
        <w:jc w:val="both"/>
      </w:pPr>
      <w:r>
        <w:t xml:space="preserve">Nome participante 3: </w:t>
      </w:r>
      <w:r w:rsidRPr="009D6895">
        <w:t>Sílvia Fernandes Soto</w:t>
      </w:r>
      <w:r>
        <w:t>.</w:t>
      </w:r>
      <w:r w:rsidRPr="009D6895">
        <w:t xml:space="preserve"> </w:t>
      </w:r>
      <w:r w:rsidRPr="009D6895">
        <w:rPr>
          <w:lang w:val="es-UY"/>
        </w:rPr>
        <w:t xml:space="preserve">Facultad de Ciencias Humanas de la Universidad Nacional del Centro de la Provincia de Buenos Aires (FCH-UNCPBA). </w:t>
      </w:r>
      <w:r w:rsidRPr="009D6895">
        <w:t>Pó</w:t>
      </w:r>
      <w:r>
        <w:t xml:space="preserve">s-doutorado na Universidad de Granada-Espanha, </w:t>
      </w:r>
      <w:r w:rsidRPr="0027733B">
        <w:t>Doutora em Serviço Social pela Pontifícia Universidade Católica de São Paulo;</w:t>
      </w:r>
      <w:r>
        <w:t xml:space="preserve"> </w:t>
      </w:r>
      <w:hyperlink r:id="rId10" w:history="1">
        <w:r w:rsidRPr="00931DE9">
          <w:rPr>
            <w:rStyle w:val="Hyperlink"/>
          </w:rPr>
          <w:t>silviafernandezsoto@gmail.com</w:t>
        </w:r>
      </w:hyperlink>
    </w:p>
    <w:p w14:paraId="7F7D1E26" w14:textId="77777777" w:rsidR="000318F5" w:rsidRDefault="000318F5" w:rsidP="000318F5">
      <w:pPr>
        <w:spacing w:line="240" w:lineRule="auto"/>
        <w:ind w:firstLine="720"/>
        <w:jc w:val="center"/>
        <w:rPr>
          <w:b/>
          <w:bCs/>
          <w:color w:val="000000"/>
        </w:rPr>
      </w:pPr>
    </w:p>
    <w:p w14:paraId="7DFA8BDD" w14:textId="77777777" w:rsidR="000318F5" w:rsidRDefault="000318F5" w:rsidP="000318F5">
      <w:pPr>
        <w:spacing w:line="240" w:lineRule="auto"/>
        <w:ind w:firstLine="720"/>
        <w:jc w:val="center"/>
        <w:rPr>
          <w:b/>
          <w:bCs/>
          <w:color w:val="000000"/>
          <w:sz w:val="20"/>
          <w:szCs w:val="20"/>
        </w:rPr>
      </w:pPr>
    </w:p>
    <w:p w14:paraId="0FD4AB6D" w14:textId="77777777" w:rsidR="000318F5" w:rsidRDefault="000318F5" w:rsidP="000318F5">
      <w:pPr>
        <w:spacing w:line="240" w:lineRule="auto"/>
        <w:ind w:firstLine="720"/>
        <w:jc w:val="center"/>
        <w:rPr>
          <w:b/>
          <w:bCs/>
          <w:color w:val="000000"/>
          <w:sz w:val="20"/>
          <w:szCs w:val="20"/>
        </w:rPr>
      </w:pPr>
      <w:r w:rsidRPr="00F47225">
        <w:rPr>
          <w:b/>
          <w:bCs/>
          <w:color w:val="000000"/>
          <w:sz w:val="20"/>
          <w:szCs w:val="20"/>
        </w:rPr>
        <w:t xml:space="preserve">RESUMO </w:t>
      </w:r>
    </w:p>
    <w:p w14:paraId="6CC13E1A" w14:textId="77777777" w:rsidR="000318F5" w:rsidRPr="00F47225" w:rsidRDefault="000318F5" w:rsidP="000318F5">
      <w:pPr>
        <w:spacing w:line="240" w:lineRule="auto"/>
        <w:ind w:firstLine="720"/>
        <w:jc w:val="center"/>
        <w:rPr>
          <w:color w:val="000000"/>
          <w:sz w:val="20"/>
          <w:szCs w:val="20"/>
        </w:rPr>
      </w:pPr>
    </w:p>
    <w:p w14:paraId="4C784C8D" w14:textId="77777777" w:rsidR="000318F5" w:rsidRPr="00F47225" w:rsidRDefault="000318F5" w:rsidP="000318F5">
      <w:pPr>
        <w:spacing w:line="240" w:lineRule="auto"/>
        <w:jc w:val="both"/>
        <w:rPr>
          <w:rFonts w:ascii="Times New Roman" w:hAnsi="Times New Roman" w:cs="Times New Roman"/>
          <w:sz w:val="20"/>
          <w:szCs w:val="20"/>
        </w:rPr>
      </w:pPr>
      <w:r w:rsidRPr="00F47225">
        <w:rPr>
          <w:color w:val="000000"/>
          <w:sz w:val="20"/>
          <w:szCs w:val="20"/>
        </w:rPr>
        <w:t xml:space="preserve">A mesa coordenada sob o título </w:t>
      </w:r>
      <w:r w:rsidRPr="00F47225">
        <w:rPr>
          <w:b/>
          <w:bCs/>
          <w:color w:val="000000"/>
          <w:sz w:val="20"/>
          <w:szCs w:val="20"/>
        </w:rPr>
        <w:t xml:space="preserve">PROGRAMAS DE TRANSFERÊNCIA MONETÁRIA E RENDA BÁSICA UNIVERSAL NA AMÉRICA LATINA E CARIBE </w:t>
      </w:r>
      <w:r w:rsidRPr="00F47225">
        <w:rPr>
          <w:color w:val="000000"/>
          <w:sz w:val="20"/>
          <w:szCs w:val="20"/>
        </w:rPr>
        <w:t xml:space="preserve">tem como objetivo apresentar os resultados e debates construídos no âmbito de um projeto de investigação, realizado em rede de cooperação científica internacional, intitulado: </w:t>
      </w:r>
      <w:r w:rsidRPr="00F47225">
        <w:rPr>
          <w:b/>
          <w:bCs/>
          <w:color w:val="000000"/>
          <w:sz w:val="20"/>
          <w:szCs w:val="20"/>
        </w:rPr>
        <w:t>PROGRAMAS DE TRANSFERÊNCIA MONETÁRIA FOCALIZADOS E DE RENDA BÁSICA UNIVERSAL NO CONTEXTO DA PANDEMIA E DA PÓS-PANDEMIA DA COVID-19</w:t>
      </w:r>
      <w:r w:rsidRPr="00F47225">
        <w:rPr>
          <w:color w:val="000000"/>
          <w:sz w:val="20"/>
          <w:szCs w:val="20"/>
        </w:rPr>
        <w:t>: acompanhamento e análise da realidade na América Latina e Caribe, que se encontra em fase de conclusão de sua implementação. a) a análise d</w:t>
      </w:r>
      <w:r w:rsidRPr="00F47225">
        <w:rPr>
          <w:sz w:val="20"/>
          <w:szCs w:val="20"/>
        </w:rPr>
        <w:t>as determinações, configurações e contextos de implementação de programas sociais de transferência monetária na região latino-americana e caribenha, desde fins do século XX e a sua expansão, em decorrência da pandemia do Covid-19 e da crise estrutural do capital; b) a compreensão dos programas de transferência monetária no contexto socioeconômico e de proteção social da América Latina e Caribe, com o foco centrado nos impactos das transformações experimentadas pelo sistema capitalista, no estágio de desenvolvimento da financeirização do capital e suas imbricações com os traços estruturais como países da periferia do capitalismo; c) o debate sobre os alcances, sentidos, continuidades e reconfigurações dos programas de transferência monetária e da renda básica universal no campo da garantia do direito à renda e na perspectiva da proteção social não contributiva.</w:t>
      </w:r>
    </w:p>
    <w:p w14:paraId="3E1DA6A6" w14:textId="77777777" w:rsidR="000318F5" w:rsidRPr="00F47225" w:rsidRDefault="000318F5" w:rsidP="000318F5">
      <w:pPr>
        <w:spacing w:line="240" w:lineRule="auto"/>
        <w:jc w:val="both"/>
        <w:rPr>
          <w:color w:val="000000"/>
          <w:sz w:val="20"/>
          <w:szCs w:val="20"/>
        </w:rPr>
      </w:pPr>
      <w:r w:rsidRPr="00F47225">
        <w:rPr>
          <w:rFonts w:eastAsia="Times New Roman"/>
          <w:color w:val="000000"/>
          <w:sz w:val="20"/>
          <w:szCs w:val="20"/>
          <w:lang w:eastAsia="es-AR"/>
        </w:rPr>
        <w:t>Em termos dos principais resultados da investigação, verificou-se que os</w:t>
      </w:r>
      <w:r w:rsidRPr="00F47225">
        <w:rPr>
          <w:sz w:val="20"/>
          <w:szCs w:val="20"/>
        </w:rPr>
        <w:t xml:space="preserve"> programas de transferência monetária constituem mecanismos político-institucionais que integram as estratégias dos sistemas de proteção social na região latino-americana e caribenha desde fins do século XX, expandindo-se e consolidando-se no desenvolvimento do século XXI. A existência desses programas, em diversas experiências nacionais com particularidades específicas, permitiu instituir novas medidas no contexto </w:t>
      </w:r>
      <w:r w:rsidRPr="00F47225">
        <w:rPr>
          <w:sz w:val="20"/>
          <w:szCs w:val="20"/>
        </w:rPr>
        <w:lastRenderedPageBreak/>
        <w:t xml:space="preserve">da pandemia da Covid-19 que, tanto reforçaram os programas de transferência monetária já existentes, adotando benefícios complementares ou incorporando novos beneficiários, como instituíram novas modalidades de transferência monetária, incorporando, especialmente, a(o) trabalhador(a) informal. </w:t>
      </w:r>
      <w:r>
        <w:rPr>
          <w:sz w:val="20"/>
          <w:szCs w:val="20"/>
        </w:rPr>
        <w:t>Nesse contexto,</w:t>
      </w:r>
      <w:r w:rsidRPr="00F47225">
        <w:rPr>
          <w:sz w:val="20"/>
          <w:szCs w:val="20"/>
        </w:rPr>
        <w:t xml:space="preserve"> </w:t>
      </w:r>
      <w:r>
        <w:rPr>
          <w:sz w:val="20"/>
          <w:szCs w:val="20"/>
        </w:rPr>
        <w:t xml:space="preserve">foram desvendados </w:t>
      </w:r>
      <w:r w:rsidRPr="00F47225">
        <w:rPr>
          <w:sz w:val="20"/>
          <w:szCs w:val="20"/>
        </w:rPr>
        <w:t>a precariedade e a informalidade do trabalho como traços constituídos em vigas estruturantes que reafirmam e reorganizam o ciclo de dependência da região na dinâmica global do capital</w:t>
      </w:r>
      <w:r>
        <w:rPr>
          <w:sz w:val="20"/>
          <w:szCs w:val="20"/>
        </w:rPr>
        <w:t xml:space="preserve">, bem como a </w:t>
      </w:r>
      <w:r w:rsidRPr="00F47225">
        <w:rPr>
          <w:sz w:val="20"/>
          <w:szCs w:val="20"/>
        </w:rPr>
        <w:t>perspectiva emergencial</w:t>
      </w:r>
      <w:r>
        <w:rPr>
          <w:sz w:val="20"/>
          <w:szCs w:val="20"/>
        </w:rPr>
        <w:t xml:space="preserve"> das novas medidas de transferências monetárias, </w:t>
      </w:r>
      <w:r w:rsidRPr="00F47225">
        <w:rPr>
          <w:sz w:val="20"/>
          <w:szCs w:val="20"/>
        </w:rPr>
        <w:t>com uma direção de atuação paliativa nas expressões mais agudas e imediatas da crise, constituindo</w:t>
      </w:r>
      <w:r>
        <w:rPr>
          <w:sz w:val="20"/>
          <w:szCs w:val="20"/>
        </w:rPr>
        <w:t>-se</w:t>
      </w:r>
      <w:r w:rsidRPr="00F47225">
        <w:rPr>
          <w:sz w:val="20"/>
          <w:szCs w:val="20"/>
        </w:rPr>
        <w:t xml:space="preserve"> num alívio necessário</w:t>
      </w:r>
      <w:r>
        <w:rPr>
          <w:sz w:val="20"/>
          <w:szCs w:val="20"/>
        </w:rPr>
        <w:t xml:space="preserve"> para reprodução da vida</w:t>
      </w:r>
      <w:r w:rsidRPr="00F47225">
        <w:rPr>
          <w:sz w:val="20"/>
          <w:szCs w:val="20"/>
        </w:rPr>
        <w:t xml:space="preserve">, embora limitado e insuficiente. </w:t>
      </w:r>
      <w:r w:rsidRPr="00F47225">
        <w:rPr>
          <w:rFonts w:eastAsia="Times New Roman"/>
          <w:color w:val="000000"/>
          <w:sz w:val="20"/>
          <w:szCs w:val="20"/>
          <w:lang w:eastAsia="es-AR"/>
        </w:rPr>
        <w:t xml:space="preserve">A pesquisa evidenciou, ainda, a inexistência de renda básica universal, exceto algumas poucas experiências, em nível local de alguns municípios brasileiros nos estados do Rio de Janeiro e São Paulo.  </w:t>
      </w:r>
      <w:r w:rsidRPr="00F47225">
        <w:rPr>
          <w:color w:val="000000"/>
          <w:sz w:val="20"/>
          <w:szCs w:val="20"/>
        </w:rPr>
        <w:t xml:space="preserve">   </w:t>
      </w:r>
    </w:p>
    <w:p w14:paraId="128EF796" w14:textId="77777777" w:rsidR="000318F5" w:rsidRPr="00F47225" w:rsidRDefault="000318F5" w:rsidP="000318F5">
      <w:pPr>
        <w:spacing w:line="240" w:lineRule="auto"/>
        <w:jc w:val="both"/>
        <w:rPr>
          <w:color w:val="000000"/>
          <w:sz w:val="20"/>
          <w:szCs w:val="20"/>
        </w:rPr>
      </w:pPr>
    </w:p>
    <w:p w14:paraId="11BD01B3" w14:textId="77777777" w:rsidR="000318F5" w:rsidRDefault="000318F5" w:rsidP="000318F5">
      <w:pPr>
        <w:spacing w:line="240" w:lineRule="auto"/>
        <w:jc w:val="both"/>
        <w:rPr>
          <w:sz w:val="20"/>
          <w:szCs w:val="20"/>
        </w:rPr>
      </w:pPr>
      <w:r w:rsidRPr="00E240B5">
        <w:rPr>
          <w:b/>
          <w:sz w:val="20"/>
          <w:szCs w:val="20"/>
        </w:rPr>
        <w:t>Palavras-chave</w:t>
      </w:r>
      <w:r w:rsidRPr="00E240B5">
        <w:rPr>
          <w:sz w:val="20"/>
          <w:szCs w:val="20"/>
        </w:rPr>
        <w:t xml:space="preserve">: </w:t>
      </w:r>
      <w:r w:rsidRPr="00F47225">
        <w:rPr>
          <w:sz w:val="20"/>
          <w:szCs w:val="20"/>
        </w:rPr>
        <w:t>programas sociais de transferência monetária</w:t>
      </w:r>
      <w:r>
        <w:rPr>
          <w:sz w:val="20"/>
          <w:szCs w:val="20"/>
        </w:rPr>
        <w:t xml:space="preserve">; </w:t>
      </w:r>
      <w:r w:rsidRPr="00F47225">
        <w:rPr>
          <w:rFonts w:eastAsia="Times New Roman"/>
          <w:color w:val="000000"/>
          <w:sz w:val="20"/>
          <w:szCs w:val="20"/>
          <w:lang w:eastAsia="es-AR"/>
        </w:rPr>
        <w:t>renda básica universal</w:t>
      </w:r>
      <w:r>
        <w:rPr>
          <w:sz w:val="20"/>
          <w:szCs w:val="20"/>
        </w:rPr>
        <w:t>; América Latina e Caribe</w:t>
      </w:r>
    </w:p>
    <w:p w14:paraId="1AF6D917" w14:textId="77777777" w:rsidR="000318F5" w:rsidRPr="00CC51BD" w:rsidRDefault="000318F5" w:rsidP="000318F5">
      <w:pPr>
        <w:spacing w:line="240" w:lineRule="auto"/>
        <w:jc w:val="both"/>
        <w:rPr>
          <w:sz w:val="20"/>
          <w:szCs w:val="20"/>
          <w:lang w:val="en-US"/>
        </w:rPr>
      </w:pPr>
    </w:p>
    <w:p w14:paraId="0AF30F84" w14:textId="77777777" w:rsidR="000318F5" w:rsidRDefault="000318F5" w:rsidP="000318F5">
      <w:pPr>
        <w:spacing w:line="360" w:lineRule="auto"/>
        <w:jc w:val="both"/>
      </w:pPr>
    </w:p>
    <w:p w14:paraId="29A6EB5C" w14:textId="77777777" w:rsidR="000318F5" w:rsidRPr="009755E7" w:rsidRDefault="000318F5" w:rsidP="000318F5">
      <w:pPr>
        <w:spacing w:line="360" w:lineRule="auto"/>
        <w:jc w:val="center"/>
        <w:rPr>
          <w:b/>
          <w:bCs/>
          <w:sz w:val="20"/>
          <w:szCs w:val="20"/>
        </w:rPr>
      </w:pPr>
      <w:r w:rsidRPr="009755E7">
        <w:rPr>
          <w:b/>
          <w:bCs/>
          <w:sz w:val="20"/>
          <w:szCs w:val="20"/>
        </w:rPr>
        <w:t>ABSTRACT</w:t>
      </w:r>
    </w:p>
    <w:p w14:paraId="039FE8F0" w14:textId="77777777" w:rsidR="000318F5" w:rsidRPr="009755E7" w:rsidRDefault="000318F5" w:rsidP="000318F5">
      <w:pPr>
        <w:spacing w:after="160" w:line="259" w:lineRule="auto"/>
        <w:jc w:val="both"/>
        <w:rPr>
          <w:sz w:val="20"/>
          <w:szCs w:val="20"/>
          <w:lang w:val="en"/>
        </w:rPr>
      </w:pPr>
      <w:r w:rsidRPr="000D28F7">
        <w:rPr>
          <w:sz w:val="20"/>
          <w:szCs w:val="20"/>
          <w:lang w:val="en"/>
        </w:rPr>
        <w:t>The table coordinated under the title MONETARY TRANSFER PROGRAMS AND UNIVERSAL BASIC INCOME IN LATIN AMERICA AND THE CARIBBEAN aims to present the results and debates constructed within the scope of a research project, carried out in an international scientific cooperation network, entitled: FOCUSED MONETARY TRANSFER PROGRAMS AND UNIVERSAL BASIC INCOME IN THE CONTEXT OF THE COVID-19 PANDEMIC AND POST-PANDEMIC: monitoring and analysis of the reality in Latin America and the Caribbean, which is in the final phase of its implementation.</w:t>
      </w:r>
      <w:r w:rsidRPr="009755E7">
        <w:rPr>
          <w:sz w:val="20"/>
          <w:szCs w:val="20"/>
          <w:lang w:val="en"/>
        </w:rPr>
        <w:t xml:space="preserve"> This is a project developed under the responsibility of research groups and researchers from the Federal University of Maranhão/Postgraduate Program in Public Policies; the Pontifical Catholic University of São Paulo/Postgraduate Program in Social Work; the National University of the Center of the Province of Buenos Aires in Argentina/Faculty of Human Sciences and the University of the Republic of Uruguay/Department of Social Work. The proposed texts, which guide the organization of this coordinated roundtable, seek to socialize the results of two years of research, highlighting:</w:t>
      </w:r>
      <w:r w:rsidRPr="009755E7">
        <w:rPr>
          <w:rFonts w:eastAsia="Times New Roman"/>
          <w:color w:val="1F1F1F"/>
          <w:sz w:val="20"/>
          <w:szCs w:val="20"/>
          <w:lang w:val="en"/>
        </w:rPr>
        <w:t xml:space="preserve"> </w:t>
      </w:r>
      <w:r w:rsidRPr="009755E7">
        <w:rPr>
          <w:sz w:val="20"/>
          <w:szCs w:val="20"/>
          <w:lang w:val="en"/>
        </w:rPr>
        <w:t xml:space="preserve">a) the analysis of the determinations, configurations and contexts of implementation of social monetary transfer programs in the Latin American and Caribbean region, since the end of the 20th century and their expansion, as a result of the Covid-19 pandemic and the structural crisis of capital; b) the understanding of monetary transfer programs in the socioeconomic and social protection context of Latin America and the Caribbean, with a focus on the impacts of the transformations experienced by the capitalist system, in the stage of development of the financialization of capital and its overlaps with the structural features as countries on the periphery of capitalism; </w:t>
      </w:r>
      <w:r w:rsidRPr="000D28F7">
        <w:rPr>
          <w:sz w:val="20"/>
          <w:szCs w:val="20"/>
          <w:lang w:val="en"/>
        </w:rPr>
        <w:t>c) the debate on the scope, meaning, continuities and reconfigurations of monetary transfer programs and universal basic income in the field of guaranteeing the right to income and from the perspective of non-contributory social protection.</w:t>
      </w:r>
      <w:r w:rsidRPr="009755E7">
        <w:rPr>
          <w:sz w:val="20"/>
          <w:szCs w:val="20"/>
          <w:lang w:val="en"/>
        </w:rPr>
        <w:t xml:space="preserve"> In terms of the main results of the research, it was found that cash transfer programs constitute political and institutional mechanisms that have been part of the strategies of social protection systems in the Latin American and Caribbean region since the end of the 20th century, expanding and consolidating themselves in the development of the 21st century. The existence of these programs, in various national experiences with specific particularities, allowed the establishment of new measures in the context of the Covid-19 pandemic that both reinforced existing cash transfer programs, adopting complementary benefits or incorporating new beneficiaries, and established new forms of cash transfer, incorporating, in particular, informal workers. In this context, the precariousness and informality of work were revealed as features that constitute structural beams that reaffirm and reorganize the region's cycle of dependence on the </w:t>
      </w:r>
      <w:r w:rsidRPr="009755E7">
        <w:rPr>
          <w:sz w:val="20"/>
          <w:szCs w:val="20"/>
          <w:lang w:val="en"/>
        </w:rPr>
        <w:lastRenderedPageBreak/>
        <w:t>global dynamics of capital, as well as the emergency perspective of new monetary transfer measures, with a palliative action direction in the most acute and immediate expressions of the crisis, constituting a necessary relief for the reproduction of life, although limited and insufficient. The research also highlighted the lack of universal basic income, except for a few experiences, at the local level of some Brazilian municipalities in the states of Rio de Janeiro and São Paulo.</w:t>
      </w:r>
    </w:p>
    <w:p w14:paraId="28B801BA" w14:textId="77777777" w:rsidR="000318F5" w:rsidRPr="000D28F7" w:rsidRDefault="000318F5" w:rsidP="000318F5">
      <w:pPr>
        <w:spacing w:after="160" w:line="259" w:lineRule="auto"/>
        <w:jc w:val="both"/>
        <w:rPr>
          <w:sz w:val="20"/>
          <w:szCs w:val="20"/>
        </w:rPr>
      </w:pPr>
      <w:r w:rsidRPr="000D28F7">
        <w:rPr>
          <w:sz w:val="20"/>
          <w:szCs w:val="20"/>
          <w:lang w:val="en"/>
        </w:rPr>
        <w:t>Keywords: social cash transfer programs; universal basic income; Latin America and the Caribbean</w:t>
      </w:r>
    </w:p>
    <w:p w14:paraId="3626FB70" w14:textId="77777777" w:rsidR="000318F5" w:rsidRPr="009755E7" w:rsidRDefault="000318F5" w:rsidP="000318F5">
      <w:pPr>
        <w:spacing w:line="360" w:lineRule="auto"/>
        <w:jc w:val="both"/>
        <w:rPr>
          <w:sz w:val="20"/>
          <w:szCs w:val="20"/>
        </w:rPr>
      </w:pPr>
    </w:p>
    <w:p w14:paraId="1088BA60" w14:textId="77777777" w:rsidR="000318F5" w:rsidRPr="009755E7" w:rsidRDefault="000318F5" w:rsidP="000318F5">
      <w:pPr>
        <w:spacing w:line="360" w:lineRule="auto"/>
        <w:jc w:val="both"/>
        <w:rPr>
          <w:b/>
          <w:bCs/>
          <w:sz w:val="20"/>
          <w:szCs w:val="20"/>
        </w:rPr>
      </w:pPr>
    </w:p>
    <w:p w14:paraId="6862C1AD" w14:textId="77777777" w:rsidR="000318F5" w:rsidRDefault="000318F5" w:rsidP="000318F5">
      <w:pPr>
        <w:spacing w:line="360" w:lineRule="auto"/>
        <w:jc w:val="center"/>
        <w:rPr>
          <w:b/>
          <w:bCs/>
          <w:sz w:val="24"/>
          <w:szCs w:val="24"/>
        </w:rPr>
      </w:pPr>
    </w:p>
    <w:p w14:paraId="2FACEAA8" w14:textId="77777777" w:rsidR="000318F5" w:rsidRDefault="000318F5" w:rsidP="000318F5">
      <w:pPr>
        <w:spacing w:line="360" w:lineRule="auto"/>
        <w:jc w:val="center"/>
        <w:rPr>
          <w:b/>
          <w:bCs/>
          <w:sz w:val="24"/>
          <w:szCs w:val="24"/>
        </w:rPr>
      </w:pPr>
    </w:p>
    <w:p w14:paraId="17B2FC96" w14:textId="77777777" w:rsidR="000318F5" w:rsidRDefault="000318F5" w:rsidP="000318F5">
      <w:pPr>
        <w:spacing w:line="360" w:lineRule="auto"/>
        <w:jc w:val="center"/>
        <w:rPr>
          <w:b/>
          <w:bCs/>
          <w:sz w:val="24"/>
          <w:szCs w:val="24"/>
        </w:rPr>
      </w:pPr>
    </w:p>
    <w:p w14:paraId="4890B9E5" w14:textId="77777777" w:rsidR="000318F5" w:rsidRDefault="000318F5" w:rsidP="000318F5">
      <w:pPr>
        <w:spacing w:line="360" w:lineRule="auto"/>
        <w:jc w:val="center"/>
        <w:rPr>
          <w:b/>
          <w:bCs/>
          <w:sz w:val="24"/>
          <w:szCs w:val="24"/>
        </w:rPr>
      </w:pPr>
    </w:p>
    <w:p w14:paraId="733850E4" w14:textId="77777777" w:rsidR="000318F5" w:rsidRDefault="000318F5" w:rsidP="000318F5">
      <w:pPr>
        <w:spacing w:line="360" w:lineRule="auto"/>
        <w:jc w:val="center"/>
        <w:rPr>
          <w:b/>
          <w:bCs/>
          <w:sz w:val="24"/>
          <w:szCs w:val="24"/>
        </w:rPr>
      </w:pPr>
    </w:p>
    <w:p w14:paraId="52843EB3" w14:textId="77777777" w:rsidR="000318F5" w:rsidRDefault="000318F5" w:rsidP="000318F5">
      <w:pPr>
        <w:spacing w:line="360" w:lineRule="auto"/>
        <w:jc w:val="center"/>
        <w:rPr>
          <w:b/>
          <w:bCs/>
          <w:sz w:val="24"/>
          <w:szCs w:val="24"/>
        </w:rPr>
      </w:pPr>
    </w:p>
    <w:p w14:paraId="36664D3E" w14:textId="77777777" w:rsidR="000318F5" w:rsidRDefault="000318F5" w:rsidP="000318F5">
      <w:pPr>
        <w:spacing w:line="360" w:lineRule="auto"/>
        <w:jc w:val="center"/>
        <w:rPr>
          <w:b/>
          <w:bCs/>
          <w:sz w:val="24"/>
          <w:szCs w:val="24"/>
        </w:rPr>
      </w:pPr>
    </w:p>
    <w:p w14:paraId="0DAE12CD" w14:textId="77777777" w:rsidR="000318F5" w:rsidRDefault="000318F5" w:rsidP="000318F5">
      <w:pPr>
        <w:spacing w:line="360" w:lineRule="auto"/>
        <w:jc w:val="center"/>
        <w:rPr>
          <w:b/>
          <w:bCs/>
          <w:sz w:val="24"/>
          <w:szCs w:val="24"/>
        </w:rPr>
      </w:pPr>
    </w:p>
    <w:p w14:paraId="6A13FCB1" w14:textId="77777777" w:rsidR="000318F5" w:rsidRDefault="000318F5" w:rsidP="000318F5">
      <w:pPr>
        <w:spacing w:line="360" w:lineRule="auto"/>
        <w:jc w:val="center"/>
        <w:rPr>
          <w:b/>
          <w:bCs/>
          <w:sz w:val="24"/>
          <w:szCs w:val="24"/>
        </w:rPr>
      </w:pPr>
    </w:p>
    <w:p w14:paraId="1BD1F150" w14:textId="77777777" w:rsidR="000318F5" w:rsidRDefault="000318F5" w:rsidP="000318F5">
      <w:pPr>
        <w:spacing w:line="360" w:lineRule="auto"/>
        <w:jc w:val="center"/>
        <w:rPr>
          <w:b/>
          <w:bCs/>
          <w:sz w:val="24"/>
          <w:szCs w:val="24"/>
        </w:rPr>
      </w:pPr>
    </w:p>
    <w:p w14:paraId="602349D3" w14:textId="77777777" w:rsidR="000318F5" w:rsidRDefault="000318F5" w:rsidP="000318F5">
      <w:pPr>
        <w:spacing w:line="360" w:lineRule="auto"/>
        <w:jc w:val="center"/>
        <w:rPr>
          <w:b/>
          <w:bCs/>
          <w:sz w:val="24"/>
          <w:szCs w:val="24"/>
        </w:rPr>
      </w:pPr>
    </w:p>
    <w:p w14:paraId="44D41398" w14:textId="77777777" w:rsidR="000318F5" w:rsidRDefault="000318F5" w:rsidP="000318F5">
      <w:pPr>
        <w:spacing w:line="360" w:lineRule="auto"/>
        <w:jc w:val="center"/>
        <w:rPr>
          <w:b/>
          <w:bCs/>
          <w:sz w:val="24"/>
          <w:szCs w:val="24"/>
        </w:rPr>
      </w:pPr>
    </w:p>
    <w:p w14:paraId="1700964C" w14:textId="77777777" w:rsidR="000318F5" w:rsidRDefault="000318F5" w:rsidP="000318F5">
      <w:pPr>
        <w:spacing w:line="360" w:lineRule="auto"/>
        <w:jc w:val="center"/>
        <w:rPr>
          <w:b/>
          <w:bCs/>
          <w:sz w:val="24"/>
          <w:szCs w:val="24"/>
        </w:rPr>
      </w:pPr>
    </w:p>
    <w:p w14:paraId="0C92A08D" w14:textId="77777777" w:rsidR="000318F5" w:rsidRDefault="000318F5" w:rsidP="000318F5">
      <w:pPr>
        <w:spacing w:line="360" w:lineRule="auto"/>
        <w:jc w:val="center"/>
        <w:rPr>
          <w:b/>
          <w:bCs/>
          <w:sz w:val="24"/>
          <w:szCs w:val="24"/>
        </w:rPr>
      </w:pPr>
    </w:p>
    <w:p w14:paraId="70260AE0" w14:textId="77777777" w:rsidR="000318F5" w:rsidRDefault="000318F5" w:rsidP="000318F5">
      <w:pPr>
        <w:spacing w:line="360" w:lineRule="auto"/>
        <w:jc w:val="center"/>
        <w:rPr>
          <w:b/>
          <w:bCs/>
          <w:sz w:val="24"/>
          <w:szCs w:val="24"/>
        </w:rPr>
      </w:pPr>
    </w:p>
    <w:p w14:paraId="7E7C226A" w14:textId="77777777" w:rsidR="000318F5" w:rsidRDefault="000318F5" w:rsidP="000318F5">
      <w:pPr>
        <w:spacing w:line="360" w:lineRule="auto"/>
        <w:jc w:val="center"/>
        <w:rPr>
          <w:b/>
          <w:bCs/>
          <w:sz w:val="24"/>
          <w:szCs w:val="24"/>
        </w:rPr>
      </w:pPr>
    </w:p>
    <w:p w14:paraId="7B414433" w14:textId="77777777" w:rsidR="000318F5" w:rsidRDefault="000318F5" w:rsidP="000318F5">
      <w:pPr>
        <w:spacing w:line="360" w:lineRule="auto"/>
        <w:jc w:val="center"/>
        <w:rPr>
          <w:b/>
          <w:bCs/>
          <w:sz w:val="24"/>
          <w:szCs w:val="24"/>
        </w:rPr>
      </w:pPr>
    </w:p>
    <w:p w14:paraId="11E256EF" w14:textId="77777777" w:rsidR="000318F5" w:rsidRDefault="000318F5" w:rsidP="000318F5">
      <w:pPr>
        <w:spacing w:line="360" w:lineRule="auto"/>
        <w:jc w:val="center"/>
        <w:rPr>
          <w:b/>
          <w:bCs/>
          <w:sz w:val="24"/>
          <w:szCs w:val="24"/>
        </w:rPr>
      </w:pPr>
    </w:p>
    <w:p w14:paraId="332DD2C9" w14:textId="77777777" w:rsidR="000318F5" w:rsidRDefault="000318F5" w:rsidP="000318F5">
      <w:pPr>
        <w:spacing w:line="360" w:lineRule="auto"/>
        <w:jc w:val="center"/>
        <w:rPr>
          <w:b/>
          <w:bCs/>
          <w:sz w:val="24"/>
          <w:szCs w:val="24"/>
        </w:rPr>
      </w:pPr>
    </w:p>
    <w:p w14:paraId="7FFC3930" w14:textId="77777777" w:rsidR="000318F5" w:rsidRDefault="000318F5" w:rsidP="000318F5">
      <w:pPr>
        <w:spacing w:line="360" w:lineRule="auto"/>
        <w:jc w:val="center"/>
        <w:rPr>
          <w:b/>
          <w:bCs/>
          <w:sz w:val="24"/>
          <w:szCs w:val="24"/>
        </w:rPr>
      </w:pPr>
    </w:p>
    <w:p w14:paraId="0A2AF448" w14:textId="77777777" w:rsidR="000318F5" w:rsidRDefault="000318F5" w:rsidP="000318F5">
      <w:pPr>
        <w:spacing w:line="360" w:lineRule="auto"/>
        <w:jc w:val="center"/>
        <w:rPr>
          <w:b/>
          <w:bCs/>
          <w:sz w:val="24"/>
          <w:szCs w:val="24"/>
        </w:rPr>
      </w:pPr>
    </w:p>
    <w:p w14:paraId="2CEA1BCA" w14:textId="77777777" w:rsidR="000318F5" w:rsidRDefault="000318F5" w:rsidP="000318F5">
      <w:pPr>
        <w:spacing w:line="360" w:lineRule="auto"/>
        <w:jc w:val="center"/>
        <w:rPr>
          <w:b/>
          <w:bCs/>
          <w:sz w:val="24"/>
          <w:szCs w:val="24"/>
        </w:rPr>
      </w:pPr>
    </w:p>
    <w:p w14:paraId="2C38DF9D" w14:textId="77777777" w:rsidR="000318F5" w:rsidRDefault="000318F5" w:rsidP="000318F5">
      <w:pPr>
        <w:spacing w:line="240" w:lineRule="auto"/>
        <w:jc w:val="center"/>
        <w:rPr>
          <w:sz w:val="24"/>
          <w:szCs w:val="24"/>
        </w:rPr>
      </w:pPr>
      <w:r w:rsidRPr="00B97B6E">
        <w:rPr>
          <w:b/>
          <w:bCs/>
          <w:sz w:val="24"/>
          <w:szCs w:val="24"/>
        </w:rPr>
        <w:lastRenderedPageBreak/>
        <w:t>PROGRAMAS DE TRANSFERÊNCIA MONETÁRIA NO CONTEXTO SOCIOECONÔMICO E DE PROTEÇÃO SOCIAL NA AMÉRICA LATINA E CARIBE</w:t>
      </w:r>
      <w:r w:rsidRPr="00B97B6E">
        <w:rPr>
          <w:sz w:val="24"/>
          <w:szCs w:val="24"/>
        </w:rPr>
        <w:t>: apresentando um Projeto de Investigação</w:t>
      </w:r>
    </w:p>
    <w:p w14:paraId="1CE74B9A" w14:textId="77777777" w:rsidR="000318F5" w:rsidRDefault="000318F5" w:rsidP="000318F5">
      <w:pPr>
        <w:spacing w:line="240" w:lineRule="auto"/>
        <w:jc w:val="center"/>
        <w:rPr>
          <w:sz w:val="24"/>
          <w:szCs w:val="24"/>
        </w:rPr>
      </w:pPr>
    </w:p>
    <w:p w14:paraId="704C03F2" w14:textId="77777777" w:rsidR="000318F5" w:rsidRDefault="000318F5" w:rsidP="000318F5">
      <w:pPr>
        <w:spacing w:line="240" w:lineRule="auto"/>
        <w:jc w:val="center"/>
        <w:rPr>
          <w:sz w:val="24"/>
          <w:szCs w:val="24"/>
        </w:rPr>
      </w:pPr>
      <w:r w:rsidRPr="00B97B6E">
        <w:rPr>
          <w:b/>
          <w:bCs/>
          <w:sz w:val="24"/>
          <w:szCs w:val="24"/>
        </w:rPr>
        <w:t>PROGRAMAS DE TRANSFERÊNCIA MONETÁRIA NO CONTEXTO SOCIOECONÔMICO E DE PROTEÇÃO SOCIAL NA AMÉRICA LATINA E CARIBE</w:t>
      </w:r>
      <w:r w:rsidRPr="00B97B6E">
        <w:rPr>
          <w:sz w:val="24"/>
          <w:szCs w:val="24"/>
        </w:rPr>
        <w:t>: apresentando um Projeto de Investigação</w:t>
      </w:r>
    </w:p>
    <w:p w14:paraId="2F40532D" w14:textId="77777777" w:rsidR="000318F5" w:rsidRDefault="000318F5" w:rsidP="000318F5">
      <w:pPr>
        <w:spacing w:line="360" w:lineRule="auto"/>
        <w:jc w:val="center"/>
        <w:rPr>
          <w:sz w:val="24"/>
          <w:szCs w:val="24"/>
        </w:rPr>
      </w:pPr>
    </w:p>
    <w:p w14:paraId="51C3AD5A" w14:textId="77777777" w:rsidR="000318F5" w:rsidRPr="00B97B6E" w:rsidRDefault="000318F5" w:rsidP="000318F5">
      <w:pPr>
        <w:spacing w:line="360" w:lineRule="auto"/>
        <w:jc w:val="right"/>
        <w:rPr>
          <w:sz w:val="24"/>
          <w:szCs w:val="24"/>
        </w:rPr>
      </w:pPr>
      <w:r>
        <w:rPr>
          <w:sz w:val="24"/>
          <w:szCs w:val="24"/>
        </w:rPr>
        <w:t>Carola C. Arregui</w:t>
      </w:r>
      <w:r>
        <w:rPr>
          <w:rStyle w:val="Refdenotaderodap"/>
          <w:sz w:val="24"/>
          <w:szCs w:val="24"/>
        </w:rPr>
        <w:footnoteReference w:id="1"/>
      </w:r>
    </w:p>
    <w:p w14:paraId="5ADE44E3" w14:textId="77777777" w:rsidR="000318F5" w:rsidRDefault="000318F5" w:rsidP="000318F5">
      <w:pPr>
        <w:spacing w:line="240" w:lineRule="auto"/>
        <w:ind w:left="2835"/>
        <w:jc w:val="both"/>
        <w:rPr>
          <w:b/>
          <w:sz w:val="20"/>
          <w:szCs w:val="20"/>
        </w:rPr>
      </w:pPr>
    </w:p>
    <w:p w14:paraId="1C05A796" w14:textId="77777777" w:rsidR="000318F5" w:rsidRDefault="000318F5" w:rsidP="000318F5">
      <w:pPr>
        <w:spacing w:line="240" w:lineRule="auto"/>
        <w:ind w:left="2835"/>
        <w:jc w:val="both"/>
        <w:rPr>
          <w:b/>
          <w:sz w:val="20"/>
          <w:szCs w:val="20"/>
        </w:rPr>
      </w:pPr>
      <w:r>
        <w:rPr>
          <w:b/>
          <w:sz w:val="20"/>
          <w:szCs w:val="20"/>
        </w:rPr>
        <w:t>Resumo</w:t>
      </w:r>
    </w:p>
    <w:p w14:paraId="1FFAE748" w14:textId="77777777" w:rsidR="000318F5" w:rsidRPr="009262CD" w:rsidRDefault="000318F5" w:rsidP="000318F5">
      <w:pPr>
        <w:spacing w:before="120" w:line="240" w:lineRule="auto"/>
        <w:ind w:left="2835"/>
        <w:jc w:val="both"/>
        <w:rPr>
          <w:sz w:val="20"/>
          <w:szCs w:val="20"/>
        </w:rPr>
      </w:pPr>
      <w:r w:rsidRPr="009262CD">
        <w:rPr>
          <w:sz w:val="20"/>
          <w:szCs w:val="20"/>
        </w:rPr>
        <w:t xml:space="preserve">O artigo </w:t>
      </w:r>
      <w:r>
        <w:rPr>
          <w:sz w:val="20"/>
          <w:szCs w:val="20"/>
        </w:rPr>
        <w:t>analisa os programas de transferência monetária</w:t>
      </w:r>
      <w:r w:rsidRPr="009262CD">
        <w:rPr>
          <w:sz w:val="20"/>
          <w:szCs w:val="20"/>
        </w:rPr>
        <w:t xml:space="preserve"> </w:t>
      </w:r>
      <w:r>
        <w:rPr>
          <w:sz w:val="20"/>
          <w:szCs w:val="20"/>
        </w:rPr>
        <w:t xml:space="preserve">no contexto </w:t>
      </w:r>
      <w:r w:rsidRPr="009262CD">
        <w:rPr>
          <w:sz w:val="20"/>
          <w:szCs w:val="20"/>
        </w:rPr>
        <w:t>socioeconômic</w:t>
      </w:r>
      <w:r>
        <w:rPr>
          <w:sz w:val="20"/>
          <w:szCs w:val="20"/>
        </w:rPr>
        <w:t>o e de proteção social</w:t>
      </w:r>
      <w:r w:rsidRPr="009262CD">
        <w:rPr>
          <w:sz w:val="20"/>
          <w:szCs w:val="20"/>
        </w:rPr>
        <w:t xml:space="preserve"> da América Latina e Caribe, com o foco centrado nos impactos das transformações experimentadas pelo sistema capitalista, </w:t>
      </w:r>
      <w:r>
        <w:rPr>
          <w:sz w:val="20"/>
          <w:szCs w:val="20"/>
        </w:rPr>
        <w:t>no</w:t>
      </w:r>
      <w:r w:rsidRPr="009262CD">
        <w:rPr>
          <w:sz w:val="20"/>
          <w:szCs w:val="20"/>
        </w:rPr>
        <w:t xml:space="preserve"> estágio de desenvolvimento</w:t>
      </w:r>
      <w:r>
        <w:rPr>
          <w:sz w:val="20"/>
          <w:szCs w:val="20"/>
        </w:rPr>
        <w:t xml:space="preserve"> da financeirização do capital</w:t>
      </w:r>
      <w:r w:rsidRPr="009262CD">
        <w:rPr>
          <w:sz w:val="20"/>
          <w:szCs w:val="20"/>
        </w:rPr>
        <w:t xml:space="preserve"> e</w:t>
      </w:r>
      <w:r>
        <w:rPr>
          <w:sz w:val="20"/>
          <w:szCs w:val="20"/>
        </w:rPr>
        <w:t xml:space="preserve"> </w:t>
      </w:r>
      <w:r w:rsidRPr="009262CD">
        <w:rPr>
          <w:sz w:val="20"/>
          <w:szCs w:val="20"/>
        </w:rPr>
        <w:t xml:space="preserve">suas imbricações com os traços estruturais como países da periferia do capitalismo. Trata-se de uma reflexão necessária para compreender as determinações, configurações, contextos de implementação dos programas sociais de transferência monetária, e contextualizar </w:t>
      </w:r>
      <w:r>
        <w:rPr>
          <w:sz w:val="20"/>
          <w:szCs w:val="20"/>
        </w:rPr>
        <w:t>os traços preponderantes deflagrados</w:t>
      </w:r>
      <w:r w:rsidRPr="009262CD">
        <w:rPr>
          <w:sz w:val="20"/>
          <w:szCs w:val="20"/>
        </w:rPr>
        <w:t xml:space="preserve"> no contexto do Covid-19</w:t>
      </w:r>
      <w:r>
        <w:rPr>
          <w:sz w:val="20"/>
          <w:szCs w:val="20"/>
        </w:rPr>
        <w:t xml:space="preserve"> e da crise estrutural do capital.</w:t>
      </w:r>
    </w:p>
    <w:p w14:paraId="77877B10" w14:textId="77777777" w:rsidR="000318F5" w:rsidRPr="0027594F" w:rsidRDefault="000318F5" w:rsidP="000318F5">
      <w:pPr>
        <w:spacing w:before="120" w:line="240" w:lineRule="auto"/>
        <w:ind w:left="2835"/>
        <w:jc w:val="both"/>
        <w:rPr>
          <w:sz w:val="20"/>
          <w:szCs w:val="20"/>
          <w:lang w:val="en-US"/>
        </w:rPr>
      </w:pPr>
      <w:r>
        <w:rPr>
          <w:b/>
          <w:sz w:val="20"/>
          <w:szCs w:val="20"/>
        </w:rPr>
        <w:t>Palavras-chave</w:t>
      </w:r>
      <w:r>
        <w:rPr>
          <w:sz w:val="20"/>
          <w:szCs w:val="20"/>
        </w:rPr>
        <w:t>: América Latina e Caribe; Programas de Transferência Monetária; Financeirização</w:t>
      </w:r>
    </w:p>
    <w:p w14:paraId="238900B6" w14:textId="77777777" w:rsidR="000318F5" w:rsidRPr="00324ED8" w:rsidRDefault="000318F5" w:rsidP="000318F5">
      <w:pPr>
        <w:spacing w:line="240" w:lineRule="auto"/>
        <w:ind w:left="2835"/>
        <w:jc w:val="both"/>
        <w:rPr>
          <w:sz w:val="20"/>
          <w:szCs w:val="20"/>
          <w:lang w:val="en-US"/>
        </w:rPr>
      </w:pPr>
    </w:p>
    <w:p w14:paraId="59ED0F2C" w14:textId="77777777" w:rsidR="000318F5" w:rsidRPr="005E3576" w:rsidRDefault="000318F5" w:rsidP="000318F5">
      <w:pPr>
        <w:spacing w:line="240" w:lineRule="auto"/>
        <w:ind w:left="2835"/>
        <w:jc w:val="both"/>
        <w:rPr>
          <w:b/>
          <w:sz w:val="20"/>
          <w:szCs w:val="20"/>
          <w:lang w:val="en-US"/>
        </w:rPr>
      </w:pPr>
      <w:r w:rsidRPr="005E3576">
        <w:rPr>
          <w:b/>
          <w:sz w:val="20"/>
          <w:szCs w:val="20"/>
          <w:lang w:val="en-US"/>
        </w:rPr>
        <w:t>Abstract</w:t>
      </w:r>
    </w:p>
    <w:p w14:paraId="766BE8A4" w14:textId="77777777" w:rsidR="000318F5" w:rsidRPr="00655E9B" w:rsidRDefault="000318F5" w:rsidP="000318F5">
      <w:pPr>
        <w:spacing w:after="160" w:line="278" w:lineRule="auto"/>
        <w:ind w:left="2835"/>
        <w:jc w:val="both"/>
        <w:rPr>
          <w:sz w:val="20"/>
          <w:szCs w:val="20"/>
          <w:lang w:val="fr-FR"/>
        </w:rPr>
      </w:pPr>
      <w:r w:rsidRPr="00655E9B">
        <w:rPr>
          <w:sz w:val="20"/>
          <w:szCs w:val="20"/>
          <w:lang w:val="en"/>
        </w:rPr>
        <w:t>This article analyzes cash transfer programs in the socioeconomic and social protection context of Latin America and the Caribbean, focusing on the impacts of the transformations experienced by the capitalist system, the stage of development of the financialization of capital, and its interconnections with the structural features of countries on the periphery of capitalism. This is a necessary reflection to understand the determinations, configurations, and contexts of implementation of social cash transfer programs, and to contextualize the preponderant features that have emerged in the context of Covid-19 and the structural crisis of capital.</w:t>
      </w:r>
    </w:p>
    <w:p w14:paraId="24C8DDBB" w14:textId="77777777" w:rsidR="000318F5" w:rsidRPr="00655E9B" w:rsidRDefault="000318F5" w:rsidP="000318F5">
      <w:pPr>
        <w:jc w:val="both"/>
        <w:rPr>
          <w:sz w:val="20"/>
          <w:szCs w:val="20"/>
          <w:lang w:val="fr-FR"/>
        </w:rPr>
      </w:pPr>
    </w:p>
    <w:p w14:paraId="48EF160A" w14:textId="77777777" w:rsidR="000318F5" w:rsidRPr="00430B58" w:rsidRDefault="000318F5" w:rsidP="000318F5">
      <w:pPr>
        <w:spacing w:line="240" w:lineRule="auto"/>
        <w:ind w:left="2835"/>
        <w:jc w:val="both"/>
      </w:pPr>
      <w:r w:rsidRPr="008A3A17">
        <w:rPr>
          <w:b/>
          <w:sz w:val="20"/>
          <w:szCs w:val="20"/>
          <w:lang w:val="en-US"/>
        </w:rPr>
        <w:t>Keywords</w:t>
      </w:r>
      <w:r w:rsidRPr="008A3A17">
        <w:rPr>
          <w:sz w:val="20"/>
          <w:szCs w:val="20"/>
          <w:lang w:val="en-US"/>
        </w:rPr>
        <w:t xml:space="preserve">: </w:t>
      </w:r>
      <w:r w:rsidRPr="00430B58">
        <w:rPr>
          <w:sz w:val="20"/>
          <w:szCs w:val="20"/>
          <w:lang w:val="en"/>
        </w:rPr>
        <w:t>Latin America and the Caribbean; Cash Transfer Programs; Financialization</w:t>
      </w:r>
    </w:p>
    <w:p w14:paraId="172D65F0" w14:textId="77777777" w:rsidR="000318F5" w:rsidRPr="00557174" w:rsidRDefault="000318F5" w:rsidP="000318F5">
      <w:pPr>
        <w:spacing w:line="240" w:lineRule="auto"/>
        <w:ind w:left="2835"/>
        <w:jc w:val="both"/>
        <w:rPr>
          <w:sz w:val="24"/>
          <w:szCs w:val="24"/>
          <w:lang w:val="en-US"/>
        </w:rPr>
      </w:pPr>
    </w:p>
    <w:p w14:paraId="43AC55AB" w14:textId="77777777" w:rsidR="000318F5" w:rsidRDefault="000318F5" w:rsidP="000318F5">
      <w:pPr>
        <w:spacing w:line="360" w:lineRule="auto"/>
        <w:rPr>
          <w:b/>
          <w:sz w:val="24"/>
          <w:szCs w:val="24"/>
        </w:rPr>
      </w:pPr>
      <w:r w:rsidRPr="00557174">
        <w:rPr>
          <w:b/>
          <w:sz w:val="24"/>
          <w:szCs w:val="24"/>
          <w:lang w:val="en-US"/>
        </w:rPr>
        <w:br w:type="page"/>
      </w:r>
      <w:r>
        <w:rPr>
          <w:b/>
          <w:sz w:val="24"/>
          <w:szCs w:val="24"/>
        </w:rPr>
        <w:lastRenderedPageBreak/>
        <w:t>1</w:t>
      </w:r>
      <w:r>
        <w:rPr>
          <w:b/>
          <w:sz w:val="24"/>
          <w:szCs w:val="24"/>
        </w:rPr>
        <w:tab/>
        <w:t>INTRODUÇÃO</w:t>
      </w:r>
    </w:p>
    <w:p w14:paraId="455F64C7" w14:textId="77777777" w:rsidR="000318F5" w:rsidRDefault="000318F5" w:rsidP="000318F5">
      <w:pPr>
        <w:spacing w:line="360" w:lineRule="auto"/>
        <w:jc w:val="both"/>
        <w:rPr>
          <w:sz w:val="24"/>
          <w:szCs w:val="24"/>
        </w:rPr>
      </w:pPr>
    </w:p>
    <w:p w14:paraId="77A9F018" w14:textId="77777777" w:rsidR="000318F5" w:rsidRPr="00862C39" w:rsidRDefault="000318F5" w:rsidP="000318F5">
      <w:pPr>
        <w:spacing w:line="360" w:lineRule="auto"/>
        <w:ind w:firstLine="708"/>
        <w:jc w:val="both"/>
        <w:rPr>
          <w:sz w:val="24"/>
          <w:szCs w:val="24"/>
        </w:rPr>
      </w:pPr>
      <w:r w:rsidRPr="00273CFA">
        <w:rPr>
          <w:sz w:val="24"/>
          <w:szCs w:val="24"/>
        </w:rPr>
        <w:t>O presente texto resulta da trajetória de pesquisa de uma rede internacional de cooperação científica entre</w:t>
      </w:r>
      <w:r>
        <w:rPr>
          <w:sz w:val="24"/>
          <w:szCs w:val="24"/>
        </w:rPr>
        <w:t xml:space="preserve"> a</w:t>
      </w:r>
      <w:r w:rsidRPr="00273CFA">
        <w:rPr>
          <w:sz w:val="24"/>
          <w:szCs w:val="24"/>
        </w:rPr>
        <w:t xml:space="preserve"> Universidade Federal do Maranhão, por intermeio do Grupo de Avaliação e Estudo da Pobreza e de Políticas Direcionadas à Pobreza, articulado ao Programa de Pós-Graduação em Políticas Públicas</w:t>
      </w:r>
      <w:r>
        <w:rPr>
          <w:sz w:val="24"/>
          <w:szCs w:val="24"/>
        </w:rPr>
        <w:t>,</w:t>
      </w:r>
      <w:r w:rsidRPr="00273CFA">
        <w:rPr>
          <w:sz w:val="24"/>
          <w:szCs w:val="24"/>
        </w:rPr>
        <w:t xml:space="preserve"> a Pontifícia Universidade Católica de São Paulo, tendo como referência o </w:t>
      </w:r>
      <w:r w:rsidRPr="00273CFA">
        <w:rPr>
          <w:sz w:val="24"/>
          <w:szCs w:val="24"/>
          <w:shd w:val="clear" w:color="auto" w:fill="FFFFFF"/>
        </w:rPr>
        <w:t>Programa de Pós-Graduação em Serviço Social</w:t>
      </w:r>
      <w:r>
        <w:rPr>
          <w:sz w:val="24"/>
          <w:szCs w:val="24"/>
        </w:rPr>
        <w:t>;</w:t>
      </w:r>
      <w:r w:rsidRPr="00273CFA">
        <w:rPr>
          <w:sz w:val="24"/>
          <w:szCs w:val="24"/>
        </w:rPr>
        <w:t xml:space="preserve"> a </w:t>
      </w:r>
      <w:r w:rsidRPr="00273CFA">
        <w:rPr>
          <w:rFonts w:eastAsia="Times New Roman"/>
          <w:sz w:val="24"/>
          <w:szCs w:val="24"/>
          <w:lang w:eastAsia="es-AR"/>
        </w:rPr>
        <w:t>Universidad Nacional del Centro de la Provincia de Buenos Aires, via a</w:t>
      </w:r>
      <w:r w:rsidRPr="00273CFA">
        <w:rPr>
          <w:sz w:val="24"/>
          <w:szCs w:val="24"/>
        </w:rPr>
        <w:t xml:space="preserve"> </w:t>
      </w:r>
      <w:r w:rsidRPr="00273CFA">
        <w:rPr>
          <w:rFonts w:eastAsia="Times New Roman"/>
          <w:sz w:val="24"/>
          <w:szCs w:val="24"/>
          <w:lang w:eastAsia="es-AR"/>
        </w:rPr>
        <w:t xml:space="preserve">Facultad de Ciencias Humanas e a </w:t>
      </w:r>
      <w:r w:rsidRPr="00273CFA">
        <w:rPr>
          <w:sz w:val="24"/>
          <w:szCs w:val="24"/>
        </w:rPr>
        <w:t>Universidad de la República</w:t>
      </w:r>
      <w:r>
        <w:rPr>
          <w:sz w:val="24"/>
          <w:szCs w:val="24"/>
        </w:rPr>
        <w:t xml:space="preserve"> de </w:t>
      </w:r>
      <w:r w:rsidRPr="00273CFA">
        <w:rPr>
          <w:sz w:val="24"/>
          <w:szCs w:val="24"/>
        </w:rPr>
        <w:t>Uruguai, por meio do</w:t>
      </w:r>
      <w:r w:rsidRPr="00273CFA">
        <w:rPr>
          <w:rFonts w:eastAsia="Times New Roman"/>
          <w:sz w:val="24"/>
          <w:szCs w:val="24"/>
          <w:lang w:eastAsia="es-AR"/>
        </w:rPr>
        <w:t xml:space="preserve"> </w:t>
      </w:r>
      <w:r w:rsidRPr="00273CFA">
        <w:rPr>
          <w:sz w:val="24"/>
          <w:szCs w:val="24"/>
        </w:rPr>
        <w:t xml:space="preserve">Departamento de Trabajo Social da Facultad de Ciencias Sociales. </w:t>
      </w:r>
      <w:r>
        <w:rPr>
          <w:sz w:val="24"/>
          <w:szCs w:val="24"/>
        </w:rPr>
        <w:t>Enquanto rede</w:t>
      </w:r>
      <w:r w:rsidRPr="00B05497">
        <w:rPr>
          <w:sz w:val="24"/>
          <w:szCs w:val="24"/>
        </w:rPr>
        <w:t xml:space="preserve"> agrega grupo</w:t>
      </w:r>
      <w:r>
        <w:rPr>
          <w:sz w:val="24"/>
          <w:szCs w:val="24"/>
        </w:rPr>
        <w:t>s</w:t>
      </w:r>
      <w:r w:rsidRPr="00B05497">
        <w:rPr>
          <w:sz w:val="24"/>
          <w:szCs w:val="24"/>
        </w:rPr>
        <w:t xml:space="preserve"> de</w:t>
      </w:r>
      <w:r>
        <w:rPr>
          <w:sz w:val="24"/>
          <w:szCs w:val="24"/>
        </w:rPr>
        <w:t xml:space="preserve"> pesquisas e</w:t>
      </w:r>
      <w:r w:rsidRPr="00B05497">
        <w:rPr>
          <w:sz w:val="24"/>
          <w:szCs w:val="24"/>
        </w:rPr>
        <w:t xml:space="preserve"> pesquisadores que, há quase duas décadas, desenvolve</w:t>
      </w:r>
      <w:r>
        <w:rPr>
          <w:sz w:val="24"/>
          <w:szCs w:val="24"/>
        </w:rPr>
        <w:t>m</w:t>
      </w:r>
      <w:r w:rsidRPr="00B05497">
        <w:rPr>
          <w:sz w:val="24"/>
          <w:szCs w:val="24"/>
        </w:rPr>
        <w:t xml:space="preserve"> estudos individuais e coletivos sobre Programas de Transferência Monetárias, </w:t>
      </w:r>
      <w:r>
        <w:rPr>
          <w:sz w:val="24"/>
          <w:szCs w:val="24"/>
        </w:rPr>
        <w:t>tendo</w:t>
      </w:r>
      <w:r w:rsidRPr="00B05497">
        <w:rPr>
          <w:sz w:val="24"/>
          <w:szCs w:val="24"/>
        </w:rPr>
        <w:t xml:space="preserve"> consolidado importantes referências bibliográficas nacionais e internacionais sobre esse tema</w:t>
      </w:r>
      <w:r>
        <w:rPr>
          <w:sz w:val="24"/>
          <w:szCs w:val="24"/>
        </w:rPr>
        <w:t>.</w:t>
      </w:r>
      <w:r w:rsidRPr="00B05497">
        <w:rPr>
          <w:sz w:val="24"/>
          <w:szCs w:val="24"/>
        </w:rPr>
        <w:t xml:space="preserve"> </w:t>
      </w:r>
      <w:r>
        <w:rPr>
          <w:sz w:val="24"/>
          <w:szCs w:val="24"/>
        </w:rPr>
        <w:t>Nesse contexto, e</w:t>
      </w:r>
      <w:r w:rsidRPr="00B05497">
        <w:rPr>
          <w:sz w:val="24"/>
          <w:szCs w:val="24"/>
        </w:rPr>
        <w:t>m 2020,</w:t>
      </w:r>
      <w:r>
        <w:rPr>
          <w:sz w:val="24"/>
          <w:szCs w:val="24"/>
        </w:rPr>
        <w:t xml:space="preserve"> </w:t>
      </w:r>
      <w:r w:rsidRPr="00B05497">
        <w:rPr>
          <w:sz w:val="24"/>
          <w:szCs w:val="24"/>
        </w:rPr>
        <w:t>realizou</w:t>
      </w:r>
      <w:r>
        <w:rPr>
          <w:sz w:val="24"/>
          <w:szCs w:val="24"/>
        </w:rPr>
        <w:t>-se</w:t>
      </w:r>
      <w:r w:rsidRPr="00B05497">
        <w:rPr>
          <w:sz w:val="24"/>
          <w:szCs w:val="24"/>
        </w:rPr>
        <w:t xml:space="preserve"> uma pesquisa, com financiamento do CNPq, intitulada Programas de Transferência de Renda</w:t>
      </w:r>
      <w:r>
        <w:rPr>
          <w:sz w:val="24"/>
          <w:szCs w:val="24"/>
        </w:rPr>
        <w:t xml:space="preserve"> </w:t>
      </w:r>
      <w:r w:rsidRPr="00B05497">
        <w:rPr>
          <w:sz w:val="24"/>
          <w:szCs w:val="24"/>
        </w:rPr>
        <w:t xml:space="preserve">e de Renda Básica Universal no contexto da pandemia e da pós-pandemia da Covid-19: acompanhamento e análise da realidade internacional na América Latina, Caribe e destaque no Brasil. </w:t>
      </w:r>
      <w:r w:rsidRPr="00862C39">
        <w:rPr>
          <w:sz w:val="24"/>
          <w:szCs w:val="24"/>
        </w:rPr>
        <w:t>O projeto adotou no título a denominação de programas de transferência de renda por ser esta a designação mais encontrada na literatura, todavia os estudos do grupo de pesquisa consideram não se tratar de transferência de renda, mas de transferência monetária.</w:t>
      </w:r>
    </w:p>
    <w:p w14:paraId="4D6CC5B3" w14:textId="77777777" w:rsidR="000318F5" w:rsidRPr="00710241" w:rsidRDefault="000318F5" w:rsidP="000318F5">
      <w:pPr>
        <w:pStyle w:val="SemEspaamento"/>
        <w:spacing w:line="360" w:lineRule="auto"/>
        <w:ind w:firstLine="708"/>
        <w:jc w:val="both"/>
        <w:rPr>
          <w:rFonts w:ascii="Arial" w:hAnsi="Arial" w:cs="Arial"/>
          <w:color w:val="FF0000"/>
          <w:sz w:val="24"/>
          <w:szCs w:val="24"/>
        </w:rPr>
      </w:pPr>
      <w:r w:rsidRPr="00AE0221">
        <w:rPr>
          <w:rFonts w:ascii="Arial" w:hAnsi="Arial" w:cs="Arial"/>
          <w:sz w:val="24"/>
          <w:szCs w:val="24"/>
        </w:rPr>
        <w:t>O estudo teve por objetivo analisar a configuração histórica e a dinâmica de implementação de programas de transferência monetária e as novas configurações que emergiram em decorrência da pandemia do Covid-19</w:t>
      </w:r>
      <w:r>
        <w:rPr>
          <w:rFonts w:ascii="Arial" w:hAnsi="Arial" w:cs="Arial"/>
          <w:sz w:val="24"/>
          <w:szCs w:val="24"/>
        </w:rPr>
        <w:t xml:space="preserve">. </w:t>
      </w:r>
      <w:r w:rsidRPr="00471C94">
        <w:rPr>
          <w:rFonts w:ascii="Arial" w:hAnsi="Arial" w:cs="Arial"/>
          <w:sz w:val="24"/>
          <w:szCs w:val="24"/>
        </w:rPr>
        <w:t>Para tanto,</w:t>
      </w:r>
      <w:r>
        <w:rPr>
          <w:rFonts w:ascii="Arial" w:hAnsi="Arial" w:cs="Arial"/>
          <w:sz w:val="24"/>
          <w:szCs w:val="24"/>
        </w:rPr>
        <w:t xml:space="preserve"> e assentado na materialismo histórico dialético, buscou apreender </w:t>
      </w:r>
      <w:r w:rsidRPr="00531F32">
        <w:rPr>
          <w:rFonts w:ascii="Arial" w:hAnsi="Arial" w:cs="Arial"/>
          <w:sz w:val="24"/>
          <w:szCs w:val="24"/>
        </w:rPr>
        <w:t xml:space="preserve">os processos históricos, econômicos e políticos implicados </w:t>
      </w:r>
      <w:r>
        <w:rPr>
          <w:rFonts w:ascii="Arial" w:hAnsi="Arial" w:cs="Arial"/>
          <w:sz w:val="24"/>
          <w:szCs w:val="24"/>
        </w:rPr>
        <w:t>na emergência e consolidação das transferências monetárias no campo da proteção social não contributiva, desvendando</w:t>
      </w:r>
      <w:r>
        <w:rPr>
          <w:rFonts w:ascii="Arial" w:hAnsi="Arial" w:cs="Arial"/>
          <w:color w:val="FF0000"/>
          <w:sz w:val="24"/>
          <w:szCs w:val="24"/>
        </w:rPr>
        <w:t xml:space="preserve"> </w:t>
      </w:r>
      <w:r w:rsidRPr="00471C94">
        <w:rPr>
          <w:rFonts w:ascii="Arial" w:hAnsi="Arial" w:cs="Arial"/>
          <w:sz w:val="24"/>
          <w:szCs w:val="24"/>
        </w:rPr>
        <w:t xml:space="preserve">os </w:t>
      </w:r>
      <w:r w:rsidRPr="00AE3DB6">
        <w:rPr>
          <w:rFonts w:ascii="Arial" w:hAnsi="Arial" w:cs="Arial"/>
          <w:sz w:val="24"/>
          <w:szCs w:val="24"/>
        </w:rPr>
        <w:t xml:space="preserve">processos de configuração e implementação </w:t>
      </w:r>
      <w:r>
        <w:rPr>
          <w:rFonts w:ascii="Arial" w:hAnsi="Arial" w:cs="Arial"/>
          <w:sz w:val="24"/>
          <w:szCs w:val="24"/>
        </w:rPr>
        <w:t xml:space="preserve">de programas dessa natureza, </w:t>
      </w:r>
      <w:r w:rsidRPr="00AE3DB6">
        <w:rPr>
          <w:rFonts w:ascii="Arial" w:hAnsi="Arial" w:cs="Arial"/>
          <w:sz w:val="24"/>
          <w:szCs w:val="24"/>
        </w:rPr>
        <w:t>no contexto histórico concreto</w:t>
      </w:r>
      <w:r w:rsidRPr="00AE3DB6">
        <w:rPr>
          <w:rFonts w:ascii="Arial" w:hAnsi="Arial" w:cs="Arial"/>
          <w:sz w:val="24"/>
          <w:szCs w:val="24"/>
          <w:shd w:val="clear" w:color="auto" w:fill="FFFFFF"/>
        </w:rPr>
        <w:t>, de forma a consolidar referências que permit</w:t>
      </w:r>
      <w:r>
        <w:rPr>
          <w:rFonts w:ascii="Arial" w:hAnsi="Arial" w:cs="Arial"/>
          <w:sz w:val="24"/>
          <w:szCs w:val="24"/>
          <w:shd w:val="clear" w:color="auto" w:fill="FFFFFF"/>
        </w:rPr>
        <w:t>issem</w:t>
      </w:r>
      <w:r w:rsidRPr="00AE3DB6">
        <w:rPr>
          <w:rFonts w:ascii="Arial" w:hAnsi="Arial" w:cs="Arial"/>
          <w:sz w:val="24"/>
          <w:szCs w:val="24"/>
          <w:shd w:val="clear" w:color="auto" w:fill="FFFFFF"/>
        </w:rPr>
        <w:t xml:space="preserve"> </w:t>
      </w:r>
      <w:r w:rsidRPr="00AE3DB6">
        <w:rPr>
          <w:rFonts w:ascii="Arial" w:hAnsi="Arial" w:cs="Arial"/>
          <w:sz w:val="24"/>
          <w:szCs w:val="24"/>
          <w:shd w:val="clear" w:color="auto" w:fill="FFFFFF"/>
        </w:rPr>
        <w:lastRenderedPageBreak/>
        <w:t xml:space="preserve">analisá-los </w:t>
      </w:r>
      <w:r>
        <w:rPr>
          <w:rFonts w:ascii="Arial" w:hAnsi="Arial" w:cs="Arial"/>
          <w:sz w:val="24"/>
          <w:szCs w:val="24"/>
          <w:shd w:val="clear" w:color="auto" w:fill="FFFFFF"/>
        </w:rPr>
        <w:t>em</w:t>
      </w:r>
      <w:r w:rsidRPr="00AE3DB6">
        <w:rPr>
          <w:rFonts w:ascii="Arial" w:hAnsi="Arial" w:cs="Arial"/>
          <w:sz w:val="24"/>
          <w:szCs w:val="24"/>
          <w:shd w:val="clear" w:color="auto" w:fill="FFFFFF"/>
        </w:rPr>
        <w:t xml:space="preserve"> sua integralidade e movimento, desvendando e interrogando suas dinâmicas e determinações, bem como</w:t>
      </w:r>
      <w:r w:rsidRPr="00AE3DB6">
        <w:rPr>
          <w:rFonts w:ascii="Arial" w:hAnsi="Arial" w:cs="Arial"/>
          <w:sz w:val="24"/>
          <w:szCs w:val="24"/>
        </w:rPr>
        <w:t xml:space="preserve"> os sentidos do seu surgimento, suas implicações e </w:t>
      </w:r>
      <w:r>
        <w:rPr>
          <w:rFonts w:ascii="Arial" w:hAnsi="Arial" w:cs="Arial"/>
          <w:sz w:val="24"/>
          <w:szCs w:val="24"/>
        </w:rPr>
        <w:t>significados</w:t>
      </w:r>
      <w:r w:rsidRPr="000B26CA">
        <w:rPr>
          <w:rFonts w:ascii="Arial" w:hAnsi="Arial" w:cs="Arial"/>
          <w:sz w:val="24"/>
          <w:szCs w:val="24"/>
        </w:rPr>
        <w:t xml:space="preserve"> em termos de proteção social.</w:t>
      </w:r>
    </w:p>
    <w:p w14:paraId="60E93CF7" w14:textId="77777777" w:rsidR="000318F5" w:rsidRDefault="000318F5" w:rsidP="000318F5">
      <w:pPr>
        <w:pStyle w:val="SemEspaamento"/>
        <w:spacing w:line="360" w:lineRule="auto"/>
        <w:ind w:firstLine="708"/>
        <w:jc w:val="both"/>
        <w:rPr>
          <w:rFonts w:ascii="Arial" w:hAnsi="Arial" w:cs="Arial"/>
          <w:sz w:val="24"/>
          <w:szCs w:val="24"/>
        </w:rPr>
      </w:pPr>
      <w:r w:rsidRPr="00672524">
        <w:rPr>
          <w:rFonts w:ascii="Arial" w:hAnsi="Arial" w:cs="Arial"/>
          <w:sz w:val="24"/>
          <w:szCs w:val="24"/>
        </w:rPr>
        <w:t xml:space="preserve">Tendo como centralidade a abordagem qualitativa, sem desprezar a necessária complementariedade da abordagem quantitativa, o estudo ocorreu por meio de pesquisa bibliográfica e </w:t>
      </w:r>
      <w:r>
        <w:rPr>
          <w:rFonts w:ascii="Arial" w:hAnsi="Arial" w:cs="Arial"/>
          <w:sz w:val="24"/>
          <w:szCs w:val="24"/>
        </w:rPr>
        <w:t xml:space="preserve">pesquisa </w:t>
      </w:r>
      <w:r w:rsidRPr="00672524">
        <w:rPr>
          <w:rFonts w:ascii="Arial" w:hAnsi="Arial" w:cs="Arial"/>
          <w:sz w:val="24"/>
          <w:szCs w:val="24"/>
        </w:rPr>
        <w:t>documental, concebida</w:t>
      </w:r>
      <w:r>
        <w:rPr>
          <w:rFonts w:ascii="Arial" w:hAnsi="Arial" w:cs="Arial"/>
          <w:sz w:val="24"/>
          <w:szCs w:val="24"/>
        </w:rPr>
        <w:t>s</w:t>
      </w:r>
      <w:r w:rsidRPr="00672524">
        <w:rPr>
          <w:rFonts w:ascii="Arial" w:hAnsi="Arial" w:cs="Arial"/>
          <w:sz w:val="24"/>
          <w:szCs w:val="24"/>
        </w:rPr>
        <w:t xml:space="preserve"> como um c</w:t>
      </w:r>
      <w:r w:rsidRPr="007920ED">
        <w:rPr>
          <w:rFonts w:ascii="Arial" w:hAnsi="Arial" w:cs="Arial"/>
          <w:sz w:val="24"/>
          <w:szCs w:val="24"/>
        </w:rPr>
        <w:t>onjunto ordenado de procedimentos que</w:t>
      </w:r>
      <w:r w:rsidRPr="00672524">
        <w:rPr>
          <w:rFonts w:ascii="Arial" w:hAnsi="Arial" w:cs="Arial"/>
          <w:sz w:val="24"/>
          <w:szCs w:val="24"/>
        </w:rPr>
        <w:t xml:space="preserve"> exige a definição de parâmetros, critérios e formas de sistematização do </w:t>
      </w:r>
      <w:r w:rsidRPr="007920ED">
        <w:rPr>
          <w:rFonts w:ascii="Arial" w:hAnsi="Arial" w:cs="Arial"/>
          <w:sz w:val="24"/>
          <w:szCs w:val="24"/>
        </w:rPr>
        <w:t xml:space="preserve">material bibliográfico e documental </w:t>
      </w:r>
      <w:r w:rsidRPr="00672524">
        <w:rPr>
          <w:rFonts w:ascii="Arial" w:hAnsi="Arial" w:cs="Arial"/>
          <w:sz w:val="24"/>
          <w:szCs w:val="24"/>
        </w:rPr>
        <w:t>como</w:t>
      </w:r>
      <w:r w:rsidRPr="007920ED">
        <w:rPr>
          <w:rFonts w:ascii="Arial" w:hAnsi="Arial" w:cs="Arial"/>
          <w:sz w:val="24"/>
          <w:szCs w:val="24"/>
        </w:rPr>
        <w:t xml:space="preserve"> base </w:t>
      </w:r>
      <w:r w:rsidRPr="00672524">
        <w:rPr>
          <w:rFonts w:ascii="Arial" w:hAnsi="Arial" w:cs="Arial"/>
          <w:sz w:val="24"/>
          <w:szCs w:val="24"/>
        </w:rPr>
        <w:t>“</w:t>
      </w:r>
      <w:r w:rsidRPr="007920ED">
        <w:rPr>
          <w:rFonts w:ascii="Arial" w:hAnsi="Arial" w:cs="Arial"/>
          <w:sz w:val="24"/>
          <w:szCs w:val="24"/>
        </w:rPr>
        <w:t xml:space="preserve">empírica” </w:t>
      </w:r>
      <w:r w:rsidRPr="00672524">
        <w:rPr>
          <w:rFonts w:ascii="Arial" w:hAnsi="Arial" w:cs="Arial"/>
          <w:sz w:val="24"/>
          <w:szCs w:val="24"/>
        </w:rPr>
        <w:t>de</w:t>
      </w:r>
      <w:r w:rsidRPr="007920ED">
        <w:rPr>
          <w:rFonts w:ascii="Arial" w:hAnsi="Arial" w:cs="Arial"/>
          <w:sz w:val="24"/>
          <w:szCs w:val="24"/>
        </w:rPr>
        <w:t xml:space="preserve"> análise</w:t>
      </w:r>
      <w:r w:rsidRPr="00672524">
        <w:rPr>
          <w:rFonts w:ascii="Arial" w:hAnsi="Arial" w:cs="Arial"/>
          <w:sz w:val="24"/>
          <w:szCs w:val="24"/>
        </w:rPr>
        <w:t xml:space="preserve"> e interpretação.</w:t>
      </w:r>
      <w:r>
        <w:rPr>
          <w:rFonts w:ascii="Arial" w:hAnsi="Arial" w:cs="Arial"/>
          <w:sz w:val="24"/>
          <w:szCs w:val="24"/>
        </w:rPr>
        <w:t xml:space="preserve"> </w:t>
      </w:r>
    </w:p>
    <w:p w14:paraId="6ED4C0DF" w14:textId="77777777" w:rsidR="000318F5" w:rsidRPr="00B30A8F" w:rsidRDefault="000318F5" w:rsidP="000318F5">
      <w:pPr>
        <w:pStyle w:val="SemEspaamento"/>
        <w:spacing w:line="360" w:lineRule="auto"/>
        <w:ind w:firstLine="708"/>
        <w:jc w:val="both"/>
        <w:rPr>
          <w:rFonts w:ascii="Arial" w:hAnsi="Arial" w:cs="Arial"/>
          <w:sz w:val="24"/>
          <w:szCs w:val="24"/>
        </w:rPr>
      </w:pPr>
      <w:r>
        <w:rPr>
          <w:rFonts w:ascii="Arial" w:hAnsi="Arial" w:cs="Arial"/>
          <w:sz w:val="24"/>
          <w:szCs w:val="24"/>
        </w:rPr>
        <w:t xml:space="preserve">O processo de investigação foi realizado a partir de mapeamento, estudo exploratório e estudo em profundidade, concebidos como dimensões teórico-metodológicas e técnico-operativas de pesquisa, que, de forma dialógica e complementar, permitiram </w:t>
      </w:r>
      <w:r w:rsidRPr="008C329E">
        <w:rPr>
          <w:rFonts w:ascii="Arial" w:hAnsi="Arial" w:cs="Arial"/>
          <w:sz w:val="24"/>
          <w:szCs w:val="24"/>
        </w:rPr>
        <w:t>desenvolver</w:t>
      </w:r>
      <w:r>
        <w:rPr>
          <w:rFonts w:ascii="Arial" w:hAnsi="Arial" w:cs="Arial"/>
          <w:sz w:val="24"/>
          <w:szCs w:val="24"/>
        </w:rPr>
        <w:t xml:space="preserve"> aproximações sucessivas,</w:t>
      </w:r>
      <w:r w:rsidRPr="008C329E">
        <w:rPr>
          <w:rFonts w:ascii="Arial" w:hAnsi="Arial" w:cs="Arial"/>
          <w:sz w:val="24"/>
          <w:szCs w:val="24"/>
        </w:rPr>
        <w:t xml:space="preserve"> sem a pretensão de produzir uma </w:t>
      </w:r>
      <w:r>
        <w:rPr>
          <w:rFonts w:ascii="Arial" w:hAnsi="Arial" w:cs="Arial"/>
          <w:sz w:val="24"/>
          <w:szCs w:val="24"/>
        </w:rPr>
        <w:t>descrição</w:t>
      </w:r>
      <w:r w:rsidRPr="008C329E">
        <w:rPr>
          <w:rFonts w:ascii="Arial" w:hAnsi="Arial" w:cs="Arial"/>
          <w:sz w:val="24"/>
          <w:szCs w:val="24"/>
        </w:rPr>
        <w:t xml:space="preserve"> intensiva sobre cada programa isoladamente, mas </w:t>
      </w:r>
      <w:r>
        <w:rPr>
          <w:rFonts w:ascii="Arial" w:hAnsi="Arial" w:cs="Arial"/>
          <w:sz w:val="24"/>
          <w:szCs w:val="24"/>
        </w:rPr>
        <w:t>uma</w:t>
      </w:r>
      <w:r w:rsidRPr="008C329E">
        <w:rPr>
          <w:rFonts w:ascii="Arial" w:hAnsi="Arial" w:cs="Arial"/>
          <w:sz w:val="24"/>
          <w:szCs w:val="24"/>
        </w:rPr>
        <w:t xml:space="preserve"> </w:t>
      </w:r>
      <w:r>
        <w:rPr>
          <w:rFonts w:ascii="Arial" w:hAnsi="Arial" w:cs="Arial"/>
          <w:sz w:val="24"/>
          <w:szCs w:val="24"/>
        </w:rPr>
        <w:t>caracterização</w:t>
      </w:r>
      <w:r w:rsidRPr="008C329E">
        <w:rPr>
          <w:rFonts w:ascii="Arial" w:hAnsi="Arial" w:cs="Arial"/>
          <w:sz w:val="24"/>
          <w:szCs w:val="24"/>
        </w:rPr>
        <w:t xml:space="preserve"> profunda, identificando conteúdos, similaridades, convergências, divergências, e, sobretudo, os significados e limites </w:t>
      </w:r>
      <w:r>
        <w:rPr>
          <w:rFonts w:ascii="Arial" w:hAnsi="Arial" w:cs="Arial"/>
          <w:sz w:val="24"/>
          <w:szCs w:val="24"/>
        </w:rPr>
        <w:t>em termos de proteção social</w:t>
      </w:r>
      <w:r w:rsidRPr="008C329E">
        <w:rPr>
          <w:rFonts w:ascii="Arial" w:hAnsi="Arial" w:cs="Arial"/>
          <w:sz w:val="24"/>
          <w:szCs w:val="24"/>
        </w:rPr>
        <w:t xml:space="preserve"> </w:t>
      </w:r>
      <w:r w:rsidRPr="008F37A3">
        <w:rPr>
          <w:rFonts w:ascii="Arial" w:hAnsi="Arial" w:cs="Arial"/>
          <w:sz w:val="24"/>
          <w:szCs w:val="24"/>
        </w:rPr>
        <w:t>(SILVA, 2016).</w:t>
      </w:r>
      <w:r w:rsidRPr="008C329E">
        <w:rPr>
          <w:rFonts w:ascii="Arial" w:hAnsi="Arial" w:cs="Arial"/>
          <w:sz w:val="24"/>
          <w:szCs w:val="24"/>
        </w:rPr>
        <w:t xml:space="preserve"> </w:t>
      </w:r>
      <w:r>
        <w:rPr>
          <w:rFonts w:ascii="Arial" w:eastAsia="Times New Roman" w:hAnsi="Arial" w:cs="Arial"/>
          <w:sz w:val="24"/>
          <w:szCs w:val="24"/>
        </w:rPr>
        <w:t>F</w:t>
      </w:r>
      <w:r w:rsidRPr="004318F6">
        <w:rPr>
          <w:rFonts w:ascii="Arial" w:eastAsia="Times New Roman" w:hAnsi="Arial" w:cs="Arial"/>
          <w:sz w:val="24"/>
          <w:szCs w:val="24"/>
        </w:rPr>
        <w:t xml:space="preserve">oram considerados </w:t>
      </w:r>
      <w:r>
        <w:rPr>
          <w:rFonts w:ascii="Arial" w:eastAsia="Times New Roman" w:hAnsi="Arial" w:cs="Arial"/>
          <w:sz w:val="24"/>
          <w:szCs w:val="24"/>
        </w:rPr>
        <w:t>41</w:t>
      </w:r>
      <w:r w:rsidRPr="004318F6">
        <w:rPr>
          <w:rFonts w:ascii="Arial" w:eastAsia="Times New Roman" w:hAnsi="Arial" w:cs="Arial"/>
          <w:sz w:val="24"/>
          <w:szCs w:val="24"/>
        </w:rPr>
        <w:t xml:space="preserve"> países da América Latina e do Caribe, </w:t>
      </w:r>
      <w:r>
        <w:rPr>
          <w:rFonts w:ascii="Arial" w:eastAsia="Times New Roman" w:hAnsi="Arial" w:cs="Arial"/>
          <w:sz w:val="24"/>
          <w:szCs w:val="24"/>
        </w:rPr>
        <w:t xml:space="preserve">inicialmente </w:t>
      </w:r>
      <w:r>
        <w:rPr>
          <w:rFonts w:ascii="Arial" w:hAnsi="Arial" w:cs="Arial"/>
          <w:sz w:val="24"/>
          <w:szCs w:val="24"/>
        </w:rPr>
        <w:t>escolhidos pela</w:t>
      </w:r>
      <w:r w:rsidRPr="004318F6">
        <w:rPr>
          <w:rFonts w:ascii="Arial" w:hAnsi="Arial" w:cs="Arial"/>
          <w:sz w:val="24"/>
          <w:szCs w:val="24"/>
        </w:rPr>
        <w:t xml:space="preserve"> presença de línguas </w:t>
      </w:r>
      <w:r>
        <w:rPr>
          <w:rFonts w:ascii="Arial" w:hAnsi="Arial" w:cs="Arial"/>
          <w:sz w:val="24"/>
          <w:szCs w:val="24"/>
        </w:rPr>
        <w:t xml:space="preserve">oficiais </w:t>
      </w:r>
      <w:r w:rsidRPr="004318F6">
        <w:rPr>
          <w:rFonts w:ascii="Arial" w:hAnsi="Arial" w:cs="Arial"/>
          <w:sz w:val="24"/>
          <w:szCs w:val="24"/>
        </w:rPr>
        <w:t>derivadas do latim (espanhol, português e francês)</w:t>
      </w:r>
      <w:r>
        <w:rPr>
          <w:rFonts w:ascii="Arial" w:hAnsi="Arial" w:cs="Arial"/>
          <w:sz w:val="24"/>
          <w:szCs w:val="24"/>
        </w:rPr>
        <w:t>, e, posteriormente ampliado para países de língua oficial inglesa, tendo em vista a realidade dos países insulares do Caribe e especialmente da América Central</w:t>
      </w:r>
      <w:r>
        <w:rPr>
          <w:rFonts w:ascii="Arial" w:eastAsia="Times New Roman" w:hAnsi="Arial" w:cs="Arial"/>
          <w:sz w:val="24"/>
          <w:szCs w:val="24"/>
        </w:rPr>
        <w:t xml:space="preserve">. </w:t>
      </w:r>
      <w:r w:rsidRPr="00815F76">
        <w:rPr>
          <w:rFonts w:ascii="Arial" w:hAnsi="Arial" w:cs="Arial"/>
          <w:sz w:val="24"/>
          <w:szCs w:val="24"/>
        </w:rPr>
        <w:t xml:space="preserve">Em função desses critérios foram contemplados 21 países da América Latina e em 20 países do Caribe, </w:t>
      </w:r>
      <w:r w:rsidRPr="00815F76">
        <w:rPr>
          <w:rFonts w:ascii="Arial" w:hAnsi="Arial" w:cs="Arial"/>
          <w:color w:val="000000"/>
          <w:sz w:val="24"/>
          <w:szCs w:val="24"/>
        </w:rPr>
        <w:t>a saber: Argentina, Bolívia (Estado Plurianual de), Brasil, Chile, Colômbia, Cota Rica, Cuba, Equador, El Salvador, Guatemala, Haiti, Honduras, México, Nicarágua, Panamá, Paraguai, Peru, Porto Rico, República Dominicana, Uruguai, Venezuela (República Bolivariana de), Antigua e Barbuda, Aruba, Bahamas, Barbados, Dominica, Granada, Guadalupe, Ilhas Cayman, Ilhas Turcas e Caicos, Ilhas Virgens Britânicas, Ilhas Virgens dos Estados Unidos, Jamaica, Martinica, São Bartolomeu, São Cristóbal e Neves, Santa Lucia, São Vicente e Granadinas, Suriname e Trinidad e Tobago.</w:t>
      </w:r>
      <w:r w:rsidRPr="004973EB">
        <w:rPr>
          <w:rFonts w:ascii="Arial" w:hAnsi="Arial" w:cs="Arial"/>
          <w:color w:val="000000"/>
          <w:sz w:val="20"/>
          <w:szCs w:val="20"/>
        </w:rPr>
        <w:t xml:space="preserve">     </w:t>
      </w:r>
    </w:p>
    <w:p w14:paraId="72F80F7D" w14:textId="77777777" w:rsidR="000318F5" w:rsidRDefault="000318F5" w:rsidP="000318F5">
      <w:pPr>
        <w:pStyle w:val="SemEspaamento"/>
        <w:spacing w:line="360" w:lineRule="auto"/>
        <w:ind w:firstLine="708"/>
        <w:jc w:val="both"/>
        <w:rPr>
          <w:rFonts w:ascii="Arial" w:hAnsi="Arial" w:cs="Arial"/>
          <w:sz w:val="24"/>
          <w:szCs w:val="24"/>
        </w:rPr>
      </w:pPr>
      <w:r w:rsidRPr="00AE4703">
        <w:rPr>
          <w:rFonts w:ascii="Arial" w:hAnsi="Arial" w:cs="Arial"/>
          <w:sz w:val="24"/>
          <w:szCs w:val="24"/>
        </w:rPr>
        <w:lastRenderedPageBreak/>
        <w:t>Para os Programas</w:t>
      </w:r>
      <w:r>
        <w:rPr>
          <w:rFonts w:ascii="Arial" w:hAnsi="Arial" w:cs="Arial"/>
          <w:sz w:val="24"/>
          <w:szCs w:val="24"/>
        </w:rPr>
        <w:t xml:space="preserve"> de Transferência Monetária implementados e</w:t>
      </w:r>
      <w:r w:rsidRPr="00AE4703">
        <w:rPr>
          <w:rFonts w:ascii="Arial" w:hAnsi="Arial" w:cs="Arial"/>
          <w:sz w:val="24"/>
          <w:szCs w:val="24"/>
        </w:rPr>
        <w:t xml:space="preserve"> </w:t>
      </w:r>
      <w:r>
        <w:rPr>
          <w:rFonts w:ascii="Arial" w:hAnsi="Arial" w:cs="Arial"/>
          <w:sz w:val="24"/>
          <w:szCs w:val="24"/>
        </w:rPr>
        <w:t>vigentes antes da pandemia do COVID-19,</w:t>
      </w:r>
      <w:r w:rsidRPr="00AE4703">
        <w:rPr>
          <w:rFonts w:ascii="Arial" w:hAnsi="Arial" w:cs="Arial"/>
          <w:sz w:val="24"/>
          <w:szCs w:val="24"/>
        </w:rPr>
        <w:t xml:space="preserve"> a pesquisa </w:t>
      </w:r>
      <w:r>
        <w:rPr>
          <w:rFonts w:ascii="Arial" w:hAnsi="Arial" w:cs="Arial"/>
          <w:sz w:val="24"/>
          <w:szCs w:val="24"/>
        </w:rPr>
        <w:t>considerou</w:t>
      </w:r>
      <w:r w:rsidRPr="00AE4703">
        <w:rPr>
          <w:rFonts w:ascii="Arial" w:hAnsi="Arial" w:cs="Arial"/>
          <w:sz w:val="24"/>
          <w:szCs w:val="24"/>
        </w:rPr>
        <w:t xml:space="preserve"> como ponto de partida a base de dados </w:t>
      </w:r>
      <w:r>
        <w:rPr>
          <w:rFonts w:ascii="Arial" w:hAnsi="Arial" w:cs="Arial"/>
          <w:sz w:val="24"/>
          <w:szCs w:val="24"/>
        </w:rPr>
        <w:t xml:space="preserve">constituída pela rede em pesquisas anteriores, </w:t>
      </w:r>
      <w:r w:rsidRPr="00AE4703">
        <w:rPr>
          <w:rFonts w:ascii="Arial" w:hAnsi="Arial" w:cs="Arial"/>
          <w:sz w:val="24"/>
          <w:szCs w:val="24"/>
        </w:rPr>
        <w:t xml:space="preserve">que foi atualizada por meio de nova consulta </w:t>
      </w:r>
      <w:r>
        <w:rPr>
          <w:rFonts w:ascii="Arial" w:hAnsi="Arial" w:cs="Arial"/>
          <w:sz w:val="24"/>
          <w:szCs w:val="24"/>
        </w:rPr>
        <w:t>de</w:t>
      </w:r>
      <w:r w:rsidRPr="00AE4703">
        <w:rPr>
          <w:rFonts w:ascii="Arial" w:hAnsi="Arial" w:cs="Arial"/>
          <w:sz w:val="24"/>
          <w:szCs w:val="24"/>
        </w:rPr>
        <w:t xml:space="preserve"> dados secundários</w:t>
      </w:r>
      <w:r>
        <w:rPr>
          <w:rFonts w:ascii="Arial" w:hAnsi="Arial" w:cs="Arial"/>
          <w:sz w:val="24"/>
          <w:szCs w:val="24"/>
        </w:rPr>
        <w:t xml:space="preserve"> em</w:t>
      </w:r>
      <w:r w:rsidRPr="00AE4703">
        <w:rPr>
          <w:rFonts w:ascii="Arial" w:hAnsi="Arial" w:cs="Arial"/>
          <w:sz w:val="24"/>
          <w:szCs w:val="24"/>
        </w:rPr>
        <w:t xml:space="preserve"> sites</w:t>
      </w:r>
      <w:r>
        <w:rPr>
          <w:rFonts w:ascii="Arial" w:hAnsi="Arial" w:cs="Arial"/>
          <w:sz w:val="24"/>
          <w:szCs w:val="24"/>
        </w:rPr>
        <w:t xml:space="preserve"> e</w:t>
      </w:r>
      <w:r w:rsidRPr="00AE4703">
        <w:rPr>
          <w:rFonts w:ascii="Arial" w:hAnsi="Arial" w:cs="Arial"/>
          <w:sz w:val="24"/>
          <w:szCs w:val="24"/>
        </w:rPr>
        <w:t xml:space="preserve"> </w:t>
      </w:r>
      <w:r>
        <w:rPr>
          <w:rFonts w:ascii="Arial" w:hAnsi="Arial" w:cs="Arial"/>
          <w:sz w:val="24"/>
          <w:szCs w:val="24"/>
        </w:rPr>
        <w:t xml:space="preserve">documentos oficiais, </w:t>
      </w:r>
      <w:r w:rsidRPr="00AE4703">
        <w:rPr>
          <w:rFonts w:ascii="Arial" w:hAnsi="Arial" w:cs="Arial"/>
          <w:sz w:val="24"/>
          <w:szCs w:val="24"/>
        </w:rPr>
        <w:t>disponibilizad</w:t>
      </w:r>
      <w:r>
        <w:rPr>
          <w:rFonts w:ascii="Arial" w:hAnsi="Arial" w:cs="Arial"/>
          <w:sz w:val="24"/>
          <w:szCs w:val="24"/>
        </w:rPr>
        <w:t>os</w:t>
      </w:r>
      <w:r w:rsidRPr="00AE4703">
        <w:rPr>
          <w:rFonts w:ascii="Arial" w:hAnsi="Arial" w:cs="Arial"/>
          <w:sz w:val="24"/>
          <w:szCs w:val="24"/>
        </w:rPr>
        <w:t xml:space="preserve"> pelos respectivos países</w:t>
      </w:r>
      <w:r>
        <w:rPr>
          <w:rFonts w:ascii="Arial" w:hAnsi="Arial" w:cs="Arial"/>
          <w:sz w:val="24"/>
          <w:szCs w:val="24"/>
        </w:rPr>
        <w:t>, e, complementada por meio de análise de produção bibliográfica e documental advindas de outras</w:t>
      </w:r>
      <w:r w:rsidRPr="00AE4703">
        <w:rPr>
          <w:rFonts w:ascii="Arial" w:hAnsi="Arial" w:cs="Arial"/>
          <w:sz w:val="24"/>
          <w:szCs w:val="24"/>
        </w:rPr>
        <w:t xml:space="preserve"> redes de pesquisa</w:t>
      </w:r>
      <w:r>
        <w:rPr>
          <w:rFonts w:ascii="Arial" w:hAnsi="Arial" w:cs="Arial"/>
          <w:sz w:val="24"/>
          <w:szCs w:val="24"/>
        </w:rPr>
        <w:t xml:space="preserve">, pesquisadores e/ou de organismos multilaterais. </w:t>
      </w:r>
      <w:r w:rsidRPr="00772F57">
        <w:rPr>
          <w:rFonts w:ascii="Arial" w:hAnsi="Arial" w:cs="Arial"/>
          <w:sz w:val="24"/>
          <w:szCs w:val="24"/>
        </w:rPr>
        <w:t xml:space="preserve">Para o mapeamento dos programas e </w:t>
      </w:r>
      <w:r>
        <w:rPr>
          <w:rFonts w:ascii="Arial" w:hAnsi="Arial" w:cs="Arial"/>
          <w:sz w:val="24"/>
          <w:szCs w:val="24"/>
        </w:rPr>
        <w:t>medidas</w:t>
      </w:r>
      <w:r w:rsidRPr="00772F57">
        <w:rPr>
          <w:rFonts w:ascii="Arial" w:hAnsi="Arial" w:cs="Arial"/>
          <w:sz w:val="24"/>
          <w:szCs w:val="24"/>
        </w:rPr>
        <w:t xml:space="preserve"> de transferência monetárias</w:t>
      </w:r>
      <w:r>
        <w:rPr>
          <w:rFonts w:ascii="Arial" w:hAnsi="Arial" w:cs="Arial"/>
          <w:sz w:val="24"/>
          <w:szCs w:val="24"/>
        </w:rPr>
        <w:t>,</w:t>
      </w:r>
      <w:r w:rsidRPr="00772F57">
        <w:rPr>
          <w:rFonts w:ascii="Arial" w:hAnsi="Arial" w:cs="Arial"/>
          <w:sz w:val="24"/>
          <w:szCs w:val="24"/>
        </w:rPr>
        <w:t xml:space="preserve"> implementados </w:t>
      </w:r>
      <w:r>
        <w:rPr>
          <w:rFonts w:ascii="Arial" w:hAnsi="Arial" w:cs="Arial"/>
          <w:sz w:val="24"/>
          <w:szCs w:val="24"/>
        </w:rPr>
        <w:t>em decorrência</w:t>
      </w:r>
      <w:r w:rsidRPr="00772F57">
        <w:rPr>
          <w:rFonts w:ascii="Arial" w:hAnsi="Arial" w:cs="Arial"/>
          <w:sz w:val="24"/>
          <w:szCs w:val="24"/>
        </w:rPr>
        <w:t xml:space="preserve"> da pandemia</w:t>
      </w:r>
      <w:r>
        <w:rPr>
          <w:rFonts w:ascii="Arial" w:hAnsi="Arial" w:cs="Arial"/>
          <w:sz w:val="24"/>
          <w:szCs w:val="24"/>
        </w:rPr>
        <w:t>,</w:t>
      </w:r>
      <w:r w:rsidRPr="00772F57">
        <w:rPr>
          <w:rFonts w:ascii="Arial" w:hAnsi="Arial" w:cs="Arial"/>
          <w:sz w:val="24"/>
          <w:szCs w:val="24"/>
        </w:rPr>
        <w:t xml:space="preserve"> o ponto de partida foi </w:t>
      </w:r>
      <w:r>
        <w:rPr>
          <w:rFonts w:ascii="Arial" w:hAnsi="Arial" w:cs="Arial"/>
          <w:sz w:val="24"/>
          <w:szCs w:val="24"/>
        </w:rPr>
        <w:t>a base de dados do</w:t>
      </w:r>
      <w:r w:rsidRPr="00772F57">
        <w:rPr>
          <w:rFonts w:ascii="Arial" w:hAnsi="Arial" w:cs="Arial"/>
          <w:sz w:val="24"/>
          <w:szCs w:val="24"/>
        </w:rPr>
        <w:t xml:space="preserve"> </w:t>
      </w:r>
      <w:r w:rsidRPr="00772F57">
        <w:rPr>
          <w:rFonts w:ascii="Arial" w:hAnsi="Arial" w:cs="Arial"/>
          <w:i/>
          <w:iCs/>
          <w:sz w:val="24"/>
          <w:szCs w:val="24"/>
        </w:rPr>
        <w:t>Observatorio COVID-19 en América Latina y el Caribe</w:t>
      </w:r>
      <w:r w:rsidRPr="00772F57">
        <w:rPr>
          <w:rStyle w:val="Refdenotaderodap"/>
          <w:rFonts w:ascii="Arial" w:hAnsi="Arial" w:cs="Arial"/>
          <w:i/>
          <w:iCs/>
          <w:sz w:val="24"/>
          <w:szCs w:val="24"/>
        </w:rPr>
        <w:footnoteReference w:id="2"/>
      </w:r>
      <w:r w:rsidRPr="00772F57">
        <w:rPr>
          <w:rFonts w:ascii="Arial" w:hAnsi="Arial" w:cs="Arial"/>
          <w:sz w:val="24"/>
          <w:szCs w:val="24"/>
        </w:rPr>
        <w:t xml:space="preserve"> da Cepal</w:t>
      </w:r>
      <w:r>
        <w:rPr>
          <w:rFonts w:ascii="Arial" w:hAnsi="Arial" w:cs="Arial"/>
          <w:sz w:val="24"/>
          <w:szCs w:val="24"/>
        </w:rPr>
        <w:t xml:space="preserve">, </w:t>
      </w:r>
      <w:r w:rsidRPr="00772F57">
        <w:rPr>
          <w:rFonts w:ascii="Arial" w:hAnsi="Arial" w:cs="Arial"/>
          <w:sz w:val="24"/>
          <w:szCs w:val="24"/>
        </w:rPr>
        <w:t>que</w:t>
      </w:r>
      <w:r>
        <w:rPr>
          <w:rFonts w:ascii="Arial" w:hAnsi="Arial" w:cs="Arial"/>
          <w:sz w:val="24"/>
          <w:szCs w:val="24"/>
        </w:rPr>
        <w:t xml:space="preserve"> também </w:t>
      </w:r>
      <w:r w:rsidRPr="00AE4703">
        <w:rPr>
          <w:rFonts w:ascii="Arial" w:hAnsi="Arial" w:cs="Arial"/>
          <w:sz w:val="24"/>
          <w:szCs w:val="24"/>
        </w:rPr>
        <w:t xml:space="preserve">foi atualizada por meio de nova consulta </w:t>
      </w:r>
      <w:r>
        <w:rPr>
          <w:rFonts w:ascii="Arial" w:hAnsi="Arial" w:cs="Arial"/>
          <w:sz w:val="24"/>
          <w:szCs w:val="24"/>
        </w:rPr>
        <w:t>de</w:t>
      </w:r>
      <w:r w:rsidRPr="00AE4703">
        <w:rPr>
          <w:rFonts w:ascii="Arial" w:hAnsi="Arial" w:cs="Arial"/>
          <w:sz w:val="24"/>
          <w:szCs w:val="24"/>
        </w:rPr>
        <w:t xml:space="preserve"> dados secundários</w:t>
      </w:r>
      <w:r>
        <w:rPr>
          <w:rFonts w:ascii="Arial" w:hAnsi="Arial" w:cs="Arial"/>
          <w:sz w:val="24"/>
          <w:szCs w:val="24"/>
        </w:rPr>
        <w:t xml:space="preserve"> em</w:t>
      </w:r>
      <w:r w:rsidRPr="00AE4703">
        <w:rPr>
          <w:rFonts w:ascii="Arial" w:hAnsi="Arial" w:cs="Arial"/>
          <w:sz w:val="24"/>
          <w:szCs w:val="24"/>
        </w:rPr>
        <w:t xml:space="preserve"> sites</w:t>
      </w:r>
      <w:r>
        <w:rPr>
          <w:rFonts w:ascii="Arial" w:hAnsi="Arial" w:cs="Arial"/>
          <w:sz w:val="24"/>
          <w:szCs w:val="24"/>
        </w:rPr>
        <w:t xml:space="preserve"> e</w:t>
      </w:r>
      <w:r w:rsidRPr="00AE4703">
        <w:rPr>
          <w:rFonts w:ascii="Arial" w:hAnsi="Arial" w:cs="Arial"/>
          <w:sz w:val="24"/>
          <w:szCs w:val="24"/>
        </w:rPr>
        <w:t xml:space="preserve"> </w:t>
      </w:r>
      <w:r>
        <w:rPr>
          <w:rFonts w:ascii="Arial" w:hAnsi="Arial" w:cs="Arial"/>
          <w:sz w:val="24"/>
          <w:szCs w:val="24"/>
        </w:rPr>
        <w:t xml:space="preserve">documentos oficiais, </w:t>
      </w:r>
      <w:r w:rsidRPr="00AE4703">
        <w:rPr>
          <w:rFonts w:ascii="Arial" w:hAnsi="Arial" w:cs="Arial"/>
          <w:sz w:val="24"/>
          <w:szCs w:val="24"/>
        </w:rPr>
        <w:t>disponibilizad</w:t>
      </w:r>
      <w:r>
        <w:rPr>
          <w:rFonts w:ascii="Arial" w:hAnsi="Arial" w:cs="Arial"/>
          <w:sz w:val="24"/>
          <w:szCs w:val="24"/>
        </w:rPr>
        <w:t>os</w:t>
      </w:r>
      <w:r w:rsidRPr="00AE4703">
        <w:rPr>
          <w:rFonts w:ascii="Arial" w:hAnsi="Arial" w:cs="Arial"/>
          <w:sz w:val="24"/>
          <w:szCs w:val="24"/>
        </w:rPr>
        <w:t xml:space="preserve"> pelos respectivos países</w:t>
      </w:r>
      <w:r>
        <w:rPr>
          <w:rFonts w:ascii="Arial" w:hAnsi="Arial" w:cs="Arial"/>
          <w:sz w:val="24"/>
          <w:szCs w:val="24"/>
        </w:rPr>
        <w:t>, e, complementada por meio de análise de produção bibliográfica e documental advindas de outras</w:t>
      </w:r>
      <w:r w:rsidRPr="00AE4703">
        <w:rPr>
          <w:rFonts w:ascii="Arial" w:hAnsi="Arial" w:cs="Arial"/>
          <w:sz w:val="24"/>
          <w:szCs w:val="24"/>
        </w:rPr>
        <w:t xml:space="preserve"> redes de pesquisa</w:t>
      </w:r>
      <w:r>
        <w:rPr>
          <w:rFonts w:ascii="Arial" w:hAnsi="Arial" w:cs="Arial"/>
          <w:sz w:val="24"/>
          <w:szCs w:val="24"/>
        </w:rPr>
        <w:t>, pesquisadores e/ou de organismos multilaterais.</w:t>
      </w:r>
    </w:p>
    <w:p w14:paraId="31771E94" w14:textId="77777777" w:rsidR="000318F5" w:rsidRPr="00F8669F" w:rsidRDefault="000318F5" w:rsidP="000318F5">
      <w:pPr>
        <w:pStyle w:val="SemEspaamento"/>
        <w:spacing w:line="360" w:lineRule="auto"/>
        <w:ind w:firstLine="708"/>
        <w:jc w:val="both"/>
        <w:rPr>
          <w:rFonts w:ascii="Arial" w:hAnsi="Arial" w:cs="Arial"/>
          <w:sz w:val="24"/>
          <w:szCs w:val="24"/>
        </w:rPr>
      </w:pPr>
      <w:r w:rsidRPr="00F8669F">
        <w:rPr>
          <w:rFonts w:ascii="Arial" w:hAnsi="Arial" w:cs="Arial"/>
          <w:sz w:val="24"/>
          <w:szCs w:val="24"/>
        </w:rPr>
        <w:t>O presente artigo busca evidenciar que, como é próprio da política social nos quadros do capitalismo dependente na formação social latino-americana, os Programas de Transferência Monetária desenvolvem-se em meio à contradição que reproduz sociabilidades funcionais ao capital e ao poder institucional e, ao mesmo tempo, introduz</w:t>
      </w:r>
      <w:r>
        <w:rPr>
          <w:rFonts w:ascii="Arial" w:hAnsi="Arial" w:cs="Arial"/>
          <w:sz w:val="24"/>
          <w:szCs w:val="24"/>
        </w:rPr>
        <w:t>em</w:t>
      </w:r>
      <w:r w:rsidRPr="00F8669F">
        <w:rPr>
          <w:rFonts w:ascii="Arial" w:hAnsi="Arial" w:cs="Arial"/>
          <w:sz w:val="24"/>
          <w:szCs w:val="24"/>
        </w:rPr>
        <w:t xml:space="preserve"> dispositivos que respondem às demandas imediatas do classe-que-vive-do-trabalho, na medida em que respondem a necessidades humanas da vida em sociedade e, nesse sentido, constituem diretos inalienáveis. Portanto, se esses programas não têm o poder de equacionar desigualdades estruturais (re) produzidas pela sociedade de classes, certamente </w:t>
      </w:r>
      <w:r>
        <w:rPr>
          <w:rFonts w:ascii="Arial" w:hAnsi="Arial" w:cs="Arial"/>
          <w:sz w:val="24"/>
          <w:szCs w:val="24"/>
        </w:rPr>
        <w:t>evidenciam as</w:t>
      </w:r>
      <w:r w:rsidRPr="00F8669F">
        <w:rPr>
          <w:rFonts w:ascii="Arial" w:hAnsi="Arial" w:cs="Arial"/>
          <w:sz w:val="24"/>
          <w:szCs w:val="24"/>
        </w:rPr>
        <w:t xml:space="preserve"> urgências</w:t>
      </w:r>
      <w:r>
        <w:rPr>
          <w:rFonts w:ascii="Arial" w:hAnsi="Arial" w:cs="Arial"/>
          <w:sz w:val="24"/>
          <w:szCs w:val="24"/>
        </w:rPr>
        <w:t xml:space="preserve"> e espoliações</w:t>
      </w:r>
      <w:r w:rsidRPr="00F8669F">
        <w:rPr>
          <w:rFonts w:ascii="Arial" w:hAnsi="Arial" w:cs="Arial"/>
          <w:sz w:val="24"/>
          <w:szCs w:val="24"/>
        </w:rPr>
        <w:t xml:space="preserve"> </w:t>
      </w:r>
      <w:r>
        <w:rPr>
          <w:rFonts w:ascii="Arial" w:hAnsi="Arial" w:cs="Arial"/>
          <w:sz w:val="24"/>
          <w:szCs w:val="24"/>
        </w:rPr>
        <w:t>de</w:t>
      </w:r>
      <w:r w:rsidRPr="00F8669F">
        <w:rPr>
          <w:rFonts w:ascii="Arial" w:hAnsi="Arial" w:cs="Arial"/>
          <w:sz w:val="24"/>
          <w:szCs w:val="24"/>
        </w:rPr>
        <w:t xml:space="preserve"> amplos segmentos das famílias das classes trabalhadoras.</w:t>
      </w:r>
    </w:p>
    <w:p w14:paraId="41DCEA75" w14:textId="77777777" w:rsidR="000318F5" w:rsidRDefault="000318F5" w:rsidP="000318F5">
      <w:pPr>
        <w:spacing w:line="360" w:lineRule="auto"/>
        <w:jc w:val="both"/>
        <w:rPr>
          <w:sz w:val="24"/>
          <w:szCs w:val="24"/>
        </w:rPr>
      </w:pPr>
    </w:p>
    <w:p w14:paraId="531B6A69" w14:textId="77777777" w:rsidR="000318F5" w:rsidRPr="002427BB" w:rsidRDefault="000318F5" w:rsidP="000318F5">
      <w:pPr>
        <w:spacing w:line="360" w:lineRule="auto"/>
        <w:jc w:val="both"/>
        <w:rPr>
          <w:b/>
          <w:sz w:val="24"/>
          <w:szCs w:val="24"/>
        </w:rPr>
      </w:pPr>
      <w:r>
        <w:rPr>
          <w:b/>
          <w:sz w:val="24"/>
          <w:szCs w:val="24"/>
        </w:rPr>
        <w:t>2</w:t>
      </w:r>
      <w:r>
        <w:rPr>
          <w:b/>
          <w:sz w:val="24"/>
          <w:szCs w:val="24"/>
        </w:rPr>
        <w:tab/>
        <w:t>OS PROGRAMAS DE TRANSFERÊNCIA MONETÁRIA, EM TEMPOS DA FINANCIERIZAÇÃO DO CAPITAL</w:t>
      </w:r>
    </w:p>
    <w:p w14:paraId="5DCE2B2A" w14:textId="77777777" w:rsidR="000318F5" w:rsidRDefault="000318F5" w:rsidP="000318F5">
      <w:pPr>
        <w:spacing w:line="360" w:lineRule="auto"/>
        <w:ind w:firstLine="708"/>
        <w:jc w:val="both"/>
        <w:rPr>
          <w:sz w:val="24"/>
          <w:szCs w:val="24"/>
        </w:rPr>
      </w:pPr>
    </w:p>
    <w:p w14:paraId="495ACF1C" w14:textId="77777777" w:rsidR="000318F5" w:rsidRPr="00C40964" w:rsidRDefault="000318F5" w:rsidP="000318F5">
      <w:pPr>
        <w:spacing w:line="360" w:lineRule="auto"/>
        <w:ind w:firstLine="708"/>
        <w:jc w:val="both"/>
        <w:rPr>
          <w:sz w:val="24"/>
          <w:szCs w:val="24"/>
        </w:rPr>
      </w:pPr>
      <w:r w:rsidRPr="009C7D9D">
        <w:rPr>
          <w:sz w:val="24"/>
          <w:szCs w:val="24"/>
        </w:rPr>
        <w:t xml:space="preserve">A emergência e o desenvolvimento dos Programas de Transferência Monetária são manifestações concretas da mudança no padrão de regulação econômica e social e da </w:t>
      </w:r>
      <w:r w:rsidRPr="002427BB">
        <w:rPr>
          <w:color w:val="0D0D0D"/>
          <w:sz w:val="24"/>
          <w:szCs w:val="24"/>
        </w:rPr>
        <w:t>nova fase da acumulação capitalista,</w:t>
      </w:r>
      <w:r w:rsidRPr="009C7D9D">
        <w:rPr>
          <w:sz w:val="24"/>
          <w:szCs w:val="24"/>
        </w:rPr>
        <w:t xml:space="preserve"> sob a hegemonia do capital financeiro (FONTES,</w:t>
      </w:r>
      <w:r>
        <w:rPr>
          <w:sz w:val="24"/>
          <w:szCs w:val="24"/>
        </w:rPr>
        <w:t xml:space="preserve"> </w:t>
      </w:r>
      <w:r w:rsidRPr="009C7D9D">
        <w:rPr>
          <w:sz w:val="24"/>
          <w:szCs w:val="24"/>
        </w:rPr>
        <w:t>2010).</w:t>
      </w:r>
    </w:p>
    <w:p w14:paraId="3BC851BE" w14:textId="77777777" w:rsidR="000318F5" w:rsidRPr="00B30A8F" w:rsidRDefault="000318F5" w:rsidP="000318F5">
      <w:pPr>
        <w:spacing w:line="360" w:lineRule="auto"/>
        <w:ind w:firstLine="708"/>
        <w:jc w:val="both"/>
        <w:rPr>
          <w:color w:val="0D0D0D"/>
          <w:sz w:val="24"/>
          <w:szCs w:val="24"/>
        </w:rPr>
      </w:pPr>
      <w:r w:rsidRPr="002427BB">
        <w:rPr>
          <w:color w:val="0D0D0D"/>
          <w:sz w:val="24"/>
          <w:szCs w:val="24"/>
        </w:rPr>
        <w:t>Nessa perspectiva, precisam ser compreendidos no contexto das grandes transformações experimentadas pelo sistema capitalista em âmbito mundial, em resposta a crise estrutural do capital</w:t>
      </w:r>
      <w:r>
        <w:rPr>
          <w:color w:val="0D0D0D"/>
          <w:sz w:val="24"/>
          <w:szCs w:val="24"/>
        </w:rPr>
        <w:t>,</w:t>
      </w:r>
      <w:r w:rsidRPr="002427BB">
        <w:rPr>
          <w:color w:val="0D0D0D"/>
          <w:sz w:val="24"/>
          <w:szCs w:val="24"/>
        </w:rPr>
        <w:t xml:space="preserve"> que reeditam e </w:t>
      </w:r>
      <w:r>
        <w:rPr>
          <w:color w:val="0D0D0D"/>
          <w:sz w:val="24"/>
          <w:szCs w:val="24"/>
        </w:rPr>
        <w:t>aprofundam</w:t>
      </w:r>
      <w:r w:rsidRPr="002427BB">
        <w:rPr>
          <w:color w:val="0D0D0D"/>
          <w:sz w:val="24"/>
          <w:szCs w:val="24"/>
        </w:rPr>
        <w:t xml:space="preserve"> as formas de expropriação e dominação, abrangendo processos que repõem a inserção subordinada da América Latina e do Caribe, como países da periferia do capitalismo, no âmago das relações dialéticas entre imperialismo e dependência (LENIN, 2012; MARINI, 2005)</w:t>
      </w:r>
      <w:r>
        <w:rPr>
          <w:color w:val="0D0D0D"/>
          <w:sz w:val="24"/>
          <w:szCs w:val="24"/>
        </w:rPr>
        <w:t xml:space="preserve">. </w:t>
      </w:r>
      <w:r w:rsidRPr="00CF3745">
        <w:rPr>
          <w:sz w:val="24"/>
          <w:szCs w:val="24"/>
        </w:rPr>
        <w:t xml:space="preserve">Trata-se de uma quadra histórica de particular avanço neoliberal, presente no continente desde as ditaduras cívico-militares, agudizado nos anos 1990, agravado a partir das crises de 2008-2011 e levado barbaramente ao </w:t>
      </w:r>
      <w:r w:rsidRPr="007B0B38">
        <w:rPr>
          <w:sz w:val="24"/>
          <w:szCs w:val="24"/>
        </w:rPr>
        <w:t xml:space="preserve">extremo </w:t>
      </w:r>
      <w:r w:rsidRPr="00E047E3">
        <w:rPr>
          <w:sz w:val="24"/>
          <w:szCs w:val="24"/>
        </w:rPr>
        <w:t xml:space="preserve">no contexto pandêmico. </w:t>
      </w:r>
      <w:r w:rsidRPr="00E047E3">
        <w:rPr>
          <w:sz w:val="24"/>
          <w:szCs w:val="24"/>
          <w:highlight w:val="white"/>
        </w:rPr>
        <w:t>Um período em que são colocados em movimento uma série de mudanças</w:t>
      </w:r>
      <w:r w:rsidRPr="00E047E3">
        <w:rPr>
          <w:sz w:val="24"/>
          <w:szCs w:val="24"/>
        </w:rPr>
        <w:t xml:space="preserve"> e contrarreformas que provocaram a liberalização e desregulamentação das relações comerciais e dos circuitos financeiros, a flexibilização, precarização e intensificação do trabalho e a privatização e mercantilização dos sistemas de proteção social e do patrimônio estatal (NETTO, 2012). </w:t>
      </w:r>
    </w:p>
    <w:p w14:paraId="0EF4C76F" w14:textId="77777777" w:rsidR="000318F5" w:rsidRDefault="000318F5" w:rsidP="000318F5">
      <w:pPr>
        <w:spacing w:line="360" w:lineRule="auto"/>
        <w:ind w:firstLine="720"/>
        <w:jc w:val="both"/>
        <w:rPr>
          <w:sz w:val="24"/>
          <w:szCs w:val="24"/>
        </w:rPr>
      </w:pPr>
      <w:r w:rsidRPr="00785790">
        <w:rPr>
          <w:color w:val="000000"/>
          <w:sz w:val="24"/>
          <w:szCs w:val="24"/>
        </w:rPr>
        <w:t>N</w:t>
      </w:r>
      <w:r>
        <w:rPr>
          <w:color w:val="000000"/>
          <w:sz w:val="24"/>
          <w:szCs w:val="24"/>
        </w:rPr>
        <w:t>esse contexto e na</w:t>
      </w:r>
      <w:r w:rsidRPr="00785790">
        <w:rPr>
          <w:color w:val="000000"/>
          <w:sz w:val="24"/>
          <w:szCs w:val="24"/>
        </w:rPr>
        <w:t xml:space="preserve"> trilha do colonialismo, </w:t>
      </w:r>
      <w:r w:rsidRPr="00785790">
        <w:rPr>
          <w:sz w:val="24"/>
          <w:szCs w:val="24"/>
        </w:rPr>
        <w:t xml:space="preserve">as economias da região latino-americana e caribenha reatualizaram a sua inserção subordinada na nova divisão internacional do trabalho, agudizando o caráter extrativista </w:t>
      </w:r>
      <w:r>
        <w:rPr>
          <w:sz w:val="24"/>
          <w:szCs w:val="24"/>
        </w:rPr>
        <w:t xml:space="preserve">e </w:t>
      </w:r>
      <w:r w:rsidRPr="00785790">
        <w:rPr>
          <w:sz w:val="24"/>
          <w:szCs w:val="24"/>
        </w:rPr>
        <w:t>a histórica vocação primário-exportadora, especializando-se na exportação de commodities minerais e agrícolas</w:t>
      </w:r>
      <w:r>
        <w:rPr>
          <w:sz w:val="24"/>
          <w:szCs w:val="24"/>
        </w:rPr>
        <w:t xml:space="preserve"> </w:t>
      </w:r>
      <w:r w:rsidRPr="00B825A6">
        <w:rPr>
          <w:sz w:val="24"/>
          <w:szCs w:val="24"/>
        </w:rPr>
        <w:t>(FUNDAÇÃO LUXEMBURGO, 2018).</w:t>
      </w:r>
      <w:r w:rsidRPr="001D32D0">
        <w:rPr>
          <w:sz w:val="24"/>
          <w:szCs w:val="24"/>
        </w:rPr>
        <w:t xml:space="preserve"> </w:t>
      </w:r>
      <w:r>
        <w:rPr>
          <w:sz w:val="24"/>
          <w:szCs w:val="24"/>
        </w:rPr>
        <w:t>A ampliação exponencial</w:t>
      </w:r>
      <w:r w:rsidRPr="001D32D0">
        <w:rPr>
          <w:sz w:val="24"/>
          <w:szCs w:val="24"/>
        </w:rPr>
        <w:t xml:space="preserve"> dos processos de grilagem</w:t>
      </w:r>
      <w:r>
        <w:rPr>
          <w:sz w:val="24"/>
          <w:szCs w:val="24"/>
        </w:rPr>
        <w:t xml:space="preserve"> e o</w:t>
      </w:r>
      <w:r w:rsidRPr="001D32D0">
        <w:rPr>
          <w:sz w:val="24"/>
          <w:szCs w:val="24"/>
        </w:rPr>
        <w:t xml:space="preserve"> assassinato de lideranças indígenas e de militantes de movimentos sociais do campo</w:t>
      </w:r>
      <w:r>
        <w:rPr>
          <w:sz w:val="24"/>
          <w:szCs w:val="24"/>
        </w:rPr>
        <w:t>, num contexto de</w:t>
      </w:r>
      <w:r w:rsidRPr="001D32D0">
        <w:rPr>
          <w:sz w:val="24"/>
          <w:szCs w:val="24"/>
        </w:rPr>
        <w:t xml:space="preserve"> aumento dos conflitos vinculados à terra; não são fatos fortuitos e/ou isolados, mas profundamente vinculados a </w:t>
      </w:r>
      <w:r w:rsidRPr="001D32D0">
        <w:rPr>
          <w:sz w:val="24"/>
          <w:szCs w:val="24"/>
        </w:rPr>
        <w:lastRenderedPageBreak/>
        <w:t xml:space="preserve">interesses do capital transnacional e das burguesias agrárias nacionais, na busca violenta de novas brechas para a exploração de minérios e avanço do agronegócio. </w:t>
      </w:r>
    </w:p>
    <w:p w14:paraId="5F93A5E5" w14:textId="77777777" w:rsidR="000318F5" w:rsidRDefault="000318F5" w:rsidP="000318F5">
      <w:pPr>
        <w:spacing w:line="360" w:lineRule="auto"/>
        <w:ind w:firstLine="720"/>
        <w:jc w:val="both"/>
        <w:rPr>
          <w:sz w:val="24"/>
          <w:szCs w:val="24"/>
        </w:rPr>
      </w:pPr>
      <w:r w:rsidRPr="000B3463">
        <w:rPr>
          <w:sz w:val="24"/>
          <w:szCs w:val="24"/>
        </w:rPr>
        <w:t>Com base na mesma lógica, o assalto à biodiversidade das selvas e florestas e dos conhecimentos dos povos originários em território latino-americano</w:t>
      </w:r>
      <w:r>
        <w:rPr>
          <w:sz w:val="24"/>
          <w:szCs w:val="24"/>
        </w:rPr>
        <w:t xml:space="preserve"> e caribenho</w:t>
      </w:r>
      <w:r w:rsidRPr="000B3463">
        <w:rPr>
          <w:sz w:val="24"/>
          <w:szCs w:val="24"/>
        </w:rPr>
        <w:t>, tem como sobrenomes grandes conglomerados multinacionais, que avançam na usurpação dos nossos recursos naturais e do nosso conhecimento tradicional, por meio da biopirataria e apropriação de patentes genéticas</w:t>
      </w:r>
      <w:r>
        <w:rPr>
          <w:sz w:val="24"/>
          <w:szCs w:val="24"/>
        </w:rPr>
        <w:t>.</w:t>
      </w:r>
      <w:r w:rsidRPr="000B3463">
        <w:rPr>
          <w:sz w:val="24"/>
          <w:szCs w:val="24"/>
        </w:rPr>
        <w:t xml:space="preserve"> </w:t>
      </w:r>
      <w:r w:rsidRPr="00567B6F">
        <w:rPr>
          <w:sz w:val="24"/>
          <w:szCs w:val="24"/>
        </w:rPr>
        <w:t>Esses traços, junto ao avanço do capital financeiro sobre os fundos, bens e serviços públicos, caracterizam os novos contornos das expropriações e espoliações da forma de acumulação do capital na contemporaneidade (HARVEY, 2005).</w:t>
      </w:r>
    </w:p>
    <w:p w14:paraId="3E50215A" w14:textId="77777777" w:rsidR="000318F5" w:rsidRDefault="000318F5" w:rsidP="000318F5">
      <w:pPr>
        <w:spacing w:line="360" w:lineRule="auto"/>
        <w:ind w:firstLine="708"/>
        <w:jc w:val="both"/>
        <w:rPr>
          <w:sz w:val="24"/>
          <w:szCs w:val="24"/>
        </w:rPr>
      </w:pPr>
      <w:r>
        <w:rPr>
          <w:sz w:val="24"/>
          <w:szCs w:val="24"/>
        </w:rPr>
        <w:t xml:space="preserve">Nesse sentido, o campo de destituições precisa ser compreendido no contexto das transformações que se pretendem e estão em curso, e que dizem respeito à apropriação </w:t>
      </w:r>
      <w:r>
        <w:rPr>
          <w:sz w:val="24"/>
          <w:szCs w:val="24"/>
          <w:highlight w:val="white"/>
        </w:rPr>
        <w:t xml:space="preserve">do fundo público com vistas a atender aos interesses do capital rentista. </w:t>
      </w:r>
      <w:r>
        <w:rPr>
          <w:sz w:val="24"/>
          <w:szCs w:val="24"/>
        </w:rPr>
        <w:t xml:space="preserve">  O discurso de redução do Estado, que ficou restrito, na prática, à contenção do gasto social, em países campeões de déficit social, significou uma mudança na lógica da provisão dos serviços sociais, erodindo o sentido de responsabilidade pública com relação à proteção social. A tendência de desmonte dos serviços públicos objetivou a privatização de tudo que era rentável para o capital, ampliando os espaços de acumulação. Concomitantemente, a tendência de focalização de programas e serviços sociais para segmentos da população denominados pelos organismos internacionais como </w:t>
      </w:r>
      <w:r>
        <w:rPr>
          <w:i/>
          <w:sz w:val="24"/>
          <w:szCs w:val="24"/>
        </w:rPr>
        <w:t>grupos em situação de risco social e/ou em vulnerabilidade social,</w:t>
      </w:r>
      <w:r>
        <w:rPr>
          <w:sz w:val="24"/>
          <w:szCs w:val="24"/>
        </w:rPr>
        <w:t xml:space="preserve"> operou de forma fragmentada e dispersa, ao mesmo tempo em que o abandono detectado nos serviços públicos reforçava o velho e conhecido princípio de serviços de baixa qualidade para cidadãos de segunda classe. </w:t>
      </w:r>
    </w:p>
    <w:p w14:paraId="231C4766" w14:textId="77777777" w:rsidR="000318F5" w:rsidRPr="00862C39" w:rsidRDefault="000318F5" w:rsidP="000318F5">
      <w:pPr>
        <w:spacing w:line="360" w:lineRule="auto"/>
        <w:ind w:firstLine="720"/>
        <w:jc w:val="both"/>
        <w:rPr>
          <w:rFonts w:eastAsia="Times New Roman"/>
          <w:bCs/>
          <w:sz w:val="24"/>
          <w:szCs w:val="24"/>
        </w:rPr>
      </w:pPr>
      <w:r>
        <w:rPr>
          <w:rFonts w:eastAsia="Times New Roman"/>
          <w:bCs/>
          <w:sz w:val="24"/>
          <w:szCs w:val="24"/>
        </w:rPr>
        <w:t>Assim, o</w:t>
      </w:r>
      <w:r w:rsidRPr="004961D2">
        <w:rPr>
          <w:rFonts w:eastAsia="Times New Roman"/>
          <w:bCs/>
          <w:sz w:val="24"/>
          <w:szCs w:val="24"/>
        </w:rPr>
        <w:t xml:space="preserve"> Estado, comprovando seu caráter subordinado aos interesses do capital, </w:t>
      </w:r>
      <w:r>
        <w:rPr>
          <w:rFonts w:eastAsia="Times New Roman"/>
          <w:bCs/>
          <w:sz w:val="24"/>
          <w:szCs w:val="24"/>
        </w:rPr>
        <w:t xml:space="preserve">promove processos de contrarreformas que </w:t>
      </w:r>
      <w:r w:rsidRPr="00AD4816">
        <w:rPr>
          <w:sz w:val="24"/>
          <w:szCs w:val="24"/>
          <w:highlight w:val="white"/>
        </w:rPr>
        <w:t>intensifica</w:t>
      </w:r>
      <w:r>
        <w:rPr>
          <w:sz w:val="24"/>
          <w:szCs w:val="24"/>
          <w:highlight w:val="white"/>
        </w:rPr>
        <w:t>m</w:t>
      </w:r>
      <w:r w:rsidRPr="00AD4816">
        <w:rPr>
          <w:sz w:val="24"/>
          <w:szCs w:val="24"/>
          <w:highlight w:val="white"/>
        </w:rPr>
        <w:t xml:space="preserve"> as formas de exploração do trabalho</w:t>
      </w:r>
      <w:r>
        <w:rPr>
          <w:rFonts w:eastAsia="Times New Roman"/>
          <w:bCs/>
          <w:sz w:val="24"/>
          <w:szCs w:val="24"/>
        </w:rPr>
        <w:t xml:space="preserve"> e a mercantilização das políticas sociais, </w:t>
      </w:r>
      <w:r w:rsidRPr="004961D2">
        <w:rPr>
          <w:rFonts w:eastAsia="Times New Roman"/>
          <w:bCs/>
          <w:sz w:val="24"/>
          <w:szCs w:val="24"/>
        </w:rPr>
        <w:t>relegando</w:t>
      </w:r>
      <w:r>
        <w:rPr>
          <w:rFonts w:eastAsia="Times New Roman"/>
          <w:bCs/>
          <w:sz w:val="24"/>
          <w:szCs w:val="24"/>
        </w:rPr>
        <w:t>,</w:t>
      </w:r>
      <w:r w:rsidRPr="004961D2">
        <w:rPr>
          <w:rFonts w:eastAsia="Times New Roman"/>
          <w:bCs/>
          <w:sz w:val="24"/>
          <w:szCs w:val="24"/>
        </w:rPr>
        <w:t xml:space="preserve"> cada vez mais</w:t>
      </w:r>
      <w:r>
        <w:rPr>
          <w:rFonts w:eastAsia="Times New Roman"/>
          <w:bCs/>
          <w:sz w:val="24"/>
          <w:szCs w:val="24"/>
        </w:rPr>
        <w:t>,</w:t>
      </w:r>
      <w:r w:rsidRPr="004961D2">
        <w:rPr>
          <w:rFonts w:eastAsia="Times New Roman"/>
          <w:bCs/>
          <w:sz w:val="24"/>
          <w:szCs w:val="24"/>
        </w:rPr>
        <w:t xml:space="preserve"> a reprodução social para a própria classe trabalhadora</w:t>
      </w:r>
      <w:r>
        <w:rPr>
          <w:rFonts w:eastAsia="Times New Roman"/>
          <w:bCs/>
          <w:sz w:val="24"/>
          <w:szCs w:val="24"/>
        </w:rPr>
        <w:t xml:space="preserve">, e, provocando </w:t>
      </w:r>
      <w:r w:rsidRPr="00AD4816">
        <w:rPr>
          <w:sz w:val="24"/>
          <w:szCs w:val="24"/>
          <w:highlight w:val="white"/>
        </w:rPr>
        <w:t xml:space="preserve">a </w:t>
      </w:r>
      <w:r w:rsidRPr="00AD4816">
        <w:rPr>
          <w:sz w:val="24"/>
          <w:szCs w:val="24"/>
          <w:highlight w:val="white"/>
        </w:rPr>
        <w:lastRenderedPageBreak/>
        <w:t xml:space="preserve">conversão desenfreada de todo e qualquer poro da vida social em fonte de valorização do capital financeiro. </w:t>
      </w:r>
      <w:r>
        <w:rPr>
          <w:sz w:val="24"/>
          <w:szCs w:val="24"/>
        </w:rPr>
        <w:t>E</w:t>
      </w:r>
      <w:r w:rsidRPr="00D3255D">
        <w:rPr>
          <w:sz w:val="24"/>
          <w:szCs w:val="24"/>
        </w:rPr>
        <w:t xml:space="preserve">m face dessa dinâmica, a restauração capitalista, </w:t>
      </w:r>
      <w:r>
        <w:rPr>
          <w:sz w:val="24"/>
          <w:szCs w:val="24"/>
        </w:rPr>
        <w:t>na América Latina e no Caribe</w:t>
      </w:r>
      <w:r w:rsidRPr="00D3255D">
        <w:rPr>
          <w:sz w:val="24"/>
          <w:szCs w:val="24"/>
        </w:rPr>
        <w:t>, se evidencia pela agudização da superexploração da força de trabalho e das formas de dominação do trabalho reprodutivo</w:t>
      </w:r>
      <w:r>
        <w:rPr>
          <w:sz w:val="24"/>
          <w:szCs w:val="24"/>
        </w:rPr>
        <w:t xml:space="preserve"> e pela</w:t>
      </w:r>
      <w:r w:rsidRPr="00D3255D">
        <w:rPr>
          <w:sz w:val="24"/>
          <w:szCs w:val="24"/>
        </w:rPr>
        <w:t xml:space="preserve"> configuração dos sistemas de proteção social, sob o primado da sua focalização, em detrimento do princípio da universalidade dos direitos sociais</w:t>
      </w:r>
      <w:r>
        <w:rPr>
          <w:sz w:val="24"/>
          <w:szCs w:val="24"/>
        </w:rPr>
        <w:t>.</w:t>
      </w:r>
    </w:p>
    <w:p w14:paraId="0EEBD565" w14:textId="77777777" w:rsidR="000318F5" w:rsidRPr="00B9110B" w:rsidRDefault="000318F5" w:rsidP="000318F5">
      <w:pPr>
        <w:spacing w:line="360" w:lineRule="auto"/>
        <w:ind w:firstLine="708"/>
        <w:jc w:val="both"/>
        <w:rPr>
          <w:color w:val="000000"/>
          <w:sz w:val="24"/>
          <w:szCs w:val="24"/>
        </w:rPr>
      </w:pPr>
      <w:r w:rsidRPr="003B60DF">
        <w:rPr>
          <w:sz w:val="24"/>
          <w:szCs w:val="24"/>
        </w:rPr>
        <w:t>Os Programas de Transferências Monetárias nascem nesse cenário, surgem sob os influxos dos organismos internacionais (BID, Banco Mundial), no contexto dos processos de neoliberalização na fase contemporânea do capitalismo, que agudizaram as desigualdades estruturais e agravaram as condições de trabalho, de vida e de reprodução social das amplas maiorias dos segmentos da classe trabalhadora. E nesse âmbito incidiram na reconfiguração da proteção social, sob a diretriz da focalização em contraposição à perspectiva de universalização.</w:t>
      </w:r>
      <w:r>
        <w:rPr>
          <w:sz w:val="24"/>
          <w:szCs w:val="24"/>
        </w:rPr>
        <w:t xml:space="preserve"> </w:t>
      </w:r>
      <w:r w:rsidRPr="00CC05B2">
        <w:rPr>
          <w:sz w:val="24"/>
          <w:szCs w:val="24"/>
        </w:rPr>
        <w:t>Nesses termos, a implementação de transferências monetárias no campo da proteção social não contributiva na América Latina e no Caribe voltou-se, de forma preponderante, sob a diretriz neoliberal de focalização do gasto social na extrema pobreza</w:t>
      </w:r>
      <w:r>
        <w:rPr>
          <w:sz w:val="24"/>
          <w:szCs w:val="24"/>
        </w:rPr>
        <w:t xml:space="preserve">. </w:t>
      </w:r>
      <w:r>
        <w:rPr>
          <w:color w:val="000000"/>
          <w:sz w:val="24"/>
          <w:szCs w:val="24"/>
        </w:rPr>
        <w:t>A pesquisa evidenciou que</w:t>
      </w:r>
      <w:r w:rsidRPr="00252A0C">
        <w:rPr>
          <w:color w:val="000000"/>
          <w:sz w:val="24"/>
          <w:szCs w:val="24"/>
        </w:rPr>
        <w:t xml:space="preserve"> 61,0% dos países </w:t>
      </w:r>
      <w:r>
        <w:rPr>
          <w:color w:val="000000"/>
          <w:sz w:val="24"/>
          <w:szCs w:val="24"/>
        </w:rPr>
        <w:t xml:space="preserve">da região </w:t>
      </w:r>
      <w:r w:rsidRPr="00252A0C">
        <w:rPr>
          <w:color w:val="000000"/>
          <w:sz w:val="24"/>
          <w:szCs w:val="24"/>
        </w:rPr>
        <w:t>já implementavam Programas de Transferência Monetária, de forma anterior à pandemia do COVID-19, alcançando a 90,5% dos países da América Latina e 30,0% dos países do Caribe.</w:t>
      </w:r>
      <w:r>
        <w:rPr>
          <w:color w:val="000000"/>
          <w:sz w:val="24"/>
          <w:szCs w:val="24"/>
        </w:rPr>
        <w:t xml:space="preserve"> Independentemente das particularidades históricas da constituição </w:t>
      </w:r>
      <w:r w:rsidRPr="00252A0C">
        <w:rPr>
          <w:color w:val="000000"/>
          <w:sz w:val="24"/>
          <w:szCs w:val="24"/>
        </w:rPr>
        <w:t>dos sistemas de proteção</w:t>
      </w:r>
      <w:r>
        <w:rPr>
          <w:color w:val="000000"/>
          <w:sz w:val="24"/>
          <w:szCs w:val="24"/>
        </w:rPr>
        <w:t xml:space="preserve"> e das refrações da questão social em cada país, os critérios de inclusão tenderam a combinar uma concepção monetarista de extrema pobreza e tipologias e/ou classificações de grupos em situação de vulnerabilidade social. Nesses termos, definem como potencial público das transferências monetárias famílias e indivíduos em situação de extrema pobreza, com presença de crianças e adolescentes, jovens, idosos, ou mulheres grávidas. </w:t>
      </w:r>
      <w:r>
        <w:rPr>
          <w:sz w:val="24"/>
          <w:szCs w:val="24"/>
        </w:rPr>
        <w:t>São p</w:t>
      </w:r>
      <w:r>
        <w:rPr>
          <w:color w:val="000000"/>
          <w:sz w:val="24"/>
          <w:szCs w:val="24"/>
        </w:rPr>
        <w:t xml:space="preserve">rogramas que </w:t>
      </w:r>
      <w:r>
        <w:rPr>
          <w:sz w:val="24"/>
          <w:szCs w:val="24"/>
        </w:rPr>
        <w:t>estabelecem,</w:t>
      </w:r>
      <w:r>
        <w:rPr>
          <w:color w:val="000000"/>
          <w:sz w:val="24"/>
          <w:szCs w:val="24"/>
        </w:rPr>
        <w:t xml:space="preserve"> ao mesmo tempo, um conjunto de condicionalidades, contrapartidas e/ou compromissos para as famílias, e, </w:t>
      </w:r>
      <w:r>
        <w:rPr>
          <w:sz w:val="24"/>
          <w:szCs w:val="24"/>
        </w:rPr>
        <w:t>em especial, para as mulheres</w:t>
      </w:r>
      <w:r>
        <w:rPr>
          <w:color w:val="000000"/>
          <w:sz w:val="24"/>
          <w:szCs w:val="24"/>
        </w:rPr>
        <w:t xml:space="preserve">, vinculados majoritariamente a educação e saúde, mas também, em muitos casos, a propostas para o fortalecimento da </w:t>
      </w:r>
      <w:r>
        <w:rPr>
          <w:color w:val="000000"/>
          <w:sz w:val="24"/>
          <w:szCs w:val="24"/>
        </w:rPr>
        <w:lastRenderedPageBreak/>
        <w:t>capacidade de poupança, a educação financeira, o acesso ao crédito e a inclusão bancária.</w:t>
      </w:r>
    </w:p>
    <w:p w14:paraId="08664628" w14:textId="77777777" w:rsidR="000318F5" w:rsidRDefault="000318F5" w:rsidP="000318F5">
      <w:pPr>
        <w:pBdr>
          <w:top w:val="nil"/>
          <w:left w:val="nil"/>
          <w:bottom w:val="nil"/>
          <w:right w:val="nil"/>
          <w:between w:val="nil"/>
        </w:pBdr>
        <w:spacing w:line="360" w:lineRule="auto"/>
        <w:ind w:firstLine="708"/>
        <w:jc w:val="both"/>
        <w:rPr>
          <w:sz w:val="24"/>
          <w:szCs w:val="24"/>
        </w:rPr>
      </w:pPr>
      <w:r>
        <w:rPr>
          <w:sz w:val="24"/>
          <w:szCs w:val="24"/>
        </w:rPr>
        <w:t>Nesse contexto, observa-se que as</w:t>
      </w:r>
      <w:r>
        <w:rPr>
          <w:sz w:val="24"/>
          <w:szCs w:val="24"/>
          <w:highlight w:val="white"/>
        </w:rPr>
        <w:t xml:space="preserve"> mulheres vêm sendo fortemente mais atingidas pelos desmontes neoliberais, uma vez que em economias periféricas, mantém-se o padrão de acumulação abaixo das necessidades vitais da classe trabalhadora. Assim, o trabalho reprodutivo não remunerado das mulheres realizado na esfera privada, atua suprimindo as necessidades não cobertas pela intervenção estatal em âmbito de políticas públicas, serviços e acesso à direitos</w:t>
      </w:r>
      <w:r>
        <w:rPr>
          <w:sz w:val="24"/>
          <w:szCs w:val="24"/>
        </w:rPr>
        <w:t xml:space="preserve"> (ARREGUI; SANTOS; FERREIRA, DIAS, 2023). </w:t>
      </w:r>
      <w:r w:rsidRPr="00B0731C">
        <w:rPr>
          <w:sz w:val="24"/>
          <w:szCs w:val="24"/>
        </w:rPr>
        <w:t xml:space="preserve">Essa é uma questão de extrema relevância, pois a centralidade do pagamento das prestações às mulheres, que pode parecer à primeira vista uma estratégia de fortalecimento, amplia a sobrecarga que estas já assumem no âmbito do trabalho reprodutivo não pago na esfera privada, desobrigando o Estado a instituir políticas de cuidado e de reprodução da força de trabalho financiadas pelo fundo público. </w:t>
      </w:r>
    </w:p>
    <w:p w14:paraId="569E246D" w14:textId="77777777" w:rsidR="000318F5" w:rsidRDefault="000318F5" w:rsidP="000318F5">
      <w:pPr>
        <w:spacing w:line="360" w:lineRule="auto"/>
        <w:ind w:firstLine="708"/>
        <w:jc w:val="both"/>
        <w:rPr>
          <w:sz w:val="24"/>
          <w:szCs w:val="24"/>
        </w:rPr>
      </w:pPr>
      <w:r>
        <w:rPr>
          <w:sz w:val="24"/>
          <w:szCs w:val="24"/>
        </w:rPr>
        <w:t>A</w:t>
      </w:r>
      <w:r w:rsidRPr="00CF3745">
        <w:rPr>
          <w:sz w:val="24"/>
          <w:szCs w:val="24"/>
        </w:rPr>
        <w:t xml:space="preserve"> </w:t>
      </w:r>
      <w:r>
        <w:rPr>
          <w:sz w:val="24"/>
          <w:szCs w:val="24"/>
        </w:rPr>
        <w:t>implementação dos Programas de Transferência Monetária</w:t>
      </w:r>
      <w:r w:rsidRPr="00CF3745">
        <w:rPr>
          <w:sz w:val="24"/>
          <w:szCs w:val="24"/>
        </w:rPr>
        <w:t xml:space="preserve"> e posterior ampliação como principal mecanismo</w:t>
      </w:r>
      <w:r>
        <w:rPr>
          <w:sz w:val="24"/>
          <w:szCs w:val="24"/>
        </w:rPr>
        <w:t xml:space="preserve">, </w:t>
      </w:r>
      <w:r w:rsidRPr="00CF3745">
        <w:rPr>
          <w:sz w:val="24"/>
          <w:szCs w:val="24"/>
        </w:rPr>
        <w:t>no contexto da pandemia</w:t>
      </w:r>
      <w:r>
        <w:rPr>
          <w:sz w:val="24"/>
          <w:szCs w:val="24"/>
        </w:rPr>
        <w:t>,</w:t>
      </w:r>
      <w:r w:rsidRPr="00CF3745">
        <w:rPr>
          <w:sz w:val="24"/>
          <w:szCs w:val="24"/>
        </w:rPr>
        <w:t xml:space="preserve"> permit</w:t>
      </w:r>
      <w:r>
        <w:rPr>
          <w:sz w:val="24"/>
          <w:szCs w:val="24"/>
        </w:rPr>
        <w:t>e</w:t>
      </w:r>
      <w:r w:rsidRPr="00CF3745">
        <w:rPr>
          <w:sz w:val="24"/>
          <w:szCs w:val="24"/>
        </w:rPr>
        <w:t xml:space="preserve"> desvendar a dinâmica e relação entre:</w:t>
      </w:r>
      <w:r>
        <w:rPr>
          <w:sz w:val="24"/>
          <w:szCs w:val="24"/>
        </w:rPr>
        <w:t xml:space="preserve"> </w:t>
      </w:r>
      <w:r w:rsidRPr="00E03C36">
        <w:rPr>
          <w:sz w:val="24"/>
          <w:szCs w:val="24"/>
        </w:rPr>
        <w:t>a ativação de respostas do capital às crises, que recriam as estratégias para contrarrestar a tendência de declínio da taxa de lucro;</w:t>
      </w:r>
      <w:r>
        <w:rPr>
          <w:sz w:val="24"/>
          <w:szCs w:val="24"/>
        </w:rPr>
        <w:t xml:space="preserve"> </w:t>
      </w:r>
      <w:r w:rsidRPr="00E03C36">
        <w:rPr>
          <w:sz w:val="24"/>
          <w:szCs w:val="24"/>
        </w:rPr>
        <w:t xml:space="preserve">a perpetuação e agudização das </w:t>
      </w:r>
      <w:r w:rsidRPr="00E03C36">
        <w:rPr>
          <w:sz w:val="24"/>
          <w:szCs w:val="24"/>
          <w:lang w:val="pt-PT"/>
        </w:rPr>
        <w:t xml:space="preserve">desigualdades estruturais, </w:t>
      </w:r>
      <w:r w:rsidRPr="00E03C36">
        <w:rPr>
          <w:sz w:val="24"/>
          <w:szCs w:val="24"/>
        </w:rPr>
        <w:t xml:space="preserve">que entrelaçam </w:t>
      </w:r>
      <w:r>
        <w:rPr>
          <w:sz w:val="24"/>
          <w:szCs w:val="24"/>
        </w:rPr>
        <w:t>as determinações</w:t>
      </w:r>
      <w:r w:rsidRPr="00E03C36">
        <w:rPr>
          <w:sz w:val="24"/>
          <w:szCs w:val="24"/>
        </w:rPr>
        <w:t xml:space="preserve"> de classe, raça, etnia e gênero;</w:t>
      </w:r>
      <w:r>
        <w:rPr>
          <w:sz w:val="24"/>
          <w:szCs w:val="24"/>
        </w:rPr>
        <w:t xml:space="preserve"> </w:t>
      </w:r>
      <w:r w:rsidRPr="00E03C36">
        <w:rPr>
          <w:sz w:val="24"/>
          <w:szCs w:val="24"/>
        </w:rPr>
        <w:t>e</w:t>
      </w:r>
      <w:r>
        <w:rPr>
          <w:sz w:val="24"/>
          <w:szCs w:val="24"/>
        </w:rPr>
        <w:t>,</w:t>
      </w:r>
      <w:r w:rsidRPr="00E03C36">
        <w:rPr>
          <w:sz w:val="24"/>
          <w:szCs w:val="24"/>
        </w:rPr>
        <w:t xml:space="preserve"> as inflexões provocadas no campo da proteção social, que se agudizam no contexto de neoliberalização e no avanço do conservadorismo em escala mundial.</w:t>
      </w:r>
    </w:p>
    <w:p w14:paraId="0BE856C6" w14:textId="77777777" w:rsidR="000318F5" w:rsidRDefault="000318F5" w:rsidP="000318F5">
      <w:pPr>
        <w:spacing w:line="360" w:lineRule="auto"/>
        <w:ind w:firstLine="708"/>
        <w:jc w:val="both"/>
        <w:rPr>
          <w:sz w:val="24"/>
          <w:szCs w:val="24"/>
        </w:rPr>
      </w:pPr>
      <w:r w:rsidRPr="0068408A">
        <w:rPr>
          <w:sz w:val="24"/>
          <w:szCs w:val="24"/>
        </w:rPr>
        <w:t>O agravamento das condições objetivas de existência da população latino-americana e caribenha, que já vinha se aprofundando em razão da agudização das múltiplas dimensões da crise do capital, se acirraram e se tornaram visíveis no contexto da pandemia da Covid-19</w:t>
      </w:r>
      <w:r>
        <w:rPr>
          <w:sz w:val="24"/>
          <w:szCs w:val="24"/>
        </w:rPr>
        <w:t xml:space="preserve">. Em 2021, entre </w:t>
      </w:r>
      <w:r w:rsidRPr="00CF3745">
        <w:rPr>
          <w:sz w:val="24"/>
          <w:szCs w:val="24"/>
        </w:rPr>
        <w:t xml:space="preserve">54% </w:t>
      </w:r>
      <w:r>
        <w:rPr>
          <w:sz w:val="24"/>
          <w:szCs w:val="24"/>
        </w:rPr>
        <w:t xml:space="preserve">e 70% </w:t>
      </w:r>
      <w:r w:rsidRPr="00CF3745">
        <w:rPr>
          <w:sz w:val="24"/>
          <w:szCs w:val="24"/>
        </w:rPr>
        <w:t>da população ocupada</w:t>
      </w:r>
      <w:r>
        <w:rPr>
          <w:sz w:val="24"/>
          <w:szCs w:val="24"/>
        </w:rPr>
        <w:t>,</w:t>
      </w:r>
      <w:r w:rsidRPr="00CF3745">
        <w:rPr>
          <w:sz w:val="24"/>
          <w:szCs w:val="24"/>
        </w:rPr>
        <w:t xml:space="preserve"> </w:t>
      </w:r>
      <w:r>
        <w:rPr>
          <w:sz w:val="24"/>
          <w:szCs w:val="24"/>
        </w:rPr>
        <w:t xml:space="preserve">na nossa região, </w:t>
      </w:r>
      <w:r w:rsidRPr="00CF3745">
        <w:rPr>
          <w:sz w:val="24"/>
          <w:szCs w:val="24"/>
        </w:rPr>
        <w:t>transitava nos universos de precarização do trabalho e informalidade, ating</w:t>
      </w:r>
      <w:r>
        <w:rPr>
          <w:sz w:val="24"/>
          <w:szCs w:val="24"/>
        </w:rPr>
        <w:t>indo</w:t>
      </w:r>
      <w:r w:rsidRPr="00CF3745">
        <w:rPr>
          <w:sz w:val="24"/>
          <w:szCs w:val="24"/>
        </w:rPr>
        <w:t xml:space="preserve"> sobretudo a população negra, indígena, as mulheres e os jovens</w:t>
      </w:r>
      <w:r>
        <w:rPr>
          <w:sz w:val="24"/>
          <w:szCs w:val="24"/>
        </w:rPr>
        <w:t xml:space="preserve"> (CEPAL, 2023)</w:t>
      </w:r>
      <w:r w:rsidRPr="00CF3745">
        <w:rPr>
          <w:sz w:val="24"/>
          <w:szCs w:val="24"/>
        </w:rPr>
        <w:t>. Os negros</w:t>
      </w:r>
      <w:r>
        <w:rPr>
          <w:sz w:val="24"/>
          <w:szCs w:val="24"/>
        </w:rPr>
        <w:t xml:space="preserve"> e</w:t>
      </w:r>
      <w:r w:rsidRPr="00CF3745">
        <w:rPr>
          <w:sz w:val="24"/>
          <w:szCs w:val="24"/>
        </w:rPr>
        <w:t xml:space="preserve"> as negras,</w:t>
      </w:r>
      <w:r>
        <w:rPr>
          <w:sz w:val="24"/>
          <w:szCs w:val="24"/>
        </w:rPr>
        <w:t xml:space="preserve"> </w:t>
      </w:r>
      <w:r w:rsidRPr="00CF3745">
        <w:rPr>
          <w:sz w:val="24"/>
          <w:szCs w:val="24"/>
        </w:rPr>
        <w:t>que representam</w:t>
      </w:r>
      <w:r>
        <w:rPr>
          <w:sz w:val="24"/>
          <w:szCs w:val="24"/>
        </w:rPr>
        <w:t xml:space="preserve">, mesmo de forma </w:t>
      </w:r>
      <w:r>
        <w:rPr>
          <w:sz w:val="24"/>
          <w:szCs w:val="24"/>
        </w:rPr>
        <w:lastRenderedPageBreak/>
        <w:t>subestimada,</w:t>
      </w:r>
      <w:r w:rsidRPr="00CF3745">
        <w:rPr>
          <w:sz w:val="24"/>
          <w:szCs w:val="24"/>
        </w:rPr>
        <w:t xml:space="preserve"> um terço do total da população do continente latino-americano e caribenho</w:t>
      </w:r>
      <w:r w:rsidRPr="00CF3745">
        <w:rPr>
          <w:sz w:val="24"/>
          <w:szCs w:val="24"/>
          <w:vertAlign w:val="superscript"/>
        </w:rPr>
        <w:t xml:space="preserve">, </w:t>
      </w:r>
      <w:r w:rsidRPr="00CF3745">
        <w:rPr>
          <w:sz w:val="24"/>
          <w:szCs w:val="24"/>
        </w:rPr>
        <w:t>concentram mais da metade do total de pessoas em situação de pobreza, com incidências superiores em termos do desemprego e do trabalho informal.</w:t>
      </w:r>
      <w:r>
        <w:rPr>
          <w:sz w:val="24"/>
          <w:szCs w:val="24"/>
        </w:rPr>
        <w:t xml:space="preserve"> </w:t>
      </w:r>
      <w:r w:rsidRPr="00CF3745">
        <w:rPr>
          <w:sz w:val="24"/>
          <w:szCs w:val="24"/>
        </w:rPr>
        <w:t>A pobreza é o dobro e a extrema pobreza é três vezes maior na população indígena</w:t>
      </w:r>
      <w:r>
        <w:rPr>
          <w:sz w:val="24"/>
          <w:szCs w:val="24"/>
        </w:rPr>
        <w:t xml:space="preserve"> e,</w:t>
      </w:r>
      <w:r w:rsidRPr="00CF3745">
        <w:rPr>
          <w:sz w:val="24"/>
          <w:szCs w:val="24"/>
        </w:rPr>
        <w:t xml:space="preserve"> os principais movimentos de migração em situação irregular, na região, possuem altíssima incidência de população em situação de pobreza, que se agudiza nos contextos de migração forçada decorrente de conflitos armados, violações massivas aos direitos humanos e de desastres naturais, que afetam particularmente, além de México e Colômbia, vários países da América Central e do Caribe</w:t>
      </w:r>
      <w:r w:rsidRPr="0073248C">
        <w:rPr>
          <w:sz w:val="24"/>
          <w:szCs w:val="24"/>
        </w:rPr>
        <w:t xml:space="preserve"> </w:t>
      </w:r>
      <w:r>
        <w:rPr>
          <w:sz w:val="24"/>
          <w:szCs w:val="24"/>
        </w:rPr>
        <w:t>(</w:t>
      </w:r>
      <w:r w:rsidRPr="00F16E97">
        <w:rPr>
          <w:sz w:val="24"/>
          <w:szCs w:val="24"/>
        </w:rPr>
        <w:t>CIDH/OEA, 2017</w:t>
      </w:r>
      <w:r>
        <w:rPr>
          <w:sz w:val="24"/>
          <w:szCs w:val="24"/>
        </w:rPr>
        <w:t>).</w:t>
      </w:r>
    </w:p>
    <w:p w14:paraId="6B558FFE" w14:textId="77777777" w:rsidR="000318F5" w:rsidRPr="003334D6" w:rsidRDefault="000318F5" w:rsidP="000318F5">
      <w:pPr>
        <w:spacing w:line="360" w:lineRule="auto"/>
        <w:ind w:firstLine="708"/>
        <w:jc w:val="both"/>
        <w:rPr>
          <w:sz w:val="24"/>
          <w:szCs w:val="24"/>
        </w:rPr>
      </w:pPr>
      <w:r w:rsidRPr="00B0731C">
        <w:rPr>
          <w:sz w:val="24"/>
          <w:szCs w:val="24"/>
        </w:rPr>
        <w:t>A</w:t>
      </w:r>
      <w:r>
        <w:rPr>
          <w:sz w:val="24"/>
          <w:szCs w:val="24"/>
        </w:rPr>
        <w:t>ssim, a</w:t>
      </w:r>
      <w:r w:rsidRPr="00B0731C">
        <w:rPr>
          <w:sz w:val="24"/>
          <w:szCs w:val="24"/>
        </w:rPr>
        <w:t xml:space="preserve"> pandemia não só aprofundou e multiplicou a crise em curso na </w:t>
      </w:r>
      <w:r>
        <w:rPr>
          <w:sz w:val="24"/>
          <w:szCs w:val="24"/>
        </w:rPr>
        <w:t>América Latina e no Caribe</w:t>
      </w:r>
      <w:r w:rsidRPr="00B0731C">
        <w:rPr>
          <w:sz w:val="24"/>
          <w:szCs w:val="24"/>
        </w:rPr>
        <w:t>, como também, deu visibilidade à matriz estrutural de desigualdade, configurada por um conjunto de dimensões de classe, gênero, étnico-raciais, evidenciando o caráter restritivo e seletivo da diretriz neoliberal de focalização da proteção social não contributiva e, particularmente, dos P</w:t>
      </w:r>
      <w:r>
        <w:rPr>
          <w:sz w:val="24"/>
          <w:szCs w:val="24"/>
        </w:rPr>
        <w:t xml:space="preserve">rogramas de </w:t>
      </w:r>
      <w:r w:rsidRPr="00B0731C">
        <w:rPr>
          <w:sz w:val="24"/>
          <w:szCs w:val="24"/>
        </w:rPr>
        <w:t>T</w:t>
      </w:r>
      <w:r>
        <w:rPr>
          <w:sz w:val="24"/>
          <w:szCs w:val="24"/>
        </w:rPr>
        <w:t xml:space="preserve">ransferência </w:t>
      </w:r>
      <w:r w:rsidRPr="00B0731C">
        <w:rPr>
          <w:sz w:val="24"/>
          <w:szCs w:val="24"/>
        </w:rPr>
        <w:t>M</w:t>
      </w:r>
      <w:r>
        <w:rPr>
          <w:sz w:val="24"/>
          <w:szCs w:val="24"/>
        </w:rPr>
        <w:t>onetária</w:t>
      </w:r>
      <w:r w:rsidRPr="00B0731C">
        <w:rPr>
          <w:sz w:val="24"/>
          <w:szCs w:val="24"/>
        </w:rPr>
        <w:t>.</w:t>
      </w:r>
      <w:r>
        <w:rPr>
          <w:sz w:val="24"/>
          <w:szCs w:val="24"/>
        </w:rPr>
        <w:t xml:space="preserve"> Traços que ficam evidenciados, quando se observa que</w:t>
      </w:r>
      <w:r w:rsidRPr="003334D6">
        <w:rPr>
          <w:sz w:val="24"/>
          <w:szCs w:val="24"/>
        </w:rPr>
        <w:t xml:space="preserve"> os novos programas </w:t>
      </w:r>
      <w:r>
        <w:rPr>
          <w:sz w:val="24"/>
          <w:szCs w:val="24"/>
        </w:rPr>
        <w:t>e</w:t>
      </w:r>
      <w:r w:rsidRPr="003334D6">
        <w:rPr>
          <w:sz w:val="24"/>
          <w:szCs w:val="24"/>
        </w:rPr>
        <w:t xml:space="preserve"> medidas implementados no contexto da COVID-19 estiveram dirigidos</w:t>
      </w:r>
      <w:r>
        <w:rPr>
          <w:sz w:val="24"/>
          <w:szCs w:val="24"/>
        </w:rPr>
        <w:t xml:space="preserve">, como potenciais públicos beneficiários, </w:t>
      </w:r>
      <w:r w:rsidRPr="00084AEF">
        <w:rPr>
          <w:sz w:val="24"/>
          <w:szCs w:val="24"/>
        </w:rPr>
        <w:t>a segmentos populacionais tradicionalmente associados aos PTM,</w:t>
      </w:r>
      <w:r>
        <w:rPr>
          <w:sz w:val="24"/>
          <w:szCs w:val="24"/>
        </w:rPr>
        <w:t xml:space="preserve"> e, sobretudo, </w:t>
      </w:r>
      <w:r w:rsidRPr="003334D6">
        <w:rPr>
          <w:sz w:val="24"/>
          <w:szCs w:val="24"/>
        </w:rPr>
        <w:t>a trabalhador</w:t>
      </w:r>
      <w:r>
        <w:rPr>
          <w:sz w:val="24"/>
          <w:szCs w:val="24"/>
        </w:rPr>
        <w:t>as(es)</w:t>
      </w:r>
      <w:r w:rsidRPr="003334D6">
        <w:rPr>
          <w:sz w:val="24"/>
          <w:szCs w:val="24"/>
        </w:rPr>
        <w:t xml:space="preserve"> informais, desempregad</w:t>
      </w:r>
      <w:r>
        <w:rPr>
          <w:sz w:val="24"/>
          <w:szCs w:val="24"/>
        </w:rPr>
        <w:t>as(os),</w:t>
      </w:r>
      <w:r w:rsidRPr="003334D6">
        <w:rPr>
          <w:sz w:val="24"/>
          <w:szCs w:val="24"/>
        </w:rPr>
        <w:t xml:space="preserve"> trabalhador</w:t>
      </w:r>
      <w:r>
        <w:rPr>
          <w:sz w:val="24"/>
          <w:szCs w:val="24"/>
        </w:rPr>
        <w:t>as(es)</w:t>
      </w:r>
      <w:r w:rsidRPr="003334D6">
        <w:rPr>
          <w:sz w:val="24"/>
          <w:szCs w:val="24"/>
        </w:rPr>
        <w:t>com contrato suspenso, com redução de jornada de trabalho, microempreendedores, trabalhador</w:t>
      </w:r>
      <w:r>
        <w:rPr>
          <w:sz w:val="24"/>
          <w:szCs w:val="24"/>
        </w:rPr>
        <w:t>as(es)</w:t>
      </w:r>
      <w:r w:rsidRPr="003334D6">
        <w:rPr>
          <w:sz w:val="24"/>
          <w:szCs w:val="24"/>
        </w:rPr>
        <w:t xml:space="preserve"> sazonais e/ou pequenos produtores/pescadores artesanais. Assim mesmo, o caráter estrutural da precarização dos universos do trabalho, ficou expresso quando também foram detectadas diversas medidas direcionadas para trabalhador</w:t>
      </w:r>
      <w:r>
        <w:rPr>
          <w:sz w:val="24"/>
          <w:szCs w:val="24"/>
        </w:rPr>
        <w:t>as(</w:t>
      </w:r>
      <w:r w:rsidRPr="003334D6">
        <w:rPr>
          <w:sz w:val="24"/>
          <w:szCs w:val="24"/>
        </w:rPr>
        <w:t>es</w:t>
      </w:r>
      <w:r>
        <w:rPr>
          <w:sz w:val="24"/>
          <w:szCs w:val="24"/>
        </w:rPr>
        <w:t>)</w:t>
      </w:r>
      <w:r w:rsidRPr="003334D6">
        <w:rPr>
          <w:sz w:val="24"/>
          <w:szCs w:val="24"/>
        </w:rPr>
        <w:t xml:space="preserve"> formais, na modalidade de auxílios universais, e para beneficiários dos regimes de aposentadorias e pensões. Dessa forma, as respostas dos países frente à pandemia expressam os níveis e traços históricos de precarização do trabalho, desemprego, desigualdade estrutural e pobreza da América Latina e Caribe</w:t>
      </w:r>
      <w:r>
        <w:rPr>
          <w:sz w:val="24"/>
          <w:szCs w:val="24"/>
        </w:rPr>
        <w:t>.</w:t>
      </w:r>
    </w:p>
    <w:p w14:paraId="4C81E79A" w14:textId="77777777" w:rsidR="000318F5" w:rsidRPr="00E03C36" w:rsidRDefault="000318F5" w:rsidP="000318F5">
      <w:pPr>
        <w:spacing w:line="360" w:lineRule="auto"/>
        <w:ind w:firstLine="720"/>
        <w:jc w:val="both"/>
        <w:rPr>
          <w:sz w:val="24"/>
          <w:szCs w:val="24"/>
        </w:rPr>
      </w:pPr>
      <w:r w:rsidRPr="003C64ED">
        <w:rPr>
          <w:sz w:val="24"/>
          <w:szCs w:val="24"/>
        </w:rPr>
        <w:lastRenderedPageBreak/>
        <w:t>Enquanto o quadro marcado pela precarização do trabalho e por baixos salários, consagra um verdadeiro estrangulamento das possibilidades de reprodução da vida na América Latina e o Caribe, a</w:t>
      </w:r>
      <w:r w:rsidRPr="003C64ED">
        <w:rPr>
          <w:sz w:val="24"/>
          <w:szCs w:val="24"/>
          <w:highlight w:val="white"/>
        </w:rPr>
        <w:t xml:space="preserve"> preponderância de mulheres, negros, povos originários e imigrantes nos indicadores de pobreza, de desemprego e de precarização do trabalho nomeiam as opressões de raça, classe e gênero, que reatualizam os traços colonialistas da dinâmica do capital no continente no século XXI.</w:t>
      </w:r>
    </w:p>
    <w:p w14:paraId="2E9EE12D" w14:textId="77777777" w:rsidR="000318F5" w:rsidRDefault="000318F5" w:rsidP="000318F5">
      <w:pPr>
        <w:spacing w:line="360" w:lineRule="auto"/>
        <w:ind w:firstLine="708"/>
        <w:jc w:val="both"/>
        <w:rPr>
          <w:sz w:val="24"/>
          <w:szCs w:val="24"/>
        </w:rPr>
      </w:pPr>
      <w:r>
        <w:rPr>
          <w:sz w:val="24"/>
          <w:szCs w:val="24"/>
        </w:rPr>
        <w:t>Trata-se, portanto, de um</w:t>
      </w:r>
      <w:r w:rsidRPr="00CF3745">
        <w:rPr>
          <w:sz w:val="24"/>
          <w:szCs w:val="24"/>
        </w:rPr>
        <w:t xml:space="preserve"> dinâmica que explicit</w:t>
      </w:r>
      <w:r>
        <w:rPr>
          <w:sz w:val="24"/>
          <w:szCs w:val="24"/>
        </w:rPr>
        <w:t>a</w:t>
      </w:r>
      <w:r w:rsidRPr="00CF3745">
        <w:rPr>
          <w:sz w:val="24"/>
          <w:szCs w:val="24"/>
        </w:rPr>
        <w:t xml:space="preserve"> a intrínseca relação entre capitalismo, colonialismo e racismo,</w:t>
      </w:r>
      <w:r>
        <w:rPr>
          <w:sz w:val="24"/>
          <w:szCs w:val="24"/>
        </w:rPr>
        <w:t xml:space="preserve"> e, que reedita e agudiza um</w:t>
      </w:r>
      <w:r w:rsidRPr="00FD6313">
        <w:rPr>
          <w:sz w:val="24"/>
          <w:szCs w:val="24"/>
        </w:rPr>
        <w:t xml:space="preserve"> padrão generalizado de precarização, perpetuando as dinâmicas de superexploração do trabalho e da apropriação do trabalho reprodutivo das mulheres;</w:t>
      </w:r>
      <w:r>
        <w:rPr>
          <w:sz w:val="24"/>
          <w:szCs w:val="24"/>
        </w:rPr>
        <w:t xml:space="preserve"> um</w:t>
      </w:r>
      <w:r w:rsidRPr="00FD6313">
        <w:rPr>
          <w:sz w:val="24"/>
          <w:szCs w:val="24"/>
        </w:rPr>
        <w:t xml:space="preserve"> padrão de usurpação da terra e saqueio dos recursos naturais, dos bens e fundos públicos</w:t>
      </w:r>
      <w:r>
        <w:rPr>
          <w:sz w:val="24"/>
          <w:szCs w:val="24"/>
        </w:rPr>
        <w:t>, operando na agudização das expropriações e no desfinanciamento das políticas sociais</w:t>
      </w:r>
      <w:r w:rsidRPr="00FD6313">
        <w:rPr>
          <w:sz w:val="24"/>
          <w:szCs w:val="24"/>
        </w:rPr>
        <w:t>;</w:t>
      </w:r>
      <w:r>
        <w:rPr>
          <w:sz w:val="24"/>
          <w:szCs w:val="24"/>
        </w:rPr>
        <w:t xml:space="preserve"> e, um</w:t>
      </w:r>
      <w:r w:rsidRPr="00FD6313">
        <w:rPr>
          <w:sz w:val="24"/>
          <w:szCs w:val="24"/>
        </w:rPr>
        <w:t xml:space="preserve"> padrão de apagamento e invisibilização das determinações de classe, raça-etnia e gênero das refrações da questão social, esvazia</w:t>
      </w:r>
      <w:r>
        <w:rPr>
          <w:sz w:val="24"/>
          <w:szCs w:val="24"/>
        </w:rPr>
        <w:t>ndo</w:t>
      </w:r>
      <w:r w:rsidRPr="00FD6313">
        <w:rPr>
          <w:sz w:val="24"/>
          <w:szCs w:val="24"/>
        </w:rPr>
        <w:t xml:space="preserve"> a</w:t>
      </w:r>
      <w:r>
        <w:rPr>
          <w:sz w:val="24"/>
          <w:szCs w:val="24"/>
        </w:rPr>
        <w:t xml:space="preserve"> sua</w:t>
      </w:r>
      <w:r w:rsidRPr="00FD6313">
        <w:rPr>
          <w:sz w:val="24"/>
          <w:szCs w:val="24"/>
        </w:rPr>
        <w:t xml:space="preserve"> dimensão política</w:t>
      </w:r>
      <w:r>
        <w:rPr>
          <w:sz w:val="24"/>
          <w:szCs w:val="24"/>
        </w:rPr>
        <w:t xml:space="preserve"> (ARREGUI; SANTOS; FERREIRA; DIAS, 2023).</w:t>
      </w:r>
    </w:p>
    <w:p w14:paraId="20315A36" w14:textId="77777777" w:rsidR="000318F5" w:rsidRDefault="000318F5" w:rsidP="000318F5">
      <w:pPr>
        <w:spacing w:line="360" w:lineRule="auto"/>
        <w:jc w:val="both"/>
        <w:rPr>
          <w:sz w:val="24"/>
          <w:szCs w:val="24"/>
        </w:rPr>
      </w:pPr>
    </w:p>
    <w:p w14:paraId="205E7B72" w14:textId="77777777" w:rsidR="000318F5" w:rsidRDefault="000318F5" w:rsidP="000318F5">
      <w:pPr>
        <w:spacing w:line="360" w:lineRule="auto"/>
        <w:jc w:val="both"/>
        <w:rPr>
          <w:b/>
          <w:sz w:val="24"/>
          <w:szCs w:val="24"/>
        </w:rPr>
      </w:pPr>
      <w:r>
        <w:rPr>
          <w:b/>
          <w:sz w:val="24"/>
          <w:szCs w:val="24"/>
        </w:rPr>
        <w:t>3</w:t>
      </w:r>
      <w:r>
        <w:rPr>
          <w:b/>
          <w:sz w:val="24"/>
          <w:szCs w:val="24"/>
        </w:rPr>
        <w:tab/>
        <w:t>CONCLUSÃO</w:t>
      </w:r>
    </w:p>
    <w:p w14:paraId="63B2963C" w14:textId="77777777" w:rsidR="000318F5" w:rsidRDefault="000318F5" w:rsidP="000318F5">
      <w:pPr>
        <w:spacing w:line="360" w:lineRule="auto"/>
        <w:jc w:val="both"/>
        <w:rPr>
          <w:sz w:val="24"/>
          <w:szCs w:val="24"/>
        </w:rPr>
      </w:pPr>
    </w:p>
    <w:p w14:paraId="553A631F" w14:textId="77777777" w:rsidR="000318F5" w:rsidRPr="00196D35" w:rsidRDefault="000318F5" w:rsidP="000318F5">
      <w:pPr>
        <w:spacing w:line="360" w:lineRule="auto"/>
        <w:ind w:firstLine="708"/>
        <w:jc w:val="both"/>
        <w:rPr>
          <w:sz w:val="24"/>
          <w:szCs w:val="24"/>
        </w:rPr>
      </w:pPr>
      <w:r w:rsidRPr="006B3638">
        <w:rPr>
          <w:sz w:val="24"/>
          <w:szCs w:val="24"/>
        </w:rPr>
        <w:t xml:space="preserve">A pandemia expôs </w:t>
      </w:r>
      <w:r>
        <w:rPr>
          <w:sz w:val="24"/>
          <w:szCs w:val="24"/>
        </w:rPr>
        <w:t>o</w:t>
      </w:r>
      <w:r w:rsidRPr="006B3638">
        <w:rPr>
          <w:sz w:val="24"/>
          <w:szCs w:val="24"/>
        </w:rPr>
        <w:t xml:space="preserve"> processo de crise estrutural </w:t>
      </w:r>
      <w:r>
        <w:rPr>
          <w:sz w:val="24"/>
          <w:szCs w:val="24"/>
        </w:rPr>
        <w:t>do</w:t>
      </w:r>
      <w:r w:rsidRPr="006B3638">
        <w:rPr>
          <w:sz w:val="24"/>
          <w:szCs w:val="24"/>
        </w:rPr>
        <w:t xml:space="preserve"> capita</w:t>
      </w:r>
      <w:r>
        <w:rPr>
          <w:sz w:val="24"/>
          <w:szCs w:val="24"/>
        </w:rPr>
        <w:t xml:space="preserve">l e o caráter predatório e destrutivo do sistema capitalista, </w:t>
      </w:r>
      <w:r w:rsidRPr="006B3638">
        <w:rPr>
          <w:sz w:val="24"/>
          <w:szCs w:val="24"/>
        </w:rPr>
        <w:t xml:space="preserve">que </w:t>
      </w:r>
      <w:r>
        <w:rPr>
          <w:sz w:val="24"/>
          <w:szCs w:val="24"/>
        </w:rPr>
        <w:t xml:space="preserve">assume dimensões catastróficas </w:t>
      </w:r>
      <w:r w:rsidRPr="006B3638">
        <w:rPr>
          <w:sz w:val="24"/>
          <w:szCs w:val="24"/>
        </w:rPr>
        <w:t xml:space="preserve">na América Latina e no Caribe, </w:t>
      </w:r>
      <w:r>
        <w:rPr>
          <w:sz w:val="24"/>
          <w:szCs w:val="24"/>
        </w:rPr>
        <w:t xml:space="preserve">ao impor, sob novas feições, a agudização das </w:t>
      </w:r>
      <w:r w:rsidRPr="006B3638">
        <w:rPr>
          <w:sz w:val="24"/>
          <w:szCs w:val="24"/>
        </w:rPr>
        <w:t xml:space="preserve">dinâmicas da estrutura histórica da desigualdade na região. </w:t>
      </w:r>
      <w:r>
        <w:rPr>
          <w:sz w:val="24"/>
          <w:szCs w:val="24"/>
        </w:rPr>
        <w:t>Buscou-se evidenciar que a emergência e implantação de Programas de Transferência Monetária na nossa região, c</w:t>
      </w:r>
      <w:r w:rsidRPr="00F8669F">
        <w:rPr>
          <w:sz w:val="24"/>
          <w:szCs w:val="24"/>
        </w:rPr>
        <w:t xml:space="preserve">omo é próprio da política social </w:t>
      </w:r>
      <w:r>
        <w:rPr>
          <w:sz w:val="24"/>
          <w:szCs w:val="24"/>
        </w:rPr>
        <w:t>em países do</w:t>
      </w:r>
      <w:r w:rsidRPr="00F8669F">
        <w:rPr>
          <w:sz w:val="24"/>
          <w:szCs w:val="24"/>
        </w:rPr>
        <w:t xml:space="preserve"> capitalismo dependente</w:t>
      </w:r>
      <w:r>
        <w:rPr>
          <w:sz w:val="24"/>
          <w:szCs w:val="24"/>
        </w:rPr>
        <w:t xml:space="preserve">, ocorre em meio às contradições que </w:t>
      </w:r>
      <w:r w:rsidRPr="00F8669F">
        <w:rPr>
          <w:sz w:val="24"/>
          <w:szCs w:val="24"/>
        </w:rPr>
        <w:t>reproduz</w:t>
      </w:r>
      <w:r>
        <w:rPr>
          <w:sz w:val="24"/>
          <w:szCs w:val="24"/>
        </w:rPr>
        <w:t>em</w:t>
      </w:r>
      <w:r w:rsidRPr="00F8669F">
        <w:rPr>
          <w:sz w:val="24"/>
          <w:szCs w:val="24"/>
        </w:rPr>
        <w:t xml:space="preserve"> sociabilidades funcionais ao capital</w:t>
      </w:r>
      <w:r>
        <w:rPr>
          <w:sz w:val="24"/>
          <w:szCs w:val="24"/>
        </w:rPr>
        <w:t xml:space="preserve">. Mas a catástrofe vira a reedição da barbárie colonial, quando observamos que a expansão das transferências monetárias durante uma pandemia, que paralisou o mundo, e, no contexto de um continente profundamente marcado </w:t>
      </w:r>
      <w:r w:rsidRPr="00196D35">
        <w:rPr>
          <w:sz w:val="24"/>
          <w:szCs w:val="24"/>
        </w:rPr>
        <w:lastRenderedPageBreak/>
        <w:t xml:space="preserve">pelo conjunto de expropriações, precarizações e espoliação, teve como principal tônica o caráter emergencial, restringindo a proteção social não contributiva a medidas pontuais limitadas </w:t>
      </w:r>
      <w:r>
        <w:rPr>
          <w:sz w:val="24"/>
          <w:szCs w:val="24"/>
        </w:rPr>
        <w:t xml:space="preserve">no tempo e </w:t>
      </w:r>
      <w:r w:rsidRPr="00196D35">
        <w:rPr>
          <w:sz w:val="24"/>
          <w:szCs w:val="24"/>
        </w:rPr>
        <w:t xml:space="preserve">na imediatez, sem abordar o contexto de precarização da vida, </w:t>
      </w:r>
      <w:r>
        <w:rPr>
          <w:sz w:val="24"/>
          <w:szCs w:val="24"/>
        </w:rPr>
        <w:t>nem</w:t>
      </w:r>
      <w:r w:rsidRPr="00196D35">
        <w:rPr>
          <w:sz w:val="24"/>
          <w:szCs w:val="24"/>
        </w:rPr>
        <w:t xml:space="preserve"> avançar na construção de garantias sociais que oper</w:t>
      </w:r>
      <w:r>
        <w:rPr>
          <w:sz w:val="24"/>
          <w:szCs w:val="24"/>
        </w:rPr>
        <w:t>assem</w:t>
      </w:r>
      <w:r w:rsidRPr="00196D35">
        <w:rPr>
          <w:sz w:val="24"/>
          <w:szCs w:val="24"/>
        </w:rPr>
        <w:t xml:space="preserve"> numa perspectiva de </w:t>
      </w:r>
      <w:r>
        <w:rPr>
          <w:sz w:val="24"/>
          <w:szCs w:val="24"/>
        </w:rPr>
        <w:t>direitos sociais.</w:t>
      </w:r>
    </w:p>
    <w:p w14:paraId="3BF9889C" w14:textId="77777777" w:rsidR="000318F5" w:rsidRPr="00084AEF" w:rsidRDefault="000318F5" w:rsidP="000318F5">
      <w:pPr>
        <w:spacing w:line="360" w:lineRule="auto"/>
        <w:ind w:firstLine="709"/>
        <w:jc w:val="both"/>
        <w:rPr>
          <w:sz w:val="24"/>
          <w:szCs w:val="24"/>
        </w:rPr>
      </w:pPr>
      <w:r w:rsidRPr="00084AEF">
        <w:rPr>
          <w:sz w:val="24"/>
          <w:szCs w:val="24"/>
        </w:rPr>
        <w:t xml:space="preserve">Uma outra questão relevante </w:t>
      </w:r>
      <w:r>
        <w:rPr>
          <w:sz w:val="24"/>
          <w:szCs w:val="24"/>
        </w:rPr>
        <w:t xml:space="preserve">como </w:t>
      </w:r>
      <w:r w:rsidRPr="00084AEF">
        <w:rPr>
          <w:sz w:val="24"/>
          <w:szCs w:val="24"/>
        </w:rPr>
        <w:t>é analisado por ARREGUI; SANTOS; FERREIRA; DIAS</w:t>
      </w:r>
      <w:r>
        <w:rPr>
          <w:sz w:val="24"/>
          <w:szCs w:val="24"/>
        </w:rPr>
        <w:t xml:space="preserve"> (</w:t>
      </w:r>
      <w:r w:rsidRPr="00084AEF">
        <w:rPr>
          <w:sz w:val="24"/>
          <w:szCs w:val="24"/>
        </w:rPr>
        <w:t>2023</w:t>
      </w:r>
      <w:r>
        <w:rPr>
          <w:sz w:val="24"/>
          <w:szCs w:val="24"/>
        </w:rPr>
        <w:t>, p. 153)</w:t>
      </w:r>
      <w:r w:rsidRPr="00196D35">
        <w:rPr>
          <w:sz w:val="24"/>
          <w:szCs w:val="24"/>
        </w:rPr>
        <w:t xml:space="preserve"> </w:t>
      </w:r>
      <w:r>
        <w:rPr>
          <w:sz w:val="24"/>
          <w:szCs w:val="24"/>
        </w:rPr>
        <w:t>o</w:t>
      </w:r>
      <w:r w:rsidRPr="00084AEF">
        <w:rPr>
          <w:sz w:val="24"/>
          <w:szCs w:val="24"/>
        </w:rPr>
        <w:t>s processos de bancarização compulsória dos benefícios de transferência monetária, antes, durante e após a pandemia precisam ser criticamente analisados</w:t>
      </w:r>
      <w:r>
        <w:rPr>
          <w:sz w:val="24"/>
          <w:szCs w:val="24"/>
        </w:rPr>
        <w:t>,</w:t>
      </w:r>
      <w:r w:rsidRPr="00084AEF">
        <w:rPr>
          <w:sz w:val="24"/>
          <w:szCs w:val="24"/>
        </w:rPr>
        <w:t xml:space="preserve"> nesse contexto, pois “servem como porta de entrada das camadas mais empobrecidas das classes trabalhadoras no circuito das finanças e do endividamento”</w:t>
      </w:r>
      <w:r>
        <w:rPr>
          <w:sz w:val="24"/>
          <w:szCs w:val="24"/>
        </w:rPr>
        <w:t>. Nesse contexto, a bancarização compulsória e o estímulo a programas de inclusão financeira, especialmente para as mulheres, estimulada e assumida de maneira cada vez mais explícita pelos organismos multilaterais, representa uma “</w:t>
      </w:r>
      <w:r w:rsidRPr="00084AEF">
        <w:rPr>
          <w:sz w:val="24"/>
          <w:szCs w:val="24"/>
        </w:rPr>
        <w:t>estratégia que se propõe a eliminar as barreiras que impedem a livre circulação e expansão do capital financeiro nos espaços mais recônditos do globo, servindo a uma lógica que coloca a financeirização como mediação primordial para a reprodução da vida e como tábua de salvação para o enfrentamento à pobreza”</w:t>
      </w:r>
      <w:r>
        <w:rPr>
          <w:sz w:val="24"/>
          <w:szCs w:val="24"/>
        </w:rPr>
        <w:t xml:space="preserve"> (Ibidem p.152)</w:t>
      </w:r>
      <w:r w:rsidRPr="00084AEF">
        <w:rPr>
          <w:sz w:val="24"/>
          <w:szCs w:val="24"/>
        </w:rPr>
        <w:t xml:space="preserve">. </w:t>
      </w:r>
    </w:p>
    <w:p w14:paraId="6EFA952C" w14:textId="77777777" w:rsidR="000318F5" w:rsidRDefault="000318F5" w:rsidP="000318F5">
      <w:pPr>
        <w:spacing w:line="360" w:lineRule="auto"/>
        <w:rPr>
          <w:b/>
          <w:sz w:val="24"/>
          <w:szCs w:val="24"/>
        </w:rPr>
      </w:pPr>
    </w:p>
    <w:p w14:paraId="1E39A449" w14:textId="77777777" w:rsidR="000318F5" w:rsidRPr="00CB33DD" w:rsidRDefault="000318F5" w:rsidP="000318F5">
      <w:pPr>
        <w:spacing w:line="360" w:lineRule="auto"/>
        <w:jc w:val="center"/>
        <w:rPr>
          <w:bCs/>
          <w:sz w:val="24"/>
          <w:szCs w:val="24"/>
        </w:rPr>
      </w:pPr>
      <w:r>
        <w:rPr>
          <w:b/>
          <w:sz w:val="24"/>
          <w:szCs w:val="24"/>
        </w:rPr>
        <w:t>REFERÊNCIAS</w:t>
      </w:r>
    </w:p>
    <w:p w14:paraId="24603C31" w14:textId="77777777" w:rsidR="000318F5" w:rsidRDefault="000318F5" w:rsidP="000318F5">
      <w:pPr>
        <w:spacing w:line="240" w:lineRule="auto"/>
        <w:jc w:val="both"/>
        <w:rPr>
          <w:sz w:val="24"/>
          <w:szCs w:val="24"/>
        </w:rPr>
      </w:pPr>
    </w:p>
    <w:p w14:paraId="1AF1FC12" w14:textId="77777777" w:rsidR="000318F5" w:rsidRPr="005E60AE" w:rsidRDefault="000318F5" w:rsidP="000318F5">
      <w:pPr>
        <w:spacing w:line="240" w:lineRule="auto"/>
        <w:jc w:val="both"/>
        <w:rPr>
          <w:sz w:val="24"/>
          <w:szCs w:val="24"/>
          <w:lang w:val="en-US"/>
        </w:rPr>
      </w:pPr>
      <w:r w:rsidRPr="00A12136">
        <w:rPr>
          <w:sz w:val="24"/>
          <w:szCs w:val="24"/>
        </w:rPr>
        <w:t xml:space="preserve">ARREGUI, Carola Carbajal; SANTOS, Aila Fernanda dos; FERREIRA, Camila Caroline de Oliveira; DIAS JUNIOR, Ubiratan de Souza. </w:t>
      </w:r>
      <w:r w:rsidRPr="00A12136">
        <w:rPr>
          <w:b/>
          <w:bCs/>
          <w:sz w:val="24"/>
          <w:szCs w:val="24"/>
        </w:rPr>
        <w:t>Vulnerabilidade social:</w:t>
      </w:r>
      <w:r w:rsidRPr="00A12136">
        <w:rPr>
          <w:sz w:val="24"/>
          <w:szCs w:val="24"/>
        </w:rPr>
        <w:t xml:space="preserve"> </w:t>
      </w:r>
      <w:r w:rsidRPr="00A12136">
        <w:rPr>
          <w:b/>
          <w:bCs/>
          <w:sz w:val="24"/>
          <w:szCs w:val="24"/>
        </w:rPr>
        <w:t>fundamentos teórico-metodológicos e implicações no campo da proteção</w:t>
      </w:r>
      <w:r w:rsidRPr="00A12136">
        <w:rPr>
          <w:sz w:val="24"/>
          <w:szCs w:val="24"/>
        </w:rPr>
        <w:t xml:space="preserve"> </w:t>
      </w:r>
      <w:r w:rsidRPr="00A12136">
        <w:rPr>
          <w:b/>
          <w:bCs/>
          <w:sz w:val="24"/>
          <w:szCs w:val="24"/>
        </w:rPr>
        <w:t>social</w:t>
      </w:r>
      <w:r w:rsidRPr="00A12136">
        <w:rPr>
          <w:sz w:val="24"/>
          <w:szCs w:val="24"/>
        </w:rPr>
        <w:t xml:space="preserve">. In: SILVA, Maria Ozanira da Silva; GONÇALVES, Cláudia Maria da Costa; FREITAS, Ana Teresa Silva; DESTERRO Rodrigo (org.). </w:t>
      </w:r>
      <w:r w:rsidRPr="005E60AE">
        <w:rPr>
          <w:b/>
          <w:bCs/>
          <w:sz w:val="24"/>
          <w:szCs w:val="24"/>
          <w:lang w:val="en-US"/>
        </w:rPr>
        <w:t>Vulnerabilidades sociais:</w:t>
      </w:r>
      <w:r w:rsidRPr="005E60AE">
        <w:rPr>
          <w:sz w:val="24"/>
          <w:szCs w:val="24"/>
          <w:lang w:val="en-US"/>
        </w:rPr>
        <w:t xml:space="preserve"> </w:t>
      </w:r>
      <w:r w:rsidRPr="005E60AE">
        <w:rPr>
          <w:b/>
          <w:bCs/>
          <w:sz w:val="24"/>
          <w:szCs w:val="24"/>
          <w:lang w:val="en-US"/>
        </w:rPr>
        <w:t xml:space="preserve">direitos negados. </w:t>
      </w:r>
      <w:r w:rsidRPr="005E60AE">
        <w:rPr>
          <w:sz w:val="24"/>
          <w:szCs w:val="24"/>
          <w:lang w:val="en-US"/>
        </w:rPr>
        <w:t>Curitiba: CRV, 2023.</w:t>
      </w:r>
    </w:p>
    <w:p w14:paraId="505FF0F7" w14:textId="77777777" w:rsidR="000318F5" w:rsidRPr="005E60AE" w:rsidRDefault="000318F5" w:rsidP="000318F5">
      <w:pPr>
        <w:jc w:val="both"/>
        <w:rPr>
          <w:sz w:val="24"/>
          <w:szCs w:val="24"/>
          <w:lang w:val="en-US"/>
        </w:rPr>
      </w:pPr>
    </w:p>
    <w:p w14:paraId="0BAC16F0" w14:textId="77777777" w:rsidR="000318F5" w:rsidRPr="005E60AE" w:rsidRDefault="000318F5" w:rsidP="000318F5">
      <w:pPr>
        <w:jc w:val="both"/>
        <w:rPr>
          <w:sz w:val="24"/>
          <w:szCs w:val="24"/>
          <w:lang w:val="en-US"/>
        </w:rPr>
      </w:pPr>
      <w:r w:rsidRPr="005E60AE">
        <w:rPr>
          <w:sz w:val="24"/>
          <w:szCs w:val="24"/>
          <w:lang w:val="en-US"/>
        </w:rPr>
        <w:t xml:space="preserve">BANCO MUNDIAL. </w:t>
      </w:r>
      <w:r w:rsidRPr="005E60AE">
        <w:rPr>
          <w:b/>
          <w:sz w:val="24"/>
          <w:szCs w:val="24"/>
          <w:lang w:val="en-US"/>
        </w:rPr>
        <w:t>The state of state reform in Latin America</w:t>
      </w:r>
      <w:r w:rsidRPr="005E60AE">
        <w:rPr>
          <w:sz w:val="24"/>
          <w:szCs w:val="24"/>
          <w:lang w:val="en-US"/>
        </w:rPr>
        <w:t>. Washington: World Bank, 2006.</w:t>
      </w:r>
    </w:p>
    <w:p w14:paraId="63F8BB8B" w14:textId="77777777" w:rsidR="000318F5" w:rsidRPr="005E60AE" w:rsidRDefault="000318F5" w:rsidP="000318F5">
      <w:pPr>
        <w:jc w:val="both"/>
        <w:rPr>
          <w:sz w:val="24"/>
          <w:szCs w:val="24"/>
          <w:lang w:val="en-US"/>
        </w:rPr>
      </w:pPr>
    </w:p>
    <w:p w14:paraId="583FB2D7" w14:textId="77777777" w:rsidR="000318F5" w:rsidRPr="00A12136" w:rsidRDefault="000318F5" w:rsidP="000318F5">
      <w:pPr>
        <w:spacing w:after="240" w:line="240" w:lineRule="auto"/>
        <w:jc w:val="both"/>
        <w:rPr>
          <w:color w:val="000000"/>
          <w:sz w:val="24"/>
          <w:szCs w:val="24"/>
          <w:lang w:val="es-UY"/>
        </w:rPr>
      </w:pPr>
      <w:r w:rsidRPr="00636164">
        <w:rPr>
          <w:color w:val="000000"/>
          <w:sz w:val="24"/>
          <w:szCs w:val="24"/>
        </w:rPr>
        <w:lastRenderedPageBreak/>
        <w:t xml:space="preserve">CEPAL. </w:t>
      </w:r>
      <w:r w:rsidRPr="00A12136">
        <w:rPr>
          <w:color w:val="000000"/>
          <w:sz w:val="24"/>
          <w:szCs w:val="24"/>
          <w:lang w:val="es-UY"/>
        </w:rPr>
        <w:t>Panorama Social de América Latina y el Caribe. Comisión Económica para América Latina y el Caribe: Santiago, 2023.</w:t>
      </w:r>
    </w:p>
    <w:p w14:paraId="1EBCB8CD" w14:textId="77777777" w:rsidR="000318F5" w:rsidRPr="00A12136" w:rsidRDefault="000318F5" w:rsidP="000318F5">
      <w:pPr>
        <w:spacing w:line="240" w:lineRule="auto"/>
        <w:jc w:val="both"/>
        <w:rPr>
          <w:sz w:val="24"/>
          <w:szCs w:val="24"/>
          <w:lang w:val="es-UY"/>
        </w:rPr>
      </w:pPr>
    </w:p>
    <w:p w14:paraId="490A4A04" w14:textId="77777777" w:rsidR="000318F5" w:rsidRPr="00A12136" w:rsidRDefault="000318F5" w:rsidP="000318F5">
      <w:pPr>
        <w:pBdr>
          <w:top w:val="nil"/>
          <w:left w:val="nil"/>
          <w:bottom w:val="nil"/>
          <w:right w:val="nil"/>
          <w:between w:val="nil"/>
        </w:pBdr>
        <w:spacing w:line="240" w:lineRule="auto"/>
        <w:jc w:val="both"/>
        <w:rPr>
          <w:sz w:val="24"/>
          <w:szCs w:val="24"/>
        </w:rPr>
      </w:pPr>
      <w:r w:rsidRPr="00A12136">
        <w:rPr>
          <w:sz w:val="24"/>
          <w:szCs w:val="24"/>
          <w:lang w:val="es-UY"/>
        </w:rPr>
        <w:t xml:space="preserve">COMISIÓN INTERAMERICANA DE DERECHOS HUMANOS. ORGANIZAÇÃO DE ESTADOS AMERICANOS. </w:t>
      </w:r>
      <w:r w:rsidRPr="00A12136">
        <w:rPr>
          <w:b/>
          <w:bCs/>
          <w:sz w:val="24"/>
          <w:szCs w:val="24"/>
          <w:lang w:val="es-UY"/>
        </w:rPr>
        <w:t>Informe sobre pobreza y derechos humanos en las Américas.</w:t>
      </w:r>
      <w:r w:rsidRPr="00A12136">
        <w:rPr>
          <w:sz w:val="24"/>
          <w:szCs w:val="24"/>
          <w:lang w:val="es-UY"/>
        </w:rPr>
        <w:t xml:space="preserve"> </w:t>
      </w:r>
      <w:r w:rsidRPr="00A12136">
        <w:rPr>
          <w:sz w:val="24"/>
          <w:szCs w:val="24"/>
        </w:rPr>
        <w:t>CIDH/OEA, 2017.</w:t>
      </w:r>
    </w:p>
    <w:p w14:paraId="2AC6687A" w14:textId="77777777" w:rsidR="000318F5" w:rsidRPr="00636164" w:rsidRDefault="000318F5" w:rsidP="000318F5">
      <w:pPr>
        <w:jc w:val="both"/>
        <w:rPr>
          <w:sz w:val="24"/>
          <w:szCs w:val="24"/>
        </w:rPr>
      </w:pPr>
    </w:p>
    <w:p w14:paraId="18A2CED0" w14:textId="77777777" w:rsidR="000318F5" w:rsidRPr="00A12136" w:rsidRDefault="000318F5" w:rsidP="000318F5">
      <w:pPr>
        <w:jc w:val="both"/>
        <w:rPr>
          <w:sz w:val="24"/>
          <w:szCs w:val="24"/>
        </w:rPr>
      </w:pPr>
    </w:p>
    <w:p w14:paraId="38E4C7C5" w14:textId="77777777" w:rsidR="000318F5" w:rsidRPr="00A12136" w:rsidRDefault="000318F5" w:rsidP="000318F5">
      <w:pPr>
        <w:jc w:val="both"/>
        <w:rPr>
          <w:sz w:val="24"/>
          <w:szCs w:val="24"/>
        </w:rPr>
      </w:pPr>
      <w:r w:rsidRPr="00A12136">
        <w:rPr>
          <w:sz w:val="24"/>
          <w:szCs w:val="24"/>
        </w:rPr>
        <w:t xml:space="preserve">FONTES, Virgínia. </w:t>
      </w:r>
      <w:r w:rsidRPr="00A12136">
        <w:rPr>
          <w:b/>
          <w:sz w:val="24"/>
          <w:szCs w:val="24"/>
        </w:rPr>
        <w:t>O Brasil e o capital imperialismo</w:t>
      </w:r>
      <w:r w:rsidRPr="00A12136">
        <w:rPr>
          <w:sz w:val="24"/>
          <w:szCs w:val="24"/>
        </w:rPr>
        <w:t>: Teoria e história. Rio de Janeiro: EPSJV/Editora UFRJ, 2010.</w:t>
      </w:r>
    </w:p>
    <w:p w14:paraId="3BD0B1F9" w14:textId="77777777" w:rsidR="000318F5" w:rsidRPr="00A12136" w:rsidRDefault="000318F5" w:rsidP="000318F5">
      <w:pPr>
        <w:jc w:val="both"/>
        <w:rPr>
          <w:sz w:val="24"/>
          <w:szCs w:val="24"/>
        </w:rPr>
      </w:pPr>
    </w:p>
    <w:p w14:paraId="50487C64" w14:textId="77777777" w:rsidR="000318F5" w:rsidRPr="00A12136" w:rsidRDefault="000318F5" w:rsidP="000318F5">
      <w:pPr>
        <w:jc w:val="both"/>
        <w:rPr>
          <w:sz w:val="24"/>
          <w:szCs w:val="24"/>
        </w:rPr>
      </w:pPr>
      <w:r w:rsidRPr="00A12136">
        <w:rPr>
          <w:sz w:val="24"/>
          <w:szCs w:val="24"/>
        </w:rPr>
        <w:t xml:space="preserve">FUNDAÇÃO LUXEMBURGO. </w:t>
      </w:r>
      <w:r w:rsidRPr="00A12136">
        <w:rPr>
          <w:b/>
          <w:bCs/>
          <w:sz w:val="24"/>
          <w:szCs w:val="24"/>
        </w:rPr>
        <w:t>Altas do agronegócio: fatos e números sobre as corporações que controlam o que comemos</w:t>
      </w:r>
      <w:r w:rsidRPr="00A12136">
        <w:rPr>
          <w:sz w:val="24"/>
          <w:szCs w:val="24"/>
        </w:rPr>
        <w:t xml:space="preserve">. Rio de Janeiro: Fundação Heinrich Böll; São Paulo, Fundação Rosa Luxemburgo 2018. </w:t>
      </w:r>
    </w:p>
    <w:p w14:paraId="07D8E77E" w14:textId="77777777" w:rsidR="000318F5" w:rsidRPr="00A12136" w:rsidRDefault="000318F5" w:rsidP="000318F5">
      <w:pPr>
        <w:jc w:val="both"/>
        <w:rPr>
          <w:sz w:val="24"/>
          <w:szCs w:val="24"/>
        </w:rPr>
      </w:pPr>
    </w:p>
    <w:p w14:paraId="2735741D" w14:textId="77777777" w:rsidR="000318F5" w:rsidRPr="00636164" w:rsidRDefault="000318F5" w:rsidP="000318F5">
      <w:pPr>
        <w:jc w:val="both"/>
        <w:rPr>
          <w:sz w:val="24"/>
          <w:szCs w:val="24"/>
          <w:lang w:val="es-UY"/>
        </w:rPr>
      </w:pPr>
      <w:r w:rsidRPr="00A12136">
        <w:rPr>
          <w:sz w:val="24"/>
          <w:szCs w:val="24"/>
          <w:lang w:val="es-UY"/>
        </w:rPr>
        <w:t xml:space="preserve">HARVEY, David. </w:t>
      </w:r>
      <w:r w:rsidRPr="00A12136">
        <w:rPr>
          <w:b/>
          <w:sz w:val="24"/>
          <w:szCs w:val="24"/>
          <w:lang w:val="es-UY"/>
        </w:rPr>
        <w:t>El “nuevo” imperialismo</w:t>
      </w:r>
      <w:r w:rsidRPr="00A12136">
        <w:rPr>
          <w:sz w:val="24"/>
          <w:szCs w:val="24"/>
          <w:lang w:val="es-UY"/>
        </w:rPr>
        <w:t xml:space="preserve">: Acumulación por desposesión. </w:t>
      </w:r>
      <w:r w:rsidRPr="00636164">
        <w:rPr>
          <w:sz w:val="24"/>
          <w:szCs w:val="24"/>
          <w:lang w:val="es-UY"/>
        </w:rPr>
        <w:t>Ciudad Autónoma de Buenos Aires: Clacso, 2005.</w:t>
      </w:r>
    </w:p>
    <w:p w14:paraId="48B43DDF" w14:textId="77777777" w:rsidR="000318F5" w:rsidRPr="00636164" w:rsidRDefault="000318F5" w:rsidP="000318F5">
      <w:pPr>
        <w:spacing w:line="240" w:lineRule="auto"/>
        <w:jc w:val="both"/>
        <w:rPr>
          <w:sz w:val="24"/>
          <w:szCs w:val="24"/>
          <w:lang w:val="es-UY"/>
        </w:rPr>
      </w:pPr>
    </w:p>
    <w:p w14:paraId="45B67CD6" w14:textId="77777777" w:rsidR="000318F5" w:rsidRPr="00636164" w:rsidRDefault="000318F5" w:rsidP="000318F5">
      <w:pPr>
        <w:rPr>
          <w:sz w:val="24"/>
          <w:szCs w:val="24"/>
          <w:lang w:val="es-UY"/>
        </w:rPr>
      </w:pPr>
    </w:p>
    <w:p w14:paraId="04DFFC02" w14:textId="77777777" w:rsidR="000318F5" w:rsidRPr="00A12136" w:rsidRDefault="000318F5" w:rsidP="000318F5">
      <w:pPr>
        <w:spacing w:line="240" w:lineRule="auto"/>
        <w:jc w:val="both"/>
        <w:rPr>
          <w:sz w:val="24"/>
          <w:szCs w:val="24"/>
          <w:lang w:val="es-UY"/>
        </w:rPr>
      </w:pPr>
      <w:r w:rsidRPr="00636164">
        <w:rPr>
          <w:sz w:val="24"/>
          <w:szCs w:val="24"/>
          <w:lang w:val="es-UY"/>
        </w:rPr>
        <w:t xml:space="preserve">LENIN, Vladímir Ilitch. </w:t>
      </w:r>
      <w:r w:rsidRPr="00636164">
        <w:rPr>
          <w:b/>
          <w:sz w:val="24"/>
          <w:szCs w:val="24"/>
          <w:lang w:val="es-UY"/>
        </w:rPr>
        <w:t>Imperialismo, estágio superior do capitalismo: ensaio popular.</w:t>
      </w:r>
      <w:r w:rsidRPr="00636164">
        <w:rPr>
          <w:sz w:val="24"/>
          <w:szCs w:val="24"/>
          <w:lang w:val="es-UY"/>
        </w:rPr>
        <w:t xml:space="preserve"> </w:t>
      </w:r>
      <w:r w:rsidRPr="00A12136">
        <w:rPr>
          <w:sz w:val="24"/>
          <w:szCs w:val="24"/>
          <w:lang w:val="es-UY"/>
        </w:rPr>
        <w:t>São Paulo: Expressão Popular, 2012.</w:t>
      </w:r>
    </w:p>
    <w:p w14:paraId="1FD3792C" w14:textId="77777777" w:rsidR="000318F5" w:rsidRPr="00636164" w:rsidRDefault="000318F5" w:rsidP="000318F5">
      <w:pPr>
        <w:rPr>
          <w:sz w:val="24"/>
          <w:szCs w:val="24"/>
          <w:lang w:val="es-UY"/>
        </w:rPr>
      </w:pPr>
    </w:p>
    <w:p w14:paraId="0EDC596A" w14:textId="77777777" w:rsidR="000318F5" w:rsidRPr="00A12136" w:rsidRDefault="000318F5" w:rsidP="000318F5">
      <w:pPr>
        <w:spacing w:line="240" w:lineRule="auto"/>
        <w:jc w:val="both"/>
        <w:rPr>
          <w:sz w:val="24"/>
          <w:szCs w:val="24"/>
        </w:rPr>
      </w:pPr>
      <w:r w:rsidRPr="00A12136">
        <w:rPr>
          <w:sz w:val="24"/>
          <w:szCs w:val="24"/>
        </w:rPr>
        <w:t xml:space="preserve">MARINI, Rui Mauro. </w:t>
      </w:r>
      <w:r w:rsidRPr="00A12136">
        <w:rPr>
          <w:b/>
          <w:sz w:val="24"/>
          <w:szCs w:val="24"/>
        </w:rPr>
        <w:t>A Dialética da dependência</w:t>
      </w:r>
      <w:r w:rsidRPr="00A12136">
        <w:rPr>
          <w:sz w:val="24"/>
          <w:szCs w:val="24"/>
        </w:rPr>
        <w:t>. In: Ruy Mauro Marini: vida e obra. São Paulo: Expressão Popular, 2005.</w:t>
      </w:r>
    </w:p>
    <w:p w14:paraId="365EF579" w14:textId="77777777" w:rsidR="000318F5" w:rsidRPr="00A12136" w:rsidRDefault="000318F5" w:rsidP="000318F5">
      <w:pPr>
        <w:rPr>
          <w:sz w:val="24"/>
          <w:szCs w:val="24"/>
        </w:rPr>
      </w:pPr>
    </w:p>
    <w:p w14:paraId="73FC051C" w14:textId="77777777" w:rsidR="000318F5" w:rsidRPr="00A12136" w:rsidRDefault="000318F5" w:rsidP="000318F5">
      <w:pPr>
        <w:jc w:val="both"/>
        <w:rPr>
          <w:sz w:val="24"/>
          <w:szCs w:val="24"/>
          <w:highlight w:val="white"/>
        </w:rPr>
      </w:pPr>
      <w:r w:rsidRPr="00A12136">
        <w:rPr>
          <w:sz w:val="24"/>
          <w:szCs w:val="24"/>
          <w:highlight w:val="white"/>
        </w:rPr>
        <w:t xml:space="preserve">NETTO, José Paulo. Crise do capital e consequências societárias. Serviço Social &amp; Sociedade [online]. 2012, n. 111 [Acessado 3 junho 2025], pp. 413-429. Disponível em: &lt;https://doi.org/10.1590/S0101-66282012000300002&gt;. Epub 24 Ago 2012. ISSN 2317-6318. </w:t>
      </w:r>
      <w:hyperlink r:id="rId11">
        <w:r w:rsidRPr="00A12136">
          <w:rPr>
            <w:color w:val="1155CC"/>
            <w:sz w:val="24"/>
            <w:szCs w:val="24"/>
            <w:highlight w:val="white"/>
            <w:u w:val="single"/>
          </w:rPr>
          <w:t>https://doi.org/10.1590/S0101-66282012000300002</w:t>
        </w:r>
      </w:hyperlink>
      <w:r w:rsidRPr="00A12136">
        <w:rPr>
          <w:sz w:val="24"/>
          <w:szCs w:val="24"/>
          <w:highlight w:val="white"/>
        </w:rPr>
        <w:t>.</w:t>
      </w:r>
    </w:p>
    <w:p w14:paraId="265D016E" w14:textId="77777777" w:rsidR="000318F5" w:rsidRPr="00A12136" w:rsidRDefault="000318F5" w:rsidP="000318F5">
      <w:pPr>
        <w:jc w:val="both"/>
        <w:rPr>
          <w:sz w:val="24"/>
          <w:szCs w:val="24"/>
          <w:highlight w:val="white"/>
        </w:rPr>
      </w:pPr>
    </w:p>
    <w:p w14:paraId="590C8EFC" w14:textId="77777777" w:rsidR="000318F5" w:rsidRDefault="000318F5" w:rsidP="000318F5">
      <w:pPr>
        <w:pBdr>
          <w:top w:val="nil"/>
          <w:left w:val="nil"/>
          <w:bottom w:val="nil"/>
          <w:right w:val="nil"/>
          <w:between w:val="nil"/>
        </w:pBdr>
        <w:spacing w:line="240" w:lineRule="auto"/>
        <w:jc w:val="both"/>
        <w:rPr>
          <w:sz w:val="24"/>
          <w:szCs w:val="24"/>
        </w:rPr>
      </w:pPr>
      <w:r w:rsidRPr="00A12136">
        <w:rPr>
          <w:sz w:val="24"/>
          <w:szCs w:val="24"/>
        </w:rPr>
        <w:t xml:space="preserve">SILVA, Maria Ozanira da Silva e (org.). </w:t>
      </w:r>
      <w:r w:rsidRPr="00A12136">
        <w:rPr>
          <w:b/>
          <w:bCs/>
          <w:sz w:val="24"/>
          <w:szCs w:val="24"/>
        </w:rPr>
        <w:t>O mito e a realidade no enfrentamento á pobreza na América Latina.</w:t>
      </w:r>
      <w:r w:rsidRPr="00A12136">
        <w:rPr>
          <w:sz w:val="24"/>
          <w:szCs w:val="24"/>
        </w:rPr>
        <w:t xml:space="preserve"> Estudo comparado de programas de transferência monetária. São Paulo: Cortez Editora, 2016.</w:t>
      </w:r>
    </w:p>
    <w:p w14:paraId="51D631F6" w14:textId="77777777" w:rsidR="000318F5" w:rsidRPr="00A12136" w:rsidRDefault="000318F5" w:rsidP="000318F5">
      <w:pPr>
        <w:pBdr>
          <w:top w:val="nil"/>
          <w:left w:val="nil"/>
          <w:bottom w:val="nil"/>
          <w:right w:val="nil"/>
          <w:between w:val="nil"/>
        </w:pBdr>
        <w:spacing w:line="240" w:lineRule="auto"/>
        <w:jc w:val="both"/>
        <w:rPr>
          <w:sz w:val="24"/>
          <w:szCs w:val="24"/>
        </w:rPr>
      </w:pPr>
    </w:p>
    <w:p w14:paraId="21479119" w14:textId="77777777" w:rsidR="000318F5" w:rsidRDefault="000318F5" w:rsidP="000318F5">
      <w:pPr>
        <w:spacing w:line="240" w:lineRule="auto"/>
        <w:jc w:val="both"/>
        <w:rPr>
          <w:sz w:val="24"/>
          <w:szCs w:val="24"/>
        </w:rPr>
      </w:pPr>
    </w:p>
    <w:p w14:paraId="519620AE" w14:textId="77777777" w:rsidR="000318F5" w:rsidRDefault="000318F5" w:rsidP="000318F5">
      <w:pPr>
        <w:spacing w:line="240" w:lineRule="auto"/>
        <w:jc w:val="both"/>
        <w:rPr>
          <w:sz w:val="24"/>
          <w:szCs w:val="24"/>
        </w:rPr>
      </w:pPr>
    </w:p>
    <w:p w14:paraId="0770A0AF" w14:textId="77777777" w:rsidR="000318F5" w:rsidRDefault="000318F5" w:rsidP="000318F5">
      <w:pPr>
        <w:spacing w:line="240" w:lineRule="auto"/>
        <w:jc w:val="both"/>
        <w:rPr>
          <w:sz w:val="24"/>
          <w:szCs w:val="24"/>
        </w:rPr>
      </w:pPr>
    </w:p>
    <w:p w14:paraId="06D11B84" w14:textId="77777777" w:rsidR="000318F5" w:rsidRDefault="000318F5" w:rsidP="000318F5">
      <w:pPr>
        <w:spacing w:line="240" w:lineRule="auto"/>
        <w:jc w:val="both"/>
        <w:rPr>
          <w:sz w:val="24"/>
          <w:szCs w:val="24"/>
        </w:rPr>
      </w:pPr>
    </w:p>
    <w:p w14:paraId="1F194470" w14:textId="77777777" w:rsidR="000318F5" w:rsidRPr="005E60AE" w:rsidRDefault="000318F5" w:rsidP="000318F5">
      <w:pPr>
        <w:spacing w:line="240" w:lineRule="auto"/>
        <w:rPr>
          <w:b/>
          <w:sz w:val="24"/>
          <w:szCs w:val="24"/>
        </w:rPr>
      </w:pPr>
    </w:p>
    <w:p w14:paraId="276339FB" w14:textId="77777777" w:rsidR="000318F5" w:rsidRPr="00D23C4E" w:rsidRDefault="000318F5" w:rsidP="000318F5">
      <w:pPr>
        <w:spacing w:line="240" w:lineRule="auto"/>
        <w:jc w:val="center"/>
        <w:rPr>
          <w:b/>
          <w:lang w:val="es-UY"/>
        </w:rPr>
      </w:pPr>
      <w:r w:rsidRPr="00D23C4E">
        <w:rPr>
          <w:b/>
          <w:sz w:val="24"/>
          <w:szCs w:val="24"/>
          <w:lang w:val="es-UY"/>
        </w:rPr>
        <w:lastRenderedPageBreak/>
        <w:t xml:space="preserve">¿QUÉ DICEN LAS DIMENSIONES DE LA </w:t>
      </w:r>
      <w:r w:rsidRPr="00D23C4E">
        <w:rPr>
          <w:b/>
          <w:lang w:val="es-UY"/>
        </w:rPr>
        <w:t>INVESTIGACIÓN?</w:t>
      </w:r>
      <w:r w:rsidRPr="00D23C4E">
        <w:rPr>
          <w:b/>
          <w:sz w:val="24"/>
          <w:szCs w:val="24"/>
          <w:lang w:val="es-UY"/>
        </w:rPr>
        <w:t xml:space="preserve"> </w:t>
      </w:r>
    </w:p>
    <w:p w14:paraId="24B41BFD" w14:textId="77777777" w:rsidR="000318F5" w:rsidRDefault="000318F5" w:rsidP="000318F5">
      <w:pPr>
        <w:spacing w:line="240" w:lineRule="auto"/>
        <w:jc w:val="center"/>
        <w:rPr>
          <w:sz w:val="24"/>
          <w:szCs w:val="24"/>
          <w:lang w:val="es-UY"/>
        </w:rPr>
      </w:pPr>
      <w:r w:rsidRPr="00D23C4E">
        <w:rPr>
          <w:sz w:val="24"/>
          <w:szCs w:val="24"/>
          <w:lang w:val="es-UY"/>
        </w:rPr>
        <w:t>Mapeo, estudio exploratorio y profundización de los programas de transferencias monetarias focalizadas e ingreso básico universal en América Latina y el Caribe</w:t>
      </w:r>
    </w:p>
    <w:p w14:paraId="2CA28F87" w14:textId="77777777" w:rsidR="000318F5" w:rsidRDefault="000318F5" w:rsidP="000318F5">
      <w:pPr>
        <w:spacing w:line="240" w:lineRule="auto"/>
        <w:jc w:val="center"/>
        <w:rPr>
          <w:sz w:val="24"/>
          <w:szCs w:val="24"/>
          <w:lang w:val="es-UY"/>
        </w:rPr>
      </w:pPr>
    </w:p>
    <w:p w14:paraId="736906FB" w14:textId="77777777" w:rsidR="000318F5" w:rsidRPr="00D23C4E" w:rsidRDefault="000318F5" w:rsidP="000318F5">
      <w:pPr>
        <w:spacing w:line="240" w:lineRule="auto"/>
        <w:jc w:val="center"/>
        <w:rPr>
          <w:b/>
          <w:sz w:val="24"/>
          <w:szCs w:val="24"/>
          <w:lang w:val="en"/>
        </w:rPr>
      </w:pPr>
      <w:r w:rsidRPr="00D23C4E">
        <w:rPr>
          <w:b/>
          <w:sz w:val="24"/>
          <w:szCs w:val="24"/>
          <w:lang w:val="en"/>
        </w:rPr>
        <w:t>WHAT DO THE RESEARCH DIMENSIONS SAY?</w:t>
      </w:r>
    </w:p>
    <w:p w14:paraId="1F3DBC54" w14:textId="77777777" w:rsidR="000318F5" w:rsidRPr="00D23C4E" w:rsidRDefault="000318F5" w:rsidP="000318F5">
      <w:pPr>
        <w:spacing w:line="240" w:lineRule="auto"/>
        <w:jc w:val="center"/>
        <w:rPr>
          <w:bCs/>
          <w:sz w:val="24"/>
          <w:szCs w:val="24"/>
          <w:lang w:val="en"/>
        </w:rPr>
      </w:pPr>
      <w:r w:rsidRPr="00D23C4E">
        <w:rPr>
          <w:bCs/>
          <w:sz w:val="24"/>
          <w:szCs w:val="24"/>
          <w:lang w:val="en"/>
        </w:rPr>
        <w:t>Mapping, exploratory study, and in-depth analysis of targeted cash transfer and universal basic income programs in Latin America and the Caribbean</w:t>
      </w:r>
    </w:p>
    <w:p w14:paraId="1E6EA0C9" w14:textId="77777777" w:rsidR="000318F5" w:rsidRPr="00DB1D66" w:rsidRDefault="000318F5" w:rsidP="000318F5">
      <w:pPr>
        <w:spacing w:line="240" w:lineRule="auto"/>
        <w:jc w:val="both"/>
        <w:rPr>
          <w:b/>
          <w:sz w:val="20"/>
          <w:szCs w:val="20"/>
          <w:lang w:val="en"/>
        </w:rPr>
      </w:pPr>
    </w:p>
    <w:p w14:paraId="151AF053" w14:textId="77777777" w:rsidR="000318F5" w:rsidRPr="00DB1D66" w:rsidRDefault="000318F5" w:rsidP="000318F5">
      <w:pPr>
        <w:spacing w:line="240" w:lineRule="auto"/>
        <w:rPr>
          <w:b/>
          <w:sz w:val="20"/>
          <w:szCs w:val="20"/>
          <w:lang w:val="en"/>
        </w:rPr>
      </w:pPr>
    </w:p>
    <w:p w14:paraId="4582678F" w14:textId="77777777" w:rsidR="000318F5" w:rsidRPr="00DB1D66" w:rsidRDefault="000318F5" w:rsidP="000318F5">
      <w:pPr>
        <w:jc w:val="right"/>
      </w:pPr>
      <w:r w:rsidRPr="00DB1D66">
        <w:rPr>
          <w:lang w:val="es-UY"/>
        </w:rPr>
        <w:t>Sílvia Fernandes Soto</w:t>
      </w:r>
      <w:r>
        <w:rPr>
          <w:rStyle w:val="Refdenotaderodap"/>
          <w:lang w:val="es-UY"/>
        </w:rPr>
        <w:footnoteReference w:id="3"/>
      </w:r>
      <w:r w:rsidRPr="00DB1D66">
        <w:rPr>
          <w:lang w:val="es-UY"/>
        </w:rPr>
        <w:t xml:space="preserve"> </w:t>
      </w:r>
    </w:p>
    <w:p w14:paraId="36CBB6C3" w14:textId="77777777" w:rsidR="000318F5" w:rsidRPr="00DB1D66" w:rsidRDefault="000318F5" w:rsidP="000318F5">
      <w:pPr>
        <w:spacing w:line="240" w:lineRule="auto"/>
        <w:ind w:left="2835"/>
        <w:jc w:val="both"/>
        <w:rPr>
          <w:b/>
          <w:sz w:val="20"/>
          <w:szCs w:val="20"/>
        </w:rPr>
      </w:pPr>
    </w:p>
    <w:p w14:paraId="402F1A33" w14:textId="77777777" w:rsidR="000318F5" w:rsidRPr="003831AD" w:rsidRDefault="000318F5" w:rsidP="000318F5">
      <w:pPr>
        <w:spacing w:line="240" w:lineRule="auto"/>
        <w:ind w:left="2880"/>
        <w:jc w:val="both"/>
        <w:rPr>
          <w:b/>
          <w:sz w:val="20"/>
          <w:szCs w:val="20"/>
          <w:lang w:val="es-AR"/>
        </w:rPr>
      </w:pPr>
      <w:r w:rsidRPr="003831AD">
        <w:rPr>
          <w:b/>
          <w:sz w:val="20"/>
          <w:szCs w:val="20"/>
          <w:lang w:val="es-AR"/>
        </w:rPr>
        <w:t>Resumen</w:t>
      </w:r>
    </w:p>
    <w:p w14:paraId="6A0CFBAE" w14:textId="77777777" w:rsidR="000318F5" w:rsidRPr="00BD28CD" w:rsidRDefault="000318F5" w:rsidP="000318F5">
      <w:pPr>
        <w:spacing w:line="240" w:lineRule="auto"/>
        <w:ind w:left="2880"/>
        <w:jc w:val="both"/>
        <w:rPr>
          <w:sz w:val="20"/>
          <w:szCs w:val="20"/>
          <w:lang w:val="es-AR"/>
        </w:rPr>
      </w:pPr>
      <w:r w:rsidRPr="00BD28CD">
        <w:rPr>
          <w:sz w:val="20"/>
          <w:szCs w:val="20"/>
          <w:lang w:val="es-AR"/>
        </w:rPr>
        <w:t>En este trabajo se presentan resultados de investigación desarrollados en el marco del proyecto sobre Programas de Transferencia Monetaria en el contexto de la pandemia y la pospandemia de COVID-19 en América Latina y el Caribe, financiado por el Consejo Nacional de Desarrollo Científico y Tecnológico (CNPq-Brasil) y con participación de equipos de investigación de Brasil, Argentina y Uruguay. El objetivo del proyecto es capturar, sistematizar y divulgar la dinámica histórica y reciente de los programas de transferencia monetaria en un contexto marcado por la irrupción de la pandemia y la extensión de este mecanismo para responder a la intensificación de la desigualdad, la pobreza, el desempleo, la informalización del trabajo y la pérdida de ingresos.</w:t>
      </w:r>
    </w:p>
    <w:p w14:paraId="0F20244C" w14:textId="77777777" w:rsidR="000318F5" w:rsidRPr="00BD28CD" w:rsidRDefault="000318F5" w:rsidP="000318F5">
      <w:pPr>
        <w:spacing w:line="240" w:lineRule="auto"/>
        <w:ind w:left="2880"/>
        <w:jc w:val="both"/>
        <w:rPr>
          <w:sz w:val="20"/>
          <w:szCs w:val="20"/>
          <w:lang w:val="es-AR"/>
        </w:rPr>
      </w:pPr>
      <w:r w:rsidRPr="00BD28CD">
        <w:rPr>
          <w:sz w:val="20"/>
          <w:szCs w:val="20"/>
          <w:lang w:val="es-AR"/>
        </w:rPr>
        <w:t>PALABRAS CLAVES:</w:t>
      </w:r>
      <w:r>
        <w:rPr>
          <w:sz w:val="20"/>
          <w:szCs w:val="20"/>
          <w:lang w:val="es-AR"/>
        </w:rPr>
        <w:t xml:space="preserve"> </w:t>
      </w:r>
      <w:r w:rsidRPr="00BD28CD">
        <w:rPr>
          <w:sz w:val="20"/>
          <w:szCs w:val="20"/>
          <w:lang w:val="es-AR"/>
        </w:rPr>
        <w:t>Protección social, transferencias monetarias no contributivas, América Latina y el Caribe</w:t>
      </w:r>
    </w:p>
    <w:p w14:paraId="5F1D222B" w14:textId="77777777" w:rsidR="000318F5" w:rsidRPr="00BD28CD" w:rsidRDefault="000318F5" w:rsidP="000318F5">
      <w:pPr>
        <w:spacing w:line="240" w:lineRule="auto"/>
        <w:ind w:left="3540"/>
        <w:jc w:val="both"/>
        <w:rPr>
          <w:sz w:val="20"/>
          <w:szCs w:val="20"/>
          <w:lang w:val="es-AR"/>
        </w:rPr>
      </w:pPr>
    </w:p>
    <w:p w14:paraId="7BB4AC0D" w14:textId="77777777" w:rsidR="000318F5" w:rsidRPr="003831AD" w:rsidRDefault="000318F5" w:rsidP="000318F5">
      <w:pPr>
        <w:spacing w:line="240" w:lineRule="auto"/>
        <w:ind w:left="2880"/>
        <w:jc w:val="both"/>
        <w:rPr>
          <w:b/>
          <w:sz w:val="20"/>
          <w:szCs w:val="20"/>
          <w:lang w:val="es-AR"/>
        </w:rPr>
      </w:pPr>
      <w:r w:rsidRPr="003831AD">
        <w:rPr>
          <w:b/>
          <w:sz w:val="20"/>
          <w:szCs w:val="20"/>
          <w:lang w:val="es-AR"/>
        </w:rPr>
        <w:t>Abstract</w:t>
      </w:r>
    </w:p>
    <w:p w14:paraId="5D396628" w14:textId="77777777" w:rsidR="000318F5" w:rsidRPr="00BD28CD" w:rsidRDefault="000318F5" w:rsidP="000318F5">
      <w:pPr>
        <w:spacing w:line="240" w:lineRule="auto"/>
        <w:ind w:left="2880"/>
        <w:jc w:val="both"/>
        <w:rPr>
          <w:sz w:val="20"/>
          <w:szCs w:val="20"/>
          <w:lang w:val="es-AR"/>
        </w:rPr>
      </w:pPr>
      <w:r w:rsidRPr="00BD28CD">
        <w:rPr>
          <w:sz w:val="20"/>
          <w:szCs w:val="20"/>
          <w:lang w:val="es-AR"/>
        </w:rPr>
        <w:t>This paper presents research results developed within the framework of the project on Cash Transfer Programs in the context of the COVID-19 pandemic and post-pandemic in Latin America and the Caribbean, funded by the National Council for Scientific and Technological Development (CNPq-Brazil) and with the participation of research teams from Brazil, Argentina, and Uruguay. The project's objective is to capture, systematize, and disseminate the historical and recent dynamics of cash transfer programs in a context marked by the outbreak of the pandemic and the expansion of this mechanism to respond to the intensification of inequality, poverty, unemployment, informalization of work, and loss of income.</w:t>
      </w:r>
    </w:p>
    <w:p w14:paraId="7E10FB0C" w14:textId="77777777" w:rsidR="000318F5" w:rsidRPr="00D23C4E" w:rsidRDefault="000318F5" w:rsidP="000318F5">
      <w:pPr>
        <w:spacing w:line="240" w:lineRule="auto"/>
        <w:ind w:left="2880"/>
        <w:jc w:val="both"/>
        <w:rPr>
          <w:sz w:val="20"/>
          <w:szCs w:val="20"/>
          <w:lang w:val="fr-FR"/>
        </w:rPr>
      </w:pPr>
      <w:r w:rsidRPr="00D23C4E">
        <w:rPr>
          <w:sz w:val="20"/>
          <w:szCs w:val="20"/>
          <w:lang w:val="fr-FR"/>
        </w:rPr>
        <w:t>Keywords</w:t>
      </w:r>
      <w:r>
        <w:rPr>
          <w:sz w:val="20"/>
          <w:szCs w:val="20"/>
          <w:lang w:val="fr-FR"/>
        </w:rPr>
        <w:t xml:space="preserve"> : </w:t>
      </w:r>
      <w:r w:rsidRPr="00D23C4E">
        <w:rPr>
          <w:sz w:val="20"/>
          <w:szCs w:val="20"/>
          <w:lang w:val="fr-FR"/>
        </w:rPr>
        <w:t>Social protection, non-contributory cash transfers, Latin America and the Caribbean</w:t>
      </w:r>
    </w:p>
    <w:p w14:paraId="6C7BF87D" w14:textId="77777777" w:rsidR="000318F5" w:rsidRPr="00D23C4E" w:rsidRDefault="000318F5" w:rsidP="000318F5">
      <w:pPr>
        <w:spacing w:line="240" w:lineRule="auto"/>
        <w:ind w:left="2160"/>
        <w:jc w:val="both"/>
        <w:rPr>
          <w:sz w:val="20"/>
          <w:szCs w:val="20"/>
          <w:lang w:val="fr-FR"/>
        </w:rPr>
      </w:pPr>
    </w:p>
    <w:p w14:paraId="6AF8BA6F" w14:textId="77777777" w:rsidR="000318F5" w:rsidRPr="00D23C4E" w:rsidRDefault="000318F5" w:rsidP="000318F5">
      <w:pPr>
        <w:spacing w:line="360" w:lineRule="auto"/>
        <w:jc w:val="both"/>
        <w:rPr>
          <w:sz w:val="24"/>
          <w:szCs w:val="24"/>
          <w:lang w:val="fr-FR"/>
        </w:rPr>
      </w:pPr>
    </w:p>
    <w:p w14:paraId="63152B3C" w14:textId="77777777" w:rsidR="000318F5" w:rsidRPr="00D23C4E" w:rsidRDefault="000318F5" w:rsidP="000318F5">
      <w:pPr>
        <w:spacing w:line="360" w:lineRule="auto"/>
        <w:jc w:val="both"/>
        <w:rPr>
          <w:sz w:val="24"/>
          <w:szCs w:val="24"/>
          <w:lang w:val="fr-FR"/>
        </w:rPr>
      </w:pPr>
    </w:p>
    <w:p w14:paraId="3E2880D4" w14:textId="77777777" w:rsidR="000318F5" w:rsidRPr="00D23C4E" w:rsidRDefault="000318F5" w:rsidP="000318F5">
      <w:pPr>
        <w:spacing w:line="360" w:lineRule="auto"/>
        <w:rPr>
          <w:b/>
          <w:sz w:val="24"/>
          <w:szCs w:val="24"/>
          <w:lang w:val="es-UY"/>
        </w:rPr>
      </w:pPr>
      <w:r w:rsidRPr="00F07ADC">
        <w:rPr>
          <w:b/>
          <w:sz w:val="24"/>
          <w:szCs w:val="24"/>
          <w:lang w:val="es-UY"/>
        </w:rPr>
        <w:br w:type="page"/>
      </w:r>
      <w:r w:rsidRPr="00D23C4E">
        <w:rPr>
          <w:b/>
          <w:sz w:val="24"/>
          <w:szCs w:val="24"/>
          <w:lang w:val="es-UY"/>
        </w:rPr>
        <w:lastRenderedPageBreak/>
        <w:t>1</w:t>
      </w:r>
      <w:r w:rsidRPr="00D23C4E">
        <w:rPr>
          <w:b/>
          <w:sz w:val="24"/>
          <w:szCs w:val="24"/>
          <w:lang w:val="es-UY"/>
        </w:rPr>
        <w:tab/>
        <w:t>INTRODUCCIÓN</w:t>
      </w:r>
    </w:p>
    <w:p w14:paraId="32E30B4D" w14:textId="77777777" w:rsidR="000318F5" w:rsidRPr="00FF6B93" w:rsidRDefault="000318F5" w:rsidP="000318F5">
      <w:pPr>
        <w:spacing w:after="150" w:line="360" w:lineRule="auto"/>
        <w:ind w:firstLine="720"/>
        <w:jc w:val="both"/>
        <w:rPr>
          <w:sz w:val="24"/>
          <w:szCs w:val="24"/>
          <w:lang w:val="es-AR"/>
        </w:rPr>
      </w:pPr>
      <w:r w:rsidRPr="00FF6B93">
        <w:rPr>
          <w:sz w:val="24"/>
          <w:szCs w:val="24"/>
          <w:lang w:val="es-AR"/>
        </w:rPr>
        <w:t>En este trabajo se presentan resultados de investigación desarrollados en el marco del proyecto sobre Programas de Transferencia Monetaria en el contexto de la pandemia y la pospandemia de COVID-19 en América Latina y el Caribe</w:t>
      </w:r>
      <w:r>
        <w:rPr>
          <w:sz w:val="24"/>
          <w:szCs w:val="24"/>
          <w:lang w:val="es-AR"/>
        </w:rPr>
        <w:t xml:space="preserve"> (ALyC)</w:t>
      </w:r>
      <w:r w:rsidRPr="00FF6B93">
        <w:rPr>
          <w:sz w:val="24"/>
          <w:szCs w:val="24"/>
          <w:lang w:val="es-AR"/>
        </w:rPr>
        <w:t>, financiado por el Consejo Nacional de Desarrollo Científico y Tecnológico (CNPq-Brasil) y con participación de equipos de investigación de Brasil</w:t>
      </w:r>
      <w:r>
        <w:rPr>
          <w:sz w:val="24"/>
          <w:szCs w:val="24"/>
          <w:lang w:val="es-AR"/>
        </w:rPr>
        <w:t xml:space="preserve"> (UFMA, PUC-SP)</w:t>
      </w:r>
      <w:r w:rsidRPr="00FF6B93">
        <w:rPr>
          <w:sz w:val="24"/>
          <w:szCs w:val="24"/>
          <w:lang w:val="es-AR"/>
        </w:rPr>
        <w:t xml:space="preserve">, Argentina </w:t>
      </w:r>
      <w:r>
        <w:rPr>
          <w:sz w:val="24"/>
          <w:szCs w:val="24"/>
          <w:lang w:val="es-AR"/>
        </w:rPr>
        <w:t xml:space="preserve">(UNICEN) </w:t>
      </w:r>
      <w:r w:rsidRPr="00FF6B93">
        <w:rPr>
          <w:sz w:val="24"/>
          <w:szCs w:val="24"/>
          <w:lang w:val="es-AR"/>
        </w:rPr>
        <w:t>y Uruguay</w:t>
      </w:r>
      <w:r>
        <w:rPr>
          <w:sz w:val="24"/>
          <w:szCs w:val="24"/>
          <w:lang w:val="es-AR"/>
        </w:rPr>
        <w:t xml:space="preserve"> (UDELAR)</w:t>
      </w:r>
      <w:r w:rsidRPr="00C2583A">
        <w:rPr>
          <w:rStyle w:val="Refdenotaderodap"/>
          <w:sz w:val="24"/>
          <w:szCs w:val="24"/>
          <w:lang w:val="es-AR"/>
        </w:rPr>
        <w:t xml:space="preserve"> </w:t>
      </w:r>
      <w:r>
        <w:rPr>
          <w:rStyle w:val="Refdenotaderodap"/>
          <w:sz w:val="24"/>
          <w:szCs w:val="24"/>
          <w:lang w:val="es-AR"/>
        </w:rPr>
        <w:footnoteReference w:id="4"/>
      </w:r>
      <w:r w:rsidRPr="00FF6B93">
        <w:rPr>
          <w:sz w:val="24"/>
          <w:szCs w:val="24"/>
          <w:lang w:val="es-AR"/>
        </w:rPr>
        <w:t>:. El objetivo del proyecto es capturar, sistematizar y divulgar la dinámica histórica y reciente de los programas de transferencia monetaria en un contexto marcado por la irrupción de la pandemia y la extensión de este mecanismo para responder a la intensificación de la desigualdad, la pobreza, el desempleo, la informalización del trabajo y la pérdida de ingresos. En términos metodológicos la investigación</w:t>
      </w:r>
      <w:r>
        <w:rPr>
          <w:sz w:val="24"/>
          <w:szCs w:val="24"/>
          <w:lang w:val="es-AR"/>
        </w:rPr>
        <w:t xml:space="preserve"> se apoyó</w:t>
      </w:r>
      <w:r w:rsidRPr="00FF6B93">
        <w:rPr>
          <w:sz w:val="24"/>
          <w:szCs w:val="24"/>
          <w:lang w:val="es-AR"/>
        </w:rPr>
        <w:t xml:space="preserve"> centralmente en la revisión de fuentes bibliográficas y documentales, el uso de datos de los sistemas estadísticos nacionales y el acceso a las bases de datos e informes de organismos internacionales que centralmente utilizan datos estadísticos oficiales de cada país de América latina y el Caribe y fuentes disponibles en redes de investigación especializadas.</w:t>
      </w:r>
      <w:r>
        <w:rPr>
          <w:sz w:val="24"/>
          <w:szCs w:val="24"/>
          <w:lang w:val="es-AR"/>
        </w:rPr>
        <w:t xml:space="preserve"> El estudio en su conjunto identifica procesos comunes en la región, pero al mismo tiempo, observa las heterogeneidades, según las diversas experiencias nacionales analizadas. </w:t>
      </w:r>
    </w:p>
    <w:p w14:paraId="4B354AFC" w14:textId="77777777" w:rsidR="000318F5" w:rsidRPr="005F261B" w:rsidRDefault="000318F5" w:rsidP="000318F5">
      <w:pPr>
        <w:spacing w:line="360" w:lineRule="auto"/>
        <w:ind w:firstLine="720"/>
        <w:jc w:val="both"/>
        <w:rPr>
          <w:sz w:val="24"/>
          <w:szCs w:val="24"/>
          <w:lang w:val="es-AR"/>
        </w:rPr>
      </w:pPr>
      <w:r w:rsidRPr="00FF6B93">
        <w:rPr>
          <w:sz w:val="24"/>
          <w:szCs w:val="24"/>
          <w:lang w:val="es-AR"/>
        </w:rPr>
        <w:t>Organizamos el trabajo en las siguientes partes: primero desarrollamos sintéticamente la perspectiva de estudio</w:t>
      </w:r>
      <w:r>
        <w:rPr>
          <w:sz w:val="24"/>
          <w:szCs w:val="24"/>
          <w:lang w:val="es-AR"/>
        </w:rPr>
        <w:t xml:space="preserve"> en el que se inscribe el proyecto de investigación</w:t>
      </w:r>
      <w:r w:rsidRPr="00FF6B93">
        <w:rPr>
          <w:sz w:val="24"/>
          <w:szCs w:val="24"/>
          <w:lang w:val="es-AR"/>
        </w:rPr>
        <w:t xml:space="preserve"> de los programas de transferencias monetarias en el contexto de ALyC</w:t>
      </w:r>
      <w:r>
        <w:rPr>
          <w:sz w:val="24"/>
          <w:szCs w:val="24"/>
          <w:lang w:val="es-AR"/>
        </w:rPr>
        <w:t xml:space="preserve">. Luego situamos el estudio, identificando múltiples procesos que profundizan </w:t>
      </w:r>
      <w:r w:rsidRPr="005F261B">
        <w:rPr>
          <w:sz w:val="24"/>
          <w:szCs w:val="24"/>
          <w:lang w:val="es-AR"/>
        </w:rPr>
        <w:t xml:space="preserve">la trama de la desigualdad, evidenciándose en la regresión de múltiples indicadores sociales y económicos. Posteriormente </w:t>
      </w:r>
      <w:r w:rsidRPr="005F261B">
        <w:rPr>
          <w:rFonts w:cs="Calibri"/>
          <w:sz w:val="24"/>
          <w:szCs w:val="24"/>
          <w:lang w:val="es-AR"/>
        </w:rPr>
        <w:t xml:space="preserve">analizamos la dinámica </w:t>
      </w:r>
      <w:r>
        <w:rPr>
          <w:rFonts w:cs="Calibri"/>
          <w:sz w:val="24"/>
          <w:szCs w:val="24"/>
          <w:lang w:val="es-AR"/>
        </w:rPr>
        <w:t xml:space="preserve">prevalente </w:t>
      </w:r>
      <w:r w:rsidRPr="005F261B">
        <w:rPr>
          <w:rFonts w:cs="Calibri"/>
          <w:sz w:val="24"/>
          <w:szCs w:val="24"/>
          <w:lang w:val="es-AR"/>
        </w:rPr>
        <w:t xml:space="preserve">de las transferencias monetarias como mecanismos paliativos de emergencia frente a la </w:t>
      </w:r>
      <w:r w:rsidRPr="005F261B">
        <w:rPr>
          <w:rFonts w:cs="Calibri"/>
          <w:sz w:val="24"/>
          <w:szCs w:val="24"/>
          <w:lang w:val="es-AR"/>
        </w:rPr>
        <w:lastRenderedPageBreak/>
        <w:t>intensificación de la cris</w:t>
      </w:r>
      <w:r>
        <w:rPr>
          <w:rFonts w:cs="Calibri"/>
          <w:sz w:val="24"/>
          <w:szCs w:val="24"/>
          <w:lang w:val="es-AR"/>
        </w:rPr>
        <w:t xml:space="preserve">is en el contexto del covid-19 </w:t>
      </w:r>
      <w:r w:rsidRPr="005F261B">
        <w:rPr>
          <w:rFonts w:cs="Calibri"/>
          <w:sz w:val="24"/>
          <w:szCs w:val="24"/>
          <w:lang w:val="es-AR"/>
        </w:rPr>
        <w:t>en ALYC. Identificamos sus características, alcances y sentidos. Por último, construimos conclusiones del trabajo</w:t>
      </w:r>
      <w:r>
        <w:rPr>
          <w:rFonts w:cs="Calibri"/>
          <w:sz w:val="24"/>
          <w:szCs w:val="24"/>
          <w:lang w:val="es-AR"/>
        </w:rPr>
        <w:t>.</w:t>
      </w:r>
    </w:p>
    <w:p w14:paraId="568A805C" w14:textId="77777777" w:rsidR="000318F5" w:rsidRPr="00806223" w:rsidRDefault="000318F5" w:rsidP="000318F5">
      <w:pPr>
        <w:spacing w:line="360" w:lineRule="auto"/>
        <w:jc w:val="both"/>
        <w:rPr>
          <w:b/>
          <w:sz w:val="24"/>
          <w:szCs w:val="24"/>
          <w:lang w:val="es-AR"/>
        </w:rPr>
      </w:pPr>
      <w:r w:rsidRPr="00D23C4E">
        <w:rPr>
          <w:b/>
          <w:sz w:val="24"/>
          <w:szCs w:val="24"/>
          <w:lang w:val="es-UY"/>
        </w:rPr>
        <w:t>2</w:t>
      </w:r>
      <w:r w:rsidRPr="00D23C4E">
        <w:rPr>
          <w:b/>
          <w:sz w:val="24"/>
          <w:szCs w:val="24"/>
          <w:lang w:val="es-UY"/>
        </w:rPr>
        <w:tab/>
      </w:r>
      <w:r w:rsidRPr="00806223">
        <w:rPr>
          <w:b/>
          <w:sz w:val="24"/>
          <w:szCs w:val="24"/>
          <w:lang w:val="es-AR"/>
        </w:rPr>
        <w:t>LOS PTM EN ALYC. LA PERSPECTIVA DE ESTUDIO</w:t>
      </w:r>
    </w:p>
    <w:p w14:paraId="1A6B28F5" w14:textId="77777777" w:rsidR="000318F5" w:rsidRPr="00806223" w:rsidRDefault="000318F5" w:rsidP="000318F5">
      <w:pPr>
        <w:spacing w:line="360" w:lineRule="auto"/>
        <w:ind w:firstLine="720"/>
        <w:jc w:val="both"/>
        <w:rPr>
          <w:sz w:val="24"/>
          <w:szCs w:val="24"/>
          <w:lang w:val="es-AR"/>
        </w:rPr>
      </w:pPr>
      <w:r w:rsidRPr="00806223">
        <w:rPr>
          <w:sz w:val="24"/>
          <w:szCs w:val="24"/>
          <w:lang w:val="es-AR"/>
        </w:rPr>
        <w:t xml:space="preserve">El estudio que desarrollamos se inscribe en una perspectiva relacional </w:t>
      </w:r>
      <w:r>
        <w:rPr>
          <w:lang w:val="es-AR"/>
        </w:rPr>
        <w:t>de la intervención del E</w:t>
      </w:r>
      <w:r w:rsidRPr="00806223">
        <w:rPr>
          <w:sz w:val="24"/>
          <w:szCs w:val="24"/>
          <w:lang w:val="es-AR"/>
        </w:rPr>
        <w:t xml:space="preserve">stado, </w:t>
      </w:r>
      <w:r>
        <w:rPr>
          <w:sz w:val="24"/>
          <w:szCs w:val="24"/>
          <w:lang w:val="es-AR"/>
        </w:rPr>
        <w:t xml:space="preserve">en tanto su configuración </w:t>
      </w:r>
      <w:r w:rsidRPr="00806223">
        <w:rPr>
          <w:sz w:val="24"/>
          <w:szCs w:val="24"/>
          <w:lang w:val="es-AR"/>
        </w:rPr>
        <w:t xml:space="preserve">sintetiza relaciones de fuerzas desplegadas en el movimiento de la sociedad. En este sentido, nos distanciamos de aquellas </w:t>
      </w:r>
      <w:r>
        <w:rPr>
          <w:lang w:val="es-AR"/>
        </w:rPr>
        <w:t xml:space="preserve">matrices </w:t>
      </w:r>
      <w:r w:rsidRPr="00806223">
        <w:rPr>
          <w:sz w:val="24"/>
          <w:szCs w:val="24"/>
          <w:lang w:val="es-AR"/>
        </w:rPr>
        <w:t>liberales que reducen el Estado a un objeto técnico-administrativo autónomo, desprovisto de intereses de clases, que implementa técnicamente políticas públicas para “resolver” los problemas de la población. Por el contrario, la acción del Estado, su alcance, sus límites y sus implicancias se comprenden situadamente en relación al reconocimiento de los intereses de clases representado en la trama institucional estatal y la conflictividad social que procesa y genera acciones esta</w:t>
      </w:r>
      <w:r>
        <w:rPr>
          <w:lang w:val="es-AR"/>
        </w:rPr>
        <w:t>ta</w:t>
      </w:r>
      <w:r w:rsidRPr="00806223">
        <w:rPr>
          <w:sz w:val="24"/>
          <w:szCs w:val="24"/>
          <w:lang w:val="es-AR"/>
        </w:rPr>
        <w:t>les</w:t>
      </w:r>
      <w:r>
        <w:rPr>
          <w:sz w:val="24"/>
          <w:szCs w:val="24"/>
          <w:lang w:val="es-AR"/>
        </w:rPr>
        <w:t xml:space="preserve"> (FERNÁNDEZ SOTO, 2016; 2017)</w:t>
      </w:r>
      <w:r w:rsidRPr="00806223">
        <w:rPr>
          <w:sz w:val="24"/>
          <w:szCs w:val="24"/>
          <w:lang w:val="es-AR"/>
        </w:rPr>
        <w:t xml:space="preserve">.  </w:t>
      </w:r>
    </w:p>
    <w:p w14:paraId="1C0F092F" w14:textId="77777777" w:rsidR="000318F5" w:rsidRPr="00806223" w:rsidRDefault="000318F5" w:rsidP="000318F5">
      <w:pPr>
        <w:spacing w:line="360" w:lineRule="auto"/>
        <w:ind w:firstLine="720"/>
        <w:jc w:val="both"/>
        <w:rPr>
          <w:sz w:val="24"/>
          <w:szCs w:val="24"/>
          <w:lang w:val="es-AR"/>
        </w:rPr>
      </w:pPr>
      <w:r>
        <w:rPr>
          <w:sz w:val="24"/>
          <w:szCs w:val="24"/>
          <w:lang w:val="es-AR"/>
        </w:rPr>
        <w:t xml:space="preserve">El análisis de </w:t>
      </w:r>
      <w:r w:rsidRPr="00806223">
        <w:rPr>
          <w:sz w:val="24"/>
          <w:szCs w:val="24"/>
          <w:lang w:val="es-AR"/>
        </w:rPr>
        <w:t>la dinámica de los Programas de Transferencias Monetarias existentes antes de la pandemia de COVID-19, y los programas adoptados para abordar las crisis sanitarias, económicas y sociales derivadas de dicha pandemia</w:t>
      </w:r>
      <w:r w:rsidRPr="001E3ED3">
        <w:rPr>
          <w:sz w:val="24"/>
          <w:szCs w:val="24"/>
          <w:lang w:val="es-AR"/>
        </w:rPr>
        <w:t xml:space="preserve"> </w:t>
      </w:r>
      <w:r>
        <w:rPr>
          <w:sz w:val="24"/>
          <w:szCs w:val="24"/>
          <w:lang w:val="es-AR"/>
        </w:rPr>
        <w:t>se inscribe en esta perspectiva</w:t>
      </w:r>
      <w:r w:rsidRPr="00806223">
        <w:rPr>
          <w:sz w:val="24"/>
          <w:szCs w:val="24"/>
          <w:lang w:val="es-AR"/>
        </w:rPr>
        <w:t xml:space="preserve">. El ámbito geográfico abarca los países de América Latina y el Caribe y su marco temporal comprende el período de 2020 a 2024. </w:t>
      </w:r>
    </w:p>
    <w:p w14:paraId="07E0232C" w14:textId="77777777" w:rsidR="000318F5" w:rsidRPr="00806223" w:rsidRDefault="000318F5" w:rsidP="000318F5">
      <w:pPr>
        <w:spacing w:line="360" w:lineRule="auto"/>
        <w:ind w:firstLine="720"/>
        <w:jc w:val="both"/>
        <w:rPr>
          <w:sz w:val="24"/>
          <w:szCs w:val="24"/>
          <w:lang w:val="es-AR"/>
        </w:rPr>
      </w:pPr>
      <w:r w:rsidRPr="00806223">
        <w:rPr>
          <w:sz w:val="24"/>
          <w:szCs w:val="24"/>
          <w:lang w:val="es-AR"/>
        </w:rPr>
        <w:t xml:space="preserve">El objetivo general que guio la investigación fue identificar, sistematizar, problematizar y difundir la dinámica histórica, el debate, la formulación y la implementación de los programas de transferencias monetarias focalizadas y la renta básica universal en los países de América Latina y el Caribe durante el período indicado. </w:t>
      </w:r>
      <w:r>
        <w:rPr>
          <w:sz w:val="24"/>
          <w:szCs w:val="24"/>
          <w:lang w:val="es-AR"/>
        </w:rPr>
        <w:t xml:space="preserve">A partir de este </w:t>
      </w:r>
      <w:r w:rsidRPr="00806223">
        <w:rPr>
          <w:sz w:val="24"/>
          <w:szCs w:val="24"/>
          <w:lang w:val="es-AR"/>
        </w:rPr>
        <w:t xml:space="preserve">objetivo general se </w:t>
      </w:r>
      <w:r>
        <w:rPr>
          <w:sz w:val="24"/>
          <w:szCs w:val="24"/>
          <w:lang w:val="es-AR"/>
        </w:rPr>
        <w:t xml:space="preserve">definieron </w:t>
      </w:r>
      <w:r w:rsidRPr="00806223">
        <w:rPr>
          <w:sz w:val="24"/>
          <w:szCs w:val="24"/>
          <w:lang w:val="es-AR"/>
        </w:rPr>
        <w:t>los objetivos específicos, que expresan las dimensiones que guiaron la investigación</w:t>
      </w:r>
      <w:r>
        <w:rPr>
          <w:rStyle w:val="Refdenotaderodap"/>
          <w:sz w:val="24"/>
          <w:szCs w:val="24"/>
          <w:lang w:val="es-AR"/>
        </w:rPr>
        <w:footnoteReference w:id="5"/>
      </w:r>
      <w:r w:rsidRPr="00806223">
        <w:rPr>
          <w:sz w:val="24"/>
          <w:szCs w:val="24"/>
          <w:lang w:val="es-AR"/>
        </w:rPr>
        <w:t>:</w:t>
      </w:r>
    </w:p>
    <w:p w14:paraId="3CB21352" w14:textId="77777777" w:rsidR="000318F5" w:rsidRPr="00806223" w:rsidRDefault="000318F5" w:rsidP="000318F5">
      <w:pPr>
        <w:spacing w:line="360" w:lineRule="auto"/>
        <w:ind w:firstLine="720"/>
        <w:jc w:val="both"/>
        <w:rPr>
          <w:sz w:val="24"/>
          <w:szCs w:val="24"/>
          <w:lang w:val="es-AR"/>
        </w:rPr>
      </w:pPr>
      <w:r>
        <w:rPr>
          <w:sz w:val="24"/>
          <w:szCs w:val="24"/>
          <w:lang w:val="es-AR"/>
        </w:rPr>
        <w:t>La perspectiva adoptada nos llevó</w:t>
      </w:r>
      <w:r w:rsidRPr="00806223">
        <w:rPr>
          <w:sz w:val="24"/>
          <w:szCs w:val="24"/>
          <w:lang w:val="es-AR"/>
        </w:rPr>
        <w:t xml:space="preserve"> a examinar los principales determinantes estructurales, expresión de la neoliberalización financiera del desarrollo del </w:t>
      </w:r>
      <w:r w:rsidRPr="00806223">
        <w:rPr>
          <w:sz w:val="24"/>
          <w:szCs w:val="24"/>
          <w:lang w:val="es-AR"/>
        </w:rPr>
        <w:lastRenderedPageBreak/>
        <w:t>capitalismo en ALyC</w:t>
      </w:r>
      <w:r>
        <w:rPr>
          <w:sz w:val="24"/>
          <w:szCs w:val="24"/>
          <w:lang w:val="es-AR"/>
        </w:rPr>
        <w:t>;</w:t>
      </w:r>
      <w:r w:rsidRPr="00806223">
        <w:rPr>
          <w:sz w:val="24"/>
          <w:szCs w:val="24"/>
          <w:lang w:val="es-AR"/>
        </w:rPr>
        <w:t xml:space="preserve"> sobre las líneas de acción del Estado materializados en las políticas públicas, en programas y acciones desplegados en la región.</w:t>
      </w:r>
    </w:p>
    <w:p w14:paraId="169BFD72" w14:textId="77777777" w:rsidR="000318F5" w:rsidRPr="00B477A8" w:rsidRDefault="000318F5" w:rsidP="000318F5">
      <w:pPr>
        <w:spacing w:line="240" w:lineRule="auto"/>
        <w:ind w:left="2880" w:firstLine="720"/>
        <w:jc w:val="both"/>
        <w:rPr>
          <w:color w:val="000000"/>
          <w:sz w:val="20"/>
          <w:szCs w:val="20"/>
          <w:lang w:val="es-AR"/>
        </w:rPr>
      </w:pPr>
      <w:r w:rsidRPr="00B477A8">
        <w:rPr>
          <w:sz w:val="20"/>
          <w:szCs w:val="20"/>
          <w:lang w:val="es-AR"/>
        </w:rPr>
        <w:t xml:space="preserve"> “En tanto la política social participa, no de un modo simple y estático, en la reproducción de la fuerza de trabajo en su conjunto, en los niveles de consumo alcanzados en general y por las capas más empobrecidas en particular, en los procesos de construcción de legitimidad del orden existente, expresando las contradicciones de los procesos sociales. (…) </w:t>
      </w:r>
      <w:r w:rsidRPr="00B477A8">
        <w:rPr>
          <w:color w:val="000000"/>
          <w:sz w:val="20"/>
          <w:szCs w:val="20"/>
          <w:lang w:val="es-AR"/>
        </w:rPr>
        <w:t>En este sentido, la política social entendida como concreción contiene una perspectiva de totalidad, que se desarrolla en el movimiento histórico en el cual se va creando y recreando con la participación de fuerzas antagónicas, participando en la construcción material y simbólica del consenso en la sociedad, y en tal sentido participando en la construcción de la hegemonía social.” (Fernández Soto, 2017,12)</w:t>
      </w:r>
    </w:p>
    <w:p w14:paraId="7956AAEB" w14:textId="77777777" w:rsidR="000318F5" w:rsidRPr="00806223" w:rsidRDefault="000318F5" w:rsidP="000318F5">
      <w:pPr>
        <w:spacing w:line="360" w:lineRule="auto"/>
        <w:ind w:firstLine="720"/>
        <w:jc w:val="both"/>
        <w:rPr>
          <w:sz w:val="24"/>
          <w:szCs w:val="24"/>
          <w:lang w:val="es-AR"/>
        </w:rPr>
      </w:pPr>
      <w:r w:rsidRPr="00806223">
        <w:rPr>
          <w:sz w:val="24"/>
          <w:szCs w:val="24"/>
          <w:lang w:val="es-AR"/>
        </w:rPr>
        <w:t>El proceso de investigación se fue desarrollando considerando la dinámica y procesualidad del objeto de estudio (emergencia, expansión/retracción, continuidades y rupturas). Para desarrollar el proceso de investigación se definieron tres momentos de conocimiento del objeto</w:t>
      </w:r>
      <w:r>
        <w:rPr>
          <w:sz w:val="24"/>
          <w:szCs w:val="24"/>
          <w:lang w:val="es-AR"/>
        </w:rPr>
        <w:t xml:space="preserve"> (SILVA, 2025)</w:t>
      </w:r>
      <w:r w:rsidRPr="00806223">
        <w:rPr>
          <w:sz w:val="24"/>
          <w:szCs w:val="24"/>
          <w:lang w:val="es-AR"/>
        </w:rPr>
        <w:t>:</w:t>
      </w:r>
    </w:p>
    <w:p w14:paraId="0CE7F588" w14:textId="77777777" w:rsidR="000318F5" w:rsidRPr="00806223" w:rsidRDefault="000318F5" w:rsidP="000318F5">
      <w:pPr>
        <w:spacing w:line="360" w:lineRule="auto"/>
        <w:ind w:firstLine="720"/>
        <w:jc w:val="both"/>
        <w:rPr>
          <w:sz w:val="24"/>
          <w:szCs w:val="24"/>
          <w:lang w:val="es-AR"/>
        </w:rPr>
      </w:pPr>
      <w:r w:rsidRPr="00806223">
        <w:rPr>
          <w:sz w:val="24"/>
          <w:szCs w:val="24"/>
          <w:lang w:val="es-AR"/>
        </w:rPr>
        <w:t xml:space="preserve">a) </w:t>
      </w:r>
      <w:r w:rsidRPr="00806223">
        <w:rPr>
          <w:i/>
          <w:sz w:val="24"/>
          <w:szCs w:val="24"/>
          <w:lang w:val="es-AR"/>
        </w:rPr>
        <w:t>Mapeo</w:t>
      </w:r>
      <w:r w:rsidRPr="00806223">
        <w:rPr>
          <w:sz w:val="24"/>
          <w:szCs w:val="24"/>
          <w:lang w:val="es-AR"/>
        </w:rPr>
        <w:t xml:space="preserve"> de programas de transferencias monetarias focalizadas y renta básica universal en países de América Latina y el Caribe. Esta fase la desarrollamos en los años 2020/2021.</w:t>
      </w:r>
    </w:p>
    <w:p w14:paraId="39C31522" w14:textId="77777777" w:rsidR="000318F5" w:rsidRPr="00806223" w:rsidRDefault="000318F5" w:rsidP="000318F5">
      <w:pPr>
        <w:spacing w:line="360" w:lineRule="auto"/>
        <w:ind w:firstLine="720"/>
        <w:jc w:val="both"/>
        <w:rPr>
          <w:sz w:val="24"/>
          <w:szCs w:val="24"/>
          <w:lang w:val="es-AR"/>
        </w:rPr>
      </w:pPr>
      <w:r w:rsidRPr="00806223">
        <w:rPr>
          <w:sz w:val="24"/>
          <w:szCs w:val="24"/>
          <w:lang w:val="es-AR"/>
        </w:rPr>
        <w:t xml:space="preserve">b) </w:t>
      </w:r>
      <w:r w:rsidRPr="00806223">
        <w:rPr>
          <w:i/>
          <w:sz w:val="24"/>
          <w:szCs w:val="24"/>
          <w:lang w:val="es-AR"/>
        </w:rPr>
        <w:t>Estudio exploratorio</w:t>
      </w:r>
      <w:r w:rsidRPr="00806223">
        <w:rPr>
          <w:sz w:val="24"/>
          <w:szCs w:val="24"/>
          <w:lang w:val="es-AR"/>
        </w:rPr>
        <w:t xml:space="preserve"> que permitió un análisis más profundo de programas de transferencias monetarias seleccionados, basado en el mapeo de estos programas en América Latina y el Caribe. Esta fase la desarrollamos en los años 2022/2023.</w:t>
      </w:r>
    </w:p>
    <w:p w14:paraId="0C0E9212" w14:textId="77777777" w:rsidR="000318F5" w:rsidRPr="00806223" w:rsidRDefault="000318F5" w:rsidP="000318F5">
      <w:pPr>
        <w:spacing w:line="360" w:lineRule="auto"/>
        <w:ind w:firstLine="720"/>
        <w:jc w:val="both"/>
        <w:rPr>
          <w:sz w:val="24"/>
          <w:szCs w:val="24"/>
          <w:lang w:val="es-AR"/>
        </w:rPr>
      </w:pPr>
      <w:r w:rsidRPr="00806223">
        <w:rPr>
          <w:sz w:val="24"/>
          <w:szCs w:val="24"/>
          <w:lang w:val="es-AR"/>
        </w:rPr>
        <w:t xml:space="preserve">c) </w:t>
      </w:r>
      <w:r w:rsidRPr="00806223">
        <w:rPr>
          <w:i/>
          <w:sz w:val="24"/>
          <w:szCs w:val="24"/>
          <w:lang w:val="es-AR"/>
        </w:rPr>
        <w:t>Estudio en profundidad</w:t>
      </w:r>
      <w:r w:rsidRPr="00806223">
        <w:rPr>
          <w:sz w:val="24"/>
          <w:szCs w:val="24"/>
          <w:lang w:val="es-AR"/>
        </w:rPr>
        <w:t xml:space="preserve"> cuya recolección de datos e información se desarrolló durante los años 2023/2024, utilizando como material de referencia básico el producto del estudio exploratorio de los programas de transferencias monetarias en América Latina y el Caribe, donde se focalizaron programas preexistentes y en ejecución para abordar las consecuencias de la COVID-19. Sin embargo, no se identificaron programas de renta básica universal e incondicional, según el concepto adoptado en el proyecto de investigación. Lo cual expresa los procesos hegemónicos desplegados y las fuerzas sociales desplegadas en el contexto pandémico y el desenlace posterior. </w:t>
      </w:r>
    </w:p>
    <w:p w14:paraId="2606726A" w14:textId="77777777" w:rsidR="000318F5" w:rsidRPr="00806223" w:rsidRDefault="000318F5" w:rsidP="000318F5">
      <w:pPr>
        <w:spacing w:line="360" w:lineRule="auto"/>
        <w:ind w:firstLine="720"/>
        <w:jc w:val="both"/>
        <w:rPr>
          <w:sz w:val="24"/>
          <w:szCs w:val="24"/>
          <w:lang w:val="es-AR"/>
        </w:rPr>
      </w:pPr>
      <w:r>
        <w:rPr>
          <w:sz w:val="24"/>
          <w:szCs w:val="24"/>
          <w:lang w:val="es-AR"/>
        </w:rPr>
        <w:lastRenderedPageBreak/>
        <w:t xml:space="preserve">La investigación se centró en </w:t>
      </w:r>
      <w:r w:rsidRPr="00806223">
        <w:rPr>
          <w:sz w:val="24"/>
          <w:szCs w:val="24"/>
          <w:lang w:val="es-AR"/>
        </w:rPr>
        <w:t>el protagonismo que adquieren las transferencias monetarias</w:t>
      </w:r>
      <w:r>
        <w:rPr>
          <w:sz w:val="24"/>
          <w:szCs w:val="24"/>
          <w:lang w:val="es-AR"/>
        </w:rPr>
        <w:t>, observando su procesualidad, es decir consideramos los condicionantes socio-históricos que actúan en la definición de las mismas</w:t>
      </w:r>
      <w:r w:rsidRPr="00806223">
        <w:rPr>
          <w:sz w:val="24"/>
          <w:szCs w:val="24"/>
          <w:lang w:val="es-AR"/>
        </w:rPr>
        <w:t xml:space="preserve">. Para ello </w:t>
      </w:r>
      <w:r>
        <w:rPr>
          <w:sz w:val="24"/>
          <w:szCs w:val="24"/>
          <w:lang w:val="es-AR"/>
        </w:rPr>
        <w:t>defini</w:t>
      </w:r>
      <w:r w:rsidRPr="00806223">
        <w:rPr>
          <w:sz w:val="24"/>
          <w:szCs w:val="24"/>
          <w:lang w:val="es-AR"/>
        </w:rPr>
        <w:t xml:space="preserve">mos un conjunto de dimensiones de análisis que en su agregado nos permite observar las maneras particulares en las que emergen y se desarrollan en las realidades nacionales estudiadas. Las dimensiones contempladas </w:t>
      </w:r>
      <w:r>
        <w:rPr>
          <w:sz w:val="24"/>
          <w:szCs w:val="24"/>
          <w:lang w:val="es-AR"/>
        </w:rPr>
        <w:t>fueron</w:t>
      </w:r>
      <w:r w:rsidRPr="00806223">
        <w:rPr>
          <w:sz w:val="24"/>
          <w:szCs w:val="24"/>
          <w:lang w:val="es-AR"/>
        </w:rPr>
        <w:t>: Público objetivo y beneficiarios de los programas en ejecución y criterios para su inclusión; incorporación de algún tipo de condicionalidades y controles a la adecuación de comportamientos de individuos o familias tales como prevención de epidemias y pandemia; objetivos de los programas y propuestas implementadas; prestaciones dinerarias y articulación con otras prestaciones; duración del programa; financiamiento (fuentes y montos de los fondos) de los programas.</w:t>
      </w:r>
    </w:p>
    <w:p w14:paraId="606016FC" w14:textId="77777777" w:rsidR="000318F5" w:rsidRPr="00806223" w:rsidRDefault="000318F5" w:rsidP="000318F5">
      <w:pPr>
        <w:spacing w:line="360" w:lineRule="auto"/>
        <w:ind w:firstLine="720"/>
        <w:jc w:val="both"/>
        <w:rPr>
          <w:sz w:val="24"/>
          <w:szCs w:val="24"/>
          <w:lang w:val="es-AR"/>
        </w:rPr>
      </w:pPr>
      <w:r w:rsidRPr="00806223">
        <w:rPr>
          <w:sz w:val="24"/>
          <w:szCs w:val="24"/>
          <w:lang w:val="es-AR"/>
        </w:rPr>
        <w:t xml:space="preserve">La construcción del conjunto de estos datos por cada uno de los países analizados, </w:t>
      </w:r>
      <w:r>
        <w:rPr>
          <w:sz w:val="24"/>
          <w:szCs w:val="24"/>
          <w:lang w:val="es-AR"/>
        </w:rPr>
        <w:t xml:space="preserve">permitió caracterizar </w:t>
      </w:r>
      <w:r w:rsidRPr="00806223">
        <w:rPr>
          <w:sz w:val="24"/>
          <w:szCs w:val="24"/>
          <w:lang w:val="es-AR"/>
        </w:rPr>
        <w:t xml:space="preserve">cada una de las medidas identificadas y considerados en su integralidad comprender el significado que adquieren en el contexto en que se sitúan. </w:t>
      </w:r>
    </w:p>
    <w:p w14:paraId="615EB084" w14:textId="77777777" w:rsidR="000318F5" w:rsidRPr="00806223" w:rsidRDefault="000318F5" w:rsidP="000318F5">
      <w:pPr>
        <w:spacing w:line="360" w:lineRule="auto"/>
        <w:ind w:firstLine="720"/>
        <w:jc w:val="both"/>
        <w:rPr>
          <w:sz w:val="24"/>
          <w:szCs w:val="24"/>
          <w:lang w:val="es-AR"/>
        </w:rPr>
      </w:pPr>
      <w:r w:rsidRPr="00806223">
        <w:rPr>
          <w:sz w:val="24"/>
          <w:szCs w:val="24"/>
          <w:lang w:val="es-AR"/>
        </w:rPr>
        <w:t>Las fuentes utilizadas son documentos oficiales de creación y reglamentación de los PTM, datos de los sistemas de estadísticas nacionales, datos institucionales gubernamentales, documentos de organismos internacionales, informes y resultados de investigación.</w:t>
      </w:r>
    </w:p>
    <w:p w14:paraId="08A6922C" w14:textId="77777777" w:rsidR="000318F5" w:rsidRDefault="000318F5" w:rsidP="000318F5">
      <w:pPr>
        <w:spacing w:line="360" w:lineRule="auto"/>
        <w:jc w:val="both"/>
        <w:rPr>
          <w:b/>
          <w:sz w:val="24"/>
          <w:szCs w:val="24"/>
          <w:lang w:val="es-AR"/>
        </w:rPr>
      </w:pPr>
      <w:r w:rsidRPr="00D23C4E">
        <w:rPr>
          <w:b/>
          <w:sz w:val="24"/>
          <w:szCs w:val="24"/>
          <w:lang w:val="es-UY"/>
        </w:rPr>
        <w:t>3</w:t>
      </w:r>
      <w:r w:rsidRPr="00D23C4E">
        <w:rPr>
          <w:b/>
          <w:sz w:val="24"/>
          <w:szCs w:val="24"/>
          <w:lang w:val="es-UY"/>
        </w:rPr>
        <w:tab/>
      </w:r>
      <w:r>
        <w:rPr>
          <w:b/>
          <w:sz w:val="24"/>
          <w:szCs w:val="24"/>
          <w:lang w:val="es-AR"/>
        </w:rPr>
        <w:t>I</w:t>
      </w:r>
      <w:r w:rsidRPr="00FF6B93">
        <w:rPr>
          <w:b/>
          <w:sz w:val="24"/>
          <w:szCs w:val="24"/>
          <w:lang w:val="es-AR"/>
        </w:rPr>
        <w:t>NTENSIFICACIÓN Y RECREACIÓN DE LA TRAMA DE LA DESIGUALDAD</w:t>
      </w:r>
      <w:r>
        <w:rPr>
          <w:b/>
          <w:sz w:val="24"/>
          <w:szCs w:val="24"/>
          <w:lang w:val="es-AR"/>
        </w:rPr>
        <w:t xml:space="preserve"> EN ALYC</w:t>
      </w:r>
    </w:p>
    <w:p w14:paraId="794249C5" w14:textId="77777777" w:rsidR="000318F5" w:rsidRPr="00806223" w:rsidRDefault="000318F5" w:rsidP="000318F5">
      <w:pPr>
        <w:autoSpaceDE w:val="0"/>
        <w:autoSpaceDN w:val="0"/>
        <w:adjustRightInd w:val="0"/>
        <w:spacing w:line="360" w:lineRule="auto"/>
        <w:ind w:firstLine="709"/>
        <w:jc w:val="both"/>
        <w:rPr>
          <w:sz w:val="24"/>
          <w:szCs w:val="24"/>
          <w:lang w:val="es-AR"/>
        </w:rPr>
      </w:pPr>
      <w:r w:rsidRPr="00806223">
        <w:rPr>
          <w:sz w:val="24"/>
          <w:szCs w:val="24"/>
          <w:lang w:val="es-AR"/>
        </w:rPr>
        <w:t>Entre 2014 y 2019 ALyC manifiesta una desaceleración tendencial de la actividad económica; caídas del PIB per cápita (4,2%), la inversión, el consumo per cápita y las exportaciones. Se expresa al mismo tiempo deterioros en la calidad de los empleos, el incremento del desempleo que se expande de 6.2% en 2015 a 8.1% en 2019 (CEPAL 20</w:t>
      </w:r>
      <w:r>
        <w:rPr>
          <w:sz w:val="24"/>
          <w:szCs w:val="24"/>
          <w:lang w:val="es-AR"/>
        </w:rPr>
        <w:t>20</w:t>
      </w:r>
      <w:r w:rsidRPr="00806223">
        <w:rPr>
          <w:sz w:val="24"/>
          <w:szCs w:val="24"/>
          <w:lang w:val="es-AR"/>
        </w:rPr>
        <w:t xml:space="preserve">). </w:t>
      </w:r>
    </w:p>
    <w:p w14:paraId="7F14F5B6" w14:textId="77777777" w:rsidR="000318F5" w:rsidRPr="00806223" w:rsidRDefault="000318F5" w:rsidP="000318F5">
      <w:pPr>
        <w:spacing w:line="360" w:lineRule="auto"/>
        <w:ind w:firstLine="709"/>
        <w:jc w:val="both"/>
        <w:rPr>
          <w:sz w:val="24"/>
          <w:szCs w:val="24"/>
          <w:lang w:val="es-AR"/>
        </w:rPr>
      </w:pPr>
      <w:r w:rsidRPr="00806223">
        <w:rPr>
          <w:sz w:val="24"/>
          <w:szCs w:val="24"/>
          <w:lang w:val="es-AR"/>
        </w:rPr>
        <w:t xml:space="preserve">La pandemia de COVID-19 irrumpe en este escenario en marzo del 2020 y profundiza el deterioro de las condiciones materiales de existencias de la población </w:t>
      </w:r>
      <w:r w:rsidRPr="00806223">
        <w:rPr>
          <w:sz w:val="24"/>
          <w:szCs w:val="24"/>
          <w:lang w:val="es-AR"/>
        </w:rPr>
        <w:lastRenderedPageBreak/>
        <w:t xml:space="preserve">latinoamericana y caribeña, que ya se venía expresando un proceso de declive y erosión. </w:t>
      </w:r>
      <w:r>
        <w:rPr>
          <w:sz w:val="24"/>
          <w:szCs w:val="24"/>
          <w:lang w:val="es-AR"/>
        </w:rPr>
        <w:t>ALYC h</w:t>
      </w:r>
      <w:r w:rsidRPr="00806223">
        <w:rPr>
          <w:sz w:val="24"/>
          <w:szCs w:val="24"/>
          <w:lang w:val="es-AR"/>
        </w:rPr>
        <w:t>a sido la región más afectada; a octubre de 2021 registraba el 18,5% de los contagios y el 30,3% de las muertes en el mundo, pese a que su población representa solo el 8,4% del total mundial (2021)</w:t>
      </w:r>
      <w:r w:rsidRPr="00806223">
        <w:rPr>
          <w:rStyle w:val="Refdenotaderodap"/>
          <w:sz w:val="24"/>
          <w:szCs w:val="24"/>
          <w:lang w:val="es-AR"/>
        </w:rPr>
        <w:footnoteReference w:id="6"/>
      </w:r>
      <w:r w:rsidRPr="00806223">
        <w:rPr>
          <w:sz w:val="24"/>
          <w:szCs w:val="24"/>
          <w:lang w:val="es-AR"/>
        </w:rPr>
        <w:t xml:space="preserve">. Así, en el primer año de la pandemia, la tasa de desempleo en América Latina y el Caribe aumentó 2,1 puntos porcentuales y el nivel de empleo cayó por debajo del 50%, afectando especialmente a los/as trabajadores informales, los/as trabajadores temporarios, las mujeres y el sector servicios. En el servicio doméstico, que representa casi el 7% del total de empleos en la región con una alta incidencia de participación femenina, uno de cada cinco trabajadores perdió su empleo en el primer semestre de 2020 (CEPAL, 2022). Al mismo tiempo, los sectores que mostraron las mayores tasas de caída del empleo fueron las áreas de hotelería, construcción, comercio y transporte, que en conjunto representan el 40% del empleo total regional (CEPAL, 2022). América Latina y el Caribe también registró la mayor contracción de la jornada laboral a nivel mundial: se estimó una pérdida del 16,2%, lo que representa el doble del promedio mundial del 8,8% (CEPAL/OIT, 2021). </w:t>
      </w:r>
    </w:p>
    <w:p w14:paraId="62233DBA" w14:textId="77777777" w:rsidR="000318F5" w:rsidRPr="00806223" w:rsidRDefault="000318F5" w:rsidP="000318F5">
      <w:pPr>
        <w:autoSpaceDE w:val="0"/>
        <w:autoSpaceDN w:val="0"/>
        <w:adjustRightInd w:val="0"/>
        <w:spacing w:line="360" w:lineRule="auto"/>
        <w:ind w:firstLine="709"/>
        <w:jc w:val="both"/>
        <w:rPr>
          <w:sz w:val="24"/>
          <w:szCs w:val="24"/>
          <w:lang w:val="es-AR"/>
        </w:rPr>
      </w:pPr>
      <w:r w:rsidRPr="00806223">
        <w:rPr>
          <w:sz w:val="24"/>
          <w:szCs w:val="24"/>
          <w:lang w:val="es-AR"/>
        </w:rPr>
        <w:t xml:space="preserve">Los impactos son múltiples y profundos, se produce una masiva salida de las mujeres del mercado de trabajo, un incremento de 22 millones de personas en situación de pobreza (hasta un total de 209 millones, el 33,7% de la población de América Latina) y un incremento del coeficiente de Gini del 2,9% (CEPAL, 2021 desastres…). Esto significa que la región se torna más desigual, ensancha la pobreza y la dedicación de las mujeres a las tareas de cuidado domésticas, afecta su inserción al mercado laboral durante y posteriormente a la pandemia. Es decir, trastoca en un movimiento de desigualdad los arreglos sociales alcanzados, afectando regresivamente todos los ámbitos de la sociedad. </w:t>
      </w:r>
      <w:r w:rsidRPr="00221F2F">
        <w:rPr>
          <w:sz w:val="24"/>
          <w:szCs w:val="24"/>
          <w:lang w:val="es-AR"/>
        </w:rPr>
        <w:t xml:space="preserve">La contracción de la actividad económica, y las consiguientes pérdidas de puestos de trabajo y reducción </w:t>
      </w:r>
      <w:r w:rsidRPr="00221F2F">
        <w:rPr>
          <w:sz w:val="24"/>
          <w:szCs w:val="24"/>
          <w:lang w:val="es-AR"/>
        </w:rPr>
        <w:lastRenderedPageBreak/>
        <w:t>de los ingresos laborales, generaron un proceso de movilidad descendente, ensanchando y complejizando el universo de la pobreza. (CEPAL, 2021)</w:t>
      </w:r>
    </w:p>
    <w:p w14:paraId="7D03F716" w14:textId="77777777" w:rsidR="000318F5" w:rsidRPr="00806223" w:rsidRDefault="000318F5" w:rsidP="000318F5">
      <w:pPr>
        <w:spacing w:line="360" w:lineRule="auto"/>
        <w:ind w:firstLine="709"/>
        <w:jc w:val="both"/>
        <w:rPr>
          <w:sz w:val="24"/>
          <w:szCs w:val="24"/>
          <w:lang w:val="es-AR"/>
        </w:rPr>
      </w:pPr>
      <w:r w:rsidRPr="00806223">
        <w:rPr>
          <w:sz w:val="24"/>
          <w:szCs w:val="24"/>
          <w:lang w:val="es-AR"/>
        </w:rPr>
        <w:t>Además, durante 2019 y 2020, el aumento de los salarios mínimos en los países de la región se consideró marginal en comparación con los observados entre 2010 y 2018. En 2021, el 54,3% de las personas que forman parte de la PEA (población económicamente activa) en América Latina no contribuía a los sistemas de pensiones, lo que muestra las brechas de desigualdad de la protección socia</w:t>
      </w:r>
      <w:r>
        <w:rPr>
          <w:sz w:val="24"/>
          <w:szCs w:val="24"/>
          <w:lang w:val="es-AR"/>
        </w:rPr>
        <w:t xml:space="preserve">l en el presente y en el futuro. </w:t>
      </w:r>
      <w:r w:rsidRPr="00806223">
        <w:rPr>
          <w:sz w:val="24"/>
          <w:szCs w:val="24"/>
          <w:lang w:val="es-AR"/>
        </w:rPr>
        <w:t>Otro dato relevante a señalar es la devaluación del valor de la fuerza de trabajo, según datos de la CEPAL</w:t>
      </w:r>
      <w:r>
        <w:rPr>
          <w:sz w:val="24"/>
          <w:szCs w:val="24"/>
          <w:lang w:val="es-AR"/>
        </w:rPr>
        <w:t xml:space="preserve"> (2023)</w:t>
      </w:r>
      <w:r w:rsidRPr="00806223">
        <w:rPr>
          <w:sz w:val="24"/>
          <w:szCs w:val="24"/>
          <w:lang w:val="es-AR"/>
        </w:rPr>
        <w:t>. EN 2022, el 17% de los ocupados estaban en situación de pobreza y el 36,8% tenía ingresos laborales inferiores al salario mínimo. Esta realidad nos indica que la precarización laboral en la reproducción del ciclo del capital en la región se constituye en componente central.</w:t>
      </w:r>
    </w:p>
    <w:p w14:paraId="1C2B0420" w14:textId="77777777" w:rsidR="000318F5" w:rsidRPr="00806223" w:rsidRDefault="000318F5" w:rsidP="000318F5">
      <w:pPr>
        <w:autoSpaceDE w:val="0"/>
        <w:autoSpaceDN w:val="0"/>
        <w:adjustRightInd w:val="0"/>
        <w:spacing w:line="360" w:lineRule="auto"/>
        <w:ind w:firstLine="709"/>
        <w:jc w:val="both"/>
        <w:rPr>
          <w:sz w:val="24"/>
          <w:szCs w:val="24"/>
          <w:lang w:val="es-AR"/>
        </w:rPr>
      </w:pPr>
      <w:r w:rsidRPr="00806223">
        <w:rPr>
          <w:sz w:val="24"/>
          <w:szCs w:val="24"/>
          <w:lang w:val="es-AR"/>
        </w:rPr>
        <w:t xml:space="preserve">La intensificación de la crisis en el contexto del  COVID-19 ha evidenciado, además, las fragilidades y vacíos de los sistemas de protección social en la región, que mantuvieron esquemas desiguales de acceso y la segmentación de las prestaciones, con baja cobertura del componente contributivo (en 2019, solo el 47,2% de las personas ocupadas estaban afiliadas o cotizaban a un sistema de pensiones) y limitaciones al componente no contributivo, que se perfiló e institucionalizó en la paliación de la pobreza extrema (en 2019, la cobertura de las transferencias condicionadas fue de un 18,5% de la población de la región) (CEPAL, 2021). </w:t>
      </w:r>
      <w:r>
        <w:rPr>
          <w:sz w:val="24"/>
          <w:szCs w:val="24"/>
          <w:lang w:val="es-AR"/>
        </w:rPr>
        <w:t>S</w:t>
      </w:r>
      <w:r w:rsidRPr="00806223">
        <w:rPr>
          <w:sz w:val="24"/>
          <w:szCs w:val="24"/>
          <w:lang w:val="es-AR"/>
        </w:rPr>
        <w:t xml:space="preserve">i bien la pandemia expresó una oportunidad para definir políticas que reafirmen derechos y garanticen estándares materiales de bienestar al conjunto de la población, lo que muestra el trabajo de investigación es un proceso de expansión de ayudas emergenciales y puntuales en el contexto pandémico y una retracción posterior, confirmando una “normalidad” más desigual y empobrecida. </w:t>
      </w:r>
    </w:p>
    <w:p w14:paraId="394A004A" w14:textId="77777777" w:rsidR="000318F5" w:rsidRDefault="000318F5" w:rsidP="000318F5">
      <w:pPr>
        <w:spacing w:line="360" w:lineRule="auto"/>
        <w:jc w:val="both"/>
        <w:rPr>
          <w:b/>
          <w:sz w:val="24"/>
          <w:szCs w:val="24"/>
          <w:lang w:val="es-AR"/>
        </w:rPr>
      </w:pPr>
      <w:r w:rsidRPr="00D23C4E">
        <w:rPr>
          <w:b/>
          <w:sz w:val="24"/>
          <w:szCs w:val="24"/>
          <w:lang w:val="es-UY"/>
        </w:rPr>
        <w:t>4</w:t>
      </w:r>
      <w:r w:rsidRPr="00D23C4E">
        <w:rPr>
          <w:b/>
          <w:sz w:val="24"/>
          <w:szCs w:val="24"/>
          <w:lang w:val="es-UY"/>
        </w:rPr>
        <w:tab/>
      </w:r>
      <w:r w:rsidRPr="00FF6B93">
        <w:rPr>
          <w:b/>
          <w:sz w:val="24"/>
          <w:szCs w:val="24"/>
          <w:lang w:val="es-AR"/>
        </w:rPr>
        <w:t xml:space="preserve">LAS TRANSFERENCIAS MONETARIAS EN LA PANDEMIA. </w:t>
      </w:r>
      <w:r>
        <w:rPr>
          <w:b/>
          <w:sz w:val="24"/>
          <w:szCs w:val="24"/>
          <w:lang w:val="es-AR"/>
        </w:rPr>
        <w:t xml:space="preserve">RESPUESTAS INMEDIATAS EN LA </w:t>
      </w:r>
      <w:r w:rsidRPr="00FF6B93">
        <w:rPr>
          <w:b/>
          <w:sz w:val="24"/>
          <w:szCs w:val="24"/>
          <w:lang w:val="es-AR"/>
        </w:rPr>
        <w:t>EMERGENCIA Y PUNTUALIZACIÓN MOMENTANEA DE LA ASISTENCIA</w:t>
      </w:r>
    </w:p>
    <w:p w14:paraId="66F9E75B" w14:textId="77777777" w:rsidR="000318F5" w:rsidRPr="00806223" w:rsidRDefault="000318F5" w:rsidP="000318F5">
      <w:pPr>
        <w:spacing w:line="360" w:lineRule="auto"/>
        <w:ind w:firstLine="709"/>
        <w:jc w:val="both"/>
        <w:rPr>
          <w:sz w:val="24"/>
          <w:szCs w:val="24"/>
          <w:lang w:val="es-AR"/>
        </w:rPr>
      </w:pPr>
      <w:r w:rsidRPr="00806223">
        <w:rPr>
          <w:sz w:val="24"/>
          <w:szCs w:val="24"/>
          <w:lang w:val="es-AR"/>
        </w:rPr>
        <w:lastRenderedPageBreak/>
        <w:t>De acuerdo con información de la CEPAL (2021), en el contexto de la pandemia, los países de América Latina y el Caribe desarrollaron acciones de protección social, incluyendo transferencias monetarias de emergencia y ampliación de la cobertura del seguro de desempleo. Aunque hubo una reducción de esta cobertura en los primeros meses de 2021. Ante la expansión de la crisis sanitaria, los países se vieron obligados a prorrogar medidas extraordinarias y de emergencia de protección social.</w:t>
      </w:r>
    </w:p>
    <w:p w14:paraId="1C2D6B0C" w14:textId="77777777" w:rsidR="000318F5" w:rsidRPr="00806223" w:rsidRDefault="000318F5" w:rsidP="000318F5">
      <w:pPr>
        <w:spacing w:line="360" w:lineRule="auto"/>
        <w:ind w:firstLine="709"/>
        <w:jc w:val="both"/>
        <w:rPr>
          <w:sz w:val="24"/>
          <w:szCs w:val="24"/>
          <w:lang w:val="es-AR"/>
        </w:rPr>
      </w:pPr>
      <w:r w:rsidRPr="00806223">
        <w:rPr>
          <w:sz w:val="24"/>
          <w:szCs w:val="24"/>
          <w:lang w:val="es-AR"/>
        </w:rPr>
        <w:t>En cuanto a la protección social no contributiva, al cierre de octubre de 2021 se habían anunciado 468 medidas que alcanzaron a alrededor de 422 millones de personas. De este total, 230 se implementaron en América del Sur, 128 en países del Caribe de habla inglesa y 110 en países de Centroamérica, en particular México, Cuba, Haití y República Dominicana. También se anunciaron 64 medidas en 14 territorios independientes del Caribe (CEPAL, 2021).</w:t>
      </w:r>
    </w:p>
    <w:p w14:paraId="15706ECC" w14:textId="77777777" w:rsidR="000318F5" w:rsidRPr="00806223" w:rsidRDefault="000318F5" w:rsidP="000318F5">
      <w:pPr>
        <w:spacing w:line="360" w:lineRule="auto"/>
        <w:ind w:firstLine="709"/>
        <w:jc w:val="both"/>
        <w:rPr>
          <w:sz w:val="24"/>
          <w:szCs w:val="24"/>
          <w:lang w:val="es-AR"/>
        </w:rPr>
      </w:pPr>
      <w:r w:rsidRPr="00806223">
        <w:rPr>
          <w:sz w:val="24"/>
          <w:szCs w:val="24"/>
          <w:lang w:val="es-AR"/>
        </w:rPr>
        <w:t>Las medidas de protección social no contributivas de emergencia son principalmente de tres tipos: a) transferencias monetarias; b) las transferencias en especie, que incluyen la entrega de alimentos, medicinas y en Chile, El Salvador, Jamaica y Santa Lucía también se incluyen productos de higiene, anticonceptivos y material educativo, como computadoras, tabletas y teléfonos celulares; c) acceso garantizado a los servicios básicos (agua, energía, teléfono e Internet). En 30 países también se iniciaron 90 medidas destinadas a reducir los gastos familiares a través de la eliminación de multas, suspensión de fechas de cobro y ampliación de plazos para el pago de impuestos. Alrededor del 85,7% de estas medidas fueron anunciadas e implementadas en 2020 (CEPAL, 2021).</w:t>
      </w:r>
    </w:p>
    <w:p w14:paraId="15574DDF" w14:textId="77777777" w:rsidR="000318F5" w:rsidRPr="00806223" w:rsidRDefault="000318F5" w:rsidP="000318F5">
      <w:pPr>
        <w:spacing w:line="360" w:lineRule="auto"/>
        <w:ind w:firstLine="709"/>
        <w:jc w:val="both"/>
        <w:rPr>
          <w:sz w:val="24"/>
          <w:szCs w:val="24"/>
          <w:lang w:val="es-AR"/>
        </w:rPr>
      </w:pPr>
      <w:r w:rsidRPr="00806223">
        <w:rPr>
          <w:sz w:val="24"/>
          <w:szCs w:val="24"/>
          <w:lang w:val="es-AR"/>
        </w:rPr>
        <w:t xml:space="preserve">Los datos indicados, muestran la multiplicidad de medidas de emergencias adoptadas por los gobiernos de </w:t>
      </w:r>
      <w:r>
        <w:rPr>
          <w:sz w:val="24"/>
          <w:szCs w:val="24"/>
          <w:lang w:val="es-AR"/>
        </w:rPr>
        <w:t>ALYC</w:t>
      </w:r>
      <w:r w:rsidRPr="00806223">
        <w:rPr>
          <w:sz w:val="24"/>
          <w:szCs w:val="24"/>
          <w:lang w:val="es-AR"/>
        </w:rPr>
        <w:t xml:space="preserve"> en el contexto de intensificación de la crisis por la pandemia por COVID-19. En este proceso, la protección social no contributiva adquiere un gran protagonismo. Se muestra en la combinación del mantenimiento y ampliación de las transferencias monetarias existentes (en relación a la población alcanzada y los montos transferidos) y en el diseño e implementación de </w:t>
      </w:r>
      <w:r w:rsidRPr="00221F2F">
        <w:rPr>
          <w:sz w:val="24"/>
          <w:szCs w:val="24"/>
          <w:lang w:val="es-AR"/>
        </w:rPr>
        <w:t xml:space="preserve">nuevos </w:t>
      </w:r>
      <w:r w:rsidRPr="00221F2F">
        <w:rPr>
          <w:sz w:val="24"/>
          <w:szCs w:val="24"/>
          <w:lang w:val="es-AR"/>
        </w:rPr>
        <w:lastRenderedPageBreak/>
        <w:t>programas</w:t>
      </w:r>
      <w:r w:rsidRPr="00806223">
        <w:rPr>
          <w:sz w:val="24"/>
          <w:szCs w:val="24"/>
          <w:lang w:val="es-AR"/>
        </w:rPr>
        <w:t xml:space="preserve"> de transferencias de emergencia. dirigidos a llegar con celeridad en una escala bastante grande a hogares previamente no cubiertos por los esquemas vigentes de protección social. </w:t>
      </w:r>
    </w:p>
    <w:p w14:paraId="51531B9C" w14:textId="77777777" w:rsidR="000318F5" w:rsidRPr="00806223" w:rsidRDefault="000318F5" w:rsidP="000318F5">
      <w:pPr>
        <w:spacing w:line="360" w:lineRule="auto"/>
        <w:ind w:firstLine="709"/>
        <w:jc w:val="both"/>
        <w:rPr>
          <w:sz w:val="24"/>
          <w:szCs w:val="24"/>
          <w:lang w:val="es-AR"/>
        </w:rPr>
      </w:pPr>
      <w:r w:rsidRPr="00806223">
        <w:rPr>
          <w:sz w:val="24"/>
          <w:szCs w:val="24"/>
          <w:lang w:val="es-AR"/>
        </w:rPr>
        <w:t>Nuestra investigación extendió el universo de países estudiados a 41</w:t>
      </w:r>
      <w:r w:rsidRPr="00806223">
        <w:rPr>
          <w:rStyle w:val="Refdenotaderodap"/>
          <w:sz w:val="24"/>
          <w:szCs w:val="24"/>
          <w:lang w:val="es-AR"/>
        </w:rPr>
        <w:footnoteReference w:id="7"/>
      </w:r>
      <w:r w:rsidRPr="00806223">
        <w:rPr>
          <w:sz w:val="24"/>
          <w:szCs w:val="24"/>
          <w:lang w:val="es-AR"/>
        </w:rPr>
        <w:t>, incorporando la región del Caribe de manera más uniforme, utilizando como referencia el análisis de los programas de transferencias monetarias preexistentes y los implementados a raíz de la pandemia de COVID-19. En este contexto, es posible observar que el 61,0% de los países de la región ya implementaban Programas de Transferencias Monetarias (PTM), pero con disparidades significativas entre América Latina y el Caribe. En América Latina, los PTM estaban vigentes en prácticamente todos los países (90,5%), y su implementación es el resultado de diferentes trayectorias en la configuración histórica de los sistemas nacionales de protección social. A pesar de su amplia difusión, desde la década de 2000, los esquemas no contributivos de esta naturaleza se remontan a la década de 1970 en el caso de Cuba, Costa Rica y Chile, a la década de 1980 en Dominica y a la década de 1990 en Brasil. El Caribe se ha vuelto emblemático en la investigación, pues, si bien concentra las formas más agudas de expresión del saqueo del trabajo, de la vida y los efectos depredadores del capitalismo en términos de desastres ambientales en el continente, la implementación de PTM antes de la pandemia se observó solo en un tercio de los países (30,0%) (ARREGUI, FERNÁNDEZ SOTO, 2025</w:t>
      </w:r>
      <w:r>
        <w:rPr>
          <w:sz w:val="24"/>
          <w:szCs w:val="24"/>
          <w:lang w:val="es-AR"/>
        </w:rPr>
        <w:t>; SILVA, 2025</w:t>
      </w:r>
      <w:r w:rsidRPr="00806223">
        <w:rPr>
          <w:sz w:val="24"/>
          <w:szCs w:val="24"/>
          <w:lang w:val="es-AR"/>
        </w:rPr>
        <w:t>).</w:t>
      </w:r>
    </w:p>
    <w:p w14:paraId="7C5700F7" w14:textId="77777777" w:rsidR="000318F5" w:rsidRPr="00806223" w:rsidRDefault="000318F5" w:rsidP="000318F5">
      <w:pPr>
        <w:spacing w:line="360" w:lineRule="auto"/>
        <w:ind w:firstLine="709"/>
        <w:jc w:val="both"/>
        <w:rPr>
          <w:sz w:val="24"/>
          <w:szCs w:val="24"/>
          <w:lang w:val="es-AR"/>
        </w:rPr>
      </w:pPr>
      <w:r w:rsidRPr="00806223">
        <w:rPr>
          <w:sz w:val="24"/>
          <w:szCs w:val="24"/>
          <w:lang w:val="es-AR"/>
        </w:rPr>
        <w:t xml:space="preserve">La evidencia empírica nos indica que los mecanismos de transferencias monetarias no contributivas adquieren relevancia en las respuestas estatales para mitigar las necesidades básicas de los hogares pobres en contexto de agudización de la crisis. Las experiencias nacionales estudiadas nos muestran de adecuaciones normativas, definición de procesos de implementación específicos, extensión de la </w:t>
      </w:r>
      <w:r w:rsidRPr="00806223">
        <w:rPr>
          <w:sz w:val="24"/>
          <w:szCs w:val="24"/>
          <w:lang w:val="es-AR"/>
        </w:rPr>
        <w:lastRenderedPageBreak/>
        <w:t xml:space="preserve">bancarización de la asistencia, fortalecimiento de los sistemas de registro, selectividad y comunicación con el universo de personas incluidas, ajuste de exigencias para la permanencia, suspensiones de condicionalidades, montaje y ampliación de la gestión digital de los procesos de desarrollo de las medidas (ARREGUI, FERNÁNDEZ SOTO, 2025). </w:t>
      </w:r>
    </w:p>
    <w:p w14:paraId="30CD0702" w14:textId="77777777" w:rsidR="000318F5" w:rsidRDefault="000318F5" w:rsidP="000318F5">
      <w:pPr>
        <w:spacing w:line="360" w:lineRule="auto"/>
        <w:ind w:firstLine="709"/>
        <w:jc w:val="both"/>
        <w:rPr>
          <w:rFonts w:eastAsia="Times New Roman"/>
          <w:sz w:val="24"/>
          <w:szCs w:val="24"/>
          <w:lang w:val="es-AR"/>
        </w:rPr>
      </w:pPr>
      <w:r w:rsidRPr="00BD0D00">
        <w:rPr>
          <w:rFonts w:eastAsia="Times New Roman"/>
          <w:sz w:val="24"/>
          <w:szCs w:val="24"/>
          <w:lang w:val="es-AR"/>
        </w:rPr>
        <w:t>Entre las nuevas medidas, la expansión excepcional de las transferencias monetarias vinculadas a los PTM existentes representó el 25% del total de acciones en América Latina y el Caribe, mediante la implementación de beneficios adicionales, aumentos en el valor de las transferencias, pagos anticipados y/o aumentos temporales en la cobertura de beneficiarios. Sin embargo, la opción más frecuente fue la implementación de nuevas transferencias monetarias (75%), cuyo objetivo fue mitigar los efectos económicos y sociales y contener la pérdida de ingresos de los trabajadores desempleados e informales, no cubiertos ni por estrategias de protección social contributivas ni por la existencia de programas de transferencias monetarias no contributivas</w:t>
      </w:r>
      <w:r>
        <w:rPr>
          <w:rFonts w:eastAsia="Times New Roman"/>
          <w:sz w:val="24"/>
          <w:szCs w:val="24"/>
          <w:lang w:val="es-AR"/>
        </w:rPr>
        <w:t xml:space="preserve"> </w:t>
      </w:r>
      <w:r w:rsidRPr="00806223">
        <w:rPr>
          <w:sz w:val="24"/>
          <w:szCs w:val="24"/>
          <w:lang w:val="es-AR"/>
        </w:rPr>
        <w:t>(ARREGUI, FERNÁNDEZ SOTO, 2025)</w:t>
      </w:r>
      <w:r w:rsidRPr="00BD0D00">
        <w:rPr>
          <w:rFonts w:eastAsia="Times New Roman"/>
          <w:sz w:val="24"/>
          <w:szCs w:val="24"/>
          <w:lang w:val="es-AR"/>
        </w:rPr>
        <w:t>.</w:t>
      </w:r>
    </w:p>
    <w:p w14:paraId="44929432" w14:textId="77777777" w:rsidR="000318F5" w:rsidRPr="00806223" w:rsidRDefault="000318F5" w:rsidP="000318F5">
      <w:pPr>
        <w:spacing w:line="360" w:lineRule="auto"/>
        <w:ind w:firstLine="709"/>
        <w:jc w:val="both"/>
        <w:rPr>
          <w:sz w:val="24"/>
          <w:szCs w:val="24"/>
          <w:lang w:val="es-AR"/>
        </w:rPr>
      </w:pPr>
      <w:r w:rsidRPr="00806223">
        <w:rPr>
          <w:sz w:val="24"/>
          <w:szCs w:val="24"/>
          <w:lang w:val="es-AR"/>
        </w:rPr>
        <w:t xml:space="preserve">Junto con estos procesos de adecuación, los sistemas de protección social mostraron profundas limitaciones, el estudio realizado nos permitió observar las cuestiones referidas a los argumentos y justificaciones, las nuevas demandas emergentes que desbordaron  los universos definidos históricamente, la puntualización y el carácter emergencial de las medidas que no permitió garantizar la permanencia en el tiempo y la disposición de las medidas, atendiendo a la profundidad de la crisis y a las demandas extendidas de  trabajadores informales, migrantes y sectores medios empobrecidos por la caída de sus ingresos. </w:t>
      </w:r>
    </w:p>
    <w:p w14:paraId="464C0C0B" w14:textId="77777777" w:rsidR="000318F5" w:rsidRPr="00D23C4E" w:rsidRDefault="000318F5" w:rsidP="000318F5">
      <w:pPr>
        <w:spacing w:line="360" w:lineRule="auto"/>
        <w:jc w:val="both"/>
        <w:rPr>
          <w:b/>
          <w:sz w:val="24"/>
          <w:szCs w:val="24"/>
          <w:lang w:val="es-UY"/>
        </w:rPr>
      </w:pPr>
    </w:p>
    <w:p w14:paraId="6E76DF94" w14:textId="77777777" w:rsidR="000318F5" w:rsidRPr="00D23C4E" w:rsidRDefault="000318F5" w:rsidP="000318F5">
      <w:pPr>
        <w:spacing w:line="360" w:lineRule="auto"/>
        <w:jc w:val="both"/>
        <w:rPr>
          <w:b/>
          <w:sz w:val="24"/>
          <w:szCs w:val="24"/>
          <w:lang w:val="es-UY"/>
        </w:rPr>
      </w:pPr>
      <w:r w:rsidRPr="00D23C4E">
        <w:rPr>
          <w:b/>
          <w:sz w:val="24"/>
          <w:szCs w:val="24"/>
          <w:lang w:val="es-UY"/>
        </w:rPr>
        <w:t>5</w:t>
      </w:r>
      <w:r w:rsidRPr="00D23C4E">
        <w:rPr>
          <w:b/>
          <w:sz w:val="24"/>
          <w:szCs w:val="24"/>
          <w:lang w:val="es-UY"/>
        </w:rPr>
        <w:tab/>
        <w:t>CONCLUSIÓN</w:t>
      </w:r>
    </w:p>
    <w:p w14:paraId="616C2BF2" w14:textId="77777777" w:rsidR="000318F5" w:rsidRPr="00806223" w:rsidRDefault="000318F5" w:rsidP="000318F5">
      <w:pPr>
        <w:spacing w:after="160" w:line="360" w:lineRule="auto"/>
        <w:jc w:val="both"/>
        <w:rPr>
          <w:rFonts w:eastAsia="Calibri"/>
          <w:sz w:val="24"/>
          <w:szCs w:val="24"/>
          <w:lang w:val="es-AR" w:eastAsia="en-US"/>
        </w:rPr>
      </w:pPr>
      <w:r>
        <w:rPr>
          <w:rFonts w:eastAsia="Calibri"/>
          <w:sz w:val="24"/>
          <w:szCs w:val="24"/>
          <w:lang w:val="es-AR" w:eastAsia="en-US"/>
        </w:rPr>
        <w:t>La pandemia por COVID-19 exhibió</w:t>
      </w:r>
      <w:r w:rsidRPr="00806223">
        <w:rPr>
          <w:rFonts w:eastAsia="Calibri"/>
          <w:sz w:val="24"/>
          <w:szCs w:val="24"/>
          <w:lang w:val="es-AR" w:eastAsia="en-US"/>
        </w:rPr>
        <w:t xml:space="preserve"> los niveles históricos de desigualdad y pobreza en la región, los cuales se ven profundizados por la agudización de las múltiples dimensiones de la crisis. Al mismo tiempo </w:t>
      </w:r>
      <w:r>
        <w:rPr>
          <w:rFonts w:eastAsia="Calibri"/>
          <w:sz w:val="24"/>
          <w:szCs w:val="24"/>
          <w:lang w:val="es-AR" w:eastAsia="en-US"/>
        </w:rPr>
        <w:t xml:space="preserve">mostró </w:t>
      </w:r>
      <w:r w:rsidRPr="00806223">
        <w:rPr>
          <w:rFonts w:eastAsia="Calibri"/>
          <w:sz w:val="24"/>
          <w:szCs w:val="24"/>
          <w:lang w:val="es-AR" w:eastAsia="en-US"/>
        </w:rPr>
        <w:t xml:space="preserve">los límites de los procesos de protección social alcanzados en </w:t>
      </w:r>
      <w:r>
        <w:rPr>
          <w:rFonts w:eastAsia="Calibri"/>
          <w:sz w:val="24"/>
          <w:szCs w:val="24"/>
          <w:lang w:val="es-AR" w:eastAsia="en-US"/>
        </w:rPr>
        <w:t xml:space="preserve">ALYC </w:t>
      </w:r>
      <w:r w:rsidRPr="00806223">
        <w:rPr>
          <w:rFonts w:eastAsia="Calibri"/>
          <w:sz w:val="24"/>
          <w:szCs w:val="24"/>
          <w:lang w:val="es-AR" w:eastAsia="en-US"/>
        </w:rPr>
        <w:t xml:space="preserve">en las trayectorias históricas de cada </w:t>
      </w:r>
      <w:r w:rsidRPr="00806223">
        <w:rPr>
          <w:rFonts w:eastAsia="Calibri"/>
          <w:sz w:val="24"/>
          <w:szCs w:val="24"/>
          <w:lang w:val="es-AR" w:eastAsia="en-US"/>
        </w:rPr>
        <w:lastRenderedPageBreak/>
        <w:t>experiencia nacional</w:t>
      </w:r>
      <w:r>
        <w:rPr>
          <w:rFonts w:eastAsia="Calibri"/>
          <w:sz w:val="24"/>
          <w:szCs w:val="24"/>
          <w:lang w:val="es-AR" w:eastAsia="en-US"/>
        </w:rPr>
        <w:t xml:space="preserve">, los cuales muestran </w:t>
      </w:r>
      <w:r w:rsidRPr="00806223">
        <w:rPr>
          <w:rFonts w:eastAsia="Calibri"/>
          <w:sz w:val="24"/>
          <w:szCs w:val="24"/>
          <w:lang w:val="es-AR" w:eastAsia="en-US"/>
        </w:rPr>
        <w:t>elementos comunes y elementos diferenciales.</w:t>
      </w:r>
    </w:p>
    <w:p w14:paraId="0DDED46F" w14:textId="77777777" w:rsidR="000318F5" w:rsidRPr="00806223" w:rsidRDefault="000318F5" w:rsidP="000318F5">
      <w:pPr>
        <w:spacing w:after="160" w:line="360" w:lineRule="auto"/>
        <w:jc w:val="both"/>
        <w:rPr>
          <w:rFonts w:eastAsia="Calibri"/>
          <w:sz w:val="24"/>
          <w:szCs w:val="24"/>
          <w:lang w:val="es-AR" w:eastAsia="en-US"/>
        </w:rPr>
      </w:pPr>
      <w:r w:rsidRPr="00806223">
        <w:rPr>
          <w:rFonts w:eastAsia="Calibri"/>
          <w:sz w:val="24"/>
          <w:szCs w:val="24"/>
          <w:lang w:val="es-AR" w:eastAsia="en-US"/>
        </w:rPr>
        <w:t xml:space="preserve">En la región, la disminución de la actividad económica en el contexto de la pandemia ha impactado medularmente en los ingresos de muchos hogares de los sectores trabajadores. Por la pérdida del trabajo formal en un sector de la clase trabajadora y en consecuencia la ausencia de las protecciones derivadas de la seguridad social contributiva, y por la merma y/o deterioro de los trabajos informales. </w:t>
      </w:r>
      <w:r>
        <w:rPr>
          <w:rFonts w:eastAsia="Calibri"/>
          <w:sz w:val="24"/>
          <w:szCs w:val="24"/>
          <w:lang w:val="es-AR" w:eastAsia="en-US"/>
        </w:rPr>
        <w:t>Concomitantemente se expanden los procesos de</w:t>
      </w:r>
      <w:r w:rsidRPr="00806223">
        <w:rPr>
          <w:rFonts w:eastAsia="Calibri"/>
          <w:sz w:val="24"/>
          <w:szCs w:val="24"/>
          <w:lang w:val="es-AR" w:eastAsia="en-US"/>
        </w:rPr>
        <w:t xml:space="preserve"> desigualdad, informalidad, precarización, ampliación y profundización de la pobreza. Las respuestas definidas por los gobiernos a los efectos expresados por la pandemia, han sido centralmente medidas que pretenden mitigar los efectos económicos y sociales, centrándose en los sectores pobres y quienes han reducido sus ingresos. </w:t>
      </w:r>
    </w:p>
    <w:p w14:paraId="388860EB" w14:textId="77777777" w:rsidR="000318F5" w:rsidRPr="00806223" w:rsidRDefault="000318F5" w:rsidP="000318F5">
      <w:pPr>
        <w:spacing w:after="160" w:line="360" w:lineRule="auto"/>
        <w:jc w:val="both"/>
        <w:rPr>
          <w:rFonts w:eastAsia="Calibri"/>
          <w:sz w:val="24"/>
          <w:szCs w:val="24"/>
          <w:lang w:val="es-AR" w:eastAsia="en-US"/>
        </w:rPr>
      </w:pPr>
      <w:r>
        <w:rPr>
          <w:rFonts w:eastAsia="Calibri"/>
          <w:sz w:val="24"/>
          <w:szCs w:val="24"/>
          <w:lang w:val="es-AR" w:eastAsia="en-US"/>
        </w:rPr>
        <w:t>En este marco se observa el protagonismo que a</w:t>
      </w:r>
      <w:r w:rsidRPr="00806223">
        <w:rPr>
          <w:rFonts w:eastAsia="Calibri"/>
          <w:sz w:val="24"/>
          <w:szCs w:val="24"/>
          <w:lang w:val="es-AR" w:eastAsia="en-US"/>
        </w:rPr>
        <w:t>dquieren</w:t>
      </w:r>
      <w:r>
        <w:rPr>
          <w:rFonts w:eastAsia="Calibri"/>
          <w:sz w:val="24"/>
          <w:szCs w:val="24"/>
          <w:lang w:val="es-AR" w:eastAsia="en-US"/>
        </w:rPr>
        <w:t xml:space="preserve"> las transferencias monetarias de carácter “no contributivas</w:t>
      </w:r>
      <w:r w:rsidRPr="00806223">
        <w:rPr>
          <w:rFonts w:eastAsia="Calibri"/>
          <w:sz w:val="24"/>
          <w:szCs w:val="24"/>
          <w:lang w:val="es-AR" w:eastAsia="en-US"/>
        </w:rPr>
        <w:t xml:space="preserve">”, que se constituyen en </w:t>
      </w:r>
      <w:r>
        <w:rPr>
          <w:rFonts w:eastAsia="Calibri"/>
          <w:sz w:val="24"/>
          <w:szCs w:val="24"/>
          <w:lang w:val="es-AR" w:eastAsia="en-US"/>
        </w:rPr>
        <w:t>apoyo</w:t>
      </w:r>
      <w:r w:rsidRPr="00806223">
        <w:rPr>
          <w:rFonts w:eastAsia="Calibri"/>
          <w:sz w:val="24"/>
          <w:szCs w:val="24"/>
          <w:lang w:val="es-AR" w:eastAsia="en-US"/>
        </w:rPr>
        <w:t xml:space="preserve"> de distintos sectores de la población. Est</w:t>
      </w:r>
      <w:r>
        <w:rPr>
          <w:rFonts w:eastAsia="Calibri"/>
          <w:sz w:val="24"/>
          <w:szCs w:val="24"/>
          <w:lang w:val="es-AR" w:eastAsia="en-US"/>
        </w:rPr>
        <w:t>a</w:t>
      </w:r>
      <w:r w:rsidRPr="00806223">
        <w:rPr>
          <w:rFonts w:eastAsia="Calibri"/>
          <w:sz w:val="24"/>
          <w:szCs w:val="24"/>
          <w:lang w:val="es-AR" w:eastAsia="en-US"/>
        </w:rPr>
        <w:t>s participan ya sea dando continuidad a sus desarrollos preexistentes en la pandemia</w:t>
      </w:r>
      <w:r>
        <w:rPr>
          <w:rFonts w:eastAsia="Calibri"/>
          <w:sz w:val="24"/>
          <w:szCs w:val="24"/>
          <w:lang w:val="es-AR" w:eastAsia="en-US"/>
        </w:rPr>
        <w:t xml:space="preserve"> en el marco de programas institucionales</w:t>
      </w:r>
      <w:r w:rsidRPr="00806223">
        <w:rPr>
          <w:rFonts w:eastAsia="Calibri"/>
          <w:sz w:val="24"/>
          <w:szCs w:val="24"/>
          <w:lang w:val="es-AR" w:eastAsia="en-US"/>
        </w:rPr>
        <w:t>, en muchos casos reforzándose y/o extendiéndose. O generando nuev</w:t>
      </w:r>
      <w:r>
        <w:rPr>
          <w:rFonts w:eastAsia="Calibri"/>
          <w:sz w:val="24"/>
          <w:szCs w:val="24"/>
          <w:lang w:val="es-AR" w:eastAsia="en-US"/>
        </w:rPr>
        <w:t>as medidas</w:t>
      </w:r>
      <w:r w:rsidRPr="00806223">
        <w:rPr>
          <w:rFonts w:eastAsia="Calibri"/>
          <w:sz w:val="24"/>
          <w:szCs w:val="24"/>
          <w:lang w:val="es-AR" w:eastAsia="en-US"/>
        </w:rPr>
        <w:t xml:space="preserve">, de carácter emergencial, con una temporalidad acotada, con el objetivo de contener </w:t>
      </w:r>
      <w:r>
        <w:rPr>
          <w:rFonts w:eastAsia="Calibri"/>
          <w:sz w:val="24"/>
          <w:szCs w:val="24"/>
          <w:lang w:val="es-AR" w:eastAsia="en-US"/>
        </w:rPr>
        <w:t xml:space="preserve">centralmente </w:t>
      </w:r>
      <w:r w:rsidRPr="00806223">
        <w:rPr>
          <w:rFonts w:eastAsia="Calibri"/>
          <w:sz w:val="24"/>
          <w:szCs w:val="24"/>
          <w:lang w:val="es-AR" w:eastAsia="en-US"/>
        </w:rPr>
        <w:t xml:space="preserve">la pérdida de ingresos de trabajadores desocupados e informales. </w:t>
      </w:r>
    </w:p>
    <w:p w14:paraId="62FAF2DB" w14:textId="77777777" w:rsidR="000318F5" w:rsidRPr="00806223" w:rsidRDefault="000318F5" w:rsidP="000318F5">
      <w:pPr>
        <w:spacing w:after="160" w:line="360" w:lineRule="auto"/>
        <w:jc w:val="both"/>
        <w:rPr>
          <w:rFonts w:eastAsia="Calibri"/>
          <w:sz w:val="24"/>
          <w:szCs w:val="24"/>
          <w:lang w:val="es-AR" w:eastAsia="en-US"/>
        </w:rPr>
      </w:pPr>
      <w:r w:rsidRPr="00806223">
        <w:rPr>
          <w:rFonts w:eastAsia="Calibri"/>
          <w:sz w:val="24"/>
          <w:szCs w:val="24"/>
          <w:lang w:val="es-AR" w:eastAsia="en-US"/>
        </w:rPr>
        <w:t xml:space="preserve">Los PTM constituyen mecanismos político-institucionales que ya integraban las estrategias de los sistemas de protección social en la región desde fines del siglo XX, expandiéndose y consolidándose en el desarrollo del siglo XXI. La existencia de este instrumento en las diversas experiencias nacionales con particularidades específicas, permitió montar medidas con celeridad en el contexto de la pandemia, actuando con distintas líneas de acción (ampliando montos y coberturas de los programas existentes, suspendiendo condicionalidades, generando programas o medidas nuevas de transferencias monetarias, acotadas temporalmente para actuar </w:t>
      </w:r>
      <w:r w:rsidRPr="00806223">
        <w:rPr>
          <w:rFonts w:eastAsia="Calibri"/>
          <w:sz w:val="24"/>
          <w:szCs w:val="24"/>
          <w:lang w:val="es-AR" w:eastAsia="en-US"/>
        </w:rPr>
        <w:lastRenderedPageBreak/>
        <w:t>en el contexto de emergencia pandémica) frente a la pérdida de ingresos de las familias, dirigidas centralmente a trabajadores informales y pobres.</w:t>
      </w:r>
    </w:p>
    <w:p w14:paraId="5043B371" w14:textId="77777777" w:rsidR="000318F5" w:rsidRPr="00806223" w:rsidRDefault="000318F5" w:rsidP="000318F5">
      <w:pPr>
        <w:spacing w:after="160" w:line="360" w:lineRule="auto"/>
        <w:jc w:val="both"/>
        <w:rPr>
          <w:rFonts w:eastAsia="Calibri"/>
          <w:sz w:val="24"/>
          <w:szCs w:val="24"/>
          <w:lang w:val="es-AR" w:eastAsia="en-US"/>
        </w:rPr>
      </w:pPr>
      <w:r w:rsidRPr="00806223">
        <w:rPr>
          <w:rFonts w:eastAsia="Calibri"/>
          <w:sz w:val="24"/>
          <w:szCs w:val="24"/>
          <w:lang w:val="es-AR" w:eastAsia="en-US"/>
        </w:rPr>
        <w:t>En síntesis, las respuestas de los países frente a la pandemia</w:t>
      </w:r>
      <w:r>
        <w:rPr>
          <w:rFonts w:eastAsia="Calibri"/>
          <w:sz w:val="24"/>
          <w:szCs w:val="24"/>
          <w:lang w:val="es-AR" w:eastAsia="en-US"/>
        </w:rPr>
        <w:t xml:space="preserve"> y el quinquenio posterior</w:t>
      </w:r>
      <w:r w:rsidRPr="00806223">
        <w:rPr>
          <w:rFonts w:eastAsia="Calibri"/>
          <w:sz w:val="24"/>
          <w:szCs w:val="24"/>
          <w:lang w:val="es-AR" w:eastAsia="en-US"/>
        </w:rPr>
        <w:t>, expresan relaciones sociales, definiciones políticas que encarnan dimensiones materiales y argumentaciones legitimantes en torno a las medidas, que definen que poblaciones serán atendidas, con qué beneficios</w:t>
      </w:r>
      <w:r>
        <w:rPr>
          <w:rFonts w:eastAsia="Calibri"/>
          <w:sz w:val="24"/>
          <w:szCs w:val="24"/>
          <w:lang w:val="es-AR" w:eastAsia="en-US"/>
        </w:rPr>
        <w:t>, qué temporalidad adquieren</w:t>
      </w:r>
      <w:r w:rsidRPr="00806223">
        <w:rPr>
          <w:rFonts w:eastAsia="Calibri"/>
          <w:sz w:val="24"/>
          <w:szCs w:val="24"/>
          <w:lang w:val="es-AR" w:eastAsia="en-US"/>
        </w:rPr>
        <w:t xml:space="preserve"> y con qué argumentos se sostienen. </w:t>
      </w:r>
      <w:r>
        <w:rPr>
          <w:rFonts w:eastAsia="Calibri"/>
          <w:sz w:val="24"/>
          <w:szCs w:val="24"/>
          <w:lang w:val="es-AR" w:eastAsia="en-US"/>
        </w:rPr>
        <w:t xml:space="preserve">Se exhibe la reafirmación de una estrategia hegemónica basada en la definición de “políticas de combate a la pobreza” que se asientan en la noción de “capital humano”. </w:t>
      </w:r>
      <w:r w:rsidRPr="00806223">
        <w:rPr>
          <w:rFonts w:eastAsia="Calibri"/>
          <w:sz w:val="24"/>
          <w:szCs w:val="24"/>
          <w:lang w:val="es-AR" w:eastAsia="en-US"/>
        </w:rPr>
        <w:t>Muestran también los esquemas institucionales previos, conformados sobre la base de una desigualdad profunda, estructural e histórica en la región.</w:t>
      </w:r>
    </w:p>
    <w:p w14:paraId="5047E7DE" w14:textId="77777777" w:rsidR="000318F5" w:rsidRPr="00CB33DD" w:rsidRDefault="000318F5" w:rsidP="000318F5">
      <w:pPr>
        <w:spacing w:line="360" w:lineRule="auto"/>
        <w:jc w:val="center"/>
        <w:rPr>
          <w:bCs/>
          <w:sz w:val="24"/>
          <w:szCs w:val="24"/>
        </w:rPr>
      </w:pPr>
      <w:r>
        <w:rPr>
          <w:b/>
          <w:sz w:val="24"/>
          <w:szCs w:val="24"/>
        </w:rPr>
        <w:t xml:space="preserve">REFERENCIAS </w:t>
      </w:r>
    </w:p>
    <w:p w14:paraId="7197061D" w14:textId="77777777" w:rsidR="000318F5" w:rsidRPr="000B600D" w:rsidRDefault="000318F5" w:rsidP="000318F5">
      <w:pPr>
        <w:autoSpaceDE w:val="0"/>
        <w:autoSpaceDN w:val="0"/>
        <w:adjustRightInd w:val="0"/>
        <w:spacing w:line="240" w:lineRule="auto"/>
        <w:jc w:val="both"/>
        <w:rPr>
          <w:lang w:val="es-AR"/>
        </w:rPr>
      </w:pPr>
      <w:r w:rsidRPr="000B600D">
        <w:rPr>
          <w:lang w:val="es-AR"/>
        </w:rPr>
        <w:t>CEPAL</w:t>
      </w:r>
      <w:r>
        <w:rPr>
          <w:lang w:val="es-AR"/>
        </w:rPr>
        <w:t xml:space="preserve">. </w:t>
      </w:r>
      <w:r w:rsidRPr="000B600D">
        <w:rPr>
          <w:b/>
          <w:iCs/>
          <w:lang w:val="es-AR"/>
        </w:rPr>
        <w:t>Desastres y desigualdad en una crisis prolongada: hacia sistemas de protección social universales, integrales, resilientes y sostenibles en América Latina y el Caribe</w:t>
      </w:r>
      <w:r w:rsidRPr="000B600D">
        <w:rPr>
          <w:i/>
          <w:iCs/>
          <w:lang w:val="es-AR"/>
        </w:rPr>
        <w:t xml:space="preserve"> </w:t>
      </w:r>
      <w:r w:rsidRPr="000B600D">
        <w:rPr>
          <w:lang w:val="es-AR"/>
        </w:rPr>
        <w:t>(LC/CDS.4/3)</w:t>
      </w:r>
      <w:r>
        <w:rPr>
          <w:lang w:val="es-AR"/>
        </w:rPr>
        <w:t xml:space="preserve">. CEPAL: </w:t>
      </w:r>
      <w:r w:rsidRPr="000B600D">
        <w:rPr>
          <w:lang w:val="es-AR"/>
        </w:rPr>
        <w:t>Santiago, 2021.</w:t>
      </w:r>
    </w:p>
    <w:p w14:paraId="49D277E7" w14:textId="77777777" w:rsidR="000318F5" w:rsidRPr="000B600D" w:rsidRDefault="000318F5" w:rsidP="000318F5">
      <w:pPr>
        <w:spacing w:line="240" w:lineRule="auto"/>
        <w:jc w:val="both"/>
        <w:rPr>
          <w:lang w:val="es-AR"/>
        </w:rPr>
      </w:pPr>
      <w:r w:rsidRPr="000B600D">
        <w:rPr>
          <w:lang w:val="es-AR"/>
        </w:rPr>
        <w:t>CEPAL</w:t>
      </w:r>
      <w:r>
        <w:rPr>
          <w:lang w:val="es-AR"/>
        </w:rPr>
        <w:t xml:space="preserve">. </w:t>
      </w:r>
      <w:r w:rsidRPr="000B600D">
        <w:rPr>
          <w:b/>
          <w:lang w:val="es-AR"/>
        </w:rPr>
        <w:t>Panorama Social de América Latina</w:t>
      </w:r>
      <w:r>
        <w:rPr>
          <w:lang w:val="es-AR"/>
        </w:rPr>
        <w:t xml:space="preserve">. CEPAL: </w:t>
      </w:r>
      <w:r w:rsidRPr="000B600D">
        <w:rPr>
          <w:lang w:val="es-AR"/>
        </w:rPr>
        <w:t>Santiago, 202</w:t>
      </w:r>
      <w:r>
        <w:rPr>
          <w:lang w:val="es-AR"/>
        </w:rPr>
        <w:t xml:space="preserve">3 </w:t>
      </w:r>
    </w:p>
    <w:p w14:paraId="2A4EAC04" w14:textId="77777777" w:rsidR="000318F5" w:rsidRDefault="000318F5" w:rsidP="000318F5">
      <w:pPr>
        <w:autoSpaceDE w:val="0"/>
        <w:autoSpaceDN w:val="0"/>
        <w:adjustRightInd w:val="0"/>
        <w:spacing w:line="240" w:lineRule="auto"/>
        <w:jc w:val="both"/>
        <w:rPr>
          <w:lang w:val="es-AR"/>
        </w:rPr>
      </w:pPr>
      <w:r w:rsidRPr="000B600D">
        <w:rPr>
          <w:lang w:val="es-AR"/>
        </w:rPr>
        <w:t xml:space="preserve">CEPAL/OIT (Comisión Económica para América Latina y el Caribe/Organización Internacional del Trabajo) (2020), “El trabajo en tiempos de pandemia: desafíos frente a la enfermedad por coronavirus (COVID-19)”, </w:t>
      </w:r>
      <w:r w:rsidRPr="000B600D">
        <w:rPr>
          <w:b/>
          <w:iCs/>
          <w:lang w:val="es-AR"/>
        </w:rPr>
        <w:t>Coyuntura Laboral en América Latina y el Caribe</w:t>
      </w:r>
      <w:r w:rsidRPr="000B600D">
        <w:rPr>
          <w:b/>
          <w:lang w:val="es-AR"/>
        </w:rPr>
        <w:t>,</w:t>
      </w:r>
      <w:r w:rsidRPr="000B600D">
        <w:rPr>
          <w:lang w:val="es-AR"/>
        </w:rPr>
        <w:t xml:space="preserve"> Nº 22 (LC/ TS.2020/46)</w:t>
      </w:r>
      <w:r>
        <w:rPr>
          <w:lang w:val="es-AR"/>
        </w:rPr>
        <w:t>. CEPAL/OIT:</w:t>
      </w:r>
      <w:r w:rsidRPr="000B600D">
        <w:rPr>
          <w:lang w:val="es-AR"/>
        </w:rPr>
        <w:t>Santiago</w:t>
      </w:r>
      <w:r>
        <w:rPr>
          <w:lang w:val="es-AR"/>
        </w:rPr>
        <w:t>, 2021.</w:t>
      </w:r>
    </w:p>
    <w:p w14:paraId="2729D9CA" w14:textId="77777777" w:rsidR="000318F5" w:rsidRPr="000B600D" w:rsidRDefault="000318F5" w:rsidP="000318F5">
      <w:pPr>
        <w:autoSpaceDE w:val="0"/>
        <w:autoSpaceDN w:val="0"/>
        <w:adjustRightInd w:val="0"/>
        <w:spacing w:line="240" w:lineRule="auto"/>
        <w:jc w:val="both"/>
        <w:rPr>
          <w:lang w:val="es-AR"/>
        </w:rPr>
      </w:pPr>
      <w:r w:rsidRPr="000B600D">
        <w:rPr>
          <w:lang w:val="es-AR"/>
        </w:rPr>
        <w:t>CEPAL/OPS</w:t>
      </w:r>
      <w:r>
        <w:rPr>
          <w:lang w:val="es-AR"/>
        </w:rPr>
        <w:t xml:space="preserve">. </w:t>
      </w:r>
      <w:r w:rsidRPr="000B600D">
        <w:rPr>
          <w:lang w:val="es-AR"/>
        </w:rPr>
        <w:t xml:space="preserve">(Comisión Económica para América Latina y el Caribe/Organización Panamericana de la Salud) (2020), “Salud y economía: una convergencia necesaria para enfrentar el COVID-19 y retomar la senda hacia el desarrollo sostenible en América Latina y el Caribe”, </w:t>
      </w:r>
      <w:r w:rsidRPr="000B600D">
        <w:rPr>
          <w:b/>
          <w:iCs/>
          <w:lang w:val="es-AR"/>
        </w:rPr>
        <w:t>Informe COVID-19 CEPAL-OPS</w:t>
      </w:r>
      <w:r>
        <w:rPr>
          <w:i/>
          <w:iCs/>
          <w:lang w:val="es-AR"/>
        </w:rPr>
        <w:t xml:space="preserve">. </w:t>
      </w:r>
      <w:r w:rsidRPr="00F07ADC">
        <w:rPr>
          <w:lang w:val="es-AR"/>
        </w:rPr>
        <w:t>CEPAL, OPS:</w:t>
      </w:r>
      <w:r>
        <w:rPr>
          <w:i/>
          <w:iCs/>
          <w:lang w:val="es-AR"/>
        </w:rPr>
        <w:t xml:space="preserve"> </w:t>
      </w:r>
      <w:r w:rsidRPr="000B600D">
        <w:rPr>
          <w:lang w:val="es-AR"/>
        </w:rPr>
        <w:t>Santiago, 2020</w:t>
      </w:r>
      <w:r>
        <w:rPr>
          <w:lang w:val="es-AR"/>
        </w:rPr>
        <w:t>.</w:t>
      </w:r>
    </w:p>
    <w:p w14:paraId="0B94E70A" w14:textId="77777777" w:rsidR="000318F5" w:rsidRPr="000B600D" w:rsidRDefault="000318F5" w:rsidP="000318F5">
      <w:pPr>
        <w:spacing w:line="240" w:lineRule="auto"/>
        <w:jc w:val="both"/>
        <w:rPr>
          <w:lang w:val="es-AR"/>
        </w:rPr>
      </w:pPr>
      <w:r w:rsidRPr="000B600D">
        <w:rPr>
          <w:lang w:val="es-AR"/>
        </w:rPr>
        <w:t xml:space="preserve">FERNÁNDEZ SOTO S. Desarrollo y actualidad de la protección social en América Latina </w:t>
      </w:r>
      <w:r w:rsidRPr="000B600D">
        <w:rPr>
          <w:b/>
          <w:lang w:val="es-AR"/>
        </w:rPr>
        <w:t>Revista de Políticas Públicas</w:t>
      </w:r>
      <w:r w:rsidRPr="000B600D">
        <w:rPr>
          <w:lang w:val="es-AR"/>
        </w:rPr>
        <w:t xml:space="preserve">, 2016, pp. 217-225 Universidade Federal do Maranhão São Luís, Brasil. </w:t>
      </w:r>
      <w:hyperlink r:id="rId12" w:history="1">
        <w:r w:rsidRPr="000B600D">
          <w:rPr>
            <w:rStyle w:val="Hyperlink"/>
            <w:lang w:val="es-AR"/>
          </w:rPr>
          <w:t>https://www.redalyc.org/pdf/3211/321149304021.pdf</w:t>
        </w:r>
      </w:hyperlink>
      <w:r w:rsidRPr="000B600D">
        <w:rPr>
          <w:rStyle w:val="Hyperlink"/>
          <w:lang w:val="es-AR"/>
        </w:rPr>
        <w:t xml:space="preserve"> </w:t>
      </w:r>
    </w:p>
    <w:p w14:paraId="6A701723" w14:textId="77777777" w:rsidR="000318F5" w:rsidRPr="00D23C4E" w:rsidRDefault="000318F5" w:rsidP="000318F5">
      <w:pPr>
        <w:spacing w:line="240" w:lineRule="auto"/>
        <w:jc w:val="both"/>
      </w:pPr>
      <w:r w:rsidRPr="000B600D">
        <w:rPr>
          <w:lang w:val="es-AR"/>
        </w:rPr>
        <w:t>FERNANDEZ SOTO, S</w:t>
      </w:r>
      <w:r>
        <w:rPr>
          <w:lang w:val="es-AR"/>
        </w:rPr>
        <w:t>.</w:t>
      </w:r>
      <w:r w:rsidRPr="000B600D">
        <w:rPr>
          <w:lang w:val="es-AR"/>
        </w:rPr>
        <w:t xml:space="preserve"> </w:t>
      </w:r>
      <w:r w:rsidRPr="000B600D">
        <w:rPr>
          <w:b/>
          <w:lang w:val="es-AR"/>
        </w:rPr>
        <w:t>Estado y políticas sociales. Los programas de transferencias de renta condicionada en el proceso de hegemonía en América latina</w:t>
      </w:r>
      <w:r w:rsidRPr="000B600D">
        <w:rPr>
          <w:lang w:val="es-AR"/>
        </w:rPr>
        <w:t xml:space="preserve">. </w:t>
      </w:r>
      <w:r w:rsidRPr="00D23C4E">
        <w:t>Espacio. Edit</w:t>
      </w:r>
      <w:r>
        <w:t>:</w:t>
      </w:r>
      <w:r w:rsidRPr="00D23C4E">
        <w:t xml:space="preserve"> B</w:t>
      </w:r>
      <w:r>
        <w:t>uenos</w:t>
      </w:r>
      <w:r w:rsidRPr="00D23C4E">
        <w:t xml:space="preserve"> Aires</w:t>
      </w:r>
      <w:r>
        <w:t>, 2017.</w:t>
      </w:r>
    </w:p>
    <w:p w14:paraId="693495DE" w14:textId="77777777" w:rsidR="000318F5" w:rsidRPr="00D23C4E" w:rsidRDefault="000318F5" w:rsidP="000318F5">
      <w:pPr>
        <w:spacing w:line="240" w:lineRule="auto"/>
        <w:jc w:val="both"/>
      </w:pPr>
      <w:r w:rsidRPr="00D23C4E">
        <w:t xml:space="preserve">ARREGUI, FERNANDEZ SOTO. </w:t>
      </w:r>
      <w:r w:rsidRPr="00E15FE0">
        <w:rPr>
          <w:rFonts w:ascii="Times New Roman" w:hAnsi="Times New Roman" w:cs="Times New Roman"/>
          <w:b/>
          <w:sz w:val="24"/>
          <w:szCs w:val="24"/>
        </w:rPr>
        <w:t>Programas de transferência monetária anteriores e em decorrência da pandemia da covid-19</w:t>
      </w:r>
      <w:r>
        <w:rPr>
          <w:rFonts w:ascii="Times New Roman" w:hAnsi="Times New Roman" w:cs="Times New Roman"/>
          <w:b/>
          <w:sz w:val="24"/>
          <w:szCs w:val="24"/>
        </w:rPr>
        <w:t xml:space="preserve">, </w:t>
      </w:r>
      <w:r>
        <w:rPr>
          <w:rFonts w:ascii="Times New Roman" w:hAnsi="Times New Roman" w:cs="Times New Roman"/>
          <w:sz w:val="24"/>
          <w:szCs w:val="24"/>
        </w:rPr>
        <w:t>mimeo., 2025.</w:t>
      </w:r>
    </w:p>
    <w:p w14:paraId="21666507" w14:textId="77777777" w:rsidR="000318F5" w:rsidRPr="000B600D" w:rsidRDefault="000318F5" w:rsidP="000318F5">
      <w:pPr>
        <w:spacing w:line="240" w:lineRule="auto"/>
        <w:jc w:val="both"/>
      </w:pPr>
      <w:r w:rsidRPr="000B600D">
        <w:t xml:space="preserve">SILVA, Maria Ozanira da Silva e </w:t>
      </w:r>
      <w:r>
        <w:t>et.alli</w:t>
      </w:r>
      <w:r w:rsidRPr="000B600D">
        <w:t xml:space="preserve"> </w:t>
      </w:r>
      <w:r w:rsidRPr="000B600D">
        <w:rPr>
          <w:b/>
          <w:bCs/>
        </w:rPr>
        <w:t>Relatório final programas de transferência monetária e renda básica universal na américa latina e caribe</w:t>
      </w:r>
      <w:r w:rsidRPr="000B600D">
        <w:t>, São Luís, 2025</w:t>
      </w:r>
      <w:r>
        <w:t xml:space="preserve">, </w:t>
      </w:r>
      <w:r w:rsidRPr="000B600D">
        <w:t xml:space="preserve">mimeo. </w:t>
      </w:r>
    </w:p>
    <w:p w14:paraId="703E8F4A" w14:textId="77777777" w:rsidR="000318F5" w:rsidRDefault="000318F5" w:rsidP="000318F5">
      <w:pPr>
        <w:rPr>
          <w:b/>
          <w:bCs/>
          <w:sz w:val="24"/>
          <w:szCs w:val="24"/>
        </w:rPr>
      </w:pPr>
    </w:p>
    <w:p w14:paraId="2B0BEA3E" w14:textId="77777777" w:rsidR="000318F5" w:rsidRDefault="000318F5" w:rsidP="000318F5">
      <w:pPr>
        <w:rPr>
          <w:b/>
          <w:bCs/>
          <w:sz w:val="24"/>
          <w:szCs w:val="24"/>
        </w:rPr>
      </w:pPr>
    </w:p>
    <w:p w14:paraId="032616C8" w14:textId="77777777" w:rsidR="000318F5" w:rsidRDefault="000318F5" w:rsidP="000318F5">
      <w:pPr>
        <w:rPr>
          <w:b/>
          <w:bCs/>
          <w:sz w:val="24"/>
          <w:szCs w:val="24"/>
        </w:rPr>
      </w:pPr>
    </w:p>
    <w:p w14:paraId="6744AA5B" w14:textId="77777777" w:rsidR="000318F5" w:rsidRDefault="000318F5" w:rsidP="000318F5">
      <w:pPr>
        <w:rPr>
          <w:b/>
          <w:bCs/>
          <w:sz w:val="24"/>
          <w:szCs w:val="24"/>
        </w:rPr>
      </w:pPr>
    </w:p>
    <w:p w14:paraId="50484BA3" w14:textId="77777777" w:rsidR="000318F5" w:rsidRDefault="000318F5" w:rsidP="000318F5">
      <w:pPr>
        <w:rPr>
          <w:b/>
          <w:bCs/>
          <w:sz w:val="24"/>
          <w:szCs w:val="24"/>
        </w:rPr>
      </w:pPr>
    </w:p>
    <w:p w14:paraId="008A9040" w14:textId="77777777" w:rsidR="000318F5" w:rsidRPr="00397266" w:rsidRDefault="000318F5" w:rsidP="000318F5">
      <w:pPr>
        <w:jc w:val="center"/>
        <w:rPr>
          <w:b/>
          <w:bCs/>
          <w:sz w:val="24"/>
          <w:szCs w:val="24"/>
        </w:rPr>
      </w:pPr>
      <w:r w:rsidRPr="00397266">
        <w:rPr>
          <w:b/>
          <w:bCs/>
          <w:sz w:val="24"/>
          <w:szCs w:val="24"/>
        </w:rPr>
        <w:t>TRAÇOS DOMINANTES, CONVERGÊNCIAS E DIVERGÊNCIAS NO ÂMBITO DOS PROGRAMAS DE TRANSFERÊNCIA MONETÁRIA NA AMÉRICA LATINA E CARIBE</w:t>
      </w:r>
      <w:r w:rsidRPr="00397266">
        <w:rPr>
          <w:rStyle w:val="Refdenotaderodap"/>
          <w:b/>
          <w:bCs/>
          <w:sz w:val="24"/>
          <w:szCs w:val="24"/>
        </w:rPr>
        <w:footnoteReference w:id="8"/>
      </w:r>
    </w:p>
    <w:p w14:paraId="5ECC872B" w14:textId="77777777" w:rsidR="000318F5" w:rsidRPr="00397266" w:rsidRDefault="000318F5" w:rsidP="000318F5">
      <w:pPr>
        <w:jc w:val="center"/>
        <w:rPr>
          <w:b/>
          <w:bCs/>
          <w:sz w:val="24"/>
          <w:szCs w:val="24"/>
        </w:rPr>
      </w:pPr>
    </w:p>
    <w:p w14:paraId="676A64FF" w14:textId="77777777" w:rsidR="000318F5" w:rsidRPr="00397266" w:rsidRDefault="000318F5" w:rsidP="000318F5">
      <w:pPr>
        <w:jc w:val="center"/>
        <w:rPr>
          <w:b/>
          <w:bCs/>
          <w:sz w:val="24"/>
          <w:szCs w:val="24"/>
          <w:lang w:val="en-US"/>
        </w:rPr>
      </w:pPr>
      <w:r w:rsidRPr="00397266">
        <w:rPr>
          <w:b/>
          <w:bCs/>
          <w:sz w:val="24"/>
          <w:szCs w:val="24"/>
          <w:lang w:val="en-US"/>
        </w:rPr>
        <w:t xml:space="preserve">DOMINANT TRACES, CONVERGENCIES AND DIVERGENCIES IN THE MONETARY TRANSFER PROGRAMS IN THE AMBIT OF LATIN AMERICA AND CARIBBEAN </w:t>
      </w:r>
    </w:p>
    <w:p w14:paraId="77B170E9" w14:textId="77777777" w:rsidR="000318F5" w:rsidRDefault="000318F5" w:rsidP="000318F5">
      <w:pPr>
        <w:jc w:val="center"/>
        <w:rPr>
          <w:b/>
          <w:bCs/>
          <w:lang w:val="en-US"/>
        </w:rPr>
      </w:pPr>
    </w:p>
    <w:p w14:paraId="6D459886" w14:textId="77777777" w:rsidR="000318F5" w:rsidRPr="005E60AE" w:rsidRDefault="000318F5" w:rsidP="000318F5">
      <w:pPr>
        <w:jc w:val="right"/>
        <w:rPr>
          <w:b/>
          <w:bCs/>
          <w:sz w:val="24"/>
          <w:szCs w:val="24"/>
        </w:rPr>
      </w:pPr>
      <w:r w:rsidRPr="007D75F8">
        <w:rPr>
          <w:sz w:val="24"/>
          <w:szCs w:val="24"/>
        </w:rPr>
        <w:t>Maria Ozanira da Silva e Silva</w:t>
      </w:r>
      <w:r>
        <w:rPr>
          <w:rStyle w:val="Refdenotaderodap"/>
          <w:sz w:val="24"/>
          <w:szCs w:val="24"/>
        </w:rPr>
        <w:footnoteReference w:id="9"/>
      </w:r>
    </w:p>
    <w:p w14:paraId="21F92C84" w14:textId="77777777" w:rsidR="000318F5" w:rsidRPr="007D75F8" w:rsidRDefault="000318F5" w:rsidP="000318F5">
      <w:pPr>
        <w:jc w:val="center"/>
        <w:rPr>
          <w:b/>
          <w:bCs/>
        </w:rPr>
      </w:pPr>
    </w:p>
    <w:p w14:paraId="6F2D83B7" w14:textId="77777777" w:rsidR="000318F5" w:rsidRDefault="000318F5" w:rsidP="000318F5">
      <w:pPr>
        <w:spacing w:line="240" w:lineRule="auto"/>
        <w:ind w:left="2835"/>
        <w:jc w:val="both"/>
        <w:rPr>
          <w:sz w:val="20"/>
          <w:szCs w:val="20"/>
        </w:rPr>
      </w:pPr>
      <w:r>
        <w:rPr>
          <w:b/>
          <w:bCs/>
          <w:sz w:val="20"/>
          <w:szCs w:val="20"/>
        </w:rPr>
        <w:t>R</w:t>
      </w:r>
      <w:r w:rsidRPr="0077218E">
        <w:rPr>
          <w:b/>
          <w:bCs/>
          <w:sz w:val="20"/>
          <w:szCs w:val="20"/>
        </w:rPr>
        <w:t>esumo:</w:t>
      </w:r>
      <w:r w:rsidRPr="0077218E">
        <w:rPr>
          <w:sz w:val="20"/>
          <w:szCs w:val="20"/>
        </w:rPr>
        <w:t xml:space="preserve"> </w:t>
      </w:r>
      <w:r>
        <w:rPr>
          <w:sz w:val="20"/>
          <w:szCs w:val="20"/>
        </w:rPr>
        <w:t>O</w:t>
      </w:r>
      <w:r w:rsidRPr="0077218E">
        <w:rPr>
          <w:sz w:val="20"/>
          <w:szCs w:val="20"/>
        </w:rPr>
        <w:t xml:space="preserve"> artigo, produto da implementação do projeto programas de transferência monetária focalizados e de renda básica universal no contexto da pandemia e da pós-pandemia da covid-19: acompanhamento e análise da realidade na </w:t>
      </w:r>
      <w:r>
        <w:rPr>
          <w:sz w:val="20"/>
          <w:szCs w:val="20"/>
        </w:rPr>
        <w:t>A</w:t>
      </w:r>
      <w:r w:rsidRPr="0077218E">
        <w:rPr>
          <w:sz w:val="20"/>
          <w:szCs w:val="20"/>
        </w:rPr>
        <w:t xml:space="preserve">mérica </w:t>
      </w:r>
      <w:r>
        <w:rPr>
          <w:sz w:val="20"/>
          <w:szCs w:val="20"/>
        </w:rPr>
        <w:t>L</w:t>
      </w:r>
      <w:r w:rsidRPr="0077218E">
        <w:rPr>
          <w:sz w:val="20"/>
          <w:szCs w:val="20"/>
        </w:rPr>
        <w:t xml:space="preserve">atina e </w:t>
      </w:r>
      <w:r>
        <w:rPr>
          <w:sz w:val="20"/>
          <w:szCs w:val="20"/>
        </w:rPr>
        <w:t>C</w:t>
      </w:r>
      <w:r w:rsidRPr="0077218E">
        <w:rPr>
          <w:sz w:val="20"/>
          <w:szCs w:val="20"/>
        </w:rPr>
        <w:t>aribe, tem como referência temporal o período de 2020 a 2024. Utiliza como fontes de informação relatórios específicos e relatório geral decorrentes do projeto</w:t>
      </w:r>
      <w:r>
        <w:rPr>
          <w:sz w:val="20"/>
          <w:szCs w:val="20"/>
        </w:rPr>
        <w:t xml:space="preserve"> citado</w:t>
      </w:r>
      <w:r w:rsidRPr="0077218E">
        <w:rPr>
          <w:sz w:val="20"/>
          <w:szCs w:val="20"/>
        </w:rPr>
        <w:t>. A proposta central do artigo é destacar traços</w:t>
      </w:r>
      <w:r>
        <w:rPr>
          <w:sz w:val="20"/>
          <w:szCs w:val="20"/>
        </w:rPr>
        <w:t xml:space="preserve"> qualificadores</w:t>
      </w:r>
      <w:r w:rsidRPr="0077218E">
        <w:rPr>
          <w:sz w:val="20"/>
          <w:szCs w:val="20"/>
        </w:rPr>
        <w:t xml:space="preserve"> relevantes dos programas objeto da pesquisa </w:t>
      </w:r>
      <w:r>
        <w:rPr>
          <w:sz w:val="20"/>
          <w:szCs w:val="20"/>
        </w:rPr>
        <w:t xml:space="preserve">concebidos </w:t>
      </w:r>
      <w:r w:rsidRPr="0077218E">
        <w:rPr>
          <w:sz w:val="20"/>
          <w:szCs w:val="20"/>
        </w:rPr>
        <w:t xml:space="preserve">enquanto componentes dos sistemas de proteção social </w:t>
      </w:r>
      <w:r>
        <w:rPr>
          <w:sz w:val="20"/>
          <w:szCs w:val="20"/>
        </w:rPr>
        <w:t>em países da</w:t>
      </w:r>
      <w:r w:rsidRPr="0077218E">
        <w:rPr>
          <w:sz w:val="20"/>
          <w:szCs w:val="20"/>
        </w:rPr>
        <w:t xml:space="preserve"> América Latina e Caribe</w:t>
      </w:r>
      <w:r>
        <w:rPr>
          <w:sz w:val="20"/>
          <w:szCs w:val="20"/>
        </w:rPr>
        <w:t>. Tem como objetivo</w:t>
      </w:r>
      <w:r w:rsidRPr="0077218E">
        <w:rPr>
          <w:sz w:val="20"/>
          <w:szCs w:val="20"/>
        </w:rPr>
        <w:t xml:space="preserve"> contribuir para o conhecimento da realidade e para o debate dos programas de transferência monetária focalizados e dos programas de renda básica universal.    </w:t>
      </w:r>
    </w:p>
    <w:p w14:paraId="4022F36C" w14:textId="77777777" w:rsidR="000318F5" w:rsidRPr="00CB7946" w:rsidRDefault="000318F5" w:rsidP="000318F5">
      <w:pPr>
        <w:spacing w:line="240" w:lineRule="auto"/>
        <w:ind w:left="2835"/>
        <w:jc w:val="both"/>
        <w:rPr>
          <w:b/>
          <w:bCs/>
          <w:sz w:val="20"/>
          <w:szCs w:val="20"/>
        </w:rPr>
      </w:pPr>
      <w:r w:rsidRPr="00CB7946">
        <w:rPr>
          <w:b/>
          <w:bCs/>
          <w:sz w:val="20"/>
          <w:szCs w:val="20"/>
        </w:rPr>
        <w:t xml:space="preserve">Palavras-chave: </w:t>
      </w:r>
      <w:r w:rsidRPr="00CB7946">
        <w:rPr>
          <w:sz w:val="20"/>
          <w:szCs w:val="20"/>
        </w:rPr>
        <w:t>programas de transferência monetária, focalização, universalidade, proteção social, América Latina, Caribe.</w:t>
      </w:r>
    </w:p>
    <w:p w14:paraId="17E15E76" w14:textId="77777777" w:rsidR="000318F5" w:rsidRPr="00CB7946" w:rsidRDefault="000318F5" w:rsidP="000318F5">
      <w:pPr>
        <w:spacing w:line="240" w:lineRule="auto"/>
        <w:ind w:left="2835"/>
        <w:jc w:val="both"/>
        <w:rPr>
          <w:sz w:val="20"/>
          <w:szCs w:val="20"/>
          <w:lang w:val="en-US"/>
        </w:rPr>
      </w:pPr>
      <w:r w:rsidRPr="00CB7946">
        <w:rPr>
          <w:b/>
          <w:bCs/>
          <w:sz w:val="20"/>
          <w:szCs w:val="20"/>
          <w:lang w:val="en-US"/>
        </w:rPr>
        <w:t xml:space="preserve">Abstract: </w:t>
      </w:r>
      <w:r w:rsidRPr="00CB7946">
        <w:rPr>
          <w:sz w:val="20"/>
          <w:szCs w:val="20"/>
          <w:lang w:val="en-US"/>
        </w:rPr>
        <w:t xml:space="preserve">The article, a product of the implementation of the Project Focused Income and Universal Basic Income in the context of the Covid-19 pandemic and post-pandemic: monitoring and analysis of reality in Latin America and the Caribbean, has as its temporal reference the period from 2020 to 2024. It also has as information source specific and general reports of the project. The central proposal of the article is to highlight the qualified and important traces of the research subject seen as Latin America and Caribbean social protection components.  Its objective is to contribute for the social reality and to the debate about the focalized income transfer programs as well as to universal basic income.  </w:t>
      </w:r>
    </w:p>
    <w:p w14:paraId="3BF1A1BF" w14:textId="77777777" w:rsidR="000318F5" w:rsidRPr="00CB7946" w:rsidRDefault="000318F5" w:rsidP="000318F5">
      <w:pPr>
        <w:spacing w:line="240" w:lineRule="auto"/>
        <w:ind w:left="2835"/>
        <w:jc w:val="both"/>
        <w:rPr>
          <w:sz w:val="20"/>
          <w:szCs w:val="20"/>
          <w:lang w:val="en-US"/>
        </w:rPr>
      </w:pPr>
      <w:r w:rsidRPr="00CB7946">
        <w:rPr>
          <w:b/>
          <w:bCs/>
          <w:sz w:val="20"/>
          <w:szCs w:val="20"/>
          <w:lang w:val="en-US"/>
        </w:rPr>
        <w:lastRenderedPageBreak/>
        <w:t>Keywords</w:t>
      </w:r>
      <w:r w:rsidRPr="00CB7946">
        <w:rPr>
          <w:sz w:val="20"/>
          <w:szCs w:val="20"/>
          <w:lang w:val="en-US"/>
        </w:rPr>
        <w:t>: Income transfer programs, focalization, universality, social protection, Latin America, Caribbean</w:t>
      </w:r>
      <w:r w:rsidRPr="00CB7946">
        <w:rPr>
          <w:b/>
          <w:bCs/>
          <w:sz w:val="20"/>
          <w:szCs w:val="20"/>
          <w:lang w:val="en-US"/>
        </w:rPr>
        <w:t>.</w:t>
      </w:r>
    </w:p>
    <w:p w14:paraId="3FD6DDCD" w14:textId="77777777" w:rsidR="000318F5" w:rsidRPr="00CB7946" w:rsidRDefault="000318F5" w:rsidP="000318F5">
      <w:pPr>
        <w:rPr>
          <w:lang w:val="en-US"/>
        </w:rPr>
      </w:pPr>
    </w:p>
    <w:p w14:paraId="3107CAE7" w14:textId="77777777" w:rsidR="000318F5" w:rsidRPr="008E5175" w:rsidRDefault="000318F5" w:rsidP="000318F5">
      <w:pPr>
        <w:rPr>
          <w:b/>
          <w:bCs/>
          <w:lang w:val="en-US"/>
        </w:rPr>
      </w:pPr>
      <w:r w:rsidRPr="008E5175">
        <w:rPr>
          <w:b/>
          <w:bCs/>
          <w:lang w:val="en-US"/>
        </w:rPr>
        <w:br w:type="page"/>
      </w:r>
    </w:p>
    <w:p w14:paraId="12FFDA0F" w14:textId="77777777" w:rsidR="000318F5" w:rsidRPr="00397266" w:rsidRDefault="000318F5" w:rsidP="000318F5">
      <w:pPr>
        <w:rPr>
          <w:b/>
          <w:bCs/>
          <w:sz w:val="24"/>
          <w:szCs w:val="24"/>
        </w:rPr>
      </w:pPr>
      <w:r w:rsidRPr="00397266">
        <w:rPr>
          <w:b/>
          <w:bCs/>
          <w:sz w:val="24"/>
          <w:szCs w:val="24"/>
        </w:rPr>
        <w:t xml:space="preserve">1 INTRODUÇÃO </w:t>
      </w:r>
    </w:p>
    <w:p w14:paraId="7C5D38A1" w14:textId="77777777" w:rsidR="000318F5" w:rsidRPr="00397266" w:rsidRDefault="000318F5" w:rsidP="000318F5">
      <w:pPr>
        <w:spacing w:line="360" w:lineRule="auto"/>
        <w:jc w:val="both"/>
        <w:rPr>
          <w:b/>
          <w:bCs/>
          <w:sz w:val="24"/>
          <w:szCs w:val="24"/>
        </w:rPr>
      </w:pPr>
    </w:p>
    <w:p w14:paraId="1F5267C2" w14:textId="77777777" w:rsidR="000318F5" w:rsidRPr="00397266" w:rsidRDefault="000318F5" w:rsidP="000318F5">
      <w:pPr>
        <w:spacing w:line="360" w:lineRule="auto"/>
        <w:ind w:firstLine="709"/>
        <w:jc w:val="both"/>
        <w:rPr>
          <w:sz w:val="24"/>
          <w:szCs w:val="24"/>
        </w:rPr>
      </w:pPr>
      <w:r w:rsidRPr="00397266">
        <w:rPr>
          <w:sz w:val="24"/>
          <w:szCs w:val="24"/>
        </w:rPr>
        <w:t>O presente texto busca desenvolver reflexões e problematização sobre</w:t>
      </w:r>
      <w:r w:rsidRPr="00397266">
        <w:rPr>
          <w:b/>
          <w:bCs/>
          <w:sz w:val="24"/>
          <w:szCs w:val="24"/>
        </w:rPr>
        <w:t xml:space="preserve"> </w:t>
      </w:r>
      <w:r w:rsidRPr="00397266">
        <w:rPr>
          <w:sz w:val="24"/>
          <w:szCs w:val="24"/>
        </w:rPr>
        <w:t xml:space="preserve">traços dominantes, convergências e divergências no âmbito dos programas de transferência monetária na América Latina e Caribe. Fundamenta-se em resultados da implementação do projeto </w:t>
      </w:r>
      <w:r w:rsidRPr="00397266">
        <w:rPr>
          <w:b/>
          <w:bCs/>
          <w:sz w:val="24"/>
          <w:szCs w:val="24"/>
        </w:rPr>
        <w:t>programas de transferência monetária focalizados e de renda básica universal no contexto da pandemia e da pós-pandemia da Covid-19</w:t>
      </w:r>
      <w:r w:rsidRPr="00397266">
        <w:rPr>
          <w:sz w:val="24"/>
          <w:szCs w:val="24"/>
        </w:rPr>
        <w:t>: acompanhamento e análise da realidade na América Latina e Caribe.  Situa-se no período 2020 a 2024. Trata-se de projeto aprovado e financiado pelo Conselho de Desenvolvimento Científico e Tecnológico (CNPq), instituição brasileira de apoio e fomento à pesquisa. Contou com a participação da Universidade Federal do Maranhão/Programa de Pós-graduação em Políticas Públicas (instituição coordenadora geral do projeto); Pontifícia Universidade Católica de São Paulo/</w:t>
      </w:r>
      <w:r w:rsidRPr="00397266">
        <w:rPr>
          <w:sz w:val="24"/>
          <w:szCs w:val="24"/>
          <w:shd w:val="clear" w:color="auto" w:fill="FFFFFF"/>
        </w:rPr>
        <w:t xml:space="preserve">Programa de Estudos Pós-graduados em Serviço Social; </w:t>
      </w:r>
      <w:r w:rsidRPr="00397266">
        <w:rPr>
          <w:sz w:val="24"/>
          <w:szCs w:val="24"/>
        </w:rPr>
        <w:t>Universidad de la República (UDELAR)</w:t>
      </w:r>
      <w:r w:rsidRPr="00397266">
        <w:rPr>
          <w:rFonts w:eastAsia="Times New Roman"/>
          <w:sz w:val="24"/>
          <w:szCs w:val="24"/>
          <w:lang w:eastAsia="es-AR"/>
        </w:rPr>
        <w:t xml:space="preserve"> e Facultad de Ciencias Humanas - Universidad Nacional del Centro de la Provincia de Buenos Aires</w:t>
      </w:r>
    </w:p>
    <w:p w14:paraId="37634D47" w14:textId="77777777" w:rsidR="000318F5" w:rsidRPr="00397266" w:rsidRDefault="000318F5" w:rsidP="000318F5">
      <w:pPr>
        <w:spacing w:line="360" w:lineRule="auto"/>
        <w:ind w:firstLine="708"/>
        <w:jc w:val="both"/>
        <w:rPr>
          <w:sz w:val="24"/>
          <w:szCs w:val="24"/>
        </w:rPr>
      </w:pPr>
      <w:r w:rsidRPr="00397266">
        <w:rPr>
          <w:sz w:val="24"/>
          <w:szCs w:val="24"/>
        </w:rPr>
        <w:t xml:space="preserve">O objetivo geral que orientou a pesquisa foi identificar, sistematizar, problematizar e divulgar a dinâmica histórica, o debate, a formulação e a implementação de programas de transferência monetária focalizados e de renda básica universal em países da América Latina e Caribe no período indicado. </w:t>
      </w:r>
    </w:p>
    <w:p w14:paraId="7798616D" w14:textId="77777777" w:rsidR="000318F5" w:rsidRPr="00397266" w:rsidRDefault="000318F5" w:rsidP="000318F5">
      <w:pPr>
        <w:spacing w:line="360" w:lineRule="auto"/>
        <w:ind w:firstLine="708"/>
        <w:jc w:val="both"/>
        <w:rPr>
          <w:bCs/>
          <w:sz w:val="24"/>
          <w:szCs w:val="24"/>
        </w:rPr>
      </w:pPr>
      <w:r w:rsidRPr="00397266">
        <w:rPr>
          <w:sz w:val="24"/>
          <w:szCs w:val="24"/>
        </w:rPr>
        <w:t>A proposta metodológica</w:t>
      </w:r>
      <w:r w:rsidRPr="00397266">
        <w:rPr>
          <w:b/>
          <w:bCs/>
          <w:sz w:val="24"/>
          <w:szCs w:val="24"/>
        </w:rPr>
        <w:t xml:space="preserve"> </w:t>
      </w:r>
      <w:r w:rsidRPr="00397266">
        <w:rPr>
          <w:sz w:val="24"/>
          <w:szCs w:val="24"/>
        </w:rPr>
        <w:t>para desenvolvimento da pesquisa foi referenciada</w:t>
      </w:r>
      <w:r w:rsidRPr="00397266">
        <w:rPr>
          <w:bCs/>
          <w:sz w:val="24"/>
          <w:szCs w:val="24"/>
        </w:rPr>
        <w:t xml:space="preserve"> no materialismo histórico-dialético que é fundamentado em três categorias centrais: historicidade, totalidade e contradição. Marx (1987) assume como ponto de partida a historicidade, enquanto processo de elaboração teórica que busca apreender o desenvolvimento do ser social em toda a sua complexidade. Nesse contexto destaca a necessidade de compreensão da história das relações sociais vividas pelos homens, cuja base são as relações materiais, historicamente determinadas pelo estágio de desenvolvimento das forças produtivas. No campo do materialismo </w:t>
      </w:r>
      <w:r w:rsidRPr="00397266">
        <w:rPr>
          <w:bCs/>
          <w:sz w:val="24"/>
          <w:szCs w:val="24"/>
        </w:rPr>
        <w:lastRenderedPageBreak/>
        <w:t xml:space="preserve">histórico-dialético, Marx considera a totalidade como a síntese de múltiplas determinações, de contradições relacionadas reciprocamente. A contradição, para Marx, é a categoria da dialética materialista que a torna revolucionária, expressando-se enquanto um elemento constitutivo das relações sociais. Significa que na contradição reside o germe da luta, que conduz à transformação da sociedade. </w:t>
      </w:r>
    </w:p>
    <w:p w14:paraId="2BDE7B20" w14:textId="77777777" w:rsidR="000318F5" w:rsidRPr="00397266" w:rsidRDefault="000318F5" w:rsidP="000318F5">
      <w:pPr>
        <w:spacing w:line="360" w:lineRule="auto"/>
        <w:jc w:val="both"/>
        <w:rPr>
          <w:sz w:val="24"/>
          <w:szCs w:val="24"/>
        </w:rPr>
      </w:pPr>
      <w:r w:rsidRPr="00397266">
        <w:rPr>
          <w:sz w:val="24"/>
          <w:szCs w:val="24"/>
        </w:rPr>
        <w:tab/>
        <w:t xml:space="preserve">Partindo dos resultados gerais decorrentes do projeto implementado, no presente texto é desenvolvido um recorte que explicita, caracteriza e problematiza o que é denominado de traços dominantes, convergências e divergências qualificadoras dos programas de transferência monetária na América Latina e Caribe, conforme segue.   </w:t>
      </w:r>
    </w:p>
    <w:p w14:paraId="11263D17" w14:textId="77777777" w:rsidR="000318F5" w:rsidRPr="00397266" w:rsidRDefault="000318F5" w:rsidP="000318F5">
      <w:pPr>
        <w:spacing w:line="360" w:lineRule="auto"/>
        <w:jc w:val="both"/>
        <w:rPr>
          <w:sz w:val="24"/>
          <w:szCs w:val="24"/>
        </w:rPr>
      </w:pPr>
    </w:p>
    <w:p w14:paraId="03025342" w14:textId="77777777" w:rsidR="000318F5" w:rsidRPr="00397266" w:rsidRDefault="000318F5" w:rsidP="000318F5">
      <w:pPr>
        <w:rPr>
          <w:sz w:val="24"/>
          <w:szCs w:val="24"/>
        </w:rPr>
      </w:pPr>
      <w:r w:rsidRPr="00397266">
        <w:rPr>
          <w:b/>
          <w:bCs/>
          <w:sz w:val="24"/>
          <w:szCs w:val="24"/>
        </w:rPr>
        <w:t>2 PROGRAMAS DE TRANSFERÊNCIA MONETÁRIA NA AMÉRICA LATINA E CARIBE:</w:t>
      </w:r>
      <w:r w:rsidRPr="00397266">
        <w:rPr>
          <w:sz w:val="24"/>
          <w:szCs w:val="24"/>
        </w:rPr>
        <w:t xml:space="preserve"> traços dominantes, convergências e divergências identificadas</w:t>
      </w:r>
    </w:p>
    <w:p w14:paraId="0B40AB6D" w14:textId="77777777" w:rsidR="000318F5" w:rsidRPr="00397266" w:rsidRDefault="000318F5" w:rsidP="000318F5">
      <w:pPr>
        <w:spacing w:line="360" w:lineRule="auto"/>
        <w:ind w:firstLine="708"/>
        <w:jc w:val="both"/>
        <w:rPr>
          <w:sz w:val="24"/>
          <w:szCs w:val="24"/>
        </w:rPr>
      </w:pPr>
      <w:r w:rsidRPr="00397266">
        <w:rPr>
          <w:sz w:val="24"/>
          <w:szCs w:val="24"/>
        </w:rPr>
        <w:tab/>
      </w:r>
    </w:p>
    <w:p w14:paraId="4AFD1AAA" w14:textId="77777777" w:rsidR="000318F5" w:rsidRPr="00397266" w:rsidRDefault="000318F5" w:rsidP="000318F5">
      <w:pPr>
        <w:spacing w:line="360" w:lineRule="auto"/>
        <w:ind w:firstLine="708"/>
        <w:jc w:val="both"/>
        <w:rPr>
          <w:sz w:val="24"/>
          <w:szCs w:val="24"/>
        </w:rPr>
      </w:pPr>
      <w:r w:rsidRPr="00397266">
        <w:rPr>
          <w:sz w:val="24"/>
          <w:szCs w:val="24"/>
        </w:rPr>
        <w:t xml:space="preserve">Os programas de transferência monetária são aqui compreendidos enquanto mecanismos político-institucionais que integram os sistemas de proteção social na região latino-americana desde fins do século XX, expandindo-se e consolidando-se no século XXI. São programas que assumem particularidades nas diferentes experiências nacionais. Convivem com os seguros destinados a trabalhadores contribuintes da Previdência Social.  </w:t>
      </w:r>
    </w:p>
    <w:p w14:paraId="6AF4C0B7" w14:textId="77777777" w:rsidR="000318F5" w:rsidRPr="00397266" w:rsidRDefault="000318F5" w:rsidP="000318F5">
      <w:pPr>
        <w:spacing w:line="360" w:lineRule="auto"/>
        <w:ind w:firstLine="708"/>
        <w:jc w:val="both"/>
        <w:rPr>
          <w:sz w:val="24"/>
          <w:szCs w:val="24"/>
        </w:rPr>
      </w:pPr>
      <w:r w:rsidRPr="00397266">
        <w:rPr>
          <w:sz w:val="24"/>
          <w:szCs w:val="24"/>
        </w:rPr>
        <w:t xml:space="preserve">A despeito da diversidade entre os países da América Latina e Caribe, identificamos certas características de homogeneidades dos programas de transferência monetária focalizados e condicionados, todavia não foram identificados programas de renda básica universal e incondicional. Nesse aspecto, mesmo no contexto da diversidade dos países da América Latina e Caribe e suas particularidades em função dos processos de suas formações econômico-sociais, a pesquisa revelou que quase todos os programas anteriores à pandemia da Covid-19 mantêm os mesmos qualificadores: foco na pobreza, condicionalidades, família como unidade básica de atenção; território como espaço de focalização do </w:t>
      </w:r>
      <w:r w:rsidRPr="00397266">
        <w:rPr>
          <w:sz w:val="24"/>
          <w:szCs w:val="24"/>
        </w:rPr>
        <w:lastRenderedPageBreak/>
        <w:t xml:space="preserve">atendimento; racionalidade gerencial como paradigma do processo de gestão. Ademais, esses programas, em termos das funções que desempenham na sociedade, além de mitigar a pobreza sem, contudo, alterar a desigualdade, têm demonstrado contribuir largamente para legitimação de governos que demonstram interesse em criar, manter ou expandir tais programas em campanhas eleitorais.  </w:t>
      </w:r>
    </w:p>
    <w:p w14:paraId="4A921CA6" w14:textId="77777777" w:rsidR="000318F5" w:rsidRPr="00397266" w:rsidRDefault="000318F5" w:rsidP="000318F5">
      <w:pPr>
        <w:spacing w:line="360" w:lineRule="auto"/>
        <w:ind w:firstLine="709"/>
        <w:jc w:val="both"/>
        <w:rPr>
          <w:color w:val="000000"/>
          <w:sz w:val="24"/>
          <w:szCs w:val="24"/>
        </w:rPr>
      </w:pPr>
      <w:r w:rsidRPr="00397266">
        <w:rPr>
          <w:color w:val="000000"/>
          <w:sz w:val="24"/>
          <w:szCs w:val="24"/>
        </w:rPr>
        <w:t>No processo de investigação dos programas de transferência monetária, a análise e problematização desenvolvida revelaram os seguintes traços prevalentes nos referidos programas.</w:t>
      </w:r>
    </w:p>
    <w:p w14:paraId="6261E2FF" w14:textId="77777777" w:rsidR="000318F5" w:rsidRPr="00397266" w:rsidRDefault="000318F5" w:rsidP="000318F5">
      <w:pPr>
        <w:pStyle w:val="PargrafodaLista"/>
        <w:numPr>
          <w:ilvl w:val="0"/>
          <w:numId w:val="2"/>
        </w:numPr>
        <w:spacing w:line="360" w:lineRule="auto"/>
        <w:jc w:val="both"/>
        <w:rPr>
          <w:rFonts w:ascii="Arial" w:hAnsi="Arial" w:cs="Arial"/>
          <w:sz w:val="24"/>
          <w:szCs w:val="24"/>
          <w:lang w:val="pt-BR"/>
        </w:rPr>
      </w:pPr>
      <w:r w:rsidRPr="00397266">
        <w:rPr>
          <w:rFonts w:ascii="Arial" w:eastAsia="Arial" w:hAnsi="Arial" w:cs="Arial"/>
          <w:b/>
          <w:bCs/>
          <w:color w:val="000000"/>
          <w:sz w:val="24"/>
          <w:szCs w:val="24"/>
          <w:lang w:val="pt-BR"/>
        </w:rPr>
        <w:t>INFORMATIZAÇÃO</w:t>
      </w:r>
      <w:r w:rsidRPr="00397266">
        <w:rPr>
          <w:rFonts w:ascii="Arial" w:eastAsia="Arial" w:hAnsi="Arial" w:cs="Arial"/>
          <w:color w:val="000000"/>
          <w:sz w:val="24"/>
          <w:szCs w:val="24"/>
          <w:lang w:val="pt-BR"/>
        </w:rPr>
        <w:t xml:space="preserve"> -</w:t>
      </w:r>
      <w:r w:rsidRPr="00397266">
        <w:rPr>
          <w:rFonts w:ascii="Arial" w:hAnsi="Arial" w:cs="Arial"/>
          <w:sz w:val="24"/>
          <w:szCs w:val="24"/>
          <w:lang w:val="pt-BR"/>
        </w:rPr>
        <w:t xml:space="preserve"> tendência largamente adotada pelos programas de transferência monetária em implementação na América Latina e no Caribe. Um alto grau de informatização é utilizado na gestão desses programas, sobretudo no que se refere ao processo de seleção</w:t>
      </w:r>
      <w:r w:rsidRPr="00397266">
        <w:rPr>
          <w:rFonts w:ascii="Arial" w:hAnsi="Arial" w:cs="Arial"/>
          <w:b/>
          <w:bCs/>
          <w:sz w:val="24"/>
          <w:szCs w:val="24"/>
          <w:lang w:val="pt-BR"/>
        </w:rPr>
        <w:t xml:space="preserve"> </w:t>
      </w:r>
      <w:r w:rsidRPr="00397266">
        <w:rPr>
          <w:rFonts w:ascii="Arial" w:hAnsi="Arial" w:cs="Arial"/>
          <w:sz w:val="24"/>
          <w:szCs w:val="24"/>
          <w:lang w:val="pt-BR"/>
        </w:rPr>
        <w:t>do público-alvo assim como no acompanhamento dos beneficiários, inclusive desconsiderando os limites dessa população para acesso ao campo da informatização.</w:t>
      </w:r>
    </w:p>
    <w:p w14:paraId="604E308B" w14:textId="77777777" w:rsidR="000318F5" w:rsidRPr="00397266" w:rsidRDefault="000318F5" w:rsidP="000318F5">
      <w:pPr>
        <w:pStyle w:val="LO-normal1"/>
        <w:spacing w:before="240" w:line="360" w:lineRule="auto"/>
        <w:ind w:firstLine="708"/>
        <w:jc w:val="both"/>
        <w:rPr>
          <w:lang w:val="pt-BR"/>
        </w:rPr>
      </w:pPr>
      <w:r w:rsidRPr="00397266">
        <w:rPr>
          <w:rFonts w:ascii="Arial" w:eastAsia="Arial" w:hAnsi="Arial" w:cs="Arial"/>
          <w:lang w:val="pt-BR"/>
        </w:rPr>
        <w:t>Referindo-se à ampliação da informatização nos programas de transferência monetária, a equipe de pesquisadoras (es) do Uruguai destaca que muitas medidas e experiências desenvolvidas no contexto da pademia terminaram por acelerar o uso intensivo de novas tecnologias da informação na comunicação, transportando essa prática para a política pública e em particular para a política social, reconfigurando os processos de trabalho desenvolvidos no seu âmbito. (Relatório Uruguai, 2024).</w:t>
      </w:r>
    </w:p>
    <w:p w14:paraId="32A93185" w14:textId="77777777" w:rsidR="000318F5" w:rsidRPr="00397266" w:rsidRDefault="000318F5" w:rsidP="000318F5">
      <w:pPr>
        <w:pStyle w:val="PargrafodaLista"/>
        <w:spacing w:line="360" w:lineRule="auto"/>
        <w:ind w:left="1069"/>
        <w:jc w:val="both"/>
        <w:rPr>
          <w:rFonts w:ascii="Arial" w:hAnsi="Arial" w:cs="Arial"/>
          <w:sz w:val="24"/>
          <w:szCs w:val="24"/>
          <w:lang w:val="pt-BR"/>
        </w:rPr>
      </w:pPr>
      <w:r w:rsidRPr="00397266">
        <w:rPr>
          <w:rFonts w:ascii="Arial" w:hAnsi="Arial" w:cs="Arial"/>
          <w:sz w:val="24"/>
          <w:szCs w:val="24"/>
          <w:lang w:val="pt-BR"/>
        </w:rPr>
        <w:t>b)</w:t>
      </w:r>
      <w:r w:rsidRPr="00397266">
        <w:rPr>
          <w:rFonts w:ascii="Arial" w:hAnsi="Arial" w:cs="Arial"/>
          <w:b/>
          <w:bCs/>
          <w:sz w:val="24"/>
          <w:szCs w:val="24"/>
          <w:lang w:val="pt-BR"/>
        </w:rPr>
        <w:t xml:space="preserve"> BANCARIZAÇÃO</w:t>
      </w:r>
      <w:r w:rsidRPr="00397266">
        <w:rPr>
          <w:rFonts w:ascii="Arial" w:hAnsi="Arial" w:cs="Arial"/>
          <w:sz w:val="24"/>
          <w:szCs w:val="24"/>
          <w:lang w:val="pt-BR"/>
        </w:rPr>
        <w:t>, fazendo com que a população beneficiária dos programas de transferência monetária passe a ter conta bancária para realização do depósito do benefício a que tem direito, inclusive desconsiderando que na</w:t>
      </w:r>
      <w:r w:rsidRPr="00397266">
        <w:rPr>
          <w:rFonts w:ascii="Arial" w:eastAsia="Arial" w:hAnsi="Arial" w:cs="Arial"/>
          <w:sz w:val="24"/>
          <w:szCs w:val="24"/>
          <w:lang w:val="pt-BR"/>
        </w:rPr>
        <w:t xml:space="preserve"> América Latina e Caribe, grande parte da população não tem conta bancária. Com essa demanda,</w:t>
      </w:r>
      <w:r w:rsidRPr="00397266">
        <w:rPr>
          <w:rFonts w:ascii="Arial" w:eastAsia="Arial" w:hAnsi="Arial" w:cs="Arial"/>
          <w:sz w:val="24"/>
          <w:szCs w:val="24"/>
          <w:highlight w:val="white"/>
          <w:lang w:val="pt-BR"/>
        </w:rPr>
        <w:t xml:space="preserve"> a </w:t>
      </w:r>
      <w:r w:rsidRPr="00397266">
        <w:rPr>
          <w:rFonts w:ascii="Arial" w:eastAsia="Arial" w:hAnsi="Arial" w:cs="Arial"/>
          <w:sz w:val="24"/>
          <w:szCs w:val="24"/>
          <w:lang w:val="pt-BR"/>
        </w:rPr>
        <w:t xml:space="preserve">inclusão financeira dos segmentos mais empobrecidos e precarizados da classe trabalhadora, promovido pelos programas, termina por aprofundar e </w:t>
      </w:r>
      <w:r w:rsidRPr="00397266">
        <w:rPr>
          <w:rFonts w:ascii="Arial" w:eastAsia="Arial" w:hAnsi="Arial" w:cs="Arial"/>
          <w:sz w:val="24"/>
          <w:szCs w:val="24"/>
          <w:lang w:val="pt-BR"/>
        </w:rPr>
        <w:lastRenderedPageBreak/>
        <w:t xml:space="preserve">estimular indicações de organismos multilaterais, muitos financiadores desses programas. Como analisado por </w:t>
      </w:r>
      <w:r w:rsidRPr="00397266">
        <w:rPr>
          <w:rFonts w:ascii="Arial" w:hAnsi="Arial" w:cs="Arial"/>
          <w:sz w:val="24"/>
          <w:szCs w:val="24"/>
          <w:lang w:val="pt-BR"/>
        </w:rPr>
        <w:t xml:space="preserve">ARREGUI et al; 2024, p. 152. </w:t>
      </w:r>
    </w:p>
    <w:p w14:paraId="1FDD79CF" w14:textId="77777777" w:rsidR="000318F5" w:rsidRDefault="000318F5" w:rsidP="000318F5">
      <w:pPr>
        <w:spacing w:line="240" w:lineRule="auto"/>
        <w:ind w:left="2268"/>
        <w:jc w:val="both"/>
        <w:rPr>
          <w:sz w:val="20"/>
          <w:szCs w:val="20"/>
        </w:rPr>
      </w:pPr>
      <w:r>
        <w:rPr>
          <w:sz w:val="20"/>
          <w:szCs w:val="20"/>
        </w:rPr>
        <w:t>T</w:t>
      </w:r>
      <w:r w:rsidRPr="003A544D">
        <w:rPr>
          <w:sz w:val="20"/>
          <w:szCs w:val="20"/>
        </w:rPr>
        <w:t xml:space="preserve">rata-se de uma estratégia que se propõe a eliminar as barreiras que impedem a livre circulação e expansão do capital financeiro nos espaços mais recônditos do globo, servindo a uma lógica que coloca a financeirização como mediação primordial para a reprodução da vida e como tábua de salvação para o enfrentamento à pobreza. </w:t>
      </w:r>
    </w:p>
    <w:p w14:paraId="0E96C069" w14:textId="77777777" w:rsidR="000318F5" w:rsidRPr="003A544D" w:rsidRDefault="000318F5" w:rsidP="000318F5">
      <w:pPr>
        <w:spacing w:line="240" w:lineRule="auto"/>
        <w:ind w:left="2268"/>
        <w:jc w:val="both"/>
        <w:rPr>
          <w:sz w:val="20"/>
          <w:szCs w:val="20"/>
        </w:rPr>
      </w:pPr>
    </w:p>
    <w:p w14:paraId="48603730" w14:textId="77777777" w:rsidR="000318F5" w:rsidRPr="00C32CDE" w:rsidRDefault="000318F5" w:rsidP="000318F5">
      <w:pPr>
        <w:spacing w:line="360" w:lineRule="auto"/>
        <w:ind w:firstLine="708"/>
        <w:jc w:val="both"/>
        <w:rPr>
          <w:sz w:val="24"/>
          <w:szCs w:val="24"/>
        </w:rPr>
      </w:pPr>
      <w:r w:rsidRPr="00C32CDE">
        <w:rPr>
          <w:sz w:val="24"/>
          <w:szCs w:val="24"/>
        </w:rPr>
        <w:t>Os processos de bancarização compulsória dos benefícios de transferência monetária, antes, durante e após a pandemia, precisam ser analisados e problematizados para compreensão das condições materiais que permitem o acesso a esses programas por seu público alvo, pois “servem como porta de entrada das camadas mais empobrecidas das classes trabalhadoras no circuito das finanças e do endividamento” (Relatório PUCSP, 2024).</w:t>
      </w:r>
    </w:p>
    <w:p w14:paraId="2E320B60" w14:textId="77777777" w:rsidR="000318F5" w:rsidRPr="00C32CDE" w:rsidRDefault="000318F5" w:rsidP="000318F5">
      <w:pPr>
        <w:spacing w:line="360" w:lineRule="auto"/>
        <w:ind w:firstLine="708"/>
        <w:jc w:val="both"/>
        <w:rPr>
          <w:bCs/>
          <w:color w:val="FF0000"/>
          <w:sz w:val="24"/>
          <w:szCs w:val="24"/>
        </w:rPr>
      </w:pPr>
      <w:r w:rsidRPr="00C32CDE">
        <w:rPr>
          <w:sz w:val="24"/>
          <w:szCs w:val="24"/>
        </w:rPr>
        <w:t xml:space="preserve">Além da informatização e bancarização, enquanto traços prevalentes, há que se destacar outros traços significativos dos programas de transferência monetária na América Latina e Caribe. Em relação aos programas em implementação em períodos anteriores à Covid19, tem-se, de um lado, o </w:t>
      </w:r>
      <w:r w:rsidRPr="00C32CDE">
        <w:rPr>
          <w:b/>
          <w:bCs/>
          <w:sz w:val="24"/>
          <w:szCs w:val="24"/>
        </w:rPr>
        <w:t>caráter permanente, focalizado e condicionado</w:t>
      </w:r>
      <w:r w:rsidRPr="00C32CDE">
        <w:rPr>
          <w:sz w:val="24"/>
          <w:szCs w:val="24"/>
        </w:rPr>
        <w:t xml:space="preserve"> desses programas. Por outro lado, os programas e medidas instituídas para atender situações decorrentes da pandemia da Covid-19 se caracterizaram pelo </w:t>
      </w:r>
      <w:r w:rsidRPr="00C32CDE">
        <w:rPr>
          <w:b/>
          <w:bCs/>
          <w:sz w:val="24"/>
          <w:szCs w:val="24"/>
        </w:rPr>
        <w:t>caráter emergencial, com duração temporal limitada ou mesmo pontual</w:t>
      </w:r>
      <w:r w:rsidRPr="00C32CDE">
        <w:rPr>
          <w:sz w:val="24"/>
          <w:szCs w:val="24"/>
        </w:rPr>
        <w:t xml:space="preserve">. Em comum, ambos os grupos desses programas ostentaram a </w:t>
      </w:r>
      <w:r w:rsidRPr="00C32CDE">
        <w:rPr>
          <w:b/>
          <w:bCs/>
          <w:sz w:val="24"/>
          <w:szCs w:val="24"/>
        </w:rPr>
        <w:t>focalização</w:t>
      </w:r>
      <w:r w:rsidRPr="00C32CDE">
        <w:rPr>
          <w:sz w:val="24"/>
          <w:szCs w:val="24"/>
        </w:rPr>
        <w:t xml:space="preserve"> em populações pobres, extremamente pobres e em grupos populacionais mais atingidos por situações decorrentes da pandemia da Covid19. Um traço qualificador diferenciado é que as transferências monetárias disponibilizadas durante a pandemia, em razão da emergência sanitária, diferentemente dos programas de transferência monetária implementados previamente à pandemia, não adotaram </w:t>
      </w:r>
      <w:r w:rsidRPr="00C32CDE">
        <w:rPr>
          <w:b/>
          <w:bCs/>
          <w:sz w:val="24"/>
          <w:szCs w:val="24"/>
        </w:rPr>
        <w:t>condicionalidades</w:t>
      </w:r>
      <w:r w:rsidRPr="00C32CDE">
        <w:rPr>
          <w:sz w:val="24"/>
          <w:szCs w:val="24"/>
        </w:rPr>
        <w:t>.</w:t>
      </w:r>
    </w:p>
    <w:p w14:paraId="50EB1AAC" w14:textId="77777777" w:rsidR="000318F5" w:rsidRPr="00C32CDE" w:rsidRDefault="000318F5" w:rsidP="000318F5">
      <w:pPr>
        <w:spacing w:line="360" w:lineRule="auto"/>
        <w:ind w:firstLine="708"/>
        <w:jc w:val="both"/>
        <w:rPr>
          <w:sz w:val="24"/>
          <w:szCs w:val="24"/>
        </w:rPr>
      </w:pPr>
      <w:r w:rsidRPr="00C32CDE">
        <w:rPr>
          <w:sz w:val="24"/>
          <w:szCs w:val="24"/>
        </w:rPr>
        <w:t xml:space="preserve">No campo da identificação de convergências, tem-se à </w:t>
      </w:r>
      <w:r w:rsidRPr="00C32CDE">
        <w:rPr>
          <w:b/>
          <w:bCs/>
          <w:sz w:val="24"/>
          <w:szCs w:val="24"/>
        </w:rPr>
        <w:t>prevalência de mulheres</w:t>
      </w:r>
      <w:r w:rsidRPr="00C32CDE">
        <w:rPr>
          <w:sz w:val="24"/>
          <w:szCs w:val="24"/>
        </w:rPr>
        <w:t xml:space="preserve">, enquanto responsáveis pelas famílias beneficiárias e consequentemente pelo cumprimento das condicionalidades postas enquanto demandas a serem </w:t>
      </w:r>
      <w:r w:rsidRPr="00C32CDE">
        <w:rPr>
          <w:sz w:val="24"/>
          <w:szCs w:val="24"/>
        </w:rPr>
        <w:lastRenderedPageBreak/>
        <w:t>cumpridas no campo da educação e da saúde. Trata-se de um qualificador, inclusive, estimulado por organismos multilaterais, entre os quais, alguns são financiadores de programas de transferência monetária na América Latina e no Caribe.</w:t>
      </w:r>
    </w:p>
    <w:p w14:paraId="666B062F" w14:textId="77777777" w:rsidR="000318F5" w:rsidRPr="00C32CDE" w:rsidRDefault="000318F5" w:rsidP="000318F5">
      <w:pPr>
        <w:spacing w:line="360" w:lineRule="auto"/>
        <w:ind w:firstLine="720"/>
        <w:jc w:val="both"/>
        <w:rPr>
          <w:sz w:val="24"/>
          <w:szCs w:val="24"/>
        </w:rPr>
      </w:pPr>
      <w:r w:rsidRPr="00C32CDE">
        <w:rPr>
          <w:sz w:val="24"/>
          <w:szCs w:val="24"/>
        </w:rPr>
        <w:t>Segundo ARREGUI, 2023, citados no relatório de pesquisa da PUCSP</w:t>
      </w:r>
    </w:p>
    <w:p w14:paraId="32D920C7" w14:textId="77777777" w:rsidR="000318F5" w:rsidRDefault="000318F5" w:rsidP="000318F5">
      <w:pPr>
        <w:spacing w:line="240" w:lineRule="auto"/>
        <w:ind w:left="2835"/>
        <w:jc w:val="both"/>
        <w:rPr>
          <w:color w:val="EE0000"/>
          <w:sz w:val="20"/>
          <w:szCs w:val="20"/>
          <w:highlight w:val="white"/>
        </w:rPr>
      </w:pPr>
      <w:r w:rsidRPr="00415A49">
        <w:rPr>
          <w:sz w:val="20"/>
          <w:szCs w:val="20"/>
        </w:rPr>
        <w:t>o trabalho reprodutivo não remunerado das mulheres realizado na esfera privada, atua suprimindo às necessidades não cobertas pela intervenção estatal. Consideram que a apropriação do tempo social das mulheres expressa uma das tendências contemporâneas do Estado capitalista periférico, cuja intervenção</w:t>
      </w:r>
      <w:r w:rsidRPr="00415A49">
        <w:rPr>
          <w:sz w:val="20"/>
          <w:szCs w:val="20"/>
          <w:highlight w:val="white"/>
        </w:rPr>
        <w:t xml:space="preserve"> na reprodução social se realiza utilizando desse tempo social como parte da intervenção pública.</w:t>
      </w:r>
      <w:r>
        <w:rPr>
          <w:sz w:val="20"/>
          <w:szCs w:val="20"/>
          <w:highlight w:val="white"/>
        </w:rPr>
        <w:t xml:space="preserve"> </w:t>
      </w:r>
      <w:r w:rsidRPr="00903ECD">
        <w:rPr>
          <w:sz w:val="20"/>
          <w:szCs w:val="20"/>
          <w:highlight w:val="white"/>
        </w:rPr>
        <w:t>(Relatório PUC, 2024, p.  28)</w:t>
      </w:r>
    </w:p>
    <w:p w14:paraId="4ECB34C1" w14:textId="77777777" w:rsidR="000318F5" w:rsidRPr="00415A49" w:rsidRDefault="000318F5" w:rsidP="000318F5">
      <w:pPr>
        <w:spacing w:line="240" w:lineRule="auto"/>
        <w:ind w:left="2835"/>
        <w:jc w:val="both"/>
        <w:rPr>
          <w:color w:val="EE0000"/>
          <w:sz w:val="20"/>
          <w:szCs w:val="20"/>
          <w:highlight w:val="white"/>
        </w:rPr>
      </w:pPr>
    </w:p>
    <w:p w14:paraId="64B3AE5F" w14:textId="77777777" w:rsidR="000318F5" w:rsidRPr="00C32CDE" w:rsidRDefault="000318F5" w:rsidP="000318F5">
      <w:pPr>
        <w:spacing w:line="360" w:lineRule="auto"/>
        <w:ind w:firstLine="708"/>
        <w:jc w:val="both"/>
        <w:rPr>
          <w:sz w:val="24"/>
          <w:szCs w:val="24"/>
          <w:highlight w:val="white"/>
        </w:rPr>
      </w:pPr>
      <w:r w:rsidRPr="00C32CDE">
        <w:rPr>
          <w:sz w:val="24"/>
          <w:szCs w:val="24"/>
          <w:highlight w:val="white"/>
        </w:rPr>
        <w:t xml:space="preserve">Esse entendimento coloca o tempo das mulheres enquanto reprodução social e componente da expropriação, contribuindo para o processo de acumulação do capital, isto “ao apropriar-se desse tempo social, o Estado libera fundo público para os interesses da reprodução do capital, em detrimento da reprodução da força de trabalho” (Relatório PUCSP, 2024. p. 35). </w:t>
      </w:r>
    </w:p>
    <w:p w14:paraId="5C355FAE" w14:textId="77777777" w:rsidR="000318F5" w:rsidRPr="00C32CDE" w:rsidRDefault="000318F5" w:rsidP="000318F5">
      <w:pPr>
        <w:spacing w:line="360" w:lineRule="auto"/>
        <w:ind w:firstLine="720"/>
        <w:jc w:val="both"/>
        <w:rPr>
          <w:sz w:val="24"/>
          <w:szCs w:val="24"/>
          <w:highlight w:val="white"/>
        </w:rPr>
      </w:pPr>
      <w:r w:rsidRPr="00C32CDE">
        <w:rPr>
          <w:sz w:val="24"/>
          <w:szCs w:val="24"/>
          <w:highlight w:val="white"/>
        </w:rPr>
        <w:t xml:space="preserve">Ainda enquanto traço dominante dos programas de transferência monetária na América Latina e Caribe convém destacar a ênfase atribuída ao </w:t>
      </w:r>
      <w:r w:rsidRPr="00C32CDE">
        <w:rPr>
          <w:b/>
          <w:bCs/>
          <w:sz w:val="24"/>
          <w:szCs w:val="24"/>
          <w:highlight w:val="white"/>
        </w:rPr>
        <w:t>fortalecimento do capital humano</w:t>
      </w:r>
      <w:r w:rsidRPr="00C32CDE">
        <w:rPr>
          <w:sz w:val="24"/>
          <w:szCs w:val="24"/>
          <w:highlight w:val="white"/>
        </w:rPr>
        <w:t xml:space="preserve"> que indica que os programas de transferência monetária contribuem para qualificar recursos humanos para inserção no mercado de trabalho. Esse é mais um traço qualificador dos programas de transferência monetária que evidencia a contribuição desses programas para reprodução do capital.</w:t>
      </w:r>
    </w:p>
    <w:p w14:paraId="06A48901" w14:textId="77777777" w:rsidR="000318F5" w:rsidRDefault="000318F5" w:rsidP="000318F5">
      <w:pPr>
        <w:spacing w:line="240" w:lineRule="auto"/>
        <w:ind w:left="2268"/>
        <w:jc w:val="both"/>
        <w:rPr>
          <w:sz w:val="20"/>
          <w:szCs w:val="20"/>
        </w:rPr>
      </w:pPr>
      <w:r w:rsidRPr="00B127F5">
        <w:rPr>
          <w:sz w:val="20"/>
          <w:szCs w:val="20"/>
          <w:highlight w:val="white"/>
          <w:lang w:val="es-AR"/>
        </w:rPr>
        <w:t xml:space="preserve">Sin dudas la noción de capital humano se constituye en un eje organizador de los PTMC en la región. El estudio de Argentina </w:t>
      </w:r>
      <w:r w:rsidRPr="00B127F5">
        <w:rPr>
          <w:sz w:val="20"/>
          <w:szCs w:val="20"/>
          <w:lang w:val="es-AR"/>
        </w:rPr>
        <w:t xml:space="preserve">nos muestra que las transferencias monetarias directas a las personas para la “inversión en capital humano” fortaleciendo los procesos de individualización. En el estudio empírico desarrollado se señalan cuestiones problemáticas que emergen de esta perspectiva, que pone el foco en el individuo y sus comportamientos a través de las exigencias de las condicionalidades y no considera las relaciones sociales que definen las desigualdades y problemáticas sociales. De esta manera no se pone en discusión el sistema institucional de protección social y las garantías materiales para la concreción de los derechos enunciados. </w:t>
      </w:r>
      <w:r w:rsidRPr="00867518">
        <w:rPr>
          <w:sz w:val="20"/>
          <w:szCs w:val="20"/>
        </w:rPr>
        <w:t>(Relatório Argentina, 2024)</w:t>
      </w:r>
    </w:p>
    <w:p w14:paraId="7128A954" w14:textId="77777777" w:rsidR="000318F5" w:rsidRPr="00867518" w:rsidRDefault="000318F5" w:rsidP="000318F5">
      <w:pPr>
        <w:spacing w:line="240" w:lineRule="auto"/>
        <w:ind w:left="2268"/>
        <w:jc w:val="both"/>
        <w:rPr>
          <w:sz w:val="20"/>
          <w:szCs w:val="20"/>
        </w:rPr>
      </w:pPr>
    </w:p>
    <w:p w14:paraId="3FF4DDAC" w14:textId="77777777" w:rsidR="000318F5" w:rsidRPr="005C0133" w:rsidRDefault="000318F5" w:rsidP="000318F5">
      <w:pPr>
        <w:spacing w:line="360" w:lineRule="auto"/>
        <w:ind w:firstLine="708"/>
        <w:jc w:val="both"/>
        <w:rPr>
          <w:sz w:val="24"/>
          <w:szCs w:val="24"/>
        </w:rPr>
      </w:pPr>
      <w:r w:rsidRPr="005C0133">
        <w:rPr>
          <w:sz w:val="24"/>
          <w:szCs w:val="24"/>
          <w:highlight w:val="white"/>
        </w:rPr>
        <w:t xml:space="preserve">Pelo exposto, fica demonstrada a existência e manutenção de programas de transferência monetária consolidados em implementação previamente à pandemia </w:t>
      </w:r>
      <w:r w:rsidRPr="005C0133">
        <w:rPr>
          <w:sz w:val="24"/>
          <w:szCs w:val="24"/>
          <w:highlight w:val="white"/>
        </w:rPr>
        <w:lastRenderedPageBreak/>
        <w:t>da Covid19 e a construção de programas, medidas e ações</w:t>
      </w:r>
      <w:r w:rsidRPr="005C0133">
        <w:rPr>
          <w:sz w:val="24"/>
          <w:szCs w:val="24"/>
        </w:rPr>
        <w:t>, em geral, com tempo limitado e de caráter emergencial, destinadas a setores mais atingidos pela pandemia. São programas, ações e medidas que expressam traços convergentes, divergentes e complementares.</w:t>
      </w:r>
    </w:p>
    <w:p w14:paraId="2FE8E787" w14:textId="77777777" w:rsidR="000318F5" w:rsidRPr="005C0133" w:rsidRDefault="000318F5" w:rsidP="000318F5">
      <w:pPr>
        <w:spacing w:line="360" w:lineRule="auto"/>
        <w:ind w:firstLine="709"/>
        <w:jc w:val="both"/>
        <w:rPr>
          <w:sz w:val="24"/>
          <w:szCs w:val="24"/>
        </w:rPr>
      </w:pPr>
      <w:r w:rsidRPr="005C0133">
        <w:rPr>
          <w:sz w:val="24"/>
          <w:szCs w:val="24"/>
        </w:rPr>
        <w:t>Por último, importa destacar que os programas de transferência monetária foram ampliados no contexto do neoliberalismo, enquanto fase contemporânea do capitalismo, conjuntura de aprofundamento das desigualdades estruturais com agravamento das condições de trabalho, de vida e de reprodução social de segmentos da classe trabalhadora. Essa realidade termina por reconfigurar a proteção social que passa a deslocar o foco da universalidade para a focalização.</w:t>
      </w:r>
    </w:p>
    <w:p w14:paraId="1506E9EE" w14:textId="77777777" w:rsidR="000318F5" w:rsidRPr="005C0133" w:rsidRDefault="000318F5" w:rsidP="000318F5">
      <w:pPr>
        <w:spacing w:line="360" w:lineRule="auto"/>
        <w:jc w:val="both"/>
        <w:rPr>
          <w:sz w:val="24"/>
          <w:szCs w:val="24"/>
        </w:rPr>
      </w:pPr>
    </w:p>
    <w:p w14:paraId="454918AA" w14:textId="77777777" w:rsidR="000318F5" w:rsidRPr="005C0133" w:rsidRDefault="000318F5" w:rsidP="000318F5">
      <w:pPr>
        <w:rPr>
          <w:b/>
          <w:bCs/>
          <w:sz w:val="24"/>
          <w:szCs w:val="24"/>
        </w:rPr>
      </w:pPr>
      <w:r w:rsidRPr="005C0133">
        <w:rPr>
          <w:b/>
          <w:bCs/>
          <w:sz w:val="24"/>
          <w:szCs w:val="24"/>
        </w:rPr>
        <w:t xml:space="preserve">3 CONCLUSÃO: </w:t>
      </w:r>
      <w:r w:rsidRPr="005C0133">
        <w:rPr>
          <w:sz w:val="24"/>
          <w:szCs w:val="24"/>
        </w:rPr>
        <w:t>destaques sobre programas de transferência monetária na América Latina e Caribe</w:t>
      </w:r>
    </w:p>
    <w:p w14:paraId="20441D5B" w14:textId="77777777" w:rsidR="000318F5" w:rsidRPr="005C0133" w:rsidRDefault="000318F5" w:rsidP="000318F5">
      <w:pPr>
        <w:rPr>
          <w:b/>
          <w:bCs/>
          <w:sz w:val="24"/>
          <w:szCs w:val="24"/>
        </w:rPr>
      </w:pPr>
    </w:p>
    <w:p w14:paraId="7026FF9A" w14:textId="77777777" w:rsidR="000318F5" w:rsidRPr="005C0133" w:rsidRDefault="000318F5" w:rsidP="000318F5">
      <w:pPr>
        <w:pStyle w:val="PargrafodaLista"/>
        <w:spacing w:line="360" w:lineRule="auto"/>
        <w:ind w:left="0" w:firstLine="1134"/>
        <w:jc w:val="both"/>
        <w:rPr>
          <w:rFonts w:ascii="Arial" w:hAnsi="Arial" w:cs="Arial"/>
          <w:sz w:val="24"/>
          <w:szCs w:val="24"/>
          <w:lang w:val="pt-BR"/>
        </w:rPr>
      </w:pPr>
      <w:r w:rsidRPr="005C0133">
        <w:rPr>
          <w:rFonts w:ascii="Arial" w:hAnsi="Arial" w:cs="Arial"/>
          <w:sz w:val="24"/>
          <w:szCs w:val="24"/>
          <w:lang w:val="pt-BR"/>
        </w:rPr>
        <w:t>As abordagens, as análises e problematizações sobre os traços configurativos dos programas de transferência monetária na América Latina e Caribe permitem a construção de indicações relevantes sobre esses programas, tais como:</w:t>
      </w:r>
    </w:p>
    <w:p w14:paraId="2328A518" w14:textId="77777777" w:rsidR="000318F5" w:rsidRPr="005C0133" w:rsidRDefault="000318F5" w:rsidP="000318F5">
      <w:pPr>
        <w:pStyle w:val="PargrafodaLista"/>
        <w:spacing w:line="360" w:lineRule="auto"/>
        <w:ind w:left="0" w:firstLine="1134"/>
        <w:jc w:val="both"/>
        <w:rPr>
          <w:rFonts w:ascii="Arial" w:hAnsi="Arial" w:cs="Arial"/>
          <w:sz w:val="24"/>
          <w:szCs w:val="24"/>
          <w:lang w:val="pt-BR"/>
        </w:rPr>
      </w:pPr>
      <w:r w:rsidRPr="005C0133">
        <w:rPr>
          <w:rFonts w:ascii="Arial" w:hAnsi="Arial" w:cs="Arial"/>
          <w:sz w:val="24"/>
          <w:szCs w:val="24"/>
          <w:lang w:val="pt-BR"/>
        </w:rPr>
        <w:t xml:space="preserve">- Os programas de transferência monetária nos países latino-americanos e no Caribe situam-se em um contexto de avanço e agravamento do neoliberalismo com rebatimentos sobre os sistemas de proteção social daqueles países. </w:t>
      </w:r>
    </w:p>
    <w:p w14:paraId="69523DCB" w14:textId="77777777" w:rsidR="000318F5" w:rsidRPr="005C0133" w:rsidRDefault="000318F5" w:rsidP="000318F5">
      <w:pPr>
        <w:pStyle w:val="PargrafodaLista"/>
        <w:spacing w:line="360" w:lineRule="auto"/>
        <w:ind w:left="0" w:firstLine="1134"/>
        <w:jc w:val="both"/>
        <w:rPr>
          <w:rFonts w:ascii="Arial" w:hAnsi="Arial" w:cs="Arial"/>
          <w:sz w:val="24"/>
          <w:szCs w:val="24"/>
          <w:lang w:val="pt-BR"/>
        </w:rPr>
      </w:pPr>
      <w:r w:rsidRPr="005C0133">
        <w:rPr>
          <w:rFonts w:ascii="Arial" w:hAnsi="Arial" w:cs="Arial"/>
          <w:sz w:val="24"/>
          <w:szCs w:val="24"/>
          <w:lang w:val="pt-BR"/>
        </w:rPr>
        <w:t>- De modo geral, são países de formação colonial, submetidos ao subdesenvolvimento, sobretudo situam-se em regiões marcadas por fragilidades políticas frágeis, segregações sociais e dependência externa.</w:t>
      </w:r>
    </w:p>
    <w:p w14:paraId="131977CE" w14:textId="77777777" w:rsidR="000318F5" w:rsidRPr="005C0133" w:rsidRDefault="000318F5" w:rsidP="000318F5">
      <w:pPr>
        <w:pStyle w:val="PargrafodaLista"/>
        <w:spacing w:line="360" w:lineRule="auto"/>
        <w:ind w:left="0" w:firstLine="1134"/>
        <w:jc w:val="both"/>
        <w:rPr>
          <w:rFonts w:ascii="Arial" w:hAnsi="Arial" w:cs="Arial"/>
          <w:sz w:val="24"/>
          <w:szCs w:val="24"/>
          <w:lang w:val="pt-BR"/>
        </w:rPr>
      </w:pPr>
      <w:r w:rsidRPr="005C0133">
        <w:rPr>
          <w:rFonts w:ascii="Arial" w:hAnsi="Arial" w:cs="Arial"/>
          <w:sz w:val="24"/>
          <w:szCs w:val="24"/>
          <w:lang w:val="pt-BR"/>
        </w:rPr>
        <w:t xml:space="preserve">- Marcados por vulnerabilidades econômicas e sociais em decorrência de uma dinâmica mundial que impõe, aprofunda e amplia a precarização das condições de vida da maioria da população, com combinação de baixo crescimento econômico, elevados níveis de desemprego, aumento da pobreza e da desigualdade social, numa região que não conseguiu construir sistemas de proteção social consolidados. </w:t>
      </w:r>
    </w:p>
    <w:p w14:paraId="5315D242" w14:textId="77777777" w:rsidR="000318F5" w:rsidRPr="005C0133" w:rsidRDefault="000318F5" w:rsidP="000318F5">
      <w:pPr>
        <w:pStyle w:val="PargrafodaLista"/>
        <w:spacing w:line="360" w:lineRule="auto"/>
        <w:ind w:left="0" w:firstLine="1134"/>
        <w:jc w:val="both"/>
        <w:rPr>
          <w:rFonts w:ascii="Arial" w:hAnsi="Arial" w:cs="Arial"/>
          <w:sz w:val="24"/>
          <w:szCs w:val="24"/>
          <w:lang w:val="pt-BR"/>
        </w:rPr>
      </w:pPr>
      <w:r w:rsidRPr="005C0133">
        <w:rPr>
          <w:rFonts w:ascii="Arial" w:hAnsi="Arial" w:cs="Arial"/>
          <w:sz w:val="24"/>
          <w:szCs w:val="24"/>
          <w:lang w:val="pt-BR"/>
        </w:rPr>
        <w:lastRenderedPageBreak/>
        <w:t xml:space="preserve">- Os sistemas de proteção social, estruturados após os anos 1930, são caracterizados por limitado acesso aos direitos sociais, fragmentação dos serviços, redução e desigualdade nas coberturas e provisões. </w:t>
      </w:r>
    </w:p>
    <w:p w14:paraId="072FFF34" w14:textId="77777777" w:rsidR="000318F5" w:rsidRPr="005C0133" w:rsidRDefault="000318F5" w:rsidP="000318F5">
      <w:pPr>
        <w:pStyle w:val="PargrafodaLista"/>
        <w:spacing w:line="360" w:lineRule="auto"/>
        <w:ind w:left="0" w:firstLine="1134"/>
        <w:jc w:val="both"/>
        <w:rPr>
          <w:rFonts w:ascii="Arial" w:hAnsi="Arial" w:cs="Arial"/>
          <w:sz w:val="24"/>
          <w:szCs w:val="24"/>
          <w:lang w:val="pt-BR"/>
        </w:rPr>
      </w:pPr>
      <w:r w:rsidRPr="005C0133">
        <w:rPr>
          <w:rFonts w:ascii="Arial" w:hAnsi="Arial" w:cs="Arial"/>
          <w:sz w:val="24"/>
          <w:szCs w:val="24"/>
          <w:lang w:val="pt-BR"/>
        </w:rPr>
        <w:t xml:space="preserve">- Os sistemas de proteção social da América Latina e Caribe são marcados, no contexto do ajuste neoliberal, por mecanismos mercadorizantes, com negação de direitos de cidadania e redução da responsabilidade do Estado na provisão da proteção social. </w:t>
      </w:r>
    </w:p>
    <w:p w14:paraId="575E1D78" w14:textId="77777777" w:rsidR="000318F5" w:rsidRPr="005C0133" w:rsidRDefault="000318F5" w:rsidP="000318F5">
      <w:pPr>
        <w:pStyle w:val="PargrafodaLista"/>
        <w:spacing w:line="360" w:lineRule="auto"/>
        <w:ind w:left="0" w:firstLine="1134"/>
        <w:jc w:val="both"/>
        <w:rPr>
          <w:rFonts w:ascii="Arial" w:hAnsi="Arial" w:cs="Arial"/>
          <w:sz w:val="24"/>
          <w:szCs w:val="24"/>
          <w:bdr w:val="none" w:sz="0" w:space="0" w:color="auto" w:frame="1"/>
          <w:lang w:val="pt-BR"/>
        </w:rPr>
      </w:pPr>
      <w:r w:rsidRPr="005C0133">
        <w:rPr>
          <w:rFonts w:ascii="Arial" w:hAnsi="Arial" w:cs="Arial"/>
          <w:sz w:val="24"/>
          <w:szCs w:val="24"/>
          <w:lang w:val="pt-BR"/>
        </w:rPr>
        <w:t>- Em decorrência, tem-se</w:t>
      </w:r>
      <w:r w:rsidRPr="005C0133">
        <w:rPr>
          <w:rFonts w:ascii="Arial" w:hAnsi="Arial" w:cs="Arial"/>
          <w:sz w:val="24"/>
          <w:szCs w:val="24"/>
          <w:bdr w:val="none" w:sz="0" w:space="0" w:color="auto" w:frame="1"/>
          <w:lang w:val="pt-BR"/>
        </w:rPr>
        <w:t xml:space="preserve"> aumento e consolidação do desemprego estrutural, expansão da informalidade marcada por baixos salários e desproteção social com absorção de uma massa crescente de trabalhadores e trabalhadoras. </w:t>
      </w:r>
    </w:p>
    <w:p w14:paraId="509D6B8B" w14:textId="77777777" w:rsidR="000318F5" w:rsidRPr="005C0133" w:rsidRDefault="000318F5" w:rsidP="000318F5">
      <w:pPr>
        <w:pStyle w:val="PargrafodaLista"/>
        <w:spacing w:line="360" w:lineRule="auto"/>
        <w:ind w:left="0" w:firstLine="1134"/>
        <w:jc w:val="both"/>
        <w:rPr>
          <w:rFonts w:ascii="Arial" w:hAnsi="Arial" w:cs="Arial"/>
          <w:sz w:val="24"/>
          <w:szCs w:val="24"/>
          <w:shd w:val="clear" w:color="auto" w:fill="FFFFFF"/>
          <w:lang w:val="pt-BR"/>
        </w:rPr>
      </w:pPr>
      <w:r w:rsidRPr="005C0133">
        <w:rPr>
          <w:rFonts w:ascii="Arial" w:hAnsi="Arial" w:cs="Arial"/>
          <w:sz w:val="24"/>
          <w:szCs w:val="24"/>
          <w:bdr w:val="none" w:sz="0" w:space="0" w:color="auto" w:frame="1"/>
          <w:lang w:val="pt-BR"/>
        </w:rPr>
        <w:t>É neste</w:t>
      </w:r>
      <w:r w:rsidRPr="005C0133">
        <w:rPr>
          <w:rFonts w:ascii="Arial" w:hAnsi="Arial" w:cs="Arial"/>
          <w:sz w:val="24"/>
          <w:szCs w:val="24"/>
          <w:lang w:val="pt-BR"/>
        </w:rPr>
        <w:t xml:space="preserve"> contexto que os programas de transferência monetária se ampliam e assumem centralidade nos países da América Latina e Caribe, instituídos e implementados no</w:t>
      </w:r>
      <w:r w:rsidRPr="005C0133">
        <w:rPr>
          <w:rFonts w:ascii="Arial" w:hAnsi="Arial" w:cs="Arial"/>
          <w:sz w:val="24"/>
          <w:szCs w:val="24"/>
          <w:shd w:val="clear" w:color="auto" w:fill="FFFFFF"/>
          <w:lang w:val="pt-BR"/>
        </w:rPr>
        <w:t xml:space="preserve"> período de redemocratização das décadas de 1990 e 2000.</w:t>
      </w:r>
      <w:r w:rsidRPr="005C0133">
        <w:rPr>
          <w:rFonts w:ascii="Arial" w:hAnsi="Arial" w:cs="Arial"/>
          <w:sz w:val="24"/>
          <w:szCs w:val="24"/>
          <w:lang w:val="pt-BR"/>
        </w:rPr>
        <w:t xml:space="preserve"> Configuram-se como estratégia prevalente de proteção social, marcados por traços dominantes convergentes e divergentes, conforme apresentado e problematizado no presente texto</w:t>
      </w:r>
      <w:r w:rsidRPr="005C0133">
        <w:rPr>
          <w:rFonts w:ascii="Arial" w:hAnsi="Arial" w:cs="Arial"/>
          <w:sz w:val="24"/>
          <w:szCs w:val="24"/>
          <w:shd w:val="clear" w:color="auto" w:fill="FFFFFF"/>
          <w:lang w:val="pt-BR"/>
        </w:rPr>
        <w:t>.</w:t>
      </w:r>
    </w:p>
    <w:p w14:paraId="4233A35D" w14:textId="77777777" w:rsidR="000318F5" w:rsidRPr="005C0133" w:rsidRDefault="000318F5" w:rsidP="000318F5">
      <w:pPr>
        <w:pStyle w:val="PargrafodaLista"/>
        <w:spacing w:line="360" w:lineRule="auto"/>
        <w:ind w:left="0" w:firstLine="1134"/>
        <w:jc w:val="both"/>
        <w:rPr>
          <w:rFonts w:ascii="Arial" w:hAnsi="Arial" w:cs="Arial"/>
          <w:b/>
          <w:bCs/>
          <w:sz w:val="24"/>
          <w:szCs w:val="24"/>
          <w:lang w:val="pt-BR"/>
        </w:rPr>
      </w:pPr>
      <w:r w:rsidRPr="005C0133">
        <w:rPr>
          <w:rFonts w:ascii="Arial" w:hAnsi="Arial" w:cs="Arial"/>
          <w:sz w:val="24"/>
          <w:szCs w:val="24"/>
          <w:shd w:val="clear" w:color="auto" w:fill="FFFFFF"/>
          <w:lang w:val="pt-BR"/>
        </w:rPr>
        <w:t>Com essa configuração, os estudos e a pesquisa desenvolvida</w:t>
      </w:r>
      <w:r w:rsidRPr="005C0133">
        <w:rPr>
          <w:rFonts w:ascii="Arial" w:hAnsi="Arial" w:cs="Arial"/>
          <w:sz w:val="24"/>
          <w:szCs w:val="24"/>
          <w:lang w:val="pt-BR"/>
        </w:rPr>
        <w:t xml:space="preserve"> apontam para uma dinâmica de ampliação do protagonismo dos programas de transferência monetária focalizados no âmbito dos sistemas de proteção social na América Latina e Caribe. Estudos realizados evidenciam ainda que esses programas contribuem largamente para dinamizar a economia, principalmente nos pequenos municípios. Todavia, há que se reconhecer que também</w:t>
      </w:r>
      <w:r w:rsidRPr="005C0133">
        <w:rPr>
          <w:rFonts w:ascii="Arial" w:hAnsi="Arial" w:cs="Arial"/>
          <w:bCs/>
          <w:sz w:val="24"/>
          <w:szCs w:val="24"/>
          <w:lang w:val="pt-BR"/>
        </w:rPr>
        <w:t xml:space="preserve"> produzem impactos positivos sobre a pobreza absoluta, embora pouco contribuam para diminuição da desigualdade na região latino-americana. Isso significa que, além de programas de transferência monetária, o enfrentamento da</w:t>
      </w:r>
      <w:r w:rsidRPr="005C0133">
        <w:rPr>
          <w:rFonts w:ascii="Arial" w:hAnsi="Arial" w:cs="Arial"/>
          <w:sz w:val="24"/>
          <w:szCs w:val="24"/>
          <w:lang w:val="pt-BR"/>
        </w:rPr>
        <w:t xml:space="preserve"> pobreza demanda políticas públicas que priorizem a atenção integral e a complementariedade das políticas intersetoriais, isto é, demanda o retorno da universalização de direitos que foi substituída pela focalização que limita e restringe o bem-estar social. </w:t>
      </w:r>
    </w:p>
    <w:p w14:paraId="520F07E4" w14:textId="77777777" w:rsidR="000318F5" w:rsidRPr="005C0133" w:rsidRDefault="000318F5" w:rsidP="000318F5">
      <w:pPr>
        <w:rPr>
          <w:b/>
          <w:bCs/>
          <w:sz w:val="24"/>
          <w:szCs w:val="24"/>
        </w:rPr>
      </w:pPr>
    </w:p>
    <w:p w14:paraId="25AE9F41" w14:textId="77777777" w:rsidR="000318F5" w:rsidRPr="00665EDE" w:rsidRDefault="000318F5" w:rsidP="000318F5">
      <w:pPr>
        <w:rPr>
          <w:b/>
          <w:bCs/>
          <w:sz w:val="24"/>
          <w:szCs w:val="24"/>
        </w:rPr>
      </w:pPr>
      <w:r w:rsidRPr="00665EDE">
        <w:rPr>
          <w:b/>
          <w:bCs/>
          <w:sz w:val="24"/>
          <w:szCs w:val="24"/>
        </w:rPr>
        <w:t>REFERÊNCIAS</w:t>
      </w:r>
    </w:p>
    <w:p w14:paraId="372049E5" w14:textId="77777777" w:rsidR="000318F5" w:rsidRPr="00665EDE" w:rsidRDefault="000318F5" w:rsidP="000318F5">
      <w:pPr>
        <w:rPr>
          <w:b/>
          <w:bCs/>
          <w:sz w:val="24"/>
          <w:szCs w:val="24"/>
        </w:rPr>
      </w:pPr>
    </w:p>
    <w:p w14:paraId="6CBFA264" w14:textId="77777777" w:rsidR="000318F5" w:rsidRPr="00A12136" w:rsidRDefault="000318F5" w:rsidP="000318F5">
      <w:pPr>
        <w:spacing w:line="240" w:lineRule="auto"/>
        <w:jc w:val="both"/>
        <w:rPr>
          <w:sz w:val="24"/>
          <w:szCs w:val="24"/>
        </w:rPr>
      </w:pPr>
      <w:r w:rsidRPr="00A12136">
        <w:rPr>
          <w:sz w:val="24"/>
          <w:szCs w:val="24"/>
        </w:rPr>
        <w:t xml:space="preserve">ARREGUI, Carola Carbajal; SANTOS, Aila Fernanda dos; FERREIRA, Camila Caroline de Oliveira; DIAS JUNIOR, Ubiratan de Souza. </w:t>
      </w:r>
      <w:r w:rsidRPr="00A12136">
        <w:rPr>
          <w:b/>
          <w:bCs/>
          <w:sz w:val="24"/>
          <w:szCs w:val="24"/>
        </w:rPr>
        <w:t>Vulnerabilidade social:</w:t>
      </w:r>
      <w:r w:rsidRPr="00A12136">
        <w:rPr>
          <w:sz w:val="24"/>
          <w:szCs w:val="24"/>
        </w:rPr>
        <w:t xml:space="preserve"> </w:t>
      </w:r>
      <w:r w:rsidRPr="00A12136">
        <w:rPr>
          <w:b/>
          <w:bCs/>
          <w:sz w:val="24"/>
          <w:szCs w:val="24"/>
        </w:rPr>
        <w:t>fundamentos teórico-metodológicos e implicações no campo da proteção</w:t>
      </w:r>
      <w:r w:rsidRPr="00A12136">
        <w:rPr>
          <w:sz w:val="24"/>
          <w:szCs w:val="24"/>
        </w:rPr>
        <w:t xml:space="preserve"> </w:t>
      </w:r>
      <w:r w:rsidRPr="00A12136">
        <w:rPr>
          <w:b/>
          <w:bCs/>
          <w:sz w:val="24"/>
          <w:szCs w:val="24"/>
        </w:rPr>
        <w:t>social</w:t>
      </w:r>
      <w:r w:rsidRPr="00A12136">
        <w:rPr>
          <w:sz w:val="24"/>
          <w:szCs w:val="24"/>
        </w:rPr>
        <w:t xml:space="preserve">. In: SILVA, Maria Ozanira da Silva; GONÇALVES, Cláudia Maria da Costa; FREITAS, Ana Teresa Silva; DESTERRO Rodrigo (org.). </w:t>
      </w:r>
      <w:r w:rsidRPr="00A12136">
        <w:rPr>
          <w:b/>
          <w:bCs/>
          <w:sz w:val="24"/>
          <w:szCs w:val="24"/>
        </w:rPr>
        <w:t>Vulnerabilidades sociais:</w:t>
      </w:r>
      <w:r w:rsidRPr="00A12136">
        <w:rPr>
          <w:sz w:val="24"/>
          <w:szCs w:val="24"/>
        </w:rPr>
        <w:t xml:space="preserve"> </w:t>
      </w:r>
      <w:r w:rsidRPr="00A12136">
        <w:rPr>
          <w:b/>
          <w:bCs/>
          <w:sz w:val="24"/>
          <w:szCs w:val="24"/>
        </w:rPr>
        <w:t xml:space="preserve">direitos negados. </w:t>
      </w:r>
      <w:r w:rsidRPr="00A12136">
        <w:rPr>
          <w:sz w:val="24"/>
          <w:szCs w:val="24"/>
        </w:rPr>
        <w:t>Curitiba: CRV, 2023.</w:t>
      </w:r>
    </w:p>
    <w:p w14:paraId="0EC5CC1E" w14:textId="77777777" w:rsidR="000318F5" w:rsidRPr="00665EDE" w:rsidRDefault="000318F5" w:rsidP="000318F5">
      <w:pPr>
        <w:autoSpaceDE w:val="0"/>
        <w:autoSpaceDN w:val="0"/>
        <w:adjustRightInd w:val="0"/>
        <w:spacing w:line="240" w:lineRule="auto"/>
        <w:jc w:val="both"/>
        <w:rPr>
          <w:sz w:val="24"/>
          <w:szCs w:val="24"/>
        </w:rPr>
      </w:pPr>
    </w:p>
    <w:p w14:paraId="5534630E" w14:textId="77777777" w:rsidR="000318F5" w:rsidRPr="00665EDE" w:rsidRDefault="000318F5" w:rsidP="000318F5">
      <w:pPr>
        <w:jc w:val="both"/>
        <w:rPr>
          <w:sz w:val="24"/>
          <w:szCs w:val="24"/>
        </w:rPr>
      </w:pPr>
      <w:r w:rsidRPr="00665EDE">
        <w:rPr>
          <w:sz w:val="24"/>
          <w:szCs w:val="24"/>
        </w:rPr>
        <w:t>ARREGUI, Carola (coord.)</w:t>
      </w:r>
      <w:r w:rsidRPr="00665EDE">
        <w:rPr>
          <w:b/>
          <w:bCs/>
          <w:sz w:val="24"/>
          <w:szCs w:val="24"/>
        </w:rPr>
        <w:t xml:space="preserve"> Relatório Grupo Pesquisadores da Pontifícia Universidade Católica de São Paulo (PUCSP). </w:t>
      </w:r>
      <w:r w:rsidRPr="00665EDE">
        <w:rPr>
          <w:sz w:val="24"/>
          <w:szCs w:val="24"/>
        </w:rPr>
        <w:t>São Paulo, 2024 (mimeo).</w:t>
      </w:r>
    </w:p>
    <w:p w14:paraId="55C8E6DA" w14:textId="77777777" w:rsidR="000318F5" w:rsidRPr="00665EDE" w:rsidRDefault="000318F5" w:rsidP="000318F5">
      <w:pPr>
        <w:jc w:val="both"/>
        <w:rPr>
          <w:sz w:val="24"/>
          <w:szCs w:val="24"/>
        </w:rPr>
      </w:pPr>
    </w:p>
    <w:p w14:paraId="174D2013" w14:textId="77777777" w:rsidR="000318F5" w:rsidRPr="00665EDE" w:rsidRDefault="000318F5" w:rsidP="000318F5">
      <w:pPr>
        <w:jc w:val="both"/>
        <w:rPr>
          <w:sz w:val="24"/>
          <w:szCs w:val="24"/>
        </w:rPr>
      </w:pPr>
      <w:r w:rsidRPr="00665EDE">
        <w:rPr>
          <w:sz w:val="24"/>
          <w:szCs w:val="24"/>
        </w:rPr>
        <w:t xml:space="preserve">BENTURA, Pablo (coord.) </w:t>
      </w:r>
      <w:r w:rsidRPr="00665EDE">
        <w:rPr>
          <w:b/>
          <w:bCs/>
          <w:sz w:val="24"/>
          <w:szCs w:val="24"/>
        </w:rPr>
        <w:t>Relatório do Grupo de Pesquisadores da Universidad de la República (UDELAR)</w:t>
      </w:r>
      <w:r w:rsidRPr="00665EDE">
        <w:rPr>
          <w:sz w:val="24"/>
          <w:szCs w:val="24"/>
        </w:rPr>
        <w:t>. Montevideo, 2024 (mimeo.)</w:t>
      </w:r>
    </w:p>
    <w:p w14:paraId="04D43B71" w14:textId="77777777" w:rsidR="000318F5" w:rsidRPr="00665EDE" w:rsidRDefault="000318F5" w:rsidP="000318F5">
      <w:pPr>
        <w:jc w:val="both"/>
        <w:rPr>
          <w:sz w:val="24"/>
          <w:szCs w:val="24"/>
        </w:rPr>
      </w:pPr>
    </w:p>
    <w:p w14:paraId="5CF91CEA" w14:textId="77777777" w:rsidR="000318F5" w:rsidRPr="00665EDE" w:rsidRDefault="000318F5" w:rsidP="000318F5">
      <w:pPr>
        <w:spacing w:line="240" w:lineRule="auto"/>
        <w:jc w:val="both"/>
        <w:rPr>
          <w:b/>
          <w:bCs/>
          <w:sz w:val="24"/>
          <w:szCs w:val="24"/>
        </w:rPr>
      </w:pPr>
      <w:r w:rsidRPr="00665EDE">
        <w:rPr>
          <w:sz w:val="24"/>
          <w:szCs w:val="24"/>
        </w:rPr>
        <w:t xml:space="preserve">SILVA, Maria Ozanira da Silva e (cood.) RELATÓRIO FINAL DO PROJETO </w:t>
      </w:r>
      <w:r w:rsidRPr="00665EDE">
        <w:rPr>
          <w:b/>
          <w:bCs/>
          <w:sz w:val="24"/>
          <w:szCs w:val="24"/>
        </w:rPr>
        <w:t>PROGRAMAS DE TRANSFERÊNCIA MONETÁRIA FOCALIZADOS E DE RENDA BÁSICA UNIVERSAL NO CONTEXTO DA PANDEMIA E DA PÓS-PANDEMIA DA COVID-19</w:t>
      </w:r>
      <w:r w:rsidRPr="00665EDE">
        <w:rPr>
          <w:sz w:val="24"/>
          <w:szCs w:val="24"/>
        </w:rPr>
        <w:t>: acompanhamento e análise da realidade na América Latina e Caribe</w:t>
      </w:r>
      <w:r w:rsidRPr="00665EDE">
        <w:rPr>
          <w:b/>
          <w:bCs/>
          <w:sz w:val="24"/>
          <w:szCs w:val="24"/>
        </w:rPr>
        <w:t xml:space="preserve">. </w:t>
      </w:r>
      <w:r w:rsidRPr="00665EDE">
        <w:rPr>
          <w:sz w:val="24"/>
          <w:szCs w:val="24"/>
        </w:rPr>
        <w:t>São Luís, 2025 (memeo.)</w:t>
      </w:r>
      <w:r w:rsidRPr="00665EDE">
        <w:rPr>
          <w:b/>
          <w:bCs/>
          <w:sz w:val="24"/>
          <w:szCs w:val="24"/>
        </w:rPr>
        <w:t xml:space="preserve"> </w:t>
      </w:r>
    </w:p>
    <w:p w14:paraId="5BD7260E" w14:textId="77777777" w:rsidR="000318F5" w:rsidRDefault="000318F5" w:rsidP="000318F5">
      <w:pPr>
        <w:spacing w:line="240" w:lineRule="auto"/>
        <w:jc w:val="both"/>
        <w:rPr>
          <w:sz w:val="24"/>
          <w:szCs w:val="24"/>
        </w:rPr>
      </w:pPr>
    </w:p>
    <w:p w14:paraId="67DBDA40" w14:textId="77777777" w:rsidR="000318F5" w:rsidRPr="00665EDE" w:rsidRDefault="000318F5" w:rsidP="000318F5">
      <w:pPr>
        <w:spacing w:line="240" w:lineRule="auto"/>
        <w:jc w:val="both"/>
        <w:rPr>
          <w:b/>
          <w:bCs/>
          <w:sz w:val="24"/>
          <w:szCs w:val="24"/>
        </w:rPr>
      </w:pPr>
      <w:r>
        <w:rPr>
          <w:sz w:val="24"/>
          <w:szCs w:val="24"/>
        </w:rPr>
        <w:t>SOTO</w:t>
      </w:r>
      <w:r w:rsidRPr="00665EDE">
        <w:rPr>
          <w:sz w:val="24"/>
          <w:szCs w:val="24"/>
        </w:rPr>
        <w:t xml:space="preserve">, Sílvia Fernandez (coord.) </w:t>
      </w:r>
      <w:r w:rsidRPr="00665EDE">
        <w:rPr>
          <w:b/>
          <w:bCs/>
          <w:sz w:val="24"/>
          <w:szCs w:val="24"/>
        </w:rPr>
        <w:t xml:space="preserve">Relatório do Grupo de Pesquisadores da </w:t>
      </w:r>
      <w:r w:rsidRPr="00665EDE">
        <w:rPr>
          <w:rFonts w:eastAsia="Times New Roman"/>
          <w:b/>
          <w:bCs/>
          <w:sz w:val="24"/>
          <w:szCs w:val="24"/>
          <w:lang w:eastAsia="es-AR"/>
        </w:rPr>
        <w:t>Facultad de Ciencias Humanas - Universidad Nacional del Centro de la Provincia de Buenos Aires</w:t>
      </w:r>
      <w:r w:rsidRPr="00665EDE">
        <w:rPr>
          <w:rFonts w:eastAsia="Times New Roman"/>
          <w:sz w:val="24"/>
          <w:szCs w:val="24"/>
          <w:lang w:eastAsia="es-AR"/>
        </w:rPr>
        <w:t>. Tandil, 2024 (mimeo.)</w:t>
      </w:r>
    </w:p>
    <w:p w14:paraId="7850AA0E" w14:textId="77777777" w:rsidR="000318F5" w:rsidRPr="00665EDE" w:rsidRDefault="000318F5" w:rsidP="000318F5">
      <w:pPr>
        <w:rPr>
          <w:b/>
          <w:sz w:val="24"/>
          <w:szCs w:val="24"/>
        </w:rPr>
      </w:pPr>
    </w:p>
    <w:p w14:paraId="4998CF00" w14:textId="77777777" w:rsidR="000318F5" w:rsidRPr="00C32CDE" w:rsidRDefault="000318F5" w:rsidP="000318F5">
      <w:pPr>
        <w:autoSpaceDE w:val="0"/>
        <w:autoSpaceDN w:val="0"/>
        <w:adjustRightInd w:val="0"/>
        <w:spacing w:line="240" w:lineRule="auto"/>
        <w:jc w:val="both"/>
      </w:pPr>
    </w:p>
    <w:p w14:paraId="064A0CD8" w14:textId="77777777" w:rsidR="000318F5" w:rsidRPr="00C32CDE" w:rsidRDefault="000318F5" w:rsidP="000318F5">
      <w:pPr>
        <w:autoSpaceDE w:val="0"/>
        <w:autoSpaceDN w:val="0"/>
        <w:adjustRightInd w:val="0"/>
        <w:spacing w:line="240" w:lineRule="auto"/>
        <w:jc w:val="both"/>
      </w:pPr>
    </w:p>
    <w:p w14:paraId="61DB65C7" w14:textId="77777777" w:rsidR="000318F5" w:rsidRPr="00C32CDE" w:rsidRDefault="000318F5" w:rsidP="000318F5">
      <w:pPr>
        <w:rPr>
          <w:b/>
          <w:bCs/>
        </w:rPr>
      </w:pPr>
    </w:p>
    <w:p w14:paraId="38DC5CAF" w14:textId="77777777" w:rsidR="000318F5" w:rsidRPr="00C32CDE" w:rsidRDefault="000318F5" w:rsidP="000318F5">
      <w:pPr>
        <w:spacing w:line="360" w:lineRule="auto"/>
        <w:jc w:val="both"/>
      </w:pPr>
    </w:p>
    <w:p w14:paraId="78DC73CC" w14:textId="77777777" w:rsidR="000318F5" w:rsidRPr="00C32CDE" w:rsidRDefault="000318F5" w:rsidP="000318F5">
      <w:pPr>
        <w:rPr>
          <w:b/>
          <w:bCs/>
        </w:rPr>
      </w:pPr>
    </w:p>
    <w:p w14:paraId="3C534B3A" w14:textId="77777777" w:rsidR="000318F5" w:rsidRPr="00C32CDE" w:rsidRDefault="000318F5" w:rsidP="000318F5">
      <w:pPr>
        <w:rPr>
          <w:b/>
          <w:bCs/>
        </w:rPr>
      </w:pPr>
    </w:p>
    <w:p w14:paraId="6279BC1F" w14:textId="77777777" w:rsidR="000318F5" w:rsidRPr="00C32CDE" w:rsidRDefault="000318F5" w:rsidP="000318F5">
      <w:pPr>
        <w:spacing w:line="240" w:lineRule="auto"/>
        <w:jc w:val="both"/>
      </w:pPr>
    </w:p>
    <w:p w14:paraId="7332D91C" w14:textId="77777777" w:rsidR="000318F5" w:rsidRPr="00C32CDE" w:rsidRDefault="000318F5" w:rsidP="00924152">
      <w:pPr>
        <w:autoSpaceDE w:val="0"/>
        <w:autoSpaceDN w:val="0"/>
        <w:adjustRightInd w:val="0"/>
        <w:spacing w:line="240" w:lineRule="auto"/>
        <w:jc w:val="both"/>
      </w:pPr>
    </w:p>
    <w:p w14:paraId="00BFFDF0" w14:textId="77777777" w:rsidR="00924152" w:rsidRPr="00C32CDE" w:rsidRDefault="00924152" w:rsidP="00924152">
      <w:pPr>
        <w:rPr>
          <w:b/>
          <w:bCs/>
        </w:rPr>
      </w:pPr>
    </w:p>
    <w:p w14:paraId="607D8FEA" w14:textId="77777777" w:rsidR="00924152" w:rsidRPr="00C32CDE" w:rsidRDefault="00924152" w:rsidP="00924152">
      <w:pPr>
        <w:spacing w:line="360" w:lineRule="auto"/>
        <w:jc w:val="both"/>
      </w:pPr>
    </w:p>
    <w:p w14:paraId="4C06F8E6" w14:textId="77777777" w:rsidR="00924152" w:rsidRPr="00C32CDE" w:rsidRDefault="00924152" w:rsidP="00924152">
      <w:pPr>
        <w:rPr>
          <w:b/>
          <w:bCs/>
        </w:rPr>
      </w:pPr>
    </w:p>
    <w:p w14:paraId="42875C48" w14:textId="77777777" w:rsidR="00924152" w:rsidRPr="00C32CDE" w:rsidRDefault="00924152" w:rsidP="00924152">
      <w:pPr>
        <w:rPr>
          <w:b/>
          <w:bCs/>
        </w:rPr>
      </w:pPr>
    </w:p>
    <w:p w14:paraId="5DEC0FFE" w14:textId="77777777" w:rsidR="00924152" w:rsidRPr="00C32CDE" w:rsidRDefault="00924152" w:rsidP="004F776F">
      <w:pPr>
        <w:spacing w:line="240" w:lineRule="auto"/>
        <w:jc w:val="both"/>
      </w:pPr>
    </w:p>
    <w:sectPr w:rsidR="00924152" w:rsidRPr="00C32CDE" w:rsidSect="004F776F">
      <w:headerReference w:type="default" r:id="rId13"/>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2BF1" w14:textId="77777777" w:rsidR="001E1A65" w:rsidRDefault="001E1A65">
      <w:pPr>
        <w:spacing w:line="240" w:lineRule="auto"/>
      </w:pPr>
      <w:r>
        <w:separator/>
      </w:r>
    </w:p>
  </w:endnote>
  <w:endnote w:type="continuationSeparator" w:id="0">
    <w:p w14:paraId="6231C546" w14:textId="77777777" w:rsidR="001E1A65" w:rsidRDefault="001E1A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UniversLTStd-LightCnObl">
    <w:altName w:val="Calibri"/>
    <w:panose1 w:val="00000000000000000000"/>
    <w:charset w:val="00"/>
    <w:family w:val="swiss"/>
    <w:notTrueType/>
    <w:pitch w:val="default"/>
    <w:sig w:usb0="00000003" w:usb1="00000000" w:usb2="00000000" w:usb3="00000000" w:csb0="00000001" w:csb1="00000000"/>
  </w:font>
  <w:font w:name="UniversLTStd-LightC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3FFF3" w14:textId="77777777" w:rsidR="001E1A65" w:rsidRDefault="001E1A65">
      <w:pPr>
        <w:spacing w:line="240" w:lineRule="auto"/>
      </w:pPr>
      <w:r>
        <w:separator/>
      </w:r>
    </w:p>
  </w:footnote>
  <w:footnote w:type="continuationSeparator" w:id="0">
    <w:p w14:paraId="5CE73DA3" w14:textId="77777777" w:rsidR="001E1A65" w:rsidRDefault="001E1A65">
      <w:pPr>
        <w:spacing w:line="240" w:lineRule="auto"/>
      </w:pPr>
      <w:r>
        <w:continuationSeparator/>
      </w:r>
    </w:p>
  </w:footnote>
  <w:footnote w:id="1">
    <w:p w14:paraId="7127383F" w14:textId="77777777" w:rsidR="000318F5" w:rsidRPr="0027733B" w:rsidRDefault="000318F5" w:rsidP="000318F5">
      <w:pPr>
        <w:pStyle w:val="Textodenotaderodap"/>
        <w:jc w:val="both"/>
        <w:rPr>
          <w:lang w:val="pt-BR"/>
        </w:rPr>
      </w:pPr>
      <w:r>
        <w:rPr>
          <w:rStyle w:val="Refdenotaderodap"/>
        </w:rPr>
        <w:footnoteRef/>
      </w:r>
      <w:r w:rsidRPr="0027733B">
        <w:rPr>
          <w:lang w:val="pt-BR"/>
        </w:rPr>
        <w:t xml:space="preserve"> Programa de Pós-graduação em Serviço Social da Pontifícia Universidade Católica de São Paulo. Doutora em Serviço Social pela Pontifícia Universidade Católica de São Paulo; E-mail: carolaarregui@gmail.com</w:t>
      </w:r>
    </w:p>
    <w:p w14:paraId="08A5AB1F" w14:textId="77777777" w:rsidR="000318F5" w:rsidRPr="0027733B" w:rsidRDefault="000318F5" w:rsidP="000318F5">
      <w:pPr>
        <w:pStyle w:val="Textodenotaderodap"/>
        <w:rPr>
          <w:lang w:val="pt-BR"/>
        </w:rPr>
      </w:pPr>
    </w:p>
  </w:footnote>
  <w:footnote w:id="2">
    <w:p w14:paraId="56A27CD5" w14:textId="77777777" w:rsidR="000318F5" w:rsidRPr="004973EB" w:rsidRDefault="000318F5" w:rsidP="000318F5">
      <w:pPr>
        <w:pStyle w:val="Textodenotaderodap"/>
        <w:rPr>
          <w:rFonts w:ascii="Arial" w:hAnsi="Arial" w:cs="Arial"/>
          <w:lang w:val="pt-BR"/>
        </w:rPr>
      </w:pPr>
      <w:r w:rsidRPr="004973EB">
        <w:rPr>
          <w:rStyle w:val="Refdenotaderodap"/>
          <w:rFonts w:ascii="Arial" w:hAnsi="Arial" w:cs="Arial"/>
        </w:rPr>
        <w:footnoteRef/>
      </w:r>
      <w:r w:rsidRPr="004973EB">
        <w:rPr>
          <w:rFonts w:ascii="Arial" w:hAnsi="Arial" w:cs="Arial"/>
          <w:lang w:val="pt-BR"/>
        </w:rPr>
        <w:t xml:space="preserve"> Acesso por: </w:t>
      </w:r>
      <w:hyperlink r:id="rId1" w:history="1">
        <w:r w:rsidRPr="004973EB">
          <w:rPr>
            <w:rStyle w:val="Hyperlink"/>
            <w:rFonts w:ascii="Arial" w:hAnsi="Arial" w:cs="Arial"/>
            <w:lang w:val="pt-BR"/>
          </w:rPr>
          <w:t>https://www.cepal.org/es/temas/covid-19</w:t>
        </w:r>
      </w:hyperlink>
    </w:p>
    <w:p w14:paraId="329BD68A" w14:textId="77777777" w:rsidR="000318F5" w:rsidRPr="000B7FA8" w:rsidRDefault="000318F5" w:rsidP="000318F5">
      <w:pPr>
        <w:pStyle w:val="Textodenotaderodap"/>
        <w:rPr>
          <w:lang w:val="pt-BR"/>
        </w:rPr>
      </w:pPr>
    </w:p>
  </w:footnote>
  <w:footnote w:id="3">
    <w:p w14:paraId="1F8239D6" w14:textId="77777777" w:rsidR="000318F5" w:rsidRPr="00DB1D66" w:rsidRDefault="000318F5" w:rsidP="000318F5">
      <w:pPr>
        <w:pStyle w:val="Textodenotaderodap"/>
        <w:rPr>
          <w:lang w:val="pt-BR"/>
        </w:rPr>
      </w:pPr>
      <w:r>
        <w:rPr>
          <w:rStyle w:val="Refdenotaderodap"/>
        </w:rPr>
        <w:footnoteRef/>
      </w:r>
      <w:r>
        <w:t xml:space="preserve"> </w:t>
      </w:r>
      <w:r w:rsidRPr="00DB1D66">
        <w:rPr>
          <w:rFonts w:ascii="Arial" w:hAnsi="Arial" w:cs="Arial"/>
          <w:lang w:val="es-UY"/>
        </w:rPr>
        <w:t xml:space="preserve">Facultad de Ciencias Humanas de la Universidad Nacional del Centro de la Provincia de Buenos Aires (FCH-UNCPBA). </w:t>
      </w:r>
      <w:r w:rsidRPr="00DB1D66">
        <w:rPr>
          <w:rFonts w:ascii="Arial" w:hAnsi="Arial" w:cs="Arial"/>
          <w:lang w:val="pt-BR"/>
        </w:rPr>
        <w:t xml:space="preserve">Pós-doutorado na Universidad de Granada-Espanha, Doutora em Serviço Social pela Pontifícia Universidade Católica de São Paulo; </w:t>
      </w:r>
      <w:hyperlink r:id="rId2" w:history="1">
        <w:r w:rsidRPr="00DB1D66">
          <w:rPr>
            <w:rStyle w:val="Hyperlink"/>
            <w:rFonts w:ascii="Arial" w:hAnsi="Arial" w:cs="Arial"/>
            <w:lang w:val="pt-BR"/>
          </w:rPr>
          <w:t>silviafernandezsoto@gmail.com</w:t>
        </w:r>
      </w:hyperlink>
    </w:p>
  </w:footnote>
  <w:footnote w:id="4">
    <w:p w14:paraId="61F18814" w14:textId="77777777" w:rsidR="000318F5" w:rsidRDefault="000318F5" w:rsidP="000318F5">
      <w:pPr>
        <w:pStyle w:val="Textodenotaderodap"/>
      </w:pPr>
      <w:r>
        <w:rPr>
          <w:rStyle w:val="Refdenotaderodap"/>
        </w:rPr>
        <w:footnoteRef/>
      </w:r>
      <w:r>
        <w:t xml:space="preserve"> El proyecto ha producido como resultado un relatorio específico por cada equipo de investigación en cada una de las fases de la investigación. En total se dispone de 12 documentos de investigación y un documento final que integra los principales resultados obtenidos en los diferentes momentos.</w:t>
      </w:r>
    </w:p>
  </w:footnote>
  <w:footnote w:id="5">
    <w:p w14:paraId="09FE5018" w14:textId="77777777" w:rsidR="000318F5" w:rsidRPr="00B477A8" w:rsidRDefault="000318F5" w:rsidP="000318F5">
      <w:pPr>
        <w:pStyle w:val="Textodenotaderodap"/>
      </w:pPr>
      <w:r>
        <w:rPr>
          <w:rStyle w:val="Refdenotaderodap"/>
        </w:rPr>
        <w:footnoteRef/>
      </w:r>
      <w:r>
        <w:t xml:space="preserve"> En el Documento correspondiente al Relatorio Final del proyecto de investigación se precisan los instrumentos metodológicos definidos en relación al objeto y objetivos. Véase Silva &amp; et.al. (2025</w:t>
      </w:r>
      <w:r w:rsidRPr="00B477A8">
        <w:t>)</w:t>
      </w:r>
    </w:p>
  </w:footnote>
  <w:footnote w:id="6">
    <w:p w14:paraId="7C53609D" w14:textId="77777777" w:rsidR="000318F5" w:rsidRDefault="000318F5" w:rsidP="000318F5">
      <w:pPr>
        <w:autoSpaceDE w:val="0"/>
        <w:autoSpaceDN w:val="0"/>
        <w:adjustRightInd w:val="0"/>
        <w:spacing w:line="240" w:lineRule="auto"/>
        <w:rPr>
          <w:rFonts w:ascii="UniversLTStd-LightCnObl" w:hAnsi="UniversLTStd-LightCnObl" w:cs="UniversLTStd-LightCnObl"/>
          <w:i/>
          <w:iCs/>
          <w:sz w:val="16"/>
          <w:szCs w:val="16"/>
          <w:lang w:val="es-AR"/>
        </w:rPr>
      </w:pPr>
      <w:r>
        <w:rPr>
          <w:rStyle w:val="Refdenotaderodap"/>
        </w:rPr>
        <w:footnoteRef/>
      </w:r>
      <w:r w:rsidRPr="00D23C4E">
        <w:rPr>
          <w:lang w:val="es-UY"/>
        </w:rPr>
        <w:t xml:space="preserve"> </w:t>
      </w:r>
      <w:r>
        <w:rPr>
          <w:rFonts w:ascii="UniversLTStd-LightCn" w:hAnsi="UniversLTStd-LightCn" w:cs="UniversLTStd-LightCn"/>
          <w:sz w:val="16"/>
          <w:szCs w:val="16"/>
          <w:lang w:val="es-AR"/>
        </w:rPr>
        <w:t xml:space="preserve">Comisión Económica para América Latina y el Caribe (CEPAL), </w:t>
      </w:r>
      <w:r>
        <w:rPr>
          <w:rFonts w:ascii="UniversLTStd-LightCnObl" w:hAnsi="UniversLTStd-LightCnObl" w:cs="UniversLTStd-LightCnObl"/>
          <w:i/>
          <w:iCs/>
          <w:sz w:val="16"/>
          <w:szCs w:val="16"/>
          <w:lang w:val="es-AR"/>
        </w:rPr>
        <w:t>Desastres y desigualdad en una crisis prolongada: hacia sistemas de protección social universales, integrales, resilientes y sostenibles en América Latina</w:t>
      </w:r>
    </w:p>
    <w:p w14:paraId="25AE5435" w14:textId="77777777" w:rsidR="000318F5" w:rsidRDefault="000318F5" w:rsidP="000318F5">
      <w:pPr>
        <w:pStyle w:val="Textodenotaderodap"/>
      </w:pPr>
      <w:r>
        <w:rPr>
          <w:rFonts w:ascii="UniversLTStd-LightCnObl" w:hAnsi="UniversLTStd-LightCnObl" w:cs="UniversLTStd-LightCnObl"/>
          <w:i/>
          <w:iCs/>
          <w:sz w:val="16"/>
          <w:szCs w:val="16"/>
        </w:rPr>
        <w:t xml:space="preserve">y el Caribe </w:t>
      </w:r>
      <w:r>
        <w:rPr>
          <w:rFonts w:ascii="UniversLTStd-LightCn" w:hAnsi="UniversLTStd-LightCn" w:cs="UniversLTStd-LightCn"/>
          <w:sz w:val="16"/>
          <w:szCs w:val="16"/>
        </w:rPr>
        <w:t>(LC/CDS.4/3), Santiago, 2021.</w:t>
      </w:r>
    </w:p>
  </w:footnote>
  <w:footnote w:id="7">
    <w:p w14:paraId="2BE141C2" w14:textId="77777777" w:rsidR="000318F5" w:rsidRPr="00D23C4E" w:rsidRDefault="000318F5" w:rsidP="000318F5">
      <w:pPr>
        <w:pStyle w:val="Textodenotaderodap"/>
        <w:rPr>
          <w:lang w:val="pt-BR"/>
        </w:rPr>
      </w:pPr>
      <w:r>
        <w:rPr>
          <w:rStyle w:val="Refdenotaderodap"/>
        </w:rPr>
        <w:footnoteRef/>
      </w:r>
      <w:r w:rsidRPr="00D23C4E">
        <w:rPr>
          <w:lang w:val="pt-BR"/>
        </w:rPr>
        <w:t xml:space="preserve">  La investigación mapeó </w:t>
      </w:r>
      <w:r w:rsidRPr="00B159AB">
        <w:rPr>
          <w:rFonts w:ascii="Times New Roman" w:hAnsi="Times New Roman"/>
          <w:color w:val="000000"/>
          <w:sz w:val="18"/>
          <w:szCs w:val="18"/>
          <w:lang w:val="pt-BR"/>
        </w:rPr>
        <w:t>41 países, 21 da América Latina e 20 do Caribe, a saber: Argentina, Bolívia (Estado Plurianual de), Brasil, Chile, Colômbia, Cota Rica, Cuba, Equador, El Salvador, Guatemala, Haiti, Honduras, México, Nicarágua, Panamá, Paraguai, Peru, Porto Rico, República Dominicana, Uruguai, Venezuela (República Bolivariana de), Antigua e Barbuda, Aruba, Bahamas, Barbados, Dominica, Granada, Guadalupe, Ilhas Cayman, Ilhas Turcas e Caicos, Ilhas Virgens Britânicas, Ilhas Virgens dos Estados Unidos, Jamaica, Martinica, São Bartolomeu, São Cristóbal e Neves, Santa Lucia, São Vicente e Granadinas, Suriname e Trinidad e Tobago.</w:t>
      </w:r>
    </w:p>
  </w:footnote>
  <w:footnote w:id="8">
    <w:p w14:paraId="7BA47468" w14:textId="77777777" w:rsidR="000318F5" w:rsidRPr="007D75F8" w:rsidRDefault="000318F5" w:rsidP="000318F5">
      <w:pPr>
        <w:pStyle w:val="Textodenotaderodap"/>
        <w:jc w:val="both"/>
        <w:rPr>
          <w:rFonts w:ascii="Arial" w:hAnsi="Arial" w:cs="Arial"/>
          <w:lang w:val="pt-BR"/>
        </w:rPr>
      </w:pPr>
      <w:r>
        <w:rPr>
          <w:rStyle w:val="Refdenotaderodap"/>
        </w:rPr>
        <w:footnoteRef/>
      </w:r>
      <w:r w:rsidRPr="00924152">
        <w:rPr>
          <w:lang w:val="pt-BR"/>
        </w:rPr>
        <w:t xml:space="preserve"> </w:t>
      </w:r>
      <w:r w:rsidRPr="007D75F8">
        <w:rPr>
          <w:rFonts w:ascii="Arial" w:hAnsi="Arial" w:cs="Arial"/>
          <w:lang w:val="pt-BR"/>
        </w:rPr>
        <w:t xml:space="preserve">O artigo tem como referência básica o relatório final do projeto </w:t>
      </w:r>
      <w:r w:rsidRPr="007D75F8">
        <w:rPr>
          <w:rFonts w:ascii="Arial" w:hAnsi="Arial" w:cs="Arial"/>
          <w:b/>
          <w:bCs/>
          <w:lang w:val="pt-BR"/>
        </w:rPr>
        <w:t>Programas de transferência monetária focalizados e de renda básica universal no contexto da pandemia e da pós-pandemia da Covid-19</w:t>
      </w:r>
      <w:r w:rsidRPr="007D75F8">
        <w:rPr>
          <w:rFonts w:ascii="Arial" w:hAnsi="Arial" w:cs="Arial"/>
          <w:lang w:val="pt-BR"/>
        </w:rPr>
        <w:t>: acompanhamento e análise da realidade na América Latina e Caribe.</w:t>
      </w:r>
    </w:p>
  </w:footnote>
  <w:footnote w:id="9">
    <w:p w14:paraId="6F12BE2D" w14:textId="77777777" w:rsidR="000318F5" w:rsidRPr="007D75F8" w:rsidRDefault="000318F5" w:rsidP="000318F5">
      <w:pPr>
        <w:jc w:val="both"/>
        <w:rPr>
          <w:sz w:val="20"/>
          <w:szCs w:val="20"/>
        </w:rPr>
      </w:pPr>
      <w:r w:rsidRPr="007D75F8">
        <w:rPr>
          <w:rStyle w:val="Refdenotaderodap"/>
          <w:sz w:val="20"/>
          <w:szCs w:val="20"/>
        </w:rPr>
        <w:footnoteRef/>
      </w:r>
      <w:r w:rsidRPr="007D75F8">
        <w:rPr>
          <w:sz w:val="20"/>
          <w:szCs w:val="20"/>
        </w:rPr>
        <w:t xml:space="preserve"> Programa de Pós-graduação em Políticas Sociais/Grupo de Avaliação e Estudo de Pobreza e Políticas direcionadas à Pobreza da Universidade Federal do Maranhão. Pós-doutorado e Doutora em Serviço Social pela Pontifícia Universidade Católica de São Paulo; E-mail: maria.ozanira@gmail.com  </w:t>
      </w:r>
    </w:p>
    <w:p w14:paraId="3D16C30D" w14:textId="77777777" w:rsidR="000318F5" w:rsidRPr="007D75F8" w:rsidRDefault="000318F5" w:rsidP="000318F5">
      <w:pPr>
        <w:pStyle w:val="Textodenotaderodap"/>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68C30" w14:textId="73C89BEE" w:rsidR="00FF4348" w:rsidRDefault="005E60AE">
    <w:r>
      <w:rPr>
        <w:noProof/>
      </w:rPr>
      <w:drawing>
        <wp:anchor distT="114300" distB="114300" distL="114300" distR="114300" simplePos="0" relativeHeight="251657728" behindDoc="1" locked="0" layoutInCell="1" allowOverlap="1" wp14:anchorId="623B6266" wp14:editId="2BD3B4B7">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86236"/>
    <w:multiLevelType w:val="hybridMultilevel"/>
    <w:tmpl w:val="6464C900"/>
    <w:lvl w:ilvl="0" w:tplc="22162562">
      <w:start w:val="1"/>
      <w:numFmt w:val="lowerLetter"/>
      <w:lvlText w:val="%1)"/>
      <w:lvlJc w:val="left"/>
      <w:pPr>
        <w:ind w:left="1069" w:hanging="360"/>
      </w:pPr>
      <w:rPr>
        <w:rFonts w:eastAsia="Arial" w:hint="default"/>
        <w:color w:val="00000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6277280D"/>
    <w:multiLevelType w:val="hybridMultilevel"/>
    <w:tmpl w:val="572A3E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3DE2"/>
    <w:rsid w:val="000318F5"/>
    <w:rsid w:val="000447D9"/>
    <w:rsid w:val="00050C05"/>
    <w:rsid w:val="00084AEF"/>
    <w:rsid w:val="00093F15"/>
    <w:rsid w:val="000B48FB"/>
    <w:rsid w:val="000E3B96"/>
    <w:rsid w:val="000E5637"/>
    <w:rsid w:val="0019054C"/>
    <w:rsid w:val="00196D35"/>
    <w:rsid w:val="001B3358"/>
    <w:rsid w:val="001E1A65"/>
    <w:rsid w:val="001E28B8"/>
    <w:rsid w:val="00232F61"/>
    <w:rsid w:val="002427BB"/>
    <w:rsid w:val="00252A0C"/>
    <w:rsid w:val="00271230"/>
    <w:rsid w:val="0027733B"/>
    <w:rsid w:val="00292980"/>
    <w:rsid w:val="002B22E3"/>
    <w:rsid w:val="0035198D"/>
    <w:rsid w:val="00371FF6"/>
    <w:rsid w:val="00375E3A"/>
    <w:rsid w:val="00397266"/>
    <w:rsid w:val="003D790C"/>
    <w:rsid w:val="004059EC"/>
    <w:rsid w:val="00430B58"/>
    <w:rsid w:val="00484234"/>
    <w:rsid w:val="00497A5C"/>
    <w:rsid w:val="004A2DA4"/>
    <w:rsid w:val="004A5632"/>
    <w:rsid w:val="004A56BE"/>
    <w:rsid w:val="004C183B"/>
    <w:rsid w:val="004C7F26"/>
    <w:rsid w:val="004F1AFE"/>
    <w:rsid w:val="004F776F"/>
    <w:rsid w:val="00504500"/>
    <w:rsid w:val="00511B1C"/>
    <w:rsid w:val="00516708"/>
    <w:rsid w:val="005340D4"/>
    <w:rsid w:val="0055317F"/>
    <w:rsid w:val="00557174"/>
    <w:rsid w:val="00560EC7"/>
    <w:rsid w:val="00562407"/>
    <w:rsid w:val="00563D15"/>
    <w:rsid w:val="005727AD"/>
    <w:rsid w:val="005C0133"/>
    <w:rsid w:val="005C4655"/>
    <w:rsid w:val="005C7A0D"/>
    <w:rsid w:val="005D47B3"/>
    <w:rsid w:val="005E60AE"/>
    <w:rsid w:val="005E7EBC"/>
    <w:rsid w:val="0062782B"/>
    <w:rsid w:val="00636164"/>
    <w:rsid w:val="00652598"/>
    <w:rsid w:val="006529CB"/>
    <w:rsid w:val="00665EDE"/>
    <w:rsid w:val="00675FB1"/>
    <w:rsid w:val="00677E7A"/>
    <w:rsid w:val="0068408A"/>
    <w:rsid w:val="00687DE6"/>
    <w:rsid w:val="006A5EB4"/>
    <w:rsid w:val="006B15A5"/>
    <w:rsid w:val="006B3638"/>
    <w:rsid w:val="006B6B9E"/>
    <w:rsid w:val="006D476B"/>
    <w:rsid w:val="006F4700"/>
    <w:rsid w:val="006F5A44"/>
    <w:rsid w:val="00711AAD"/>
    <w:rsid w:val="00721D14"/>
    <w:rsid w:val="0073248C"/>
    <w:rsid w:val="00736645"/>
    <w:rsid w:val="00782535"/>
    <w:rsid w:val="007D75F8"/>
    <w:rsid w:val="00815F76"/>
    <w:rsid w:val="00827980"/>
    <w:rsid w:val="008444A9"/>
    <w:rsid w:val="00851706"/>
    <w:rsid w:val="00862C39"/>
    <w:rsid w:val="008C329E"/>
    <w:rsid w:val="008D1CBF"/>
    <w:rsid w:val="008D7EF7"/>
    <w:rsid w:val="008F37A3"/>
    <w:rsid w:val="00914363"/>
    <w:rsid w:val="00924152"/>
    <w:rsid w:val="009275F6"/>
    <w:rsid w:val="009361A0"/>
    <w:rsid w:val="009755E7"/>
    <w:rsid w:val="009775BC"/>
    <w:rsid w:val="009C42EF"/>
    <w:rsid w:val="009D6895"/>
    <w:rsid w:val="009E6E77"/>
    <w:rsid w:val="00A1336A"/>
    <w:rsid w:val="00A164F8"/>
    <w:rsid w:val="00A4073D"/>
    <w:rsid w:val="00A669C2"/>
    <w:rsid w:val="00A824C8"/>
    <w:rsid w:val="00A907A6"/>
    <w:rsid w:val="00AA2139"/>
    <w:rsid w:val="00AE3BC8"/>
    <w:rsid w:val="00B0427C"/>
    <w:rsid w:val="00B0731C"/>
    <w:rsid w:val="00B075E4"/>
    <w:rsid w:val="00B27A9A"/>
    <w:rsid w:val="00B30A8F"/>
    <w:rsid w:val="00B825A6"/>
    <w:rsid w:val="00B9110B"/>
    <w:rsid w:val="00B9558D"/>
    <w:rsid w:val="00B97B6E"/>
    <w:rsid w:val="00BB06AC"/>
    <w:rsid w:val="00BC7C70"/>
    <w:rsid w:val="00BD4D57"/>
    <w:rsid w:val="00BF76E7"/>
    <w:rsid w:val="00C00248"/>
    <w:rsid w:val="00C21E20"/>
    <w:rsid w:val="00C32CDE"/>
    <w:rsid w:val="00C47CB0"/>
    <w:rsid w:val="00C96A64"/>
    <w:rsid w:val="00CC02F7"/>
    <w:rsid w:val="00CC1C57"/>
    <w:rsid w:val="00CF6EAD"/>
    <w:rsid w:val="00D17776"/>
    <w:rsid w:val="00D41602"/>
    <w:rsid w:val="00D634CB"/>
    <w:rsid w:val="00D72184"/>
    <w:rsid w:val="00D85A5E"/>
    <w:rsid w:val="00D971B7"/>
    <w:rsid w:val="00DB1D66"/>
    <w:rsid w:val="00DE7BAF"/>
    <w:rsid w:val="00DF7CB1"/>
    <w:rsid w:val="00E336F8"/>
    <w:rsid w:val="00E64E46"/>
    <w:rsid w:val="00E84C76"/>
    <w:rsid w:val="00EA1AB2"/>
    <w:rsid w:val="00EA7222"/>
    <w:rsid w:val="00EC1FDE"/>
    <w:rsid w:val="00ED39F5"/>
    <w:rsid w:val="00EF3DF5"/>
    <w:rsid w:val="00F00D30"/>
    <w:rsid w:val="00F07ADC"/>
    <w:rsid w:val="00F2735F"/>
    <w:rsid w:val="00F47225"/>
    <w:rsid w:val="00F56EDF"/>
    <w:rsid w:val="00F768E2"/>
    <w:rsid w:val="00F8669F"/>
    <w:rsid w:val="00FB1D8C"/>
    <w:rsid w:val="00FD58EC"/>
    <w:rsid w:val="00FD7AFE"/>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46031"/>
  <w15:docId w15:val="{9E8D08B1-26CA-4760-9509-2C73BE9B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aliases w:val="Char Char Char,Texto de rodapé,Footnote Text Char,Footnote Text Char Car,Texto de nota de rodapé Char Char,Texto de nota de rodapé Char Char Char,Texto de nota de rodapé Char Char Char Char Char Char, Char Char Char Char"/>
    <w:basedOn w:val="Normal"/>
    <w:link w:val="TextodenotaderodapChar"/>
    <w:uiPriority w:val="99"/>
    <w:unhideWhenUsed/>
    <w:qFormat/>
    <w:rsid w:val="00B97B6E"/>
    <w:pPr>
      <w:spacing w:line="240" w:lineRule="auto"/>
    </w:pPr>
    <w:rPr>
      <w:rFonts w:ascii="Calibri" w:eastAsia="Calibri" w:hAnsi="Calibri" w:cs="Calibri"/>
      <w:sz w:val="20"/>
      <w:szCs w:val="20"/>
      <w:lang w:val="es-AR"/>
    </w:rPr>
  </w:style>
  <w:style w:type="character" w:customStyle="1" w:styleId="TextodenotaderodapChar">
    <w:name w:val="Texto de nota de rodapé Char"/>
    <w:aliases w:val="Char Char Char Char,Texto de rodapé Char,Footnote Text Char Char,Footnote Text Char Car Char,Texto de nota de rodapé Char Char Char1,Texto de nota de rodapé Char Char Char Char, Char Char Char Char Char"/>
    <w:link w:val="Textodenotaderodap"/>
    <w:uiPriority w:val="99"/>
    <w:qFormat/>
    <w:rsid w:val="00B97B6E"/>
    <w:rPr>
      <w:rFonts w:ascii="Calibri" w:eastAsia="Calibri" w:hAnsi="Calibri" w:cs="Calibri"/>
      <w:lang w:val="es-AR"/>
    </w:rPr>
  </w:style>
  <w:style w:type="character" w:styleId="Refdenotaderodap">
    <w:name w:val="footnote reference"/>
    <w:aliases w:val="Ref. de nota al pie."/>
    <w:uiPriority w:val="99"/>
    <w:unhideWhenUsed/>
    <w:qFormat/>
    <w:rsid w:val="00B97B6E"/>
    <w:rPr>
      <w:vertAlign w:val="superscript"/>
    </w:rPr>
  </w:style>
  <w:style w:type="paragraph" w:styleId="SemEspaamento">
    <w:name w:val="No Spacing"/>
    <w:uiPriority w:val="1"/>
    <w:qFormat/>
    <w:rsid w:val="00B97B6E"/>
    <w:rPr>
      <w:rFonts w:ascii="Calibri" w:eastAsia="Calibri" w:hAnsi="Calibri" w:cs="Calibri"/>
      <w:sz w:val="22"/>
      <w:szCs w:val="22"/>
    </w:rPr>
  </w:style>
  <w:style w:type="character" w:styleId="Hyperlink">
    <w:name w:val="Hyperlink"/>
    <w:uiPriority w:val="99"/>
    <w:unhideWhenUsed/>
    <w:rsid w:val="00B97B6E"/>
    <w:rPr>
      <w:color w:val="0563C1"/>
      <w:u w:val="single"/>
    </w:rPr>
  </w:style>
  <w:style w:type="paragraph" w:styleId="PargrafodaLista">
    <w:name w:val="List Paragraph"/>
    <w:basedOn w:val="Normal"/>
    <w:uiPriority w:val="34"/>
    <w:qFormat/>
    <w:rsid w:val="0068408A"/>
    <w:pPr>
      <w:spacing w:after="160" w:line="259" w:lineRule="auto"/>
      <w:ind w:left="720"/>
      <w:contextualSpacing/>
    </w:pPr>
    <w:rPr>
      <w:rFonts w:ascii="Calibri" w:eastAsia="Calibri" w:hAnsi="Calibri" w:cs="Calibri"/>
      <w:lang w:val="es-AR"/>
    </w:rPr>
  </w:style>
  <w:style w:type="paragraph" w:styleId="Pr-formataoHTML">
    <w:name w:val="HTML Preformatted"/>
    <w:basedOn w:val="Normal"/>
    <w:link w:val="Pr-formataoHTMLChar"/>
    <w:uiPriority w:val="99"/>
    <w:semiHidden/>
    <w:unhideWhenUsed/>
    <w:rsid w:val="00430B58"/>
    <w:rPr>
      <w:rFonts w:ascii="Courier New" w:hAnsi="Courier New" w:cs="Courier New"/>
      <w:sz w:val="20"/>
      <w:szCs w:val="20"/>
    </w:rPr>
  </w:style>
  <w:style w:type="character" w:customStyle="1" w:styleId="Pr-formataoHTMLChar">
    <w:name w:val="Pré-formatação HTML Char"/>
    <w:link w:val="Pr-formataoHTML"/>
    <w:uiPriority w:val="99"/>
    <w:semiHidden/>
    <w:rsid w:val="00430B58"/>
    <w:rPr>
      <w:rFonts w:ascii="Courier New" w:hAnsi="Courier New" w:cs="Courier New"/>
    </w:rPr>
  </w:style>
  <w:style w:type="paragraph" w:styleId="Textodenotadefim">
    <w:name w:val="endnote text"/>
    <w:basedOn w:val="Normal"/>
    <w:link w:val="TextodenotadefimChar"/>
    <w:uiPriority w:val="99"/>
    <w:semiHidden/>
    <w:unhideWhenUsed/>
    <w:rsid w:val="00815F76"/>
    <w:rPr>
      <w:sz w:val="20"/>
      <w:szCs w:val="20"/>
    </w:rPr>
  </w:style>
  <w:style w:type="character" w:customStyle="1" w:styleId="TextodenotadefimChar">
    <w:name w:val="Texto de nota de fim Char"/>
    <w:basedOn w:val="Fontepargpadro"/>
    <w:link w:val="Textodenotadefim"/>
    <w:uiPriority w:val="99"/>
    <w:semiHidden/>
    <w:rsid w:val="00815F76"/>
  </w:style>
  <w:style w:type="character" w:styleId="Refdenotadefim">
    <w:name w:val="endnote reference"/>
    <w:uiPriority w:val="99"/>
    <w:semiHidden/>
    <w:unhideWhenUsed/>
    <w:rsid w:val="00815F76"/>
    <w:rPr>
      <w:vertAlign w:val="superscript"/>
    </w:rPr>
  </w:style>
  <w:style w:type="character" w:styleId="MenoPendente">
    <w:name w:val="Unresolved Mention"/>
    <w:uiPriority w:val="99"/>
    <w:semiHidden/>
    <w:unhideWhenUsed/>
    <w:rsid w:val="000B48FB"/>
    <w:rPr>
      <w:color w:val="605E5C"/>
      <w:shd w:val="clear" w:color="auto" w:fill="E1DFDD"/>
    </w:rPr>
  </w:style>
  <w:style w:type="paragraph" w:customStyle="1" w:styleId="LO-normal1">
    <w:name w:val="LO-normal1"/>
    <w:qFormat/>
    <w:rsid w:val="00924152"/>
    <w:pPr>
      <w:suppressAutoHyphens/>
    </w:pPr>
    <w:rPr>
      <w:rFonts w:ascii="Liberation Serif" w:eastAsia="Liberation Serif" w:hAnsi="Liberation Serif" w:cs="Liberation Serif"/>
      <w:sz w:val="24"/>
      <w:szCs w:val="24"/>
      <w:lang w:val="es-UY"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1281">
      <w:bodyDiv w:val="1"/>
      <w:marLeft w:val="0"/>
      <w:marRight w:val="0"/>
      <w:marTop w:val="0"/>
      <w:marBottom w:val="0"/>
      <w:divBdr>
        <w:top w:val="none" w:sz="0" w:space="0" w:color="auto"/>
        <w:left w:val="none" w:sz="0" w:space="0" w:color="auto"/>
        <w:bottom w:val="none" w:sz="0" w:space="0" w:color="auto"/>
        <w:right w:val="none" w:sz="0" w:space="0" w:color="auto"/>
      </w:divBdr>
    </w:div>
    <w:div w:id="296030056">
      <w:bodyDiv w:val="1"/>
      <w:marLeft w:val="0"/>
      <w:marRight w:val="0"/>
      <w:marTop w:val="0"/>
      <w:marBottom w:val="0"/>
      <w:divBdr>
        <w:top w:val="none" w:sz="0" w:space="0" w:color="auto"/>
        <w:left w:val="none" w:sz="0" w:space="0" w:color="auto"/>
        <w:bottom w:val="none" w:sz="0" w:space="0" w:color="auto"/>
        <w:right w:val="none" w:sz="0" w:space="0" w:color="auto"/>
      </w:divBdr>
    </w:div>
    <w:div w:id="1436486181">
      <w:bodyDiv w:val="1"/>
      <w:marLeft w:val="0"/>
      <w:marRight w:val="0"/>
      <w:marTop w:val="0"/>
      <w:marBottom w:val="0"/>
      <w:divBdr>
        <w:top w:val="none" w:sz="0" w:space="0" w:color="auto"/>
        <w:left w:val="none" w:sz="0" w:space="0" w:color="auto"/>
        <w:bottom w:val="none" w:sz="0" w:space="0" w:color="auto"/>
        <w:right w:val="none" w:sz="0" w:space="0" w:color="auto"/>
      </w:divBdr>
    </w:div>
    <w:div w:id="2109543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rolaarregui@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dalyc.org/pdf/3211/321149304021.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90/S0101-6628201200030000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ilviafernandezsoto@gmail.com" TargetMode="External"/><Relationship Id="rId4" Type="http://schemas.openxmlformats.org/officeDocument/2006/relationships/settings" Target="settings.xml"/><Relationship Id="rId9" Type="http://schemas.openxmlformats.org/officeDocument/2006/relationships/hyperlink" Target="mailto:maria.ozanira@gmail.co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silviafernandezsoto@gmail.com" TargetMode="External"/><Relationship Id="rId1" Type="http://schemas.openxmlformats.org/officeDocument/2006/relationships/hyperlink" Target="https://www.cepal.org/es/temas/covid-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05934-9B23-470A-99C8-7646500A9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11679</Words>
  <Characters>63068</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74598</CharactersWithSpaces>
  <SharedDoc>false</SharedDoc>
  <HLinks>
    <vt:vector size="60" baseType="variant">
      <vt:variant>
        <vt:i4>4653073</vt:i4>
      </vt:variant>
      <vt:variant>
        <vt:i4>18</vt:i4>
      </vt:variant>
      <vt:variant>
        <vt:i4>0</vt:i4>
      </vt:variant>
      <vt:variant>
        <vt:i4>5</vt:i4>
      </vt:variant>
      <vt:variant>
        <vt:lpwstr>https://www.redalyc.org/pdf/3211/321149304021.pdf</vt:lpwstr>
      </vt:variant>
      <vt:variant>
        <vt:lpwstr/>
      </vt:variant>
      <vt:variant>
        <vt:i4>3670059</vt:i4>
      </vt:variant>
      <vt:variant>
        <vt:i4>15</vt:i4>
      </vt:variant>
      <vt:variant>
        <vt:i4>0</vt:i4>
      </vt:variant>
      <vt:variant>
        <vt:i4>5</vt:i4>
      </vt:variant>
      <vt:variant>
        <vt:lpwstr>https://doi.org/10.1590/S0101-66282012000300002</vt:lpwstr>
      </vt:variant>
      <vt:variant>
        <vt:lpwstr/>
      </vt:variant>
      <vt:variant>
        <vt:i4>1769526</vt:i4>
      </vt:variant>
      <vt:variant>
        <vt:i4>12</vt:i4>
      </vt:variant>
      <vt:variant>
        <vt:i4>0</vt:i4>
      </vt:variant>
      <vt:variant>
        <vt:i4>5</vt:i4>
      </vt:variant>
      <vt:variant>
        <vt:lpwstr>mailto:silviafernandezsoto@gmail.com</vt:lpwstr>
      </vt:variant>
      <vt:variant>
        <vt:lpwstr/>
      </vt:variant>
      <vt:variant>
        <vt:i4>8257551</vt:i4>
      </vt:variant>
      <vt:variant>
        <vt:i4>9</vt:i4>
      </vt:variant>
      <vt:variant>
        <vt:i4>0</vt:i4>
      </vt:variant>
      <vt:variant>
        <vt:i4>5</vt:i4>
      </vt:variant>
      <vt:variant>
        <vt:lpwstr>mailto:maria.ozanira@gmail.com</vt:lpwstr>
      </vt:variant>
      <vt:variant>
        <vt:lpwstr/>
      </vt:variant>
      <vt:variant>
        <vt:i4>6684738</vt:i4>
      </vt:variant>
      <vt:variant>
        <vt:i4>6</vt:i4>
      </vt:variant>
      <vt:variant>
        <vt:i4>0</vt:i4>
      </vt:variant>
      <vt:variant>
        <vt:i4>5</vt:i4>
      </vt:variant>
      <vt:variant>
        <vt:lpwstr>mailto:carolaarregui@gmail.com</vt:lpwstr>
      </vt:variant>
      <vt:variant>
        <vt:lpwstr/>
      </vt:variant>
      <vt:variant>
        <vt:i4>4653073</vt:i4>
      </vt:variant>
      <vt:variant>
        <vt:i4>3</vt:i4>
      </vt:variant>
      <vt:variant>
        <vt:i4>0</vt:i4>
      </vt:variant>
      <vt:variant>
        <vt:i4>5</vt:i4>
      </vt:variant>
      <vt:variant>
        <vt:lpwstr>https://www.redalyc.org/pdf/3211/321149304021.pdf</vt:lpwstr>
      </vt:variant>
      <vt:variant>
        <vt:lpwstr/>
      </vt:variant>
      <vt:variant>
        <vt:i4>3670059</vt:i4>
      </vt:variant>
      <vt:variant>
        <vt:i4>0</vt:i4>
      </vt:variant>
      <vt:variant>
        <vt:i4>0</vt:i4>
      </vt:variant>
      <vt:variant>
        <vt:i4>5</vt:i4>
      </vt:variant>
      <vt:variant>
        <vt:lpwstr>https://doi.org/10.1590/S0101-66282012000300002</vt:lpwstr>
      </vt:variant>
      <vt:variant>
        <vt:lpwstr/>
      </vt:variant>
      <vt:variant>
        <vt:i4>1769526</vt:i4>
      </vt:variant>
      <vt:variant>
        <vt:i4>6</vt:i4>
      </vt:variant>
      <vt:variant>
        <vt:i4>0</vt:i4>
      </vt:variant>
      <vt:variant>
        <vt:i4>5</vt:i4>
      </vt:variant>
      <vt:variant>
        <vt:lpwstr>mailto:silviafernandezsoto@gmail.com</vt:lpwstr>
      </vt:variant>
      <vt:variant>
        <vt:lpwstr/>
      </vt:variant>
      <vt:variant>
        <vt:i4>6684797</vt:i4>
      </vt:variant>
      <vt:variant>
        <vt:i4>3</vt:i4>
      </vt:variant>
      <vt:variant>
        <vt:i4>0</vt:i4>
      </vt:variant>
      <vt:variant>
        <vt:i4>5</vt:i4>
      </vt:variant>
      <vt:variant>
        <vt:lpwstr>https://www.cepal.org/es/temas/covid-19</vt:lpwstr>
      </vt:variant>
      <vt:variant>
        <vt:lpwstr/>
      </vt:variant>
      <vt:variant>
        <vt:i4>6684797</vt:i4>
      </vt:variant>
      <vt:variant>
        <vt:i4>0</vt:i4>
      </vt:variant>
      <vt:variant>
        <vt:i4>0</vt:i4>
      </vt:variant>
      <vt:variant>
        <vt:i4>5</vt:i4>
      </vt:variant>
      <vt:variant>
        <vt:lpwstr>https://www.cepal.org/es/temas/covid-19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Revista de Políticas Públicas RPP</cp:lastModifiedBy>
  <cp:revision>2</cp:revision>
  <dcterms:created xsi:type="dcterms:W3CDTF">2025-12-16T19:56:00Z</dcterms:created>
  <dcterms:modified xsi:type="dcterms:W3CDTF">2025-12-16T19:56:00Z</dcterms:modified>
</cp:coreProperties>
</file>