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B3424" w14:textId="77777777" w:rsidR="00220028" w:rsidRDefault="00220028">
      <w:pPr>
        <w:spacing w:line="240" w:lineRule="auto"/>
        <w:rPr>
          <w:rFonts w:ascii="Times New Roman" w:eastAsia="Times New Roman" w:hAnsi="Times New Roman" w:cs="Times New Roman"/>
          <w:sz w:val="24"/>
          <w:szCs w:val="24"/>
        </w:rPr>
      </w:pPr>
    </w:p>
    <w:p w14:paraId="64BBF13D" w14:textId="77777777" w:rsidR="00220028" w:rsidRDefault="009775BA">
      <w:pPr>
        <w:spacing w:line="240" w:lineRule="auto"/>
        <w:rPr>
          <w:sz w:val="24"/>
          <w:szCs w:val="24"/>
        </w:rPr>
      </w:pPr>
      <w:r>
        <w:rPr>
          <w:b/>
          <w:sz w:val="24"/>
          <w:szCs w:val="24"/>
        </w:rPr>
        <w:t xml:space="preserve">A INTERNACIONALIZAÇÃO DO CAPITAL: </w:t>
      </w:r>
      <w:r>
        <w:rPr>
          <w:sz w:val="24"/>
          <w:szCs w:val="24"/>
        </w:rPr>
        <w:t>Reflexões a partir da educação e das tecnologias digitais</w:t>
      </w:r>
    </w:p>
    <w:p w14:paraId="192298CA" w14:textId="77777777" w:rsidR="00220028" w:rsidRDefault="00220028">
      <w:pPr>
        <w:spacing w:line="240" w:lineRule="auto"/>
        <w:ind w:left="2835"/>
        <w:jc w:val="center"/>
        <w:rPr>
          <w:sz w:val="20"/>
          <w:szCs w:val="20"/>
        </w:rPr>
      </w:pPr>
    </w:p>
    <w:p w14:paraId="503C593A" w14:textId="3C585147" w:rsidR="00C26D9E" w:rsidRDefault="00C26D9E" w:rsidP="00EC363F">
      <w:pPr>
        <w:spacing w:line="240" w:lineRule="auto"/>
        <w:ind w:left="2835"/>
        <w:jc w:val="right"/>
        <w:rPr>
          <w:sz w:val="20"/>
          <w:szCs w:val="20"/>
        </w:rPr>
      </w:pPr>
      <w:r w:rsidRPr="00C26D9E">
        <w:rPr>
          <w:sz w:val="20"/>
          <w:szCs w:val="20"/>
        </w:rPr>
        <w:t>Danielle Maria da Costa Marques Sampaio</w:t>
      </w:r>
      <w:r w:rsidR="00A634AB">
        <w:rPr>
          <w:sz w:val="20"/>
          <w:szCs w:val="20"/>
        </w:rPr>
        <w:t>1</w:t>
      </w:r>
      <w:r w:rsidR="00A634AB">
        <w:rPr>
          <w:rStyle w:val="Refdenotaderodap"/>
          <w:sz w:val="20"/>
          <w:szCs w:val="20"/>
        </w:rPr>
        <w:footnoteReference w:id="1"/>
      </w:r>
    </w:p>
    <w:p w14:paraId="2B787D67" w14:textId="05DD4FBA" w:rsidR="00C26D9E" w:rsidRDefault="00C26D9E" w:rsidP="00EC363F">
      <w:pPr>
        <w:spacing w:line="240" w:lineRule="auto"/>
        <w:ind w:left="2835"/>
        <w:jc w:val="right"/>
        <w:rPr>
          <w:sz w:val="20"/>
          <w:szCs w:val="20"/>
        </w:rPr>
      </w:pPr>
      <w:r w:rsidRPr="00C26D9E">
        <w:rPr>
          <w:sz w:val="20"/>
          <w:szCs w:val="20"/>
        </w:rPr>
        <w:t>Danielle Nayra de Morais</w:t>
      </w:r>
      <w:r w:rsidR="00F9473E">
        <w:rPr>
          <w:sz w:val="20"/>
          <w:szCs w:val="20"/>
        </w:rPr>
        <w:t>2</w:t>
      </w:r>
      <w:r w:rsidR="00F9473E">
        <w:rPr>
          <w:rStyle w:val="Refdenotaderodap"/>
          <w:sz w:val="20"/>
          <w:szCs w:val="20"/>
        </w:rPr>
        <w:footnoteReference w:id="2"/>
      </w:r>
    </w:p>
    <w:p w14:paraId="7D2255D5" w14:textId="264F37F6" w:rsidR="0068464E" w:rsidRDefault="0068464E" w:rsidP="00EC363F">
      <w:pPr>
        <w:spacing w:line="240" w:lineRule="auto"/>
        <w:ind w:left="2835"/>
        <w:jc w:val="right"/>
        <w:rPr>
          <w:sz w:val="20"/>
          <w:szCs w:val="20"/>
        </w:rPr>
      </w:pPr>
      <w:r>
        <w:rPr>
          <w:sz w:val="20"/>
          <w:szCs w:val="20"/>
        </w:rPr>
        <w:t xml:space="preserve">Sara Jane </w:t>
      </w:r>
      <w:r w:rsidR="00774C84">
        <w:rPr>
          <w:sz w:val="20"/>
          <w:szCs w:val="20"/>
        </w:rPr>
        <w:t>Oliveira</w:t>
      </w:r>
      <w:r w:rsidR="00205D53">
        <w:rPr>
          <w:rStyle w:val="Refdenotaderodap"/>
          <w:sz w:val="20"/>
          <w:szCs w:val="20"/>
        </w:rPr>
        <w:footnoteReference w:id="3"/>
      </w:r>
    </w:p>
    <w:p w14:paraId="07B6143A" w14:textId="446482AA" w:rsidR="00435268" w:rsidRPr="00C26D9E" w:rsidRDefault="00435268" w:rsidP="00EC363F">
      <w:pPr>
        <w:spacing w:line="240" w:lineRule="auto"/>
        <w:ind w:left="2835"/>
        <w:jc w:val="right"/>
        <w:rPr>
          <w:sz w:val="20"/>
          <w:szCs w:val="20"/>
        </w:rPr>
      </w:pPr>
      <w:r w:rsidRPr="00435268">
        <w:rPr>
          <w:sz w:val="20"/>
          <w:szCs w:val="20"/>
        </w:rPr>
        <w:t>Isis Beatriz Costa Sales</w:t>
      </w:r>
      <w:r w:rsidR="00133940">
        <w:rPr>
          <w:sz w:val="20"/>
          <w:szCs w:val="20"/>
        </w:rPr>
        <w:t>4</w:t>
      </w:r>
      <w:r w:rsidR="00133940">
        <w:rPr>
          <w:rStyle w:val="Refdenotaderodap"/>
          <w:sz w:val="20"/>
          <w:szCs w:val="20"/>
        </w:rPr>
        <w:footnoteReference w:id="4"/>
      </w:r>
    </w:p>
    <w:p w14:paraId="4599FDC0" w14:textId="312FD109" w:rsidR="00C26D9E" w:rsidRDefault="00C26D9E" w:rsidP="00EC363F">
      <w:pPr>
        <w:spacing w:line="240" w:lineRule="auto"/>
        <w:ind w:left="2835"/>
        <w:jc w:val="right"/>
        <w:rPr>
          <w:sz w:val="20"/>
          <w:szCs w:val="20"/>
        </w:rPr>
      </w:pPr>
      <w:r w:rsidRPr="00C26D9E">
        <w:rPr>
          <w:sz w:val="20"/>
          <w:szCs w:val="20"/>
        </w:rPr>
        <w:t>Jairo de Carvalho Guimarães</w:t>
      </w:r>
      <w:r w:rsidR="005561E7">
        <w:rPr>
          <w:sz w:val="20"/>
          <w:szCs w:val="20"/>
        </w:rPr>
        <w:t>5</w:t>
      </w:r>
      <w:r w:rsidR="005561E7">
        <w:rPr>
          <w:rStyle w:val="Refdenotaderodap"/>
          <w:sz w:val="20"/>
          <w:szCs w:val="20"/>
        </w:rPr>
        <w:footnoteReference w:id="5"/>
      </w:r>
    </w:p>
    <w:p w14:paraId="25AF7F3C" w14:textId="77777777" w:rsidR="00C26D9E" w:rsidRDefault="00C26D9E" w:rsidP="00EC363F">
      <w:pPr>
        <w:spacing w:line="240" w:lineRule="auto"/>
        <w:ind w:left="2835"/>
        <w:jc w:val="right"/>
        <w:rPr>
          <w:sz w:val="20"/>
          <w:szCs w:val="20"/>
        </w:rPr>
      </w:pPr>
    </w:p>
    <w:p w14:paraId="7A011749" w14:textId="77777777" w:rsidR="00C26D9E" w:rsidRDefault="00C26D9E">
      <w:pPr>
        <w:spacing w:line="240" w:lineRule="auto"/>
        <w:ind w:left="2835"/>
        <w:jc w:val="center"/>
        <w:rPr>
          <w:sz w:val="20"/>
          <w:szCs w:val="20"/>
        </w:rPr>
      </w:pPr>
    </w:p>
    <w:p w14:paraId="5F4C38E0" w14:textId="77777777" w:rsidR="00220028" w:rsidRDefault="009775BA">
      <w:pPr>
        <w:spacing w:line="240" w:lineRule="auto"/>
        <w:ind w:left="2835"/>
        <w:jc w:val="both"/>
        <w:rPr>
          <w:sz w:val="20"/>
          <w:szCs w:val="20"/>
        </w:rPr>
      </w:pPr>
      <w:r>
        <w:rPr>
          <w:b/>
          <w:sz w:val="20"/>
          <w:szCs w:val="20"/>
        </w:rPr>
        <w:t>Resumo</w:t>
      </w:r>
    </w:p>
    <w:p w14:paraId="0A2ECBC2" w14:textId="07B0F559" w:rsidR="00220028" w:rsidRDefault="009775BA">
      <w:pPr>
        <w:spacing w:line="240" w:lineRule="auto"/>
        <w:ind w:left="2835"/>
        <w:jc w:val="both"/>
        <w:rPr>
          <w:sz w:val="20"/>
          <w:szCs w:val="20"/>
        </w:rPr>
      </w:pPr>
      <w:r>
        <w:rPr>
          <w:sz w:val="20"/>
          <w:szCs w:val="20"/>
        </w:rPr>
        <w:t xml:space="preserve">Introdução: O presente estudo, de abordagem qualitativa e de natureza descritiva, tem o propósito de analisar as conexões contidas e estabelecidas entre as categorias internacionalização do capital, educação e tecnologias digitais da informação e comunicação - TDICs a partir da revisão bibliográfica das publicações de teóricos que abordam tais categorias. </w:t>
      </w:r>
      <w:r w:rsidR="00E53FB9">
        <w:rPr>
          <w:sz w:val="20"/>
          <w:szCs w:val="20"/>
        </w:rPr>
        <w:t>D</w:t>
      </w:r>
      <w:r>
        <w:rPr>
          <w:sz w:val="20"/>
          <w:szCs w:val="20"/>
        </w:rPr>
        <w:t>efine-se como problema de pesquisa o seguinte: Quais as reflexões que podem ser construídas a partir da análise entre internacionalização do capital, educação e TDIC’s? Resultados e conclusões: Como conclusão, entende-se que no novo ordenamento mundial, as tecnologias desempenham um fator fundamental nesta realidade, nas quais as interações humanas sofrem transformações cada vez mais profundas, implicando, portanto, em mudanças nas interações no espaço escolar, território este em que estudantes, professores e gestão também são atravessados por esse processo, com vistas a atingir os objetivos comuns pretendidos através da globalização.</w:t>
      </w:r>
    </w:p>
    <w:p w14:paraId="404B97E9" w14:textId="77777777" w:rsidR="00220028" w:rsidRDefault="009775BA">
      <w:pPr>
        <w:spacing w:line="240" w:lineRule="auto"/>
        <w:ind w:left="2835"/>
        <w:jc w:val="both"/>
        <w:rPr>
          <w:sz w:val="20"/>
          <w:szCs w:val="20"/>
        </w:rPr>
      </w:pPr>
      <w:r>
        <w:rPr>
          <w:b/>
          <w:sz w:val="20"/>
          <w:szCs w:val="20"/>
        </w:rPr>
        <w:t>Palavras-chave</w:t>
      </w:r>
      <w:r>
        <w:rPr>
          <w:sz w:val="20"/>
          <w:szCs w:val="20"/>
        </w:rPr>
        <w:t>: Internacionalização do capital; educação, tecnologias digitais.</w:t>
      </w:r>
    </w:p>
    <w:p w14:paraId="2F0F9598" w14:textId="77777777" w:rsidR="00220028" w:rsidRDefault="00220028">
      <w:pPr>
        <w:spacing w:line="240" w:lineRule="auto"/>
        <w:ind w:left="2835"/>
        <w:jc w:val="both"/>
        <w:rPr>
          <w:sz w:val="20"/>
          <w:szCs w:val="20"/>
        </w:rPr>
      </w:pPr>
    </w:p>
    <w:p w14:paraId="03EABACB" w14:textId="77777777" w:rsidR="00220028" w:rsidRDefault="009775BA">
      <w:pPr>
        <w:spacing w:line="240" w:lineRule="auto"/>
        <w:ind w:left="2835"/>
        <w:jc w:val="both"/>
        <w:rPr>
          <w:sz w:val="20"/>
          <w:szCs w:val="20"/>
        </w:rPr>
      </w:pPr>
      <w:r>
        <w:rPr>
          <w:b/>
          <w:sz w:val="20"/>
          <w:szCs w:val="20"/>
        </w:rPr>
        <w:t>Abstract</w:t>
      </w:r>
    </w:p>
    <w:p w14:paraId="5F0CB7AA" w14:textId="65104898" w:rsidR="00220028" w:rsidRDefault="009775BA">
      <w:pPr>
        <w:spacing w:line="240" w:lineRule="auto"/>
        <w:ind w:left="2835"/>
        <w:jc w:val="both"/>
        <w:rPr>
          <w:sz w:val="20"/>
          <w:szCs w:val="20"/>
        </w:rPr>
      </w:pPr>
      <w:r>
        <w:rPr>
          <w:sz w:val="20"/>
          <w:szCs w:val="20"/>
        </w:rPr>
        <w:t>Introduction:</w:t>
      </w:r>
      <w:r>
        <w:rPr>
          <w:b/>
        </w:rPr>
        <w:t xml:space="preserve"> </w:t>
      </w:r>
      <w:r>
        <w:rPr>
          <w:sz w:val="20"/>
          <w:szCs w:val="20"/>
        </w:rPr>
        <w:t xml:space="preserve">The present study, with a qualitative approach and descriptive nature, has the purpose of analyzing the connections contained and established between the categories internationalization of capital, education and digital technologies based on the bibliographical review of publications by theorists who address these categories. </w:t>
      </w:r>
      <w:r w:rsidR="00E53FB9">
        <w:rPr>
          <w:sz w:val="20"/>
          <w:szCs w:val="20"/>
        </w:rPr>
        <w:t>I</w:t>
      </w:r>
      <w:r>
        <w:rPr>
          <w:sz w:val="20"/>
          <w:szCs w:val="20"/>
        </w:rPr>
        <w:t xml:space="preserve">t defines the following as a research problem: What reflections can be constructed from the analysis between the internationalization of capital, education and digital technologies?. Results and conclusions: In conclusion, it is understood that in the new </w:t>
      </w:r>
      <w:r>
        <w:rPr>
          <w:sz w:val="20"/>
          <w:szCs w:val="20"/>
        </w:rPr>
        <w:lastRenderedPageBreak/>
        <w:t>order of the world, technologies play a fundamental factor in this reality, in which human interactions undergo increasingly profound transformations, implying, therefore, the dynamics of interactions in the school space, a territory in which students, teachers and management need to be integrated through a systematic process of aggregation of efforts, determination and sensitivity, with a view to achieving the intended common objectives.</w:t>
      </w:r>
    </w:p>
    <w:p w14:paraId="05EEDE43" w14:textId="77777777" w:rsidR="00220028" w:rsidRDefault="009775BA">
      <w:pPr>
        <w:spacing w:line="240" w:lineRule="auto"/>
        <w:ind w:left="2835"/>
        <w:jc w:val="both"/>
        <w:rPr>
          <w:sz w:val="20"/>
          <w:szCs w:val="20"/>
        </w:rPr>
      </w:pPr>
      <w:r>
        <w:rPr>
          <w:b/>
          <w:sz w:val="20"/>
          <w:szCs w:val="20"/>
        </w:rPr>
        <w:t>Keywords</w:t>
      </w:r>
      <w:r>
        <w:rPr>
          <w:sz w:val="20"/>
          <w:szCs w:val="20"/>
        </w:rPr>
        <w:t>: Internationalization of capital; education, digital technologies.</w:t>
      </w:r>
    </w:p>
    <w:p w14:paraId="37D15A3A" w14:textId="77777777" w:rsidR="00220028" w:rsidRDefault="00220028">
      <w:pPr>
        <w:spacing w:line="240" w:lineRule="auto"/>
        <w:ind w:left="2835"/>
        <w:jc w:val="both"/>
        <w:rPr>
          <w:b/>
          <w:sz w:val="20"/>
          <w:szCs w:val="20"/>
        </w:rPr>
      </w:pPr>
    </w:p>
    <w:p w14:paraId="1BA713F8" w14:textId="4058EFA6" w:rsidR="00220028" w:rsidRDefault="009775BA">
      <w:pPr>
        <w:spacing w:line="360" w:lineRule="auto"/>
        <w:rPr>
          <w:sz w:val="24"/>
          <w:szCs w:val="24"/>
        </w:rPr>
      </w:pPr>
      <w:r>
        <w:rPr>
          <w:b/>
          <w:sz w:val="24"/>
          <w:szCs w:val="24"/>
        </w:rPr>
        <w:t>1 INTRODUÇÃO</w:t>
      </w:r>
    </w:p>
    <w:p w14:paraId="73B5CF5B" w14:textId="77777777" w:rsidR="00220028" w:rsidRDefault="00220028">
      <w:pPr>
        <w:widowControl w:val="0"/>
        <w:spacing w:before="137" w:line="240" w:lineRule="auto"/>
        <w:rPr>
          <w:sz w:val="24"/>
          <w:szCs w:val="24"/>
        </w:rPr>
      </w:pPr>
    </w:p>
    <w:p w14:paraId="20E0D417" w14:textId="019A1E61" w:rsidR="00220028" w:rsidRDefault="009775BA">
      <w:pPr>
        <w:widowControl w:val="0"/>
        <w:spacing w:line="360" w:lineRule="auto"/>
        <w:ind w:left="140" w:right="138" w:firstLine="566"/>
        <w:jc w:val="both"/>
        <w:rPr>
          <w:sz w:val="24"/>
          <w:szCs w:val="24"/>
        </w:rPr>
      </w:pPr>
      <w:r>
        <w:rPr>
          <w:sz w:val="24"/>
          <w:szCs w:val="24"/>
        </w:rPr>
        <w:t>O processo de internacionalização do capital não é algo novo e teve início, segundo alguns autores, ainda no período das grandes navegações, quando os países europeus partiram em busca de novas terras, dando início à comercialização de produtos entre diversas partes do planeta Terra. Mas, apenas na década de 1970, conforme Dupas (2010),</w:t>
      </w:r>
      <w:r w:rsidR="004A0F0A">
        <w:rPr>
          <w:sz w:val="24"/>
          <w:szCs w:val="24"/>
        </w:rPr>
        <w:t xml:space="preserve"> </w:t>
      </w:r>
      <w:r>
        <w:rPr>
          <w:sz w:val="24"/>
          <w:szCs w:val="24"/>
        </w:rPr>
        <w:t xml:space="preserve">ocorreram mudanças profundas acerca desse processo de internacionalização, gerando impactos socioeconômicos em quase todos os países, tais como: reorganização de estratégias de produção, distribuição das empresas no cenário mundial e construção de estratégias de comunicação que o autor intitula como </w:t>
      </w:r>
      <w:r>
        <w:rPr>
          <w:i/>
          <w:sz w:val="24"/>
          <w:szCs w:val="24"/>
        </w:rPr>
        <w:t xml:space="preserve">networks. </w:t>
      </w:r>
    </w:p>
    <w:p w14:paraId="6C353DC2" w14:textId="77777777" w:rsidR="00220028" w:rsidRDefault="009775BA">
      <w:pPr>
        <w:widowControl w:val="0"/>
        <w:spacing w:line="360" w:lineRule="auto"/>
        <w:ind w:left="140" w:right="138" w:firstLine="566"/>
        <w:jc w:val="both"/>
        <w:rPr>
          <w:sz w:val="24"/>
          <w:szCs w:val="24"/>
        </w:rPr>
      </w:pPr>
      <w:r>
        <w:rPr>
          <w:sz w:val="24"/>
          <w:szCs w:val="24"/>
        </w:rPr>
        <w:t>Esse novo ordenamento mundial pertinente à internacionalização do capital, intitulado por teóricos, a exemplo de Giddens (2012), como globalização, gera mudanças que não se restringem somente aos aspectos econômicos e financeiros, mas também provocam mudanças sociais e culturais, as quais alteram a perspectiva de tempo e de espaço afetando a vida dos sujeitos como um todo. Nesse turbulento momento de reordenamento mundial, surgem novas formas de comunicação e de interação simultânea entre as pessoas, mesmo à distância, contribuindo para a emergência, como cita Levy (2010) de espaços virtuais de compartilhamento de vivências, de conhecimentos e de experiências por meio da Internet.</w:t>
      </w:r>
    </w:p>
    <w:p w14:paraId="518F3FA6" w14:textId="4BD7C498" w:rsidR="00220028" w:rsidRDefault="009775BA">
      <w:pPr>
        <w:widowControl w:val="0"/>
        <w:spacing w:line="360" w:lineRule="auto"/>
        <w:ind w:left="140" w:right="143" w:firstLine="566"/>
        <w:jc w:val="both"/>
        <w:rPr>
          <w:sz w:val="24"/>
          <w:szCs w:val="24"/>
        </w:rPr>
      </w:pPr>
      <w:r>
        <w:rPr>
          <w:sz w:val="24"/>
          <w:szCs w:val="24"/>
        </w:rPr>
        <w:t xml:space="preserve">Nessa perspectiva, Castells (2016) ressalta que a emergência da cibercultura, ou um novo tipo de cultura construída a partir da interação virtual dos indivíduos de </w:t>
      </w:r>
      <w:r>
        <w:rPr>
          <w:sz w:val="24"/>
          <w:szCs w:val="24"/>
        </w:rPr>
        <w:lastRenderedPageBreak/>
        <w:t xml:space="preserve">diferentes espaços geográficos interconectados em </w:t>
      </w:r>
      <w:r>
        <w:rPr>
          <w:sz w:val="24"/>
          <w:szCs w:val="24"/>
          <w:highlight w:val="white"/>
        </w:rPr>
        <w:t>rede por meio</w:t>
      </w:r>
      <w:r>
        <w:rPr>
          <w:sz w:val="24"/>
          <w:szCs w:val="24"/>
        </w:rPr>
        <w:t xml:space="preserve"> de tecnologias digitais e da Internet</w:t>
      </w:r>
      <w:r w:rsidR="00685726">
        <w:rPr>
          <w:sz w:val="24"/>
          <w:szCs w:val="24"/>
        </w:rPr>
        <w:t>, p</w:t>
      </w:r>
      <w:r>
        <w:rPr>
          <w:sz w:val="24"/>
          <w:szCs w:val="24"/>
        </w:rPr>
        <w:t>romove uma velocidade significativa de acesso às informações e ao conhecimento, o que pode favorecer a construção de novas formas de aprendizagem e novas contingências e práticas pedagógicas relacionadas à educação.</w:t>
      </w:r>
    </w:p>
    <w:p w14:paraId="7F89AD06" w14:textId="50249B55" w:rsidR="00220028" w:rsidRDefault="009775BA">
      <w:pPr>
        <w:widowControl w:val="0"/>
        <w:shd w:val="clear" w:color="auto" w:fill="FFFFFF"/>
        <w:spacing w:line="360" w:lineRule="auto"/>
        <w:ind w:left="140" w:right="139" w:firstLine="566"/>
        <w:jc w:val="both"/>
        <w:rPr>
          <w:sz w:val="24"/>
          <w:szCs w:val="24"/>
        </w:rPr>
      </w:pPr>
      <w:r>
        <w:rPr>
          <w:sz w:val="24"/>
          <w:szCs w:val="24"/>
        </w:rPr>
        <w:t xml:space="preserve">Diante do exposto, essa pesquisa busca compreender a relação existente entre a globalização e a educação na perspectiva da cibercultura e da utilização das TDIC’s  sob um contexto contemporâneo, </w:t>
      </w:r>
      <w:r w:rsidR="006203A8">
        <w:rPr>
          <w:sz w:val="24"/>
          <w:szCs w:val="24"/>
        </w:rPr>
        <w:t>através</w:t>
      </w:r>
      <w:r>
        <w:rPr>
          <w:sz w:val="24"/>
          <w:szCs w:val="24"/>
        </w:rPr>
        <w:t xml:space="preserve"> das perspectivas teóricas de autores que tratam das categorias: globalização, educação, cibercultura e TDIC’s. </w:t>
      </w:r>
      <w:r w:rsidR="009C1C50">
        <w:rPr>
          <w:sz w:val="24"/>
          <w:szCs w:val="24"/>
        </w:rPr>
        <w:t xml:space="preserve">Por meio do </w:t>
      </w:r>
      <w:r w:rsidR="00C1016F">
        <w:rPr>
          <w:sz w:val="24"/>
          <w:szCs w:val="24"/>
        </w:rPr>
        <w:t>estudo de abordagem qualitativa</w:t>
      </w:r>
      <w:r w:rsidR="009C1C50">
        <w:rPr>
          <w:sz w:val="24"/>
          <w:szCs w:val="24"/>
        </w:rPr>
        <w:t xml:space="preserve"> e </w:t>
      </w:r>
      <w:r w:rsidR="00C1016F">
        <w:rPr>
          <w:sz w:val="24"/>
          <w:szCs w:val="24"/>
        </w:rPr>
        <w:t>da revisão sistemática de literatura</w:t>
      </w:r>
      <w:r w:rsidR="002C70C1">
        <w:rPr>
          <w:sz w:val="24"/>
          <w:szCs w:val="24"/>
        </w:rPr>
        <w:t xml:space="preserve">, </w:t>
      </w:r>
      <w:r>
        <w:rPr>
          <w:sz w:val="24"/>
          <w:szCs w:val="24"/>
        </w:rPr>
        <w:t xml:space="preserve">estabelece-se a seguinte pergunta de pesquisa: </w:t>
      </w:r>
      <w:r>
        <w:rPr>
          <w:b/>
          <w:sz w:val="24"/>
          <w:szCs w:val="24"/>
        </w:rPr>
        <w:t>Quais as reflexões que podem ser construídas a partir da análise entre internacionalização do capital, educação e da utilização das tecnologias digitais</w:t>
      </w:r>
      <w:r w:rsidRPr="008B3570">
        <w:rPr>
          <w:b/>
          <w:bCs/>
          <w:sz w:val="24"/>
          <w:szCs w:val="24"/>
        </w:rPr>
        <w:t>?</w:t>
      </w:r>
    </w:p>
    <w:p w14:paraId="5FBFCAB2" w14:textId="77777777" w:rsidR="00220028" w:rsidRDefault="009775BA">
      <w:pPr>
        <w:widowControl w:val="0"/>
        <w:spacing w:before="1" w:line="360" w:lineRule="auto"/>
        <w:ind w:left="140" w:right="137" w:firstLine="566"/>
        <w:jc w:val="both"/>
        <w:rPr>
          <w:sz w:val="24"/>
          <w:szCs w:val="24"/>
        </w:rPr>
      </w:pPr>
      <w:r>
        <w:rPr>
          <w:sz w:val="24"/>
          <w:szCs w:val="24"/>
        </w:rPr>
        <w:t>No intuito de responder ao questionamento exposto, foi feito um levantamento de autores que tratam destas categorias de pesquisa tais como:  Giddens (2012), Santos (2012), Lévy (2010), Bauman (2013), Canclini (2009), Dupas (2010), dentre outros. Além deste capítulo introdutório, o presente estudo foi dividido em outros três capítulos. O primeiro capítulo abordará a Globalização e a Constituição do Ciberespaço; O segundo capítulo, As Influências da Cibercultura e das Tecnologias Digitais na Educação; O capítulo três se refere aos resultados obtidos e o último capítulo é destinado às conclusões, seguidas das referências.</w:t>
      </w:r>
    </w:p>
    <w:p w14:paraId="5BCFF0BE" w14:textId="77777777" w:rsidR="00220028" w:rsidRDefault="009775BA">
      <w:pPr>
        <w:keepNext/>
        <w:keepLines/>
        <w:tabs>
          <w:tab w:val="left" w:pos="500"/>
        </w:tabs>
        <w:spacing w:before="400" w:after="120"/>
        <w:jc w:val="both"/>
        <w:rPr>
          <w:b/>
          <w:sz w:val="24"/>
          <w:szCs w:val="24"/>
        </w:rPr>
      </w:pPr>
      <w:r>
        <w:rPr>
          <w:b/>
          <w:sz w:val="24"/>
          <w:szCs w:val="24"/>
        </w:rPr>
        <w:t>2 A GLOBALIZAÇÃO E A CONSTITUIÇÃO DO CIBERESPAÇO.</w:t>
      </w:r>
    </w:p>
    <w:p w14:paraId="5353A04F" w14:textId="77777777" w:rsidR="00220028" w:rsidRDefault="00220028">
      <w:pPr>
        <w:widowControl w:val="0"/>
        <w:spacing w:line="360" w:lineRule="auto"/>
        <w:ind w:left="140" w:right="137" w:firstLine="626"/>
        <w:jc w:val="both"/>
        <w:rPr>
          <w:sz w:val="24"/>
          <w:szCs w:val="24"/>
        </w:rPr>
      </w:pPr>
    </w:p>
    <w:p w14:paraId="4A39D722" w14:textId="77777777" w:rsidR="00220028" w:rsidRDefault="009775BA">
      <w:pPr>
        <w:widowControl w:val="0"/>
        <w:spacing w:line="360" w:lineRule="auto"/>
        <w:ind w:left="140" w:right="137" w:firstLine="626"/>
        <w:jc w:val="both"/>
        <w:rPr>
          <w:sz w:val="24"/>
          <w:szCs w:val="24"/>
        </w:rPr>
      </w:pPr>
      <w:r>
        <w:rPr>
          <w:sz w:val="24"/>
          <w:szCs w:val="24"/>
        </w:rPr>
        <w:t xml:space="preserve">A globalização, em sua amplitude conceitual, como sendo um produto da internacionalização do capital, é um processo de mudança social que se caracteriza pela expansão, intensificação, aceleração e a interdependência das relações econômicas, sociais, políticas e tecnológicas entre os povos dos diferentes países ao redor do mundo. Em um cenário de significativas mudanças, Giddens (2012, p. </w:t>
      </w:r>
      <w:r>
        <w:rPr>
          <w:sz w:val="24"/>
          <w:szCs w:val="24"/>
        </w:rPr>
        <w:lastRenderedPageBreak/>
        <w:t>64) define a globalização como sendo: “[...] a intensificação de relações sociais mundiais que unem localidades distantes de tal modo que os acontecimentos locais são condicionados por eventos que acontecem a milhas de distância e vice-versa [...]”.</w:t>
      </w:r>
    </w:p>
    <w:p w14:paraId="27FF046D" w14:textId="77777777" w:rsidR="00220028" w:rsidRDefault="009775BA">
      <w:pPr>
        <w:widowControl w:val="0"/>
        <w:spacing w:line="360" w:lineRule="auto"/>
        <w:ind w:left="140" w:right="139" w:firstLine="566"/>
        <w:jc w:val="both"/>
        <w:rPr>
          <w:sz w:val="24"/>
          <w:szCs w:val="24"/>
        </w:rPr>
      </w:pPr>
      <w:r>
        <w:rPr>
          <w:sz w:val="24"/>
          <w:szCs w:val="24"/>
        </w:rPr>
        <w:t>De outro modo, Santos (2012) informa que a globalização simboliza um processo de cisão em relação às formas anteriores de interações entre os países, caracterizando-se através da profundidade e expansão das interações transnacionais que contemplam desde a integração dos sistemas de produção à revolução das comunicações sociais através das tecnologias digitais. Dessa forma, entende-se que o processo de globalização combina a busca pela universalização e o rompimento das fronteiras nacionais com a busca pelo particularismo, pelo respeito à diversidade cultural, étnica e religiosa.</w:t>
      </w:r>
    </w:p>
    <w:p w14:paraId="7D59919A" w14:textId="77777777" w:rsidR="00220028" w:rsidRDefault="009775BA">
      <w:pPr>
        <w:widowControl w:val="0"/>
        <w:spacing w:before="1" w:line="360" w:lineRule="auto"/>
        <w:ind w:left="140" w:right="141" w:firstLine="566"/>
        <w:jc w:val="both"/>
        <w:rPr>
          <w:sz w:val="24"/>
          <w:szCs w:val="24"/>
        </w:rPr>
      </w:pPr>
      <w:r>
        <w:rPr>
          <w:sz w:val="24"/>
          <w:szCs w:val="24"/>
        </w:rPr>
        <w:t>A atual conjuntura de integração do processo de produção capitalista eleva as empresas multinacionais ao patamar central da nova economia mundial, promovendo transformações nos sistemas financeiros, nas políticas nacionais e nas relações sociais de uma maneira geral. De acordo com Santos (2012), a tendência do novo sistema de economia globalizada, é a presença marcante de multinacionais, transnacionais e empresas globais consolidando seu evidente poder na nova configuração econômica mundial. Esses grupos empresariais se desvinculam dos limites e do controle do Estado, tornando-se um sistema a parte que pensa e respira sem maiores orientações oriundas do debate social. A partir do exercício do poder econômico multinacional, modificam-se as interações de mercado, as políticas, as relações de trabalho e as interações sociais de forma profunda afetando, consequentemente, a sociedade.</w:t>
      </w:r>
    </w:p>
    <w:p w14:paraId="7033B023" w14:textId="77777777" w:rsidR="00220028" w:rsidRDefault="009775BA">
      <w:pPr>
        <w:widowControl w:val="0"/>
        <w:spacing w:before="2" w:line="360" w:lineRule="auto"/>
        <w:ind w:left="140" w:right="144" w:firstLine="566"/>
        <w:jc w:val="both"/>
        <w:rPr>
          <w:sz w:val="24"/>
          <w:szCs w:val="24"/>
        </w:rPr>
      </w:pPr>
      <w:r>
        <w:rPr>
          <w:sz w:val="24"/>
          <w:szCs w:val="24"/>
        </w:rPr>
        <w:t xml:space="preserve">Lévy (2010) analisando os aspectos culturais desse novo ordenamento mundial promovido a partir da globalização no século XX, define ciberespaço como um mecanismo de comunicação coletivo, criado pela interconexão mundial de computadores favorecendo a interatividade entre pessoas situadas em diferentes espaços geográficos, o que torna possível também a estimulação da inteligência </w:t>
      </w:r>
      <w:r>
        <w:rPr>
          <w:sz w:val="24"/>
          <w:szCs w:val="24"/>
        </w:rPr>
        <w:lastRenderedPageBreak/>
        <w:t xml:space="preserve">coletiva. Este cenário possibilita uma interface simultânea de compartilhamento de dados digitais, gravação e simulação, vindo a se constituir como o principal canal de comunicação, acesso às informações e de memória da humanidade. </w:t>
      </w:r>
    </w:p>
    <w:p w14:paraId="09F91DD6" w14:textId="77777777" w:rsidR="00220028" w:rsidRDefault="009775BA">
      <w:pPr>
        <w:widowControl w:val="0"/>
        <w:spacing w:before="1" w:line="360" w:lineRule="auto"/>
        <w:ind w:left="140" w:right="143" w:firstLine="566"/>
        <w:jc w:val="both"/>
        <w:rPr>
          <w:sz w:val="24"/>
          <w:szCs w:val="24"/>
        </w:rPr>
      </w:pPr>
      <w:r>
        <w:rPr>
          <w:sz w:val="24"/>
          <w:szCs w:val="24"/>
        </w:rPr>
        <w:t xml:space="preserve">Com o aumento da quantidade de pessoas conectadas em redes através da Internet, o ciberespaço se amplia, tornando-se agregador e produtor de sociabilidades, o que favorece a emergência de construções culturais a partir dos sujeitos em interações virtuais. Nesse sentido, Canclini (2009) aponta para emergência no mundo globalizado, de uma cultura desenvolvida nos ciberespaços, ou seja, espaços de estabelecimento de interrelações sociais, por meio de recursos tecnológicos, que ele intitulou de “cultura.com.”. Canclini (2009) afirma, também, que os recursos tecnológicos podem contribuir para aumentar as desigualdades sociais, a segregação e a exclusão de grupos menos favorecidos economicamente dentro desse novo ordenamento. </w:t>
      </w:r>
    </w:p>
    <w:p w14:paraId="34FA5C9B" w14:textId="77777777" w:rsidR="00220028" w:rsidRDefault="009775BA">
      <w:pPr>
        <w:keepNext/>
        <w:keepLines/>
        <w:tabs>
          <w:tab w:val="left" w:pos="500"/>
        </w:tabs>
        <w:spacing w:before="400" w:after="120" w:line="360" w:lineRule="auto"/>
        <w:jc w:val="both"/>
        <w:rPr>
          <w:sz w:val="24"/>
          <w:szCs w:val="24"/>
        </w:rPr>
      </w:pPr>
      <w:r>
        <w:rPr>
          <w:b/>
          <w:sz w:val="24"/>
          <w:szCs w:val="24"/>
        </w:rPr>
        <w:t>3  AS INFLUÊNCIAS DA CIBERCULTURA E DAS TECNOLOGIAS DIGITAIS NA EDUCAÇÃO</w:t>
      </w:r>
    </w:p>
    <w:p w14:paraId="03BF7330" w14:textId="77777777" w:rsidR="00220028" w:rsidRDefault="00220028">
      <w:pPr>
        <w:widowControl w:val="0"/>
        <w:spacing w:line="360" w:lineRule="auto"/>
        <w:ind w:left="140" w:right="137" w:firstLine="566"/>
        <w:jc w:val="both"/>
        <w:rPr>
          <w:sz w:val="24"/>
          <w:szCs w:val="24"/>
        </w:rPr>
      </w:pPr>
    </w:p>
    <w:p w14:paraId="62B2B9D9" w14:textId="1A05F6CC" w:rsidR="00220028" w:rsidRDefault="009775BA">
      <w:pPr>
        <w:widowControl w:val="0"/>
        <w:spacing w:line="360" w:lineRule="auto"/>
        <w:ind w:left="140" w:right="137" w:firstLine="566"/>
        <w:jc w:val="both"/>
        <w:rPr>
          <w:sz w:val="24"/>
          <w:szCs w:val="24"/>
        </w:rPr>
      </w:pPr>
      <w:r>
        <w:rPr>
          <w:sz w:val="24"/>
          <w:szCs w:val="24"/>
        </w:rPr>
        <w:t>É notório</w:t>
      </w:r>
      <w:r w:rsidR="00410205">
        <w:rPr>
          <w:sz w:val="24"/>
          <w:szCs w:val="24"/>
        </w:rPr>
        <w:t xml:space="preserve"> </w:t>
      </w:r>
      <w:r>
        <w:rPr>
          <w:sz w:val="24"/>
          <w:szCs w:val="24"/>
        </w:rPr>
        <w:t xml:space="preserve">o quanto o termo “tecnologias digitais” têm transitado nas mais diversas esferas da vida contemporânea, não sendo raros os eventos científicos e as publicações que tratam das relações entre tecnologias digitais e educação. Bauman (2013), analisando profundamente as questões ligada ao mundo moderno, afirma que na era da tecnologia “o tipo de comunicação não envolve o movimento de corpos físicos” (Bauman, 2013, p. 21), ou seja, a informação que antes precisava de um mensageiro físico, passou por um processo de desenvolvimento de meios técnicos que permitiu que o conteúdo se transportasse de forma independente, perdendo a noção de viagem e de distância a ser percorrida. O compartilhamento de informações passa a ser instantâneo, imediato e </w:t>
      </w:r>
      <w:r>
        <w:rPr>
          <w:i/>
          <w:sz w:val="24"/>
          <w:szCs w:val="24"/>
        </w:rPr>
        <w:t>real time</w:t>
      </w:r>
      <w:r>
        <w:rPr>
          <w:sz w:val="24"/>
          <w:szCs w:val="24"/>
        </w:rPr>
        <w:t>.</w:t>
      </w:r>
    </w:p>
    <w:p w14:paraId="7D90A99F" w14:textId="77777777" w:rsidR="00220028" w:rsidRDefault="009775BA">
      <w:pPr>
        <w:widowControl w:val="0"/>
        <w:spacing w:line="360" w:lineRule="auto"/>
        <w:ind w:left="140" w:right="135" w:firstLine="566"/>
        <w:jc w:val="both"/>
        <w:rPr>
          <w:sz w:val="24"/>
          <w:szCs w:val="24"/>
        </w:rPr>
      </w:pPr>
      <w:r>
        <w:rPr>
          <w:sz w:val="24"/>
          <w:szCs w:val="24"/>
        </w:rPr>
        <w:t xml:space="preserve">Nessa perspectiva, pode se inferir que a utilização de recursos tecnológicos para obtenção de conhecimentos e de comunicação reflete esse novo ordenamento </w:t>
      </w:r>
      <w:r>
        <w:rPr>
          <w:sz w:val="24"/>
          <w:szCs w:val="24"/>
        </w:rPr>
        <w:lastRenderedPageBreak/>
        <w:t>social através do qual tudo necessariamente é rápido e efêmero, obrigando pessoas, conhecimentos e ideias a uma renovação constante e de perpétuo movimento e atualizações. Esta tendência se reflete nas estruturas sociais de uma maneira geral, como na educação, influenciando em seus processos de viabilização de conhecimentos e aprendizagem, flexibilização dos espaços de aprendizagem sob o advento da construção de espaços virtuais ou espaços de aprendizagem a distância (EaD), metodologias de ensino e na ampla utilização de recursos tecnológicos para obtenção de informações e de estabelecimento de comunicação e de sociabilidades.</w:t>
      </w:r>
    </w:p>
    <w:p w14:paraId="31C83944" w14:textId="1C47D936" w:rsidR="00220028" w:rsidRDefault="009775BA">
      <w:pPr>
        <w:widowControl w:val="0"/>
        <w:spacing w:before="2" w:line="360" w:lineRule="auto"/>
        <w:ind w:left="140" w:right="139" w:firstLine="566"/>
        <w:jc w:val="both"/>
        <w:rPr>
          <w:sz w:val="24"/>
          <w:szCs w:val="24"/>
        </w:rPr>
      </w:pPr>
      <w:r>
        <w:rPr>
          <w:sz w:val="24"/>
          <w:szCs w:val="24"/>
        </w:rPr>
        <w:t>É importante ressaltar que o desenvolvimento tecnológico, em especial o surgimento das Tecnologias Digitais de Informação e Comunicação (TDICs), são produtos da expansão do capitalismo que destaca as TDICs como sendo instrumentos do desenvolvimento cultural e social da humanidade. Assim sendo, além de impactar diferentes realidades sociais e alterar as formas de relação e de comunicação, tais produtos também produzem efeitos no campo da educação. Com a mudança do paradigma para a chamada “Era da Informação”, o campo educacional é implicado em suas práticas pedagógicas, no uso de recursos tecnológicos, na mudança no formato da sala de aula, no incentivo ao protagonismo, entre outros aspectos (</w:t>
      </w:r>
      <w:r w:rsidR="00AC39CD">
        <w:rPr>
          <w:sz w:val="24"/>
          <w:szCs w:val="24"/>
        </w:rPr>
        <w:t>V</w:t>
      </w:r>
      <w:r w:rsidR="002A617F">
        <w:rPr>
          <w:sz w:val="24"/>
          <w:szCs w:val="24"/>
        </w:rPr>
        <w:t xml:space="preserve">idal; </w:t>
      </w:r>
      <w:r w:rsidR="00AC39CD">
        <w:rPr>
          <w:sz w:val="24"/>
          <w:szCs w:val="24"/>
        </w:rPr>
        <w:t>Mi</w:t>
      </w:r>
      <w:r w:rsidR="002A617F">
        <w:rPr>
          <w:sz w:val="24"/>
          <w:szCs w:val="24"/>
        </w:rPr>
        <w:t>guel</w:t>
      </w:r>
      <w:r w:rsidR="003D358E">
        <w:rPr>
          <w:sz w:val="24"/>
          <w:szCs w:val="24"/>
        </w:rPr>
        <w:t>,</w:t>
      </w:r>
      <w:r>
        <w:rPr>
          <w:sz w:val="24"/>
          <w:szCs w:val="24"/>
        </w:rPr>
        <w:t xml:space="preserve"> 2020).</w:t>
      </w:r>
    </w:p>
    <w:p w14:paraId="6949ACF5" w14:textId="59B766B2" w:rsidR="00220028" w:rsidRDefault="009775BA">
      <w:pPr>
        <w:widowControl w:val="0"/>
        <w:spacing w:line="360" w:lineRule="auto"/>
        <w:ind w:left="140" w:right="138" w:firstLine="566"/>
        <w:jc w:val="both"/>
        <w:rPr>
          <w:sz w:val="24"/>
          <w:szCs w:val="24"/>
        </w:rPr>
      </w:pPr>
      <w:r>
        <w:rPr>
          <w:sz w:val="24"/>
          <w:szCs w:val="24"/>
        </w:rPr>
        <w:t>L</w:t>
      </w:r>
      <w:r w:rsidR="000D0173">
        <w:rPr>
          <w:sz w:val="24"/>
          <w:szCs w:val="24"/>
        </w:rPr>
        <w:t>é</w:t>
      </w:r>
      <w:r>
        <w:rPr>
          <w:sz w:val="24"/>
          <w:szCs w:val="24"/>
        </w:rPr>
        <w:t xml:space="preserve">vy (2010) aponta parâmetros para reflexões sobre a Educação por meio da perspectiva da utilização das tecnologias digitais e da cibercultura. Pontua o sociólogo francês que os desafios acerca da inclusão dos recursos digitais na educação implica, também, nas relações de poder entre as instituições de ensino e os seus agentes sociais, o que caracteriza a aprendizagem formal, presentes também nas demais organizações voltadas ao ensino, como ONGs e empresas, que lidam com a aprendizagem ao longo da vida. </w:t>
      </w:r>
    </w:p>
    <w:p w14:paraId="4A7D293E" w14:textId="20B8E354" w:rsidR="00220028" w:rsidRDefault="009775BA">
      <w:pPr>
        <w:widowControl w:val="0"/>
        <w:spacing w:line="360" w:lineRule="auto"/>
        <w:ind w:left="140" w:right="138" w:firstLine="566"/>
        <w:jc w:val="both"/>
        <w:rPr>
          <w:sz w:val="24"/>
          <w:szCs w:val="24"/>
        </w:rPr>
      </w:pPr>
      <w:r>
        <w:rPr>
          <w:sz w:val="24"/>
          <w:szCs w:val="24"/>
        </w:rPr>
        <w:t xml:space="preserve">Nessa perspectiva, o impacto das tecnologias sobre a educação apoia-se no conceito de inteligência coletiva, termo denominado por Levy (2010) como “veneno e remédio” da cibercultura. Diante da análise da cibercultura, focando no campo </w:t>
      </w:r>
      <w:r>
        <w:rPr>
          <w:sz w:val="24"/>
          <w:szCs w:val="24"/>
        </w:rPr>
        <w:lastRenderedPageBreak/>
        <w:t xml:space="preserve">epistemológico, observa-se uma nova relação com o saber e seus consequentes desdobramentos na </w:t>
      </w:r>
      <w:r w:rsidR="00F0154D">
        <w:rPr>
          <w:sz w:val="24"/>
          <w:szCs w:val="24"/>
        </w:rPr>
        <w:t>e</w:t>
      </w:r>
      <w:r>
        <w:rPr>
          <w:sz w:val="24"/>
          <w:szCs w:val="24"/>
        </w:rPr>
        <w:t xml:space="preserve">ducação, na formação e na construção da inteligência coletiva. Ao acenar para o ciberespaço como mediador essencial da inteligência coletiva, Lévy (2010) convida a Educação a levar em conta tais emergências, para, a partir delas, ressignificar o seu atual </w:t>
      </w:r>
      <w:r>
        <w:rPr>
          <w:i/>
          <w:sz w:val="24"/>
          <w:szCs w:val="24"/>
        </w:rPr>
        <w:t>modus operandi.</w:t>
      </w:r>
    </w:p>
    <w:p w14:paraId="3EA3FB20" w14:textId="4474873B" w:rsidR="00220028" w:rsidRDefault="009775BA">
      <w:pPr>
        <w:widowControl w:val="0"/>
        <w:spacing w:before="1" w:line="360" w:lineRule="auto"/>
        <w:ind w:left="140" w:right="140" w:firstLine="566"/>
        <w:jc w:val="both"/>
        <w:rPr>
          <w:sz w:val="24"/>
          <w:szCs w:val="24"/>
        </w:rPr>
      </w:pPr>
      <w:r>
        <w:rPr>
          <w:sz w:val="24"/>
          <w:szCs w:val="24"/>
        </w:rPr>
        <w:t>Na era digital, as funções humanas são modificadas pelas chamadas “tecnologias intelectuais”, pois o saber articula-se à nova perspectiva de Educação, em função das novas formas de se construir conhecimento, que contemplam a democratização do acesso à informação, os novos estilos de aprendizagem e a emergência da inteligência coletiva.  A presença, a inserção e o uso das TDICs na educação, implica essencialmente em “uma preparação para formar indivíduos críticos e ativos socialmente, em uma sociedade em constante movimento e mudanças em todos os cenários” (</w:t>
      </w:r>
      <w:r w:rsidR="002A617F">
        <w:rPr>
          <w:sz w:val="24"/>
          <w:szCs w:val="24"/>
        </w:rPr>
        <w:t>Vidal; Miguel</w:t>
      </w:r>
      <w:r>
        <w:rPr>
          <w:sz w:val="24"/>
          <w:szCs w:val="24"/>
        </w:rPr>
        <w:t>, 2020, p. 369).</w:t>
      </w:r>
    </w:p>
    <w:p w14:paraId="33E5DF08" w14:textId="77777777" w:rsidR="00220028" w:rsidRDefault="009775BA">
      <w:pPr>
        <w:widowControl w:val="0"/>
        <w:spacing w:line="360" w:lineRule="auto"/>
        <w:ind w:left="140" w:right="141" w:firstLine="566"/>
        <w:jc w:val="both"/>
        <w:rPr>
          <w:sz w:val="24"/>
          <w:szCs w:val="24"/>
        </w:rPr>
      </w:pPr>
      <w:r>
        <w:rPr>
          <w:sz w:val="24"/>
          <w:szCs w:val="24"/>
        </w:rPr>
        <w:t xml:space="preserve">Os espaços e as instituições de ensino formais e não formais se elevam à categoria de </w:t>
      </w:r>
      <w:r>
        <w:rPr>
          <w:i/>
          <w:sz w:val="24"/>
          <w:szCs w:val="24"/>
        </w:rPr>
        <w:t xml:space="preserve">lócus </w:t>
      </w:r>
      <w:r>
        <w:rPr>
          <w:sz w:val="24"/>
          <w:szCs w:val="24"/>
        </w:rPr>
        <w:t>privilegiado para o desenvolvimento não apenas de uma educação tecnológica e de uma inserção de ferramentas digitais avulsas, mas de um prisma da educação global. Fatores como a grande velocidade das inovações tecnológicas, as decorrentes mudanças no mundo do trabalho e a proliferação de novos conhecimentos acabam por questionar os modelos tradicionais de ensino, os quais enfatizam a transmissão dos saberes.</w:t>
      </w:r>
    </w:p>
    <w:p w14:paraId="14A9F8AC" w14:textId="77777777" w:rsidR="00220028" w:rsidRDefault="009775BA">
      <w:pPr>
        <w:keepNext/>
        <w:keepLines/>
        <w:tabs>
          <w:tab w:val="left" w:pos="499"/>
        </w:tabs>
        <w:spacing w:before="400" w:after="120" w:line="360" w:lineRule="auto"/>
        <w:jc w:val="both"/>
        <w:rPr>
          <w:b/>
          <w:sz w:val="24"/>
          <w:szCs w:val="24"/>
        </w:rPr>
      </w:pPr>
      <w:r>
        <w:rPr>
          <w:b/>
          <w:sz w:val="24"/>
          <w:szCs w:val="24"/>
        </w:rPr>
        <w:t>4 OBSTÁCULOS ATUAIS PARA A PROMOÇÃO DA INCLUSÃO SOCIAL EM TECNOLOGIAS DIGITAIS</w:t>
      </w:r>
    </w:p>
    <w:p w14:paraId="57B58BE4" w14:textId="28FD6B66" w:rsidR="00220028" w:rsidRDefault="009775BA">
      <w:pPr>
        <w:widowControl w:val="0"/>
        <w:spacing w:line="360" w:lineRule="auto"/>
        <w:ind w:left="140" w:right="136" w:firstLine="568"/>
        <w:jc w:val="both"/>
        <w:rPr>
          <w:color w:val="FF0000"/>
          <w:sz w:val="24"/>
          <w:szCs w:val="24"/>
        </w:rPr>
      </w:pPr>
      <w:r>
        <w:rPr>
          <w:sz w:val="24"/>
          <w:szCs w:val="24"/>
        </w:rPr>
        <w:t xml:space="preserve">A educação se vê atravessada pelas transformações digitais e tecnológicas da Sociedade do Conhecimento, em uma perspectiva integradora. Entende-se que as tecnologias permitem, a partir de determinados recursos e inserções, uma maior inserção de estudantes, novas formações de professores, novas mediações na construção e na apropriação de conhecimentos, entre outros. Porém, este processo não se apresenta de forma neutra, homogênea e ausente de conflitos. Não somente </w:t>
      </w:r>
      <w:r>
        <w:rPr>
          <w:sz w:val="24"/>
          <w:szCs w:val="24"/>
        </w:rPr>
        <w:lastRenderedPageBreak/>
        <w:t>na educação, mas nos diversos campos sociais em que a tecnologia realiza seu processo de integração e de novas possibilidades (</w:t>
      </w:r>
      <w:r w:rsidR="002A617F">
        <w:rPr>
          <w:sz w:val="24"/>
          <w:szCs w:val="24"/>
        </w:rPr>
        <w:t>Soares; Colares</w:t>
      </w:r>
      <w:r>
        <w:rPr>
          <w:sz w:val="24"/>
          <w:szCs w:val="24"/>
        </w:rPr>
        <w:t>, 2020, p. 21): “a inserção das tecnologias gera controvérsias, um movimento dialético explícito na sociedade contemporânea”. Tais debates são necessários já que, ao passo que as tecnologias apresentam avanços e qualidades, também suscitam questões sociais, econômicas, éticas, trabalhistas e dentre outras.</w:t>
      </w:r>
    </w:p>
    <w:p w14:paraId="6AC48683" w14:textId="7FF0BB98" w:rsidR="00220028" w:rsidRDefault="009775BA">
      <w:pPr>
        <w:widowControl w:val="0"/>
        <w:spacing w:before="2" w:line="360" w:lineRule="auto"/>
        <w:ind w:left="140" w:right="137" w:firstLine="566"/>
        <w:jc w:val="both"/>
        <w:rPr>
          <w:sz w:val="24"/>
          <w:szCs w:val="24"/>
        </w:rPr>
      </w:pPr>
      <w:r>
        <w:rPr>
          <w:sz w:val="24"/>
          <w:szCs w:val="24"/>
        </w:rPr>
        <w:t>Tanto a óptica da educação global, quanto no âmbito das TDICs, observa-se que implica num rearranjo dos papéis tradicionais dentro do contexto de sala de aula. Na posição de educador(a) e do(a) professor(a), é exigido um olhar heterogêneo, uma postura acolhedora e construtiva junto aos(as) educandos(as), além da capacidade de aprender com os recursos utilizados e com os múltiplos olhares, operando a subjetividade e instigando a criatividade como fatores que fazem a diferença (</w:t>
      </w:r>
      <w:r w:rsidR="002A617F">
        <w:rPr>
          <w:sz w:val="24"/>
          <w:szCs w:val="24"/>
        </w:rPr>
        <w:t>Hartman, 2014; Fini, 2018; Guimarães, 2021</w:t>
      </w:r>
      <w:r w:rsidR="008E1C4E">
        <w:rPr>
          <w:sz w:val="24"/>
          <w:szCs w:val="24"/>
        </w:rPr>
        <w:t>)</w:t>
      </w:r>
      <w:r>
        <w:rPr>
          <w:sz w:val="24"/>
          <w:szCs w:val="24"/>
        </w:rPr>
        <w:t>. Entretanto, para alcançar tais mudanças, é necessário também refletir e implicar as políticas de formação de professores quanto às TDICs, a qualidade de tais formações, a criação e a manutenção de espaços contínuos de formação, os conteúdos e as ferramentas utilizadas (</w:t>
      </w:r>
      <w:r w:rsidR="002A617F" w:rsidRPr="002A617F">
        <w:rPr>
          <w:sz w:val="24"/>
          <w:szCs w:val="24"/>
        </w:rPr>
        <w:t>Vidal; Miguel</w:t>
      </w:r>
      <w:r w:rsidR="006F663D">
        <w:rPr>
          <w:sz w:val="24"/>
          <w:szCs w:val="24"/>
        </w:rPr>
        <w:t>, 2020</w:t>
      </w:r>
      <w:r>
        <w:rPr>
          <w:sz w:val="24"/>
          <w:szCs w:val="24"/>
        </w:rPr>
        <w:t>).</w:t>
      </w:r>
    </w:p>
    <w:p w14:paraId="106943E2" w14:textId="77777777" w:rsidR="00220028" w:rsidRDefault="009775BA">
      <w:pPr>
        <w:widowControl w:val="0"/>
        <w:spacing w:line="360" w:lineRule="auto"/>
        <w:ind w:left="140" w:right="140" w:firstLine="566"/>
        <w:jc w:val="both"/>
        <w:rPr>
          <w:sz w:val="24"/>
          <w:szCs w:val="24"/>
        </w:rPr>
      </w:pPr>
      <w:r>
        <w:rPr>
          <w:sz w:val="24"/>
          <w:szCs w:val="24"/>
        </w:rPr>
        <w:t>Sublinhando a formação para o uso das tecnologias e as disparidades de acesso, tópicos importantes a serem debatidos e considerados na inserção digital, Soares e Colares (2020, p. 29) afirmam que “as TDICs dotam-se de enorme eficiência, como um instrumento eficaz na educação, tornando a Internet, e a rede de conhecimentos existentes nela interligando sujeitos diversos, situados em espaços geográficos distintos”.</w:t>
      </w:r>
    </w:p>
    <w:p w14:paraId="315DE4FB" w14:textId="4EC88A50" w:rsidR="00220028" w:rsidRDefault="009775BA">
      <w:pPr>
        <w:widowControl w:val="0"/>
        <w:spacing w:before="80" w:line="360" w:lineRule="auto"/>
        <w:ind w:left="140" w:right="136" w:firstLine="566"/>
        <w:jc w:val="both"/>
        <w:rPr>
          <w:sz w:val="24"/>
          <w:szCs w:val="24"/>
        </w:rPr>
      </w:pPr>
      <w:r>
        <w:rPr>
          <w:sz w:val="24"/>
          <w:szCs w:val="24"/>
        </w:rPr>
        <w:t xml:space="preserve">Com isso, lança-se mão de diferentes dispositivos e recursos na relação ensino e aprendizagem. Plataformas de reunião </w:t>
      </w:r>
      <w:r>
        <w:rPr>
          <w:i/>
          <w:sz w:val="24"/>
          <w:szCs w:val="24"/>
        </w:rPr>
        <w:t>online</w:t>
      </w:r>
      <w:r>
        <w:rPr>
          <w:sz w:val="24"/>
          <w:szCs w:val="24"/>
        </w:rPr>
        <w:t>, eventos virtuais, materiais disponibilizados de forma gratuita e virtual, vídeos, audiovisuais diversos, sistemas em rede, aplicativos, entre outros, são possibilidades incorporadas a partir do período de pandemia e que ainda se apresentam no cenário hodierno (</w:t>
      </w:r>
      <w:r w:rsidR="000232D5">
        <w:rPr>
          <w:sz w:val="24"/>
          <w:szCs w:val="24"/>
        </w:rPr>
        <w:t>A</w:t>
      </w:r>
      <w:r w:rsidR="002A617F">
        <w:rPr>
          <w:sz w:val="24"/>
          <w:szCs w:val="24"/>
        </w:rPr>
        <w:t>rruda</w:t>
      </w:r>
      <w:r>
        <w:rPr>
          <w:sz w:val="24"/>
          <w:szCs w:val="24"/>
        </w:rPr>
        <w:t xml:space="preserve">, 2020). Contudo, tal processo de incorporação não ocorreu sem conflitos e </w:t>
      </w:r>
      <w:r>
        <w:rPr>
          <w:sz w:val="24"/>
          <w:szCs w:val="24"/>
        </w:rPr>
        <w:lastRenderedPageBreak/>
        <w:t>contradições, devido a uma série de fatores, como a ausência de alfabetização digital por parte de docentes e demais profissionais, pelo baixo investimento no ensino público quanto às tecnologias e a inclusão digital, entre outros (</w:t>
      </w:r>
      <w:r w:rsidR="002A617F">
        <w:rPr>
          <w:sz w:val="24"/>
          <w:szCs w:val="24"/>
        </w:rPr>
        <w:t>Soraes; Colares</w:t>
      </w:r>
      <w:r>
        <w:rPr>
          <w:sz w:val="24"/>
          <w:szCs w:val="24"/>
        </w:rPr>
        <w:t xml:space="preserve">, 2020). </w:t>
      </w:r>
    </w:p>
    <w:p w14:paraId="7A264DA4" w14:textId="118198FF" w:rsidR="00220028" w:rsidRDefault="009775BA">
      <w:pPr>
        <w:widowControl w:val="0"/>
        <w:spacing w:before="80" w:line="360" w:lineRule="auto"/>
        <w:ind w:left="140" w:right="136" w:firstLine="566"/>
        <w:jc w:val="both"/>
        <w:rPr>
          <w:sz w:val="24"/>
          <w:szCs w:val="24"/>
        </w:rPr>
      </w:pPr>
      <w:r>
        <w:rPr>
          <w:sz w:val="24"/>
          <w:szCs w:val="24"/>
        </w:rPr>
        <w:t>Desta forma, apresenta-se um duplo cenário: é exigida uma universalização das tecnologias a todas as camadas sociais, de forma a propiciar a inclusão, o acesso e os benefícios do universo digital, em especial nos ambientes educacionais, ao passo que as desigualdades tecnológicas se aprofundaram com a pandemia, com destaque para os países em desenvolvimento do Sul Global, os quais ainda apresentam poucas políticas voltadas para tal inclusão é uma cobertura tecnológica restrita aos principais centros (</w:t>
      </w:r>
      <w:r w:rsidR="00C01922">
        <w:rPr>
          <w:sz w:val="24"/>
          <w:szCs w:val="24"/>
        </w:rPr>
        <w:t>S</w:t>
      </w:r>
      <w:r w:rsidR="002A617F">
        <w:rPr>
          <w:sz w:val="24"/>
          <w:szCs w:val="24"/>
        </w:rPr>
        <w:t>ilva</w:t>
      </w:r>
      <w:r w:rsidR="00C01922">
        <w:rPr>
          <w:sz w:val="24"/>
          <w:szCs w:val="24"/>
        </w:rPr>
        <w:t xml:space="preserve"> </w:t>
      </w:r>
      <w:r w:rsidR="00EB177C">
        <w:rPr>
          <w:i/>
          <w:sz w:val="24"/>
          <w:szCs w:val="24"/>
        </w:rPr>
        <w:t>et al</w:t>
      </w:r>
      <w:r>
        <w:rPr>
          <w:i/>
          <w:sz w:val="24"/>
          <w:szCs w:val="24"/>
        </w:rPr>
        <w:t xml:space="preserve">., </w:t>
      </w:r>
      <w:r>
        <w:rPr>
          <w:sz w:val="24"/>
          <w:szCs w:val="24"/>
        </w:rPr>
        <w:t>2022). Concomitante a isso, é preciso atentar que:</w:t>
      </w:r>
    </w:p>
    <w:p w14:paraId="2A7D9254" w14:textId="77777777" w:rsidR="00220028" w:rsidRDefault="00220028">
      <w:pPr>
        <w:widowControl w:val="0"/>
        <w:spacing w:before="138" w:line="240" w:lineRule="auto"/>
        <w:jc w:val="both"/>
        <w:rPr>
          <w:sz w:val="24"/>
          <w:szCs w:val="24"/>
        </w:rPr>
      </w:pPr>
    </w:p>
    <w:p w14:paraId="2E635CD6" w14:textId="625B00A4" w:rsidR="00220028" w:rsidRDefault="009775BA">
      <w:pPr>
        <w:ind w:left="2409" w:right="137"/>
        <w:jc w:val="both"/>
        <w:rPr>
          <w:sz w:val="20"/>
          <w:szCs w:val="20"/>
        </w:rPr>
      </w:pPr>
      <w:r>
        <w:rPr>
          <w:sz w:val="20"/>
          <w:szCs w:val="20"/>
        </w:rPr>
        <w:t>Mesmo com a garantia de um adequado acesso às TDICs, a mediação virtual apresenta especificidades que precisam ser incluídas no planejamento educacional. Segundo Moran, diante das informações disponíveis na Internet, origina-se um sentimento de desorientação em face das diversas possibilidades de conexões que o universo on-line oferece. Esse potencial dispersivo representa uma dificuldade adicional para o ensino, particularmente na fase de apropriação das tecnologias e adaptação digital por parte dos alunos (</w:t>
      </w:r>
      <w:r w:rsidR="00485AA7">
        <w:rPr>
          <w:sz w:val="20"/>
          <w:szCs w:val="20"/>
        </w:rPr>
        <w:t>S</w:t>
      </w:r>
      <w:r w:rsidR="002A617F">
        <w:rPr>
          <w:sz w:val="20"/>
          <w:szCs w:val="20"/>
        </w:rPr>
        <w:t>ilva</w:t>
      </w:r>
      <w:r>
        <w:rPr>
          <w:sz w:val="20"/>
          <w:szCs w:val="20"/>
        </w:rPr>
        <w:t xml:space="preserve"> </w:t>
      </w:r>
      <w:r>
        <w:rPr>
          <w:i/>
          <w:sz w:val="20"/>
          <w:szCs w:val="20"/>
        </w:rPr>
        <w:t>et al.</w:t>
      </w:r>
      <w:r>
        <w:rPr>
          <w:sz w:val="20"/>
          <w:szCs w:val="20"/>
        </w:rPr>
        <w:t>, 2022, p. 4).</w:t>
      </w:r>
    </w:p>
    <w:p w14:paraId="34ED39B0" w14:textId="77777777" w:rsidR="00220028" w:rsidRDefault="00220028">
      <w:pPr>
        <w:widowControl w:val="0"/>
        <w:spacing w:before="160" w:line="240" w:lineRule="auto"/>
        <w:jc w:val="both"/>
        <w:rPr>
          <w:sz w:val="24"/>
          <w:szCs w:val="24"/>
        </w:rPr>
      </w:pPr>
    </w:p>
    <w:p w14:paraId="0BCAD468" w14:textId="3000826C" w:rsidR="00220028" w:rsidRDefault="009775BA">
      <w:pPr>
        <w:widowControl w:val="0"/>
        <w:spacing w:line="360" w:lineRule="auto"/>
        <w:ind w:left="140" w:right="142" w:firstLine="566"/>
        <w:jc w:val="both"/>
        <w:rPr>
          <w:sz w:val="24"/>
          <w:szCs w:val="24"/>
        </w:rPr>
      </w:pPr>
      <w:r>
        <w:rPr>
          <w:sz w:val="24"/>
          <w:szCs w:val="24"/>
        </w:rPr>
        <w:t>Ao passo que as informações e as tecnologias circulam em velocidades incalculáveis, soma-se aos percalços da efetiva incorporação e utilização dessas ferramentas a ausência de letramento e literacia para as tecnologias. Essa problemática encarna desde as relações cotidianas da sociedade, até a dinâmica do ensino e da aprendizagem nas instituições educacionais. A ausência de formação para as tecnologias subtrai não apenas o sujeito das relações digitais, mas também as potencialidades e a expansão dos conhecimentos nos processos educativos (</w:t>
      </w:r>
      <w:r w:rsidR="002A617F">
        <w:rPr>
          <w:sz w:val="24"/>
          <w:szCs w:val="24"/>
        </w:rPr>
        <w:t>Bittencourt; Albino</w:t>
      </w:r>
      <w:r>
        <w:rPr>
          <w:sz w:val="24"/>
          <w:szCs w:val="24"/>
        </w:rPr>
        <w:t>, 2017).</w:t>
      </w:r>
    </w:p>
    <w:p w14:paraId="7F43477C" w14:textId="77777777" w:rsidR="00220028" w:rsidRDefault="00220028">
      <w:pPr>
        <w:widowControl w:val="0"/>
        <w:spacing w:before="4" w:line="240" w:lineRule="auto"/>
        <w:jc w:val="both"/>
        <w:rPr>
          <w:sz w:val="24"/>
          <w:szCs w:val="24"/>
        </w:rPr>
      </w:pPr>
    </w:p>
    <w:p w14:paraId="531A589B" w14:textId="77777777" w:rsidR="00220028" w:rsidRDefault="009775BA">
      <w:pPr>
        <w:keepNext/>
        <w:keepLines/>
        <w:spacing w:before="400" w:after="120"/>
        <w:ind w:left="140"/>
        <w:jc w:val="both"/>
        <w:rPr>
          <w:sz w:val="24"/>
          <w:szCs w:val="24"/>
        </w:rPr>
      </w:pPr>
      <w:r>
        <w:rPr>
          <w:b/>
          <w:sz w:val="24"/>
          <w:szCs w:val="24"/>
        </w:rPr>
        <w:lastRenderedPageBreak/>
        <w:t>5. CONSIDERAÇÕES FINAIS</w:t>
      </w:r>
    </w:p>
    <w:p w14:paraId="34C61630" w14:textId="77777777" w:rsidR="00220028" w:rsidRDefault="00220028">
      <w:pPr>
        <w:jc w:val="both"/>
      </w:pPr>
    </w:p>
    <w:p w14:paraId="2E4E0E26" w14:textId="77777777" w:rsidR="00220028" w:rsidRDefault="009775BA">
      <w:pPr>
        <w:widowControl w:val="0"/>
        <w:spacing w:before="134" w:line="360" w:lineRule="auto"/>
        <w:ind w:left="140" w:right="139" w:firstLine="686"/>
        <w:jc w:val="both"/>
        <w:rPr>
          <w:sz w:val="24"/>
          <w:szCs w:val="24"/>
        </w:rPr>
      </w:pPr>
      <w:r>
        <w:rPr>
          <w:sz w:val="24"/>
          <w:szCs w:val="24"/>
        </w:rPr>
        <w:t>A internacionalização do capital e a consequente globalização a partir das análises realizadas nos permite considerar dimensões que ultrapassam a economia, destacando a importância dos elementos culturais, políticos e sociais. Desta forma, permite uma reflexão que considere o espaço do homem, do cidadão enquanto sujeito construtor da sua realidade. Neste novo ordenamento do mundo, as tecnologias desempenham um fator fundamental nesta realidade, nas quais as interações humanas sofrem transformações cada vez mais profundas.</w:t>
      </w:r>
    </w:p>
    <w:p w14:paraId="03819210" w14:textId="77777777" w:rsidR="00220028" w:rsidRDefault="009775BA">
      <w:pPr>
        <w:widowControl w:val="0"/>
        <w:spacing w:line="360" w:lineRule="auto"/>
        <w:ind w:left="140" w:right="138" w:firstLine="626"/>
        <w:jc w:val="both"/>
        <w:rPr>
          <w:sz w:val="24"/>
          <w:szCs w:val="24"/>
        </w:rPr>
      </w:pPr>
      <w:r>
        <w:rPr>
          <w:sz w:val="24"/>
          <w:szCs w:val="24"/>
        </w:rPr>
        <w:t xml:space="preserve">O uso das TDICs está relacionado à transformação do modo como o ser humano se comunica e, por sua vez, como utiliza essas ferramentas na construção de sua realidade na cibercultura. Esta estaria pautada na dissolução das barreiras entre diferentes espaços e territórios, a partir de pilares como a presença da informática digital, a normatização do neoliberalismo e a globalização. Essa combinação de conceitos e de processos históricos, sociais e culturais desembocam na </w:t>
      </w:r>
      <w:r>
        <w:rPr>
          <w:i/>
          <w:sz w:val="24"/>
          <w:szCs w:val="24"/>
        </w:rPr>
        <w:t>ciber</w:t>
      </w:r>
      <w:r>
        <w:rPr>
          <w:sz w:val="24"/>
          <w:szCs w:val="24"/>
        </w:rPr>
        <w:t xml:space="preserve">cultura e nas mais diferentes esferas sociais, em especial a educação. </w:t>
      </w:r>
    </w:p>
    <w:p w14:paraId="1CCD2384" w14:textId="77777777" w:rsidR="00220028" w:rsidRDefault="009775BA">
      <w:pPr>
        <w:widowControl w:val="0"/>
        <w:spacing w:line="360" w:lineRule="auto"/>
        <w:ind w:left="140" w:right="138" w:firstLine="626"/>
        <w:jc w:val="both"/>
        <w:rPr>
          <w:sz w:val="24"/>
          <w:szCs w:val="24"/>
        </w:rPr>
      </w:pPr>
      <w:r>
        <w:rPr>
          <w:sz w:val="24"/>
          <w:szCs w:val="24"/>
        </w:rPr>
        <w:t>Entretanto, não se trata de uma mera adaptação tecnológica ao modelo vigente de educação e de escola, mas a construção de novas bases e metodologias que se apropriem das novas configurações tecnológicas, implicando na construção do conhecimento, na relação professor-aluno, na integração com a comunidade, entre outros aspectos.</w:t>
      </w:r>
    </w:p>
    <w:p w14:paraId="04D83F2C" w14:textId="77777777" w:rsidR="00220028" w:rsidRDefault="009775BA">
      <w:pPr>
        <w:widowControl w:val="0"/>
        <w:spacing w:line="360" w:lineRule="auto"/>
        <w:ind w:left="140" w:right="145" w:firstLine="566"/>
        <w:jc w:val="both"/>
        <w:rPr>
          <w:sz w:val="24"/>
          <w:szCs w:val="24"/>
        </w:rPr>
      </w:pPr>
      <w:r>
        <w:rPr>
          <w:sz w:val="24"/>
          <w:szCs w:val="24"/>
        </w:rPr>
        <w:t xml:space="preserve">A incorporação das tecnologias abre um leque de debates e de controvérsias por substituir determinadas atividades humanas, como aquelas que compõem o trabalho cotidiano de professores(as). Contudo, não se pode incorrer em tal perspectiva substitutiva, nem ignorar as potencialidades e os auxílios que o uso da tecnologia proporciona. Deve-se partir de uma visão complementar dentro do processo de ensino e de aprendizagem, a partir de um planejamento adequado, da formação para o uso, do entendimento do currículo, das políticas de inclusão, </w:t>
      </w:r>
      <w:r>
        <w:rPr>
          <w:sz w:val="24"/>
          <w:szCs w:val="24"/>
        </w:rPr>
        <w:lastRenderedPageBreak/>
        <w:t>dentre outras etapas indispensáveis ao processo educacional.</w:t>
      </w:r>
    </w:p>
    <w:p w14:paraId="76FC21A5" w14:textId="77777777" w:rsidR="00220028" w:rsidRDefault="009775BA">
      <w:pPr>
        <w:widowControl w:val="0"/>
        <w:spacing w:line="360" w:lineRule="auto"/>
        <w:ind w:left="140" w:right="145" w:firstLine="566"/>
        <w:jc w:val="both"/>
        <w:rPr>
          <w:sz w:val="24"/>
          <w:szCs w:val="24"/>
        </w:rPr>
      </w:pPr>
      <w:r>
        <w:rPr>
          <w:sz w:val="24"/>
          <w:szCs w:val="24"/>
        </w:rPr>
        <w:t>Como agenda para futuras pesquisas, sugere-se que sejam promovidos também estudos empíricos que identifiquem as transformações sociais, culturais e cognitivas dos estudantes, tomando como referência unidades escolares que implementaram, assertiva e sistematicamente, as ferramentas digitais com o propósito de assegurar a inserção destes alunos no universo da educomunicação.</w:t>
      </w:r>
    </w:p>
    <w:p w14:paraId="41A3ACA7" w14:textId="77777777" w:rsidR="00220028" w:rsidRDefault="009775BA">
      <w:pPr>
        <w:widowControl w:val="0"/>
        <w:spacing w:line="360" w:lineRule="auto"/>
        <w:ind w:right="140"/>
        <w:jc w:val="both"/>
        <w:rPr>
          <w:sz w:val="24"/>
          <w:szCs w:val="24"/>
        </w:rPr>
      </w:pPr>
      <w:r>
        <w:rPr>
          <w:sz w:val="24"/>
          <w:szCs w:val="24"/>
        </w:rPr>
        <w:t xml:space="preserve"> </w:t>
      </w:r>
    </w:p>
    <w:p w14:paraId="3F236A4B" w14:textId="77777777" w:rsidR="00220028" w:rsidRDefault="009775BA">
      <w:pPr>
        <w:widowControl w:val="0"/>
        <w:spacing w:line="360" w:lineRule="auto"/>
        <w:ind w:right="140"/>
        <w:jc w:val="both"/>
        <w:rPr>
          <w:b/>
          <w:sz w:val="24"/>
          <w:szCs w:val="24"/>
        </w:rPr>
      </w:pPr>
      <w:r>
        <w:rPr>
          <w:b/>
          <w:sz w:val="24"/>
          <w:szCs w:val="24"/>
        </w:rPr>
        <w:t xml:space="preserve">  REFERÊNCIAS</w:t>
      </w:r>
    </w:p>
    <w:p w14:paraId="4ADD1D67" w14:textId="77777777" w:rsidR="007D2A70" w:rsidRDefault="007D2A70">
      <w:pPr>
        <w:widowControl w:val="0"/>
        <w:spacing w:line="360" w:lineRule="auto"/>
        <w:ind w:right="140"/>
        <w:jc w:val="both"/>
        <w:rPr>
          <w:sz w:val="24"/>
          <w:szCs w:val="24"/>
        </w:rPr>
      </w:pPr>
    </w:p>
    <w:p w14:paraId="4CB1A11A" w14:textId="77777777" w:rsidR="00220028" w:rsidRDefault="009775BA">
      <w:pPr>
        <w:widowControl w:val="0"/>
        <w:spacing w:line="240" w:lineRule="auto"/>
        <w:ind w:left="140" w:right="139"/>
        <w:rPr>
          <w:sz w:val="24"/>
          <w:szCs w:val="24"/>
        </w:rPr>
      </w:pPr>
      <w:r>
        <w:rPr>
          <w:sz w:val="24"/>
          <w:szCs w:val="24"/>
        </w:rPr>
        <w:t>ARRUDA, Eucídio. Educação remota emergencial:</w:t>
      </w:r>
      <w:r>
        <w:rPr>
          <w:b/>
          <w:sz w:val="24"/>
          <w:szCs w:val="24"/>
        </w:rPr>
        <w:t xml:space="preserve"> </w:t>
      </w:r>
      <w:r>
        <w:rPr>
          <w:sz w:val="24"/>
          <w:szCs w:val="24"/>
        </w:rPr>
        <w:t xml:space="preserve">elementos para políticas públicas na educação brasileira em tempos de Covid-19. </w:t>
      </w:r>
      <w:r>
        <w:rPr>
          <w:b/>
          <w:sz w:val="24"/>
          <w:szCs w:val="24"/>
        </w:rPr>
        <w:t>Revista Em Rede</w:t>
      </w:r>
      <w:r>
        <w:rPr>
          <w:sz w:val="24"/>
          <w:szCs w:val="24"/>
        </w:rPr>
        <w:t>, v. 7, n. 1, p. 257-275, 2020.</w:t>
      </w:r>
    </w:p>
    <w:p w14:paraId="557E44D3" w14:textId="77777777" w:rsidR="00220028" w:rsidRDefault="00220028">
      <w:pPr>
        <w:ind w:left="140"/>
        <w:rPr>
          <w:sz w:val="24"/>
          <w:szCs w:val="24"/>
        </w:rPr>
      </w:pPr>
    </w:p>
    <w:p w14:paraId="68233F72" w14:textId="77777777" w:rsidR="00220028" w:rsidRDefault="009775BA">
      <w:pPr>
        <w:ind w:left="140"/>
        <w:rPr>
          <w:sz w:val="24"/>
          <w:szCs w:val="24"/>
        </w:rPr>
      </w:pPr>
      <w:r>
        <w:rPr>
          <w:sz w:val="24"/>
          <w:szCs w:val="24"/>
        </w:rPr>
        <w:t xml:space="preserve">BAUMAN, Zygmunt. </w:t>
      </w:r>
      <w:r>
        <w:rPr>
          <w:b/>
          <w:sz w:val="24"/>
          <w:szCs w:val="24"/>
        </w:rPr>
        <w:t xml:space="preserve">Sobre educação e juventude. </w:t>
      </w:r>
      <w:r>
        <w:rPr>
          <w:sz w:val="24"/>
          <w:szCs w:val="24"/>
        </w:rPr>
        <w:t>Rio de Janeiro: Zahar, 2013.</w:t>
      </w:r>
    </w:p>
    <w:p w14:paraId="2B45EEBA" w14:textId="77777777" w:rsidR="00220028" w:rsidRDefault="00220028">
      <w:pPr>
        <w:widowControl w:val="0"/>
        <w:spacing w:before="1" w:line="240" w:lineRule="auto"/>
        <w:rPr>
          <w:sz w:val="24"/>
          <w:szCs w:val="24"/>
        </w:rPr>
      </w:pPr>
    </w:p>
    <w:p w14:paraId="34E42824" w14:textId="6E8057D6" w:rsidR="00220028" w:rsidRDefault="009775BA">
      <w:pPr>
        <w:ind w:left="140" w:right="137"/>
        <w:jc w:val="both"/>
        <w:rPr>
          <w:sz w:val="24"/>
          <w:szCs w:val="24"/>
        </w:rPr>
      </w:pPr>
      <w:r>
        <w:rPr>
          <w:sz w:val="24"/>
          <w:szCs w:val="24"/>
        </w:rPr>
        <w:t xml:space="preserve">BITTENCOURT, Priscilla Aparecida Santana, ALBINO, João Pedro. (2017). </w:t>
      </w:r>
      <w:r>
        <w:rPr>
          <w:b/>
          <w:sz w:val="24"/>
          <w:szCs w:val="24"/>
        </w:rPr>
        <w:t>O uso das tecnologias digitais na educação do século XXI</w:t>
      </w:r>
      <w:r>
        <w:rPr>
          <w:b/>
          <w:i/>
          <w:sz w:val="24"/>
          <w:szCs w:val="24"/>
        </w:rPr>
        <w:t xml:space="preserve">. </w:t>
      </w:r>
      <w:r>
        <w:rPr>
          <w:i/>
          <w:sz w:val="24"/>
          <w:szCs w:val="24"/>
        </w:rPr>
        <w:t>Revista Ibero-Americana de Estudos em Educação</w:t>
      </w:r>
      <w:r>
        <w:rPr>
          <w:sz w:val="24"/>
          <w:szCs w:val="24"/>
        </w:rPr>
        <w:t xml:space="preserve">,   </w:t>
      </w:r>
      <w:r w:rsidR="00434DDF" w:rsidRPr="00434DDF">
        <w:rPr>
          <w:i/>
          <w:sz w:val="24"/>
          <w:szCs w:val="24"/>
        </w:rPr>
        <w:t>v.12, n.1,</w:t>
      </w:r>
      <w:r w:rsidR="00434DDF">
        <w:rPr>
          <w:i/>
          <w:sz w:val="24"/>
          <w:szCs w:val="24"/>
        </w:rPr>
        <w:t xml:space="preserve"> </w:t>
      </w:r>
      <w:r w:rsidR="00434DDF" w:rsidRPr="00434DDF">
        <w:rPr>
          <w:i/>
          <w:sz w:val="24"/>
          <w:szCs w:val="24"/>
        </w:rPr>
        <w:t>p. 205-214</w:t>
      </w:r>
      <w:r>
        <w:rPr>
          <w:sz w:val="24"/>
          <w:szCs w:val="24"/>
        </w:rPr>
        <w:t xml:space="preserve">.   Anais,   Lisboa   2017.   Disponível   em: </w:t>
      </w:r>
      <w:hyperlink r:id="rId7">
        <w:r>
          <w:rPr>
            <w:sz w:val="24"/>
            <w:szCs w:val="24"/>
          </w:rPr>
          <w:t>https://doi.org/10.21723/riaee.v12.n1.9433.</w:t>
        </w:r>
      </w:hyperlink>
      <w:r>
        <w:rPr>
          <w:sz w:val="24"/>
          <w:szCs w:val="24"/>
        </w:rPr>
        <w:t xml:space="preserve"> Acesso: 10 dez 2024.</w:t>
      </w:r>
    </w:p>
    <w:p w14:paraId="2FE4CD5D" w14:textId="77777777" w:rsidR="00220028" w:rsidRDefault="00220028">
      <w:pPr>
        <w:widowControl w:val="0"/>
        <w:spacing w:line="240" w:lineRule="auto"/>
        <w:ind w:left="140"/>
        <w:jc w:val="both"/>
        <w:rPr>
          <w:sz w:val="24"/>
          <w:szCs w:val="24"/>
        </w:rPr>
      </w:pPr>
    </w:p>
    <w:p w14:paraId="77A72BEB" w14:textId="6BD73AF1" w:rsidR="00220028" w:rsidRDefault="009775BA">
      <w:pPr>
        <w:ind w:left="140"/>
        <w:rPr>
          <w:sz w:val="24"/>
          <w:szCs w:val="24"/>
        </w:rPr>
      </w:pPr>
      <w:r>
        <w:rPr>
          <w:sz w:val="24"/>
          <w:szCs w:val="24"/>
        </w:rPr>
        <w:t xml:space="preserve">CANCLINI, Nestor G. </w:t>
      </w:r>
      <w:r>
        <w:rPr>
          <w:b/>
          <w:sz w:val="24"/>
          <w:szCs w:val="24"/>
        </w:rPr>
        <w:t xml:space="preserve">Diferentes, desiguais e desconectados: </w:t>
      </w:r>
      <w:r>
        <w:rPr>
          <w:sz w:val="24"/>
          <w:szCs w:val="24"/>
        </w:rPr>
        <w:t>mapas da interculturalidade. 3</w:t>
      </w:r>
      <w:r w:rsidR="003E369E">
        <w:rPr>
          <w:sz w:val="24"/>
          <w:szCs w:val="24"/>
        </w:rPr>
        <w:t xml:space="preserve"> </w:t>
      </w:r>
      <w:r>
        <w:rPr>
          <w:sz w:val="24"/>
          <w:szCs w:val="24"/>
        </w:rPr>
        <w:t>ed. Rio de Janeiro: Editora da UFRJ, 2009.</w:t>
      </w:r>
    </w:p>
    <w:p w14:paraId="634CCCFB" w14:textId="77777777" w:rsidR="00220028" w:rsidRDefault="00220028">
      <w:pPr>
        <w:widowControl w:val="0"/>
        <w:spacing w:line="240" w:lineRule="auto"/>
        <w:ind w:left="140" w:right="140"/>
        <w:jc w:val="both"/>
        <w:rPr>
          <w:sz w:val="24"/>
          <w:szCs w:val="24"/>
          <w:highlight w:val="cyan"/>
        </w:rPr>
      </w:pPr>
    </w:p>
    <w:p w14:paraId="4A156CC2" w14:textId="77777777" w:rsidR="00814D34" w:rsidRDefault="00202810">
      <w:pPr>
        <w:widowControl w:val="0"/>
        <w:spacing w:line="240" w:lineRule="auto"/>
        <w:ind w:left="140" w:right="140"/>
        <w:jc w:val="both"/>
        <w:rPr>
          <w:sz w:val="24"/>
          <w:szCs w:val="24"/>
        </w:rPr>
      </w:pPr>
      <w:r w:rsidRPr="00202810">
        <w:rPr>
          <w:sz w:val="24"/>
          <w:szCs w:val="24"/>
        </w:rPr>
        <w:t xml:space="preserve">CASTELLS, Manuel. </w:t>
      </w:r>
      <w:r w:rsidRPr="007D49F1">
        <w:rPr>
          <w:b/>
          <w:bCs/>
          <w:sz w:val="24"/>
          <w:szCs w:val="24"/>
        </w:rPr>
        <w:t>A sociedade em rede</w:t>
      </w:r>
      <w:r w:rsidRPr="00202810">
        <w:rPr>
          <w:sz w:val="24"/>
          <w:szCs w:val="24"/>
        </w:rPr>
        <w:t>. 17. ed. São Paulo: Paz e Terra, 2016.</w:t>
      </w:r>
      <w:r>
        <w:rPr>
          <w:sz w:val="24"/>
          <w:szCs w:val="24"/>
        </w:rPr>
        <w:t xml:space="preserve"> </w:t>
      </w:r>
    </w:p>
    <w:p w14:paraId="44EBDA70" w14:textId="77777777" w:rsidR="00814D34" w:rsidRDefault="00814D34">
      <w:pPr>
        <w:widowControl w:val="0"/>
        <w:spacing w:line="240" w:lineRule="auto"/>
        <w:ind w:left="140" w:right="140"/>
        <w:jc w:val="both"/>
        <w:rPr>
          <w:sz w:val="24"/>
          <w:szCs w:val="24"/>
        </w:rPr>
      </w:pPr>
    </w:p>
    <w:p w14:paraId="1460A7B5" w14:textId="32FA3C66" w:rsidR="00220028" w:rsidRDefault="009775BA">
      <w:pPr>
        <w:widowControl w:val="0"/>
        <w:spacing w:line="240" w:lineRule="auto"/>
        <w:ind w:left="140" w:right="140"/>
        <w:jc w:val="both"/>
        <w:rPr>
          <w:sz w:val="24"/>
          <w:szCs w:val="24"/>
        </w:rPr>
      </w:pPr>
      <w:r>
        <w:rPr>
          <w:sz w:val="24"/>
          <w:szCs w:val="24"/>
        </w:rPr>
        <w:t xml:space="preserve">DUPAS, Gilberto. </w:t>
      </w:r>
      <w:r>
        <w:rPr>
          <w:b/>
          <w:sz w:val="24"/>
          <w:szCs w:val="24"/>
        </w:rPr>
        <w:t xml:space="preserve">As duas dialéticas do capitalismo global: </w:t>
      </w:r>
      <w:r>
        <w:rPr>
          <w:sz w:val="24"/>
          <w:szCs w:val="24"/>
        </w:rPr>
        <w:t>capitalismo global, desemprego e exclusão. 5. ed. São Paulo: Paz e Terra, 2010.</w:t>
      </w:r>
    </w:p>
    <w:p w14:paraId="5B0E7B28" w14:textId="77777777" w:rsidR="00220028" w:rsidRDefault="00220028">
      <w:pPr>
        <w:widowControl w:val="0"/>
        <w:spacing w:line="240" w:lineRule="auto"/>
        <w:rPr>
          <w:sz w:val="24"/>
          <w:szCs w:val="24"/>
        </w:rPr>
      </w:pPr>
    </w:p>
    <w:p w14:paraId="55979468" w14:textId="77777777" w:rsidR="00220028" w:rsidRDefault="00220028">
      <w:pPr>
        <w:widowControl w:val="0"/>
        <w:spacing w:line="240" w:lineRule="auto"/>
        <w:rPr>
          <w:sz w:val="24"/>
          <w:szCs w:val="24"/>
        </w:rPr>
      </w:pPr>
    </w:p>
    <w:p w14:paraId="332542AF" w14:textId="6E493199" w:rsidR="00220028" w:rsidRDefault="005A4006" w:rsidP="00E6084D">
      <w:pPr>
        <w:ind w:left="140" w:right="138"/>
        <w:rPr>
          <w:sz w:val="24"/>
          <w:szCs w:val="24"/>
        </w:rPr>
      </w:pPr>
      <w:r w:rsidRPr="005A4006">
        <w:rPr>
          <w:sz w:val="24"/>
          <w:szCs w:val="24"/>
        </w:rPr>
        <w:t>FINI, Maria Inês. Inovações no ensino superior. Metodologias inovadoras de aprendizagem e suas relações com o mundo do trabalho: desafios para a transformação de uma cultura. </w:t>
      </w:r>
      <w:r w:rsidRPr="005A4006">
        <w:rPr>
          <w:b/>
          <w:bCs/>
          <w:sz w:val="24"/>
          <w:szCs w:val="24"/>
        </w:rPr>
        <w:t>Administração: Ensino e Pesquisa</w:t>
      </w:r>
      <w:r w:rsidRPr="005A4006">
        <w:rPr>
          <w:sz w:val="24"/>
          <w:szCs w:val="24"/>
        </w:rPr>
        <w:t>, </w:t>
      </w:r>
      <w:r w:rsidRPr="005A4006">
        <w:rPr>
          <w:i/>
          <w:iCs/>
          <w:sz w:val="24"/>
          <w:szCs w:val="24"/>
        </w:rPr>
        <w:t>[S. l.]</w:t>
      </w:r>
      <w:r w:rsidRPr="005A4006">
        <w:rPr>
          <w:sz w:val="24"/>
          <w:szCs w:val="24"/>
        </w:rPr>
        <w:t>, v. 19, n. 1, p</w:t>
      </w:r>
      <w:r w:rsidR="000B486B">
        <w:rPr>
          <w:sz w:val="24"/>
          <w:szCs w:val="24"/>
        </w:rPr>
        <w:t>ág</w:t>
      </w:r>
      <w:r w:rsidRPr="005A4006">
        <w:rPr>
          <w:sz w:val="24"/>
          <w:szCs w:val="24"/>
        </w:rPr>
        <w:t xml:space="preserve">. 176–183, 2018. Disponível em: </w:t>
      </w:r>
      <w:hyperlink r:id="rId8" w:history="1">
        <w:r w:rsidRPr="00F00AE3">
          <w:rPr>
            <w:rStyle w:val="Hyperlink"/>
            <w:sz w:val="24"/>
            <w:szCs w:val="24"/>
          </w:rPr>
          <w:t>https://raep.emnuvens.com.br/raep/article/view/982</w:t>
        </w:r>
      </w:hyperlink>
      <w:r w:rsidRPr="005A4006">
        <w:rPr>
          <w:sz w:val="24"/>
          <w:szCs w:val="24"/>
        </w:rPr>
        <w:t>.</w:t>
      </w:r>
      <w:r w:rsidR="00714E1F">
        <w:rPr>
          <w:sz w:val="24"/>
          <w:szCs w:val="24"/>
        </w:rPr>
        <w:t xml:space="preserve"> </w:t>
      </w:r>
      <w:r w:rsidR="009775BA">
        <w:rPr>
          <w:sz w:val="24"/>
          <w:szCs w:val="24"/>
        </w:rPr>
        <w:t>Acesso em 03 dez 2024.</w:t>
      </w:r>
    </w:p>
    <w:p w14:paraId="377BF271" w14:textId="77777777" w:rsidR="00220028" w:rsidRDefault="00220028">
      <w:pPr>
        <w:jc w:val="both"/>
        <w:rPr>
          <w:sz w:val="24"/>
          <w:szCs w:val="24"/>
        </w:rPr>
      </w:pPr>
    </w:p>
    <w:p w14:paraId="29109BBD" w14:textId="77777777" w:rsidR="00220028" w:rsidRDefault="009775BA">
      <w:pPr>
        <w:ind w:left="140"/>
        <w:jc w:val="both"/>
        <w:rPr>
          <w:sz w:val="24"/>
          <w:szCs w:val="24"/>
        </w:rPr>
      </w:pPr>
      <w:r>
        <w:rPr>
          <w:sz w:val="24"/>
          <w:szCs w:val="24"/>
        </w:rPr>
        <w:lastRenderedPageBreak/>
        <w:t xml:space="preserve">GIDDENS, Anthony. </w:t>
      </w:r>
      <w:r>
        <w:rPr>
          <w:b/>
          <w:sz w:val="24"/>
          <w:szCs w:val="24"/>
        </w:rPr>
        <w:t>As consequências da modernidade</w:t>
      </w:r>
      <w:r>
        <w:rPr>
          <w:sz w:val="24"/>
          <w:szCs w:val="24"/>
        </w:rPr>
        <w:t>. São Paulo: Editora UNESP, 2012.</w:t>
      </w:r>
    </w:p>
    <w:p w14:paraId="7D336E75" w14:textId="77777777" w:rsidR="00220028" w:rsidRDefault="00220028">
      <w:pPr>
        <w:widowControl w:val="0"/>
        <w:spacing w:line="240" w:lineRule="auto"/>
        <w:rPr>
          <w:rFonts w:ascii="Times New Roman" w:eastAsia="Times New Roman" w:hAnsi="Times New Roman" w:cs="Times New Roman"/>
          <w:sz w:val="24"/>
          <w:szCs w:val="24"/>
        </w:rPr>
      </w:pPr>
    </w:p>
    <w:p w14:paraId="392185AD" w14:textId="784A6DF5" w:rsidR="00220028" w:rsidRDefault="009775BA">
      <w:pPr>
        <w:ind w:left="140" w:right="136"/>
        <w:jc w:val="both"/>
        <w:rPr>
          <w:sz w:val="24"/>
          <w:szCs w:val="24"/>
        </w:rPr>
      </w:pPr>
      <w:r>
        <w:rPr>
          <w:sz w:val="24"/>
          <w:szCs w:val="24"/>
        </w:rPr>
        <w:t xml:space="preserve">GUIMARÃES, Jairo Carvalho. (2021). </w:t>
      </w:r>
      <w:r w:rsidRPr="003E369E">
        <w:rPr>
          <w:bCs/>
          <w:sz w:val="24"/>
          <w:szCs w:val="24"/>
        </w:rPr>
        <w:t>Como ser criativo e inovador no ambiente universitário:</w:t>
      </w:r>
      <w:r>
        <w:rPr>
          <w:b/>
          <w:sz w:val="24"/>
          <w:szCs w:val="24"/>
        </w:rPr>
        <w:t xml:space="preserve"> </w:t>
      </w:r>
      <w:r>
        <w:rPr>
          <w:sz w:val="24"/>
          <w:szCs w:val="24"/>
        </w:rPr>
        <w:t xml:space="preserve">um ensaio sob o paradigma do discente digital. </w:t>
      </w:r>
      <w:r w:rsidRPr="001F168E">
        <w:rPr>
          <w:b/>
          <w:bCs/>
          <w:i/>
          <w:sz w:val="24"/>
          <w:szCs w:val="24"/>
        </w:rPr>
        <w:t>Revista Capital Científico</w:t>
      </w:r>
      <w:r>
        <w:rPr>
          <w:i/>
          <w:sz w:val="24"/>
          <w:szCs w:val="24"/>
        </w:rPr>
        <w:t xml:space="preserve"> – Eletrônica (RCCe), </w:t>
      </w:r>
      <w:r w:rsidR="008261B5">
        <w:rPr>
          <w:i/>
          <w:sz w:val="24"/>
          <w:szCs w:val="24"/>
        </w:rPr>
        <w:t xml:space="preserve">v. </w:t>
      </w:r>
      <w:r>
        <w:rPr>
          <w:i/>
          <w:sz w:val="24"/>
          <w:szCs w:val="24"/>
        </w:rPr>
        <w:t>19</w:t>
      </w:r>
      <w:r w:rsidR="008261B5">
        <w:rPr>
          <w:i/>
          <w:sz w:val="24"/>
          <w:szCs w:val="24"/>
        </w:rPr>
        <w:t xml:space="preserve">, n. </w:t>
      </w:r>
      <w:r w:rsidR="000B486B">
        <w:rPr>
          <w:i/>
          <w:sz w:val="24"/>
          <w:szCs w:val="24"/>
        </w:rPr>
        <w:t>2</w:t>
      </w:r>
      <w:r>
        <w:rPr>
          <w:sz w:val="24"/>
          <w:szCs w:val="24"/>
        </w:rPr>
        <w:t xml:space="preserve">, </w:t>
      </w:r>
      <w:r w:rsidR="008261B5">
        <w:rPr>
          <w:sz w:val="24"/>
          <w:szCs w:val="24"/>
        </w:rPr>
        <w:t>p</w:t>
      </w:r>
      <w:r w:rsidR="000B486B">
        <w:rPr>
          <w:sz w:val="24"/>
          <w:szCs w:val="24"/>
        </w:rPr>
        <w:t>ág</w:t>
      </w:r>
      <w:r w:rsidR="008261B5">
        <w:rPr>
          <w:sz w:val="24"/>
          <w:szCs w:val="24"/>
        </w:rPr>
        <w:t xml:space="preserve"> </w:t>
      </w:r>
      <w:r>
        <w:rPr>
          <w:sz w:val="24"/>
          <w:szCs w:val="24"/>
        </w:rPr>
        <w:t>38-57, abr./jun. DOI: 10.5935/2177-4153.20210010. Anais, São Paulo, 2021. Acesso em 06 out 2024.</w:t>
      </w:r>
    </w:p>
    <w:p w14:paraId="56120B66" w14:textId="77777777" w:rsidR="00220028" w:rsidRDefault="00220028">
      <w:pPr>
        <w:widowControl w:val="0"/>
        <w:spacing w:before="1" w:line="240" w:lineRule="auto"/>
        <w:rPr>
          <w:rFonts w:ascii="Times New Roman" w:eastAsia="Times New Roman" w:hAnsi="Times New Roman" w:cs="Times New Roman"/>
          <w:sz w:val="24"/>
          <w:szCs w:val="24"/>
        </w:rPr>
      </w:pPr>
    </w:p>
    <w:p w14:paraId="0D4C21D2" w14:textId="77777777" w:rsidR="00220028" w:rsidRDefault="009775BA">
      <w:pPr>
        <w:ind w:left="140"/>
        <w:jc w:val="both"/>
        <w:rPr>
          <w:sz w:val="24"/>
          <w:szCs w:val="24"/>
        </w:rPr>
      </w:pPr>
      <w:r>
        <w:rPr>
          <w:sz w:val="24"/>
          <w:szCs w:val="24"/>
        </w:rPr>
        <w:t xml:space="preserve">HARTMAN, Hope. J. </w:t>
      </w:r>
      <w:r>
        <w:rPr>
          <w:b/>
          <w:sz w:val="24"/>
          <w:szCs w:val="24"/>
        </w:rPr>
        <w:t xml:space="preserve">Como ser um professor reflexivo em todas as áreas do conhecimento. </w:t>
      </w:r>
      <w:r>
        <w:rPr>
          <w:sz w:val="24"/>
          <w:szCs w:val="24"/>
        </w:rPr>
        <w:t>Porto Alegre: AMGH, 2014</w:t>
      </w:r>
    </w:p>
    <w:p w14:paraId="3CBA3FFE" w14:textId="77777777" w:rsidR="00220028" w:rsidRDefault="00220028">
      <w:pPr>
        <w:widowControl w:val="0"/>
        <w:spacing w:line="240" w:lineRule="auto"/>
        <w:rPr>
          <w:rFonts w:ascii="Times New Roman" w:eastAsia="Times New Roman" w:hAnsi="Times New Roman" w:cs="Times New Roman"/>
          <w:sz w:val="24"/>
          <w:szCs w:val="24"/>
        </w:rPr>
      </w:pPr>
    </w:p>
    <w:p w14:paraId="5035D0C9" w14:textId="77777777" w:rsidR="00220028" w:rsidRDefault="009775BA">
      <w:pPr>
        <w:ind w:left="140"/>
        <w:jc w:val="both"/>
        <w:rPr>
          <w:sz w:val="24"/>
          <w:szCs w:val="24"/>
        </w:rPr>
      </w:pPr>
      <w:r>
        <w:rPr>
          <w:sz w:val="24"/>
          <w:szCs w:val="24"/>
        </w:rPr>
        <w:t xml:space="preserve">LEVY, Pierre. </w:t>
      </w:r>
      <w:r>
        <w:rPr>
          <w:b/>
          <w:sz w:val="24"/>
          <w:szCs w:val="24"/>
        </w:rPr>
        <w:t xml:space="preserve">Cibercultura. </w:t>
      </w:r>
      <w:r>
        <w:rPr>
          <w:sz w:val="24"/>
          <w:szCs w:val="24"/>
        </w:rPr>
        <w:t>4. ed. São Paulo: Editora 34, 2010.</w:t>
      </w:r>
    </w:p>
    <w:p w14:paraId="3B977CDF" w14:textId="77777777" w:rsidR="00220028" w:rsidRDefault="00220028">
      <w:pPr>
        <w:widowControl w:val="0"/>
        <w:spacing w:line="240" w:lineRule="auto"/>
        <w:rPr>
          <w:rFonts w:ascii="Times New Roman" w:eastAsia="Times New Roman" w:hAnsi="Times New Roman" w:cs="Times New Roman"/>
          <w:sz w:val="24"/>
          <w:szCs w:val="24"/>
        </w:rPr>
      </w:pPr>
    </w:p>
    <w:p w14:paraId="3D9E4649" w14:textId="737ED5DE" w:rsidR="00220028" w:rsidRDefault="009775BA">
      <w:pPr>
        <w:ind w:left="140" w:right="143"/>
        <w:jc w:val="both"/>
        <w:rPr>
          <w:sz w:val="24"/>
          <w:szCs w:val="24"/>
        </w:rPr>
      </w:pPr>
      <w:r>
        <w:rPr>
          <w:sz w:val="24"/>
          <w:szCs w:val="24"/>
        </w:rPr>
        <w:t>SILVA, Keila Ramos da. BARBOSA, Luiz Sergio de Oliveira. BOTELHO, Wendrews Lira. PINHEIRO,João Mateus Barbosa. PEIXOTO, Isabelle dos Santos. MENEZES, Itala Vitoria Coimbra Borges de</w:t>
      </w:r>
      <w:r w:rsidR="00AD687D">
        <w:rPr>
          <w:sz w:val="24"/>
          <w:szCs w:val="24"/>
        </w:rPr>
        <w:t xml:space="preserve"> </w:t>
      </w:r>
      <w:r>
        <w:rPr>
          <w:sz w:val="24"/>
          <w:szCs w:val="24"/>
        </w:rPr>
        <w:t xml:space="preserve">Inteligência artificial e seus impactos na educação: uma revisão sistemática. </w:t>
      </w:r>
      <w:r w:rsidRPr="00BB0632">
        <w:rPr>
          <w:b/>
          <w:bCs/>
          <w:sz w:val="24"/>
          <w:szCs w:val="24"/>
        </w:rPr>
        <w:t>Revista Científica</w:t>
      </w:r>
      <w:r w:rsidR="00AD687D" w:rsidRPr="00BB0632">
        <w:rPr>
          <w:b/>
          <w:bCs/>
          <w:sz w:val="24"/>
          <w:szCs w:val="24"/>
        </w:rPr>
        <w:t xml:space="preserve"> </w:t>
      </w:r>
      <w:r w:rsidRPr="00BB0632">
        <w:rPr>
          <w:b/>
          <w:bCs/>
          <w:sz w:val="24"/>
          <w:szCs w:val="24"/>
        </w:rPr>
        <w:t>Multidisciplinar</w:t>
      </w:r>
      <w:r>
        <w:rPr>
          <w:sz w:val="24"/>
          <w:szCs w:val="24"/>
        </w:rPr>
        <w:t>, [s. l.], v. 4, n. 11, p. 1-17. 2023. ISSN 2675-6218. DOI:</w:t>
      </w:r>
      <w:hyperlink r:id="rId9">
        <w:r>
          <w:rPr>
            <w:color w:val="1155CC"/>
            <w:sz w:val="24"/>
            <w:szCs w:val="24"/>
            <w:u w:val="single"/>
          </w:rPr>
          <w:t>https://doi.org/10.47820/recima21.v4i11.4353</w:t>
        </w:r>
      </w:hyperlink>
      <w:r>
        <w:rPr>
          <w:sz w:val="24"/>
          <w:szCs w:val="24"/>
        </w:rPr>
        <w:t>.</w:t>
      </w:r>
    </w:p>
    <w:p w14:paraId="7BFB3F19" w14:textId="77777777" w:rsidR="00220028" w:rsidRDefault="00220028">
      <w:pPr>
        <w:ind w:left="140" w:right="143"/>
        <w:jc w:val="both"/>
        <w:rPr>
          <w:sz w:val="24"/>
          <w:szCs w:val="24"/>
        </w:rPr>
      </w:pPr>
    </w:p>
    <w:p w14:paraId="70B0A774" w14:textId="77777777" w:rsidR="00220028" w:rsidRDefault="009775BA">
      <w:pPr>
        <w:ind w:left="140" w:right="143"/>
        <w:jc w:val="both"/>
        <w:rPr>
          <w:sz w:val="24"/>
          <w:szCs w:val="24"/>
        </w:rPr>
      </w:pPr>
      <w:r>
        <w:rPr>
          <w:sz w:val="24"/>
          <w:szCs w:val="24"/>
        </w:rPr>
        <w:t xml:space="preserve">SANTOS, Boaventura de Sousa. </w:t>
      </w:r>
      <w:r>
        <w:rPr>
          <w:b/>
          <w:sz w:val="24"/>
          <w:szCs w:val="24"/>
        </w:rPr>
        <w:t xml:space="preserve">A Globalização e as Ciências Sociais. </w:t>
      </w:r>
      <w:r>
        <w:rPr>
          <w:sz w:val="24"/>
          <w:szCs w:val="24"/>
        </w:rPr>
        <w:t>3. ed. São Paulo: Cortez, 2012.</w:t>
      </w:r>
    </w:p>
    <w:p w14:paraId="4414F345" w14:textId="77777777" w:rsidR="00220028" w:rsidRDefault="00220028">
      <w:pPr>
        <w:widowControl w:val="0"/>
        <w:spacing w:before="1" w:line="240" w:lineRule="auto"/>
        <w:rPr>
          <w:rFonts w:ascii="Times New Roman" w:eastAsia="Times New Roman" w:hAnsi="Times New Roman" w:cs="Times New Roman"/>
          <w:sz w:val="24"/>
          <w:szCs w:val="24"/>
        </w:rPr>
      </w:pPr>
    </w:p>
    <w:p w14:paraId="72C567B8" w14:textId="77777777" w:rsidR="00220028" w:rsidRDefault="009775BA">
      <w:pPr>
        <w:ind w:left="140" w:right="136"/>
        <w:jc w:val="both"/>
        <w:rPr>
          <w:sz w:val="24"/>
          <w:szCs w:val="24"/>
        </w:rPr>
      </w:pPr>
      <w:r>
        <w:rPr>
          <w:sz w:val="24"/>
          <w:szCs w:val="24"/>
        </w:rPr>
        <w:t xml:space="preserve">SOARES, Lucas de Vasconcelos; COLARES, Maria Lília Imbiriba Sousa. (2020). Educação e tecnologias em tempos de pandemia no Brasil. </w:t>
      </w:r>
      <w:r>
        <w:rPr>
          <w:b/>
          <w:sz w:val="24"/>
          <w:szCs w:val="24"/>
        </w:rPr>
        <w:t>Debates em Educação</w:t>
      </w:r>
      <w:r>
        <w:rPr>
          <w:sz w:val="24"/>
          <w:szCs w:val="24"/>
        </w:rPr>
        <w:t xml:space="preserve">, v. 12, n. 28, p. 19–41. DOI: </w:t>
      </w:r>
      <w:hyperlink r:id="rId10">
        <w:r>
          <w:rPr>
            <w:sz w:val="24"/>
            <w:szCs w:val="24"/>
            <w:u w:val="single"/>
          </w:rPr>
          <w:t>https://doi.org/10.28998/2175-6600.2020v12n28p19-41</w:t>
        </w:r>
      </w:hyperlink>
      <w:r>
        <w:rPr>
          <w:sz w:val="24"/>
          <w:szCs w:val="24"/>
        </w:rPr>
        <w:t>. Anais, São Paulo, 2020. Acesso 03 dez 2024.</w:t>
      </w:r>
    </w:p>
    <w:p w14:paraId="1A28ECE4" w14:textId="77777777" w:rsidR="00220028" w:rsidRDefault="00220028">
      <w:pPr>
        <w:widowControl w:val="0"/>
        <w:spacing w:line="240" w:lineRule="auto"/>
        <w:rPr>
          <w:rFonts w:ascii="Times New Roman" w:eastAsia="Times New Roman" w:hAnsi="Times New Roman" w:cs="Times New Roman"/>
          <w:sz w:val="24"/>
          <w:szCs w:val="24"/>
        </w:rPr>
      </w:pPr>
    </w:p>
    <w:p w14:paraId="6013D366" w14:textId="77777777" w:rsidR="00220028" w:rsidRDefault="009775BA">
      <w:pPr>
        <w:ind w:left="140" w:right="139"/>
        <w:jc w:val="both"/>
        <w:rPr>
          <w:sz w:val="24"/>
          <w:szCs w:val="24"/>
        </w:rPr>
      </w:pPr>
      <w:r>
        <w:rPr>
          <w:sz w:val="24"/>
          <w:szCs w:val="24"/>
        </w:rPr>
        <w:t>VIDAL, Altemar Santos; MIGUEL, Joelson Rodrigues. As Tecnologias Digitais na Educação Contemporânea.</w:t>
      </w:r>
      <w:r>
        <w:rPr>
          <w:b/>
          <w:sz w:val="24"/>
          <w:szCs w:val="24"/>
        </w:rPr>
        <w:t xml:space="preserve"> Revista de Psicologia</w:t>
      </w:r>
      <w:r>
        <w:rPr>
          <w:sz w:val="24"/>
          <w:szCs w:val="24"/>
        </w:rPr>
        <w:t xml:space="preserve">, v. 14, n. 50, p. 366-379. DOI: </w:t>
      </w:r>
      <w:hyperlink r:id="rId11">
        <w:r>
          <w:rPr>
            <w:sz w:val="24"/>
            <w:szCs w:val="24"/>
          </w:rPr>
          <w:t>https://doi.org/10.14295/idonline.v14i50.2443</w:t>
        </w:r>
      </w:hyperlink>
      <w:r>
        <w:rPr>
          <w:sz w:val="24"/>
          <w:szCs w:val="24"/>
        </w:rPr>
        <w:t>. Anais, São Paulo, 2020. Acesso em: 23 nov 2024.</w:t>
      </w:r>
    </w:p>
    <w:p w14:paraId="248E1C8B" w14:textId="476A0348" w:rsidR="00220028" w:rsidRDefault="00220028">
      <w:pPr>
        <w:spacing w:before="1"/>
        <w:ind w:left="140" w:right="138"/>
        <w:jc w:val="both"/>
        <w:rPr>
          <w:sz w:val="24"/>
          <w:szCs w:val="24"/>
        </w:rPr>
      </w:pPr>
    </w:p>
    <w:p w14:paraId="7AE9B41E" w14:textId="77777777" w:rsidR="00220028" w:rsidRDefault="00220028">
      <w:pPr>
        <w:ind w:left="140" w:right="139"/>
        <w:jc w:val="both"/>
        <w:rPr>
          <w:rFonts w:ascii="Calibri" w:eastAsia="Calibri" w:hAnsi="Calibri" w:cs="Calibri"/>
          <w:sz w:val="24"/>
          <w:szCs w:val="24"/>
        </w:rPr>
      </w:pPr>
    </w:p>
    <w:sectPr w:rsidR="00220028">
      <w:headerReference w:type="default" r:id="rId12"/>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CC8C6" w14:textId="77777777" w:rsidR="00403A9A" w:rsidRDefault="00403A9A">
      <w:pPr>
        <w:spacing w:line="240" w:lineRule="auto"/>
      </w:pPr>
      <w:r>
        <w:separator/>
      </w:r>
    </w:p>
  </w:endnote>
  <w:endnote w:type="continuationSeparator" w:id="0">
    <w:p w14:paraId="2EA4D262" w14:textId="77777777" w:rsidR="00403A9A" w:rsidRDefault="00403A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F5A4A" w14:textId="77777777" w:rsidR="00403A9A" w:rsidRDefault="00403A9A">
      <w:pPr>
        <w:spacing w:line="240" w:lineRule="auto"/>
      </w:pPr>
      <w:r>
        <w:separator/>
      </w:r>
    </w:p>
  </w:footnote>
  <w:footnote w:type="continuationSeparator" w:id="0">
    <w:p w14:paraId="198E0172" w14:textId="77777777" w:rsidR="00403A9A" w:rsidRDefault="00403A9A">
      <w:pPr>
        <w:spacing w:line="240" w:lineRule="auto"/>
      </w:pPr>
      <w:r>
        <w:continuationSeparator/>
      </w:r>
    </w:p>
  </w:footnote>
  <w:footnote w:id="1">
    <w:p w14:paraId="2332DE1F" w14:textId="1215A1A1" w:rsidR="00A634AB" w:rsidRDefault="00A634AB">
      <w:pPr>
        <w:pStyle w:val="Textodenotaderodap"/>
      </w:pPr>
      <w:r>
        <w:rPr>
          <w:rStyle w:val="Refdenotaderodap"/>
        </w:rPr>
        <w:footnoteRef/>
      </w:r>
      <w:r>
        <w:t xml:space="preserve"> </w:t>
      </w:r>
      <w:r w:rsidR="006136B3">
        <w:t>D</w:t>
      </w:r>
      <w:r>
        <w:t>outoranda em Políticas Públicas</w:t>
      </w:r>
      <w:r w:rsidR="00F9473E">
        <w:t xml:space="preserve"> no Programa de Pós Graduação em Políticas Públicas da Universidade Federal do Piauí – PPGPP/UFPI</w:t>
      </w:r>
      <w:r w:rsidR="0022057D">
        <w:t>, e-mail: dmarquessampaio@gmail.com</w:t>
      </w:r>
      <w:r w:rsidR="00F9473E">
        <w:t xml:space="preserve">. </w:t>
      </w:r>
    </w:p>
  </w:footnote>
  <w:footnote w:id="2">
    <w:p w14:paraId="16484959" w14:textId="2CBEA72B" w:rsidR="00F9473E" w:rsidRDefault="00F9473E">
      <w:pPr>
        <w:pStyle w:val="Textodenotaderodap"/>
      </w:pPr>
      <w:r>
        <w:rPr>
          <w:rStyle w:val="Refdenotaderodap"/>
        </w:rPr>
        <w:footnoteRef/>
      </w:r>
      <w:r>
        <w:t xml:space="preserve"> </w:t>
      </w:r>
      <w:bookmarkStart w:id="0" w:name="_Hlk201739477"/>
      <w:r w:rsidR="006136B3">
        <w:t>M</w:t>
      </w:r>
      <w:r w:rsidR="00FD6AF2">
        <w:t>estranda em Educação no Programa de Pós-Graduação em Educação da Universidade Federal do Pia</w:t>
      </w:r>
      <w:r w:rsidR="0022057D">
        <w:t>uí – PPGED/UFPI</w:t>
      </w:r>
      <w:r w:rsidR="00205D53">
        <w:t>, e-mail:</w:t>
      </w:r>
      <w:r w:rsidR="00231A5C">
        <w:t>danielle.nayra@</w:t>
      </w:r>
      <w:r w:rsidR="00FB5934">
        <w:t>ufpi.edu.br</w:t>
      </w:r>
      <w:r w:rsidR="00205D53">
        <w:t xml:space="preserve"> </w:t>
      </w:r>
      <w:bookmarkEnd w:id="0"/>
      <w:r w:rsidR="00205D53">
        <w:t xml:space="preserve">. </w:t>
      </w:r>
    </w:p>
  </w:footnote>
  <w:footnote w:id="3">
    <w:p w14:paraId="5D4ED33F" w14:textId="63866A12" w:rsidR="00205D53" w:rsidRDefault="00205D53">
      <w:pPr>
        <w:pStyle w:val="Textodenotaderodap"/>
      </w:pPr>
      <w:r>
        <w:rPr>
          <w:rStyle w:val="Refdenotaderodap"/>
        </w:rPr>
        <w:footnoteRef/>
      </w:r>
      <w:r>
        <w:t xml:space="preserve"> </w:t>
      </w:r>
      <w:r w:rsidR="006136B3">
        <w:t>M</w:t>
      </w:r>
      <w:r w:rsidRPr="00205D53">
        <w:t>estranda em Educação no Programa de Pós-Graduação em Educação da Universidade Federal do Piauí – PPGED/UFPI, e-mail:</w:t>
      </w:r>
      <w:r w:rsidR="00565259">
        <w:t>sara.janeoliveira@hotmail.com.</w:t>
      </w:r>
    </w:p>
  </w:footnote>
  <w:footnote w:id="4">
    <w:p w14:paraId="5EF58C06" w14:textId="51A38566" w:rsidR="00133940" w:rsidRDefault="00133940">
      <w:pPr>
        <w:pStyle w:val="Textodenotaderodap"/>
      </w:pPr>
      <w:r>
        <w:rPr>
          <w:rStyle w:val="Refdenotaderodap"/>
        </w:rPr>
        <w:footnoteRef/>
      </w:r>
      <w:r>
        <w:t xml:space="preserve"> </w:t>
      </w:r>
      <w:r w:rsidR="007E4F49">
        <w:t xml:space="preserve">Graduanda em Pedagogia na Universidade Federal do Piauí – UFPI. E-mail: </w:t>
      </w:r>
      <w:r w:rsidR="005561E7">
        <w:t>isis.sales@ufpi.edu.br</w:t>
      </w:r>
    </w:p>
  </w:footnote>
  <w:footnote w:id="5">
    <w:p w14:paraId="127307AF" w14:textId="7EDB2559" w:rsidR="005561E7" w:rsidRDefault="005561E7">
      <w:pPr>
        <w:pStyle w:val="Textodenotaderodap"/>
      </w:pPr>
      <w:r>
        <w:rPr>
          <w:rStyle w:val="Refdenotaderodap"/>
        </w:rPr>
        <w:footnoteRef/>
      </w:r>
      <w:r>
        <w:t xml:space="preserve"> </w:t>
      </w:r>
      <w:r w:rsidR="00E46886">
        <w:t xml:space="preserve">Professor doutor no Programa de Pós-Graduação em Políticas Públicas </w:t>
      </w:r>
      <w:r w:rsidR="005C1400">
        <w:t>da Universidade Federal do Piauí – PPGPP/UFPI, e-mail: jairo</w:t>
      </w:r>
      <w:r w:rsidR="00F53F82">
        <w:t>guimaraes</w:t>
      </w:r>
      <w:r w:rsidR="006136B3">
        <w:t>@ufpi.edu.br</w:t>
      </w:r>
      <w:r w:rsidR="00E46886">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419FA" w14:textId="77777777" w:rsidR="00220028" w:rsidRDefault="009775BA">
    <w:r>
      <w:rPr>
        <w:noProof/>
      </w:rPr>
      <w:drawing>
        <wp:anchor distT="0" distB="0" distL="0" distR="0" simplePos="0" relativeHeight="251658240" behindDoc="1" locked="0" layoutInCell="1" hidden="0" allowOverlap="1" wp14:anchorId="78D81EFD" wp14:editId="1629BE35">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028"/>
    <w:rsid w:val="000232D5"/>
    <w:rsid w:val="0007723A"/>
    <w:rsid w:val="00097D8E"/>
    <w:rsid w:val="000B486B"/>
    <w:rsid w:val="000D0173"/>
    <w:rsid w:val="00107FFA"/>
    <w:rsid w:val="00133940"/>
    <w:rsid w:val="001917C6"/>
    <w:rsid w:val="001E31D9"/>
    <w:rsid w:val="001F168E"/>
    <w:rsid w:val="001F20F4"/>
    <w:rsid w:val="00202810"/>
    <w:rsid w:val="00205D53"/>
    <w:rsid w:val="00206E5F"/>
    <w:rsid w:val="00220028"/>
    <w:rsid w:val="0022057D"/>
    <w:rsid w:val="00231A5C"/>
    <w:rsid w:val="002352E4"/>
    <w:rsid w:val="002A617F"/>
    <w:rsid w:val="002A7064"/>
    <w:rsid w:val="002C70C1"/>
    <w:rsid w:val="002F12A1"/>
    <w:rsid w:val="00303E5A"/>
    <w:rsid w:val="00394278"/>
    <w:rsid w:val="003D358E"/>
    <w:rsid w:val="003E369E"/>
    <w:rsid w:val="00403A9A"/>
    <w:rsid w:val="00410205"/>
    <w:rsid w:val="00434DDF"/>
    <w:rsid w:val="00435268"/>
    <w:rsid w:val="00457845"/>
    <w:rsid w:val="004751CE"/>
    <w:rsid w:val="00485AA7"/>
    <w:rsid w:val="004A0F0A"/>
    <w:rsid w:val="00534803"/>
    <w:rsid w:val="005561E7"/>
    <w:rsid w:val="00565259"/>
    <w:rsid w:val="005A4006"/>
    <w:rsid w:val="005C1400"/>
    <w:rsid w:val="006136B3"/>
    <w:rsid w:val="006203A8"/>
    <w:rsid w:val="006772BC"/>
    <w:rsid w:val="0068464E"/>
    <w:rsid w:val="00685726"/>
    <w:rsid w:val="006F03AA"/>
    <w:rsid w:val="006F663D"/>
    <w:rsid w:val="00714E1F"/>
    <w:rsid w:val="00774C84"/>
    <w:rsid w:val="007D2A70"/>
    <w:rsid w:val="007D49F1"/>
    <w:rsid w:val="007E4F49"/>
    <w:rsid w:val="007E7620"/>
    <w:rsid w:val="00814D34"/>
    <w:rsid w:val="008261B5"/>
    <w:rsid w:val="008B3570"/>
    <w:rsid w:val="008E1C4E"/>
    <w:rsid w:val="008F6500"/>
    <w:rsid w:val="0090087C"/>
    <w:rsid w:val="00945525"/>
    <w:rsid w:val="009775BA"/>
    <w:rsid w:val="00982B31"/>
    <w:rsid w:val="009C1C50"/>
    <w:rsid w:val="00A634AB"/>
    <w:rsid w:val="00AC39CD"/>
    <w:rsid w:val="00AD687D"/>
    <w:rsid w:val="00AF203E"/>
    <w:rsid w:val="00BB0632"/>
    <w:rsid w:val="00BF447B"/>
    <w:rsid w:val="00C01922"/>
    <w:rsid w:val="00C1016F"/>
    <w:rsid w:val="00C17DE9"/>
    <w:rsid w:val="00C26D9E"/>
    <w:rsid w:val="00D92321"/>
    <w:rsid w:val="00E36C41"/>
    <w:rsid w:val="00E46886"/>
    <w:rsid w:val="00E53FB9"/>
    <w:rsid w:val="00E6084D"/>
    <w:rsid w:val="00EB177C"/>
    <w:rsid w:val="00EC363F"/>
    <w:rsid w:val="00F0154D"/>
    <w:rsid w:val="00F53F82"/>
    <w:rsid w:val="00F9473E"/>
    <w:rsid w:val="00FB5934"/>
    <w:rsid w:val="00FD343E"/>
    <w:rsid w:val="00FD6AF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D13B5"/>
  <w15:docId w15:val="{2B3C4A0A-A94E-B244-984C-BC437E641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5A4006"/>
    <w:rPr>
      <w:color w:val="0000FF" w:themeColor="hyperlink"/>
      <w:u w:val="single"/>
    </w:rPr>
  </w:style>
  <w:style w:type="character" w:styleId="MenoPendente">
    <w:name w:val="Unresolved Mention"/>
    <w:basedOn w:val="Fontepargpadro"/>
    <w:uiPriority w:val="99"/>
    <w:semiHidden/>
    <w:unhideWhenUsed/>
    <w:rsid w:val="005A4006"/>
    <w:rPr>
      <w:color w:val="605E5C"/>
      <w:shd w:val="clear" w:color="auto" w:fill="E1DFDD"/>
    </w:rPr>
  </w:style>
  <w:style w:type="paragraph" w:styleId="Textodenotadefim">
    <w:name w:val="endnote text"/>
    <w:basedOn w:val="Normal"/>
    <w:link w:val="TextodenotadefimChar"/>
    <w:uiPriority w:val="99"/>
    <w:semiHidden/>
    <w:unhideWhenUsed/>
    <w:rsid w:val="00945525"/>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945525"/>
    <w:rPr>
      <w:sz w:val="20"/>
      <w:szCs w:val="20"/>
    </w:rPr>
  </w:style>
  <w:style w:type="character" w:styleId="Refdenotadefim">
    <w:name w:val="endnote reference"/>
    <w:basedOn w:val="Fontepargpadro"/>
    <w:uiPriority w:val="99"/>
    <w:semiHidden/>
    <w:unhideWhenUsed/>
    <w:rsid w:val="00945525"/>
    <w:rPr>
      <w:vertAlign w:val="superscript"/>
    </w:rPr>
  </w:style>
  <w:style w:type="paragraph" w:styleId="Textodenotaderodap">
    <w:name w:val="footnote text"/>
    <w:basedOn w:val="Normal"/>
    <w:link w:val="TextodenotaderodapChar"/>
    <w:uiPriority w:val="99"/>
    <w:semiHidden/>
    <w:unhideWhenUsed/>
    <w:rsid w:val="00945525"/>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945525"/>
    <w:rPr>
      <w:sz w:val="20"/>
      <w:szCs w:val="20"/>
    </w:rPr>
  </w:style>
  <w:style w:type="character" w:styleId="Refdenotaderodap">
    <w:name w:val="footnote reference"/>
    <w:basedOn w:val="Fontepargpadro"/>
    <w:uiPriority w:val="99"/>
    <w:semiHidden/>
    <w:unhideWhenUsed/>
    <w:rsid w:val="009455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aep.emnuvens.com.br/raep/article/view/98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21723/riaee.v12.n1.9433"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4295/idonline.v14i50.2443" TargetMode="External"/><Relationship Id="rId5" Type="http://schemas.openxmlformats.org/officeDocument/2006/relationships/footnotes" Target="footnotes.xml"/><Relationship Id="rId10" Type="http://schemas.openxmlformats.org/officeDocument/2006/relationships/hyperlink" Target="https://doi.org/10.28998/2175-6600.2020v12n28p19-41" TargetMode="External"/><Relationship Id="rId4" Type="http://schemas.openxmlformats.org/officeDocument/2006/relationships/webSettings" Target="webSettings.xml"/><Relationship Id="rId9" Type="http://schemas.openxmlformats.org/officeDocument/2006/relationships/hyperlink" Target="https://doi.org/10.47820/recima21.v4i11.4353"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D3F75-B0CA-4FE4-A78A-2A2FA709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12</Pages>
  <Words>3726</Words>
  <Characters>20123</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sarap</dc:creator>
  <cp:lastModifiedBy>nali ୭</cp:lastModifiedBy>
  <cp:revision>22</cp:revision>
  <dcterms:created xsi:type="dcterms:W3CDTF">2025-06-25T13:11:00Z</dcterms:created>
  <dcterms:modified xsi:type="dcterms:W3CDTF">2025-06-25T13:34:00Z</dcterms:modified>
</cp:coreProperties>
</file>