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5238B" w14:textId="77777777" w:rsidR="00710ECC" w:rsidRDefault="00000000">
      <w:pPr>
        <w:spacing w:line="360" w:lineRule="auto"/>
        <w:jc w:val="center"/>
        <w:rPr>
          <w:sz w:val="24"/>
          <w:szCs w:val="24"/>
        </w:rPr>
      </w:pPr>
      <w:r>
        <w:rPr>
          <w:b/>
          <w:sz w:val="24"/>
          <w:szCs w:val="24"/>
        </w:rPr>
        <w:t xml:space="preserve">GÊNERO, RAÇA E GERAÇÃO NO SERVIÇO SOCIAL: </w:t>
      </w:r>
      <w:r>
        <w:rPr>
          <w:sz w:val="24"/>
          <w:szCs w:val="24"/>
        </w:rPr>
        <w:t>uma leitura interseccional das desigualdades sociais.</w:t>
      </w:r>
    </w:p>
    <w:p w14:paraId="3391638A" w14:textId="77777777" w:rsidR="00710ECC" w:rsidRDefault="00710ECC">
      <w:pPr>
        <w:spacing w:line="360" w:lineRule="auto"/>
        <w:jc w:val="center"/>
        <w:rPr>
          <w:sz w:val="24"/>
          <w:szCs w:val="24"/>
        </w:rPr>
      </w:pPr>
    </w:p>
    <w:p w14:paraId="6BA46904" w14:textId="77777777" w:rsidR="00710ECC" w:rsidRDefault="00000000">
      <w:pPr>
        <w:spacing w:line="240" w:lineRule="auto"/>
        <w:jc w:val="right"/>
        <w:rPr>
          <w:sz w:val="20"/>
          <w:szCs w:val="20"/>
        </w:rPr>
      </w:pPr>
      <w:r>
        <w:rPr>
          <w:sz w:val="20"/>
          <w:szCs w:val="20"/>
        </w:rPr>
        <w:t>Antônia Paulyane Lima Rebouças</w:t>
      </w:r>
      <w:r>
        <w:rPr>
          <w:sz w:val="20"/>
          <w:szCs w:val="20"/>
          <w:vertAlign w:val="superscript"/>
        </w:rPr>
        <w:footnoteReference w:id="1"/>
      </w:r>
    </w:p>
    <w:p w14:paraId="1D5DAE06" w14:textId="77777777" w:rsidR="00710ECC" w:rsidRDefault="00000000">
      <w:pPr>
        <w:spacing w:line="240" w:lineRule="auto"/>
        <w:jc w:val="right"/>
        <w:rPr>
          <w:sz w:val="20"/>
          <w:szCs w:val="20"/>
        </w:rPr>
      </w:pPr>
      <w:r>
        <w:rPr>
          <w:sz w:val="20"/>
          <w:szCs w:val="20"/>
        </w:rPr>
        <w:t>Leandra Soares Freire</w:t>
      </w:r>
      <w:r>
        <w:rPr>
          <w:sz w:val="20"/>
          <w:szCs w:val="20"/>
          <w:vertAlign w:val="superscript"/>
        </w:rPr>
        <w:footnoteReference w:id="2"/>
      </w:r>
    </w:p>
    <w:p w14:paraId="2DE9E17D" w14:textId="77777777" w:rsidR="00710ECC" w:rsidRDefault="00000000">
      <w:pPr>
        <w:spacing w:line="240" w:lineRule="auto"/>
        <w:jc w:val="right"/>
        <w:rPr>
          <w:sz w:val="20"/>
          <w:szCs w:val="20"/>
        </w:rPr>
      </w:pPr>
      <w:r>
        <w:rPr>
          <w:sz w:val="20"/>
          <w:szCs w:val="20"/>
        </w:rPr>
        <w:t>Maria Laura Aguiar</w:t>
      </w:r>
      <w:r>
        <w:rPr>
          <w:sz w:val="24"/>
          <w:szCs w:val="24"/>
        </w:rPr>
        <w:t xml:space="preserve"> </w:t>
      </w:r>
      <w:r>
        <w:rPr>
          <w:sz w:val="20"/>
          <w:szCs w:val="20"/>
        </w:rPr>
        <w:t>de Souza</w:t>
      </w:r>
      <w:r>
        <w:rPr>
          <w:sz w:val="20"/>
          <w:szCs w:val="20"/>
          <w:vertAlign w:val="superscript"/>
        </w:rPr>
        <w:footnoteReference w:id="3"/>
      </w:r>
    </w:p>
    <w:p w14:paraId="007C52EE" w14:textId="77777777" w:rsidR="00710ECC" w:rsidRDefault="00710ECC">
      <w:pPr>
        <w:spacing w:line="240" w:lineRule="auto"/>
        <w:ind w:left="2835"/>
        <w:jc w:val="both"/>
        <w:rPr>
          <w:sz w:val="20"/>
          <w:szCs w:val="20"/>
        </w:rPr>
      </w:pPr>
    </w:p>
    <w:p w14:paraId="3C8611C2" w14:textId="77777777" w:rsidR="00710ECC" w:rsidRDefault="00000000">
      <w:pPr>
        <w:spacing w:line="240" w:lineRule="auto"/>
        <w:ind w:left="2835"/>
        <w:jc w:val="both"/>
        <w:rPr>
          <w:sz w:val="20"/>
          <w:szCs w:val="20"/>
        </w:rPr>
      </w:pPr>
      <w:r>
        <w:rPr>
          <w:b/>
          <w:sz w:val="20"/>
          <w:szCs w:val="20"/>
        </w:rPr>
        <w:t>Resumo</w:t>
      </w:r>
    </w:p>
    <w:p w14:paraId="7E641A23" w14:textId="77777777" w:rsidR="00710ECC" w:rsidRDefault="00000000">
      <w:pPr>
        <w:spacing w:line="240" w:lineRule="auto"/>
        <w:ind w:left="2835"/>
        <w:jc w:val="both"/>
        <w:rPr>
          <w:sz w:val="20"/>
          <w:szCs w:val="20"/>
        </w:rPr>
      </w:pPr>
      <w:r>
        <w:rPr>
          <w:sz w:val="20"/>
          <w:szCs w:val="20"/>
        </w:rPr>
        <w:t>O artigo aborda a forma como as desigualdades sociais se apresentam de forma intercalada, a partir das categorias de gênero, raça e geração, evidenciando que essas dimensões atuam na interseccionalidade. A partir dessa perspectiva, o Serviço Social compreende as opressões enfrentadas nas diversas expressões da vida, articulando teoria e prática com base no projeto ético-político profissional. O foco da análise recai sobre as implicações dessas categorias na atuação do/a Assistente Social, com ênfase na garantia de direitos e no enfrentamento das desigualdades sociais.</w:t>
      </w:r>
    </w:p>
    <w:p w14:paraId="614BB423" w14:textId="77777777" w:rsidR="00710ECC" w:rsidRDefault="00000000">
      <w:pPr>
        <w:spacing w:line="240" w:lineRule="auto"/>
        <w:ind w:left="2835"/>
        <w:jc w:val="both"/>
        <w:rPr>
          <w:sz w:val="20"/>
          <w:szCs w:val="20"/>
        </w:rPr>
      </w:pPr>
      <w:r>
        <w:rPr>
          <w:b/>
          <w:sz w:val="20"/>
          <w:szCs w:val="20"/>
        </w:rPr>
        <w:t>Palavras-chave</w:t>
      </w:r>
      <w:r>
        <w:rPr>
          <w:sz w:val="20"/>
          <w:szCs w:val="20"/>
        </w:rPr>
        <w:t>: Serviço Social; interseccionalidade; desigualdades sociais.</w:t>
      </w:r>
    </w:p>
    <w:p w14:paraId="304A93A2" w14:textId="77777777" w:rsidR="00710ECC" w:rsidRDefault="00710ECC">
      <w:pPr>
        <w:spacing w:line="240" w:lineRule="auto"/>
        <w:ind w:left="2835"/>
        <w:jc w:val="both"/>
        <w:rPr>
          <w:sz w:val="20"/>
          <w:szCs w:val="20"/>
        </w:rPr>
      </w:pPr>
    </w:p>
    <w:p w14:paraId="380E7D6D" w14:textId="77777777" w:rsidR="00710ECC" w:rsidRDefault="00000000">
      <w:pPr>
        <w:spacing w:line="240" w:lineRule="auto"/>
        <w:ind w:left="2835"/>
        <w:jc w:val="both"/>
        <w:rPr>
          <w:sz w:val="20"/>
          <w:szCs w:val="20"/>
        </w:rPr>
      </w:pPr>
      <w:r>
        <w:rPr>
          <w:b/>
          <w:sz w:val="20"/>
          <w:szCs w:val="20"/>
        </w:rPr>
        <w:t>Abstract</w:t>
      </w:r>
    </w:p>
    <w:p w14:paraId="1EEE94B1" w14:textId="77777777" w:rsidR="00710ECC" w:rsidRDefault="00000000">
      <w:pPr>
        <w:spacing w:line="240" w:lineRule="auto"/>
        <w:ind w:left="2835"/>
        <w:jc w:val="both"/>
        <w:rPr>
          <w:sz w:val="20"/>
          <w:szCs w:val="20"/>
        </w:rPr>
      </w:pPr>
      <w:r>
        <w:rPr>
          <w:sz w:val="20"/>
          <w:szCs w:val="20"/>
        </w:rPr>
        <w:t xml:space="preserve">The </w:t>
      </w:r>
      <w:proofErr w:type="spellStart"/>
      <w:r>
        <w:rPr>
          <w:sz w:val="20"/>
          <w:szCs w:val="20"/>
        </w:rPr>
        <w:t>article</w:t>
      </w:r>
      <w:proofErr w:type="spellEnd"/>
      <w:r>
        <w:rPr>
          <w:sz w:val="20"/>
          <w:szCs w:val="20"/>
        </w:rPr>
        <w:t xml:space="preserve"> </w:t>
      </w:r>
      <w:proofErr w:type="spellStart"/>
      <w:r>
        <w:rPr>
          <w:sz w:val="20"/>
          <w:szCs w:val="20"/>
        </w:rPr>
        <w:t>addresses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way</w:t>
      </w:r>
      <w:proofErr w:type="spellEnd"/>
      <w:r>
        <w:rPr>
          <w:sz w:val="20"/>
          <w:szCs w:val="20"/>
        </w:rPr>
        <w:t xml:space="preserve"> in </w:t>
      </w:r>
      <w:proofErr w:type="spellStart"/>
      <w:r>
        <w:rPr>
          <w:sz w:val="20"/>
          <w:szCs w:val="20"/>
        </w:rPr>
        <w:t>which</w:t>
      </w:r>
      <w:proofErr w:type="spellEnd"/>
      <w:r>
        <w:rPr>
          <w:sz w:val="20"/>
          <w:szCs w:val="20"/>
        </w:rPr>
        <w:t xml:space="preserve"> social </w:t>
      </w:r>
      <w:proofErr w:type="spellStart"/>
      <w:r>
        <w:rPr>
          <w:sz w:val="20"/>
          <w:szCs w:val="20"/>
        </w:rPr>
        <w:t>inequalities</w:t>
      </w:r>
      <w:proofErr w:type="spellEnd"/>
      <w:r>
        <w:rPr>
          <w:sz w:val="20"/>
          <w:szCs w:val="20"/>
        </w:rPr>
        <w:t xml:space="preserve"> are </w:t>
      </w:r>
      <w:proofErr w:type="spellStart"/>
      <w:r>
        <w:rPr>
          <w:sz w:val="20"/>
          <w:szCs w:val="20"/>
        </w:rPr>
        <w:t>presented</w:t>
      </w:r>
      <w:proofErr w:type="spellEnd"/>
      <w:r>
        <w:rPr>
          <w:sz w:val="20"/>
          <w:szCs w:val="20"/>
        </w:rPr>
        <w:t xml:space="preserve"> in </w:t>
      </w:r>
      <w:proofErr w:type="spellStart"/>
      <w:r>
        <w:rPr>
          <w:sz w:val="20"/>
          <w:szCs w:val="20"/>
        </w:rPr>
        <w:t>an</w:t>
      </w:r>
      <w:proofErr w:type="spellEnd"/>
      <w:r>
        <w:rPr>
          <w:sz w:val="20"/>
          <w:szCs w:val="20"/>
        </w:rPr>
        <w:t xml:space="preserve"> </w:t>
      </w:r>
      <w:proofErr w:type="spellStart"/>
      <w:r>
        <w:rPr>
          <w:sz w:val="20"/>
          <w:szCs w:val="20"/>
        </w:rPr>
        <w:t>interleaved</w:t>
      </w:r>
      <w:proofErr w:type="spellEnd"/>
      <w:r>
        <w:rPr>
          <w:sz w:val="20"/>
          <w:szCs w:val="20"/>
        </w:rPr>
        <w:t xml:space="preserve"> </w:t>
      </w:r>
      <w:proofErr w:type="spellStart"/>
      <w:r>
        <w:rPr>
          <w:sz w:val="20"/>
          <w:szCs w:val="20"/>
        </w:rPr>
        <w:t>manner</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categories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gender</w:t>
      </w:r>
      <w:proofErr w:type="spellEnd"/>
      <w:r>
        <w:rPr>
          <w:sz w:val="20"/>
          <w:szCs w:val="20"/>
        </w:rPr>
        <w:t xml:space="preserve">, </w:t>
      </w:r>
      <w:proofErr w:type="spellStart"/>
      <w:r>
        <w:rPr>
          <w:sz w:val="20"/>
          <w:szCs w:val="20"/>
        </w:rPr>
        <w:t>race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generation</w:t>
      </w:r>
      <w:proofErr w:type="spellEnd"/>
      <w:r>
        <w:rPr>
          <w:sz w:val="20"/>
          <w:szCs w:val="20"/>
        </w:rPr>
        <w:t xml:space="preserve">, </w:t>
      </w:r>
      <w:proofErr w:type="spellStart"/>
      <w:r>
        <w:rPr>
          <w:sz w:val="20"/>
          <w:szCs w:val="20"/>
        </w:rPr>
        <w:t>showing</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dimensions</w:t>
      </w:r>
      <w:proofErr w:type="spellEnd"/>
      <w:r>
        <w:rPr>
          <w:sz w:val="20"/>
          <w:szCs w:val="20"/>
        </w:rPr>
        <w:t xml:space="preserve"> </w:t>
      </w:r>
      <w:proofErr w:type="spellStart"/>
      <w:r>
        <w:rPr>
          <w:sz w:val="20"/>
          <w:szCs w:val="20"/>
        </w:rPr>
        <w:t>act</w:t>
      </w:r>
      <w:proofErr w:type="spellEnd"/>
      <w:r>
        <w:rPr>
          <w:sz w:val="20"/>
          <w:szCs w:val="20"/>
        </w:rPr>
        <w:t xml:space="preserve"> in </w:t>
      </w:r>
      <w:proofErr w:type="spellStart"/>
      <w:r>
        <w:rPr>
          <w:sz w:val="20"/>
          <w:szCs w:val="20"/>
        </w:rPr>
        <w:t>intersectionality</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this</w:t>
      </w:r>
      <w:proofErr w:type="spellEnd"/>
      <w:r>
        <w:rPr>
          <w:sz w:val="20"/>
          <w:szCs w:val="20"/>
        </w:rPr>
        <w:t xml:space="preserve"> perspective, Social </w:t>
      </w:r>
      <w:proofErr w:type="spellStart"/>
      <w:r>
        <w:rPr>
          <w:sz w:val="20"/>
          <w:szCs w:val="20"/>
        </w:rPr>
        <w:t>Work</w:t>
      </w:r>
      <w:proofErr w:type="spellEnd"/>
      <w:r>
        <w:rPr>
          <w:sz w:val="20"/>
          <w:szCs w:val="20"/>
        </w:rPr>
        <w:t xml:space="preserve"> </w:t>
      </w:r>
      <w:proofErr w:type="spellStart"/>
      <w:r>
        <w:rPr>
          <w:sz w:val="20"/>
          <w:szCs w:val="20"/>
        </w:rPr>
        <w:t>understands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oppressions</w:t>
      </w:r>
      <w:proofErr w:type="spellEnd"/>
      <w:r>
        <w:rPr>
          <w:sz w:val="20"/>
          <w:szCs w:val="20"/>
        </w:rPr>
        <w:t xml:space="preserve"> </w:t>
      </w:r>
      <w:proofErr w:type="spellStart"/>
      <w:r>
        <w:rPr>
          <w:sz w:val="20"/>
          <w:szCs w:val="20"/>
        </w:rPr>
        <w:t>faced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various</w:t>
      </w:r>
      <w:proofErr w:type="spellEnd"/>
      <w:r>
        <w:rPr>
          <w:sz w:val="20"/>
          <w:szCs w:val="20"/>
        </w:rPr>
        <w:t xml:space="preserve"> </w:t>
      </w:r>
      <w:proofErr w:type="spellStart"/>
      <w:r>
        <w:rPr>
          <w:sz w:val="20"/>
          <w:szCs w:val="20"/>
        </w:rPr>
        <w:t>expressions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life</w:t>
      </w:r>
      <w:proofErr w:type="spellEnd"/>
      <w:r>
        <w:rPr>
          <w:sz w:val="20"/>
          <w:szCs w:val="20"/>
        </w:rPr>
        <w:t xml:space="preserve">, </w:t>
      </w:r>
      <w:proofErr w:type="spellStart"/>
      <w:r>
        <w:rPr>
          <w:sz w:val="20"/>
          <w:szCs w:val="20"/>
        </w:rPr>
        <w:t>articulating</w:t>
      </w:r>
      <w:proofErr w:type="spellEnd"/>
      <w:r>
        <w:rPr>
          <w:sz w:val="20"/>
          <w:szCs w:val="20"/>
        </w:rPr>
        <w:t xml:space="preserve"> </w:t>
      </w:r>
      <w:proofErr w:type="spellStart"/>
      <w:r>
        <w:rPr>
          <w:sz w:val="20"/>
          <w:szCs w:val="20"/>
        </w:rPr>
        <w:t>theory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practice</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professional </w:t>
      </w:r>
      <w:proofErr w:type="spellStart"/>
      <w:r>
        <w:rPr>
          <w:sz w:val="20"/>
          <w:szCs w:val="20"/>
        </w:rPr>
        <w:t>ethical-political</w:t>
      </w:r>
      <w:proofErr w:type="spellEnd"/>
      <w:r>
        <w:rPr>
          <w:sz w:val="20"/>
          <w:szCs w:val="20"/>
        </w:rPr>
        <w:t xml:space="preserve"> </w:t>
      </w:r>
      <w:proofErr w:type="spellStart"/>
      <w:r>
        <w:rPr>
          <w:sz w:val="20"/>
          <w:szCs w:val="20"/>
        </w:rPr>
        <w:t>project</w:t>
      </w:r>
      <w:proofErr w:type="spellEnd"/>
      <w:r>
        <w:rPr>
          <w:sz w:val="20"/>
          <w:szCs w:val="20"/>
        </w:rPr>
        <w:t xml:space="preserve">. The </w:t>
      </w:r>
      <w:proofErr w:type="spellStart"/>
      <w:r>
        <w:rPr>
          <w:sz w:val="20"/>
          <w:szCs w:val="20"/>
        </w:rPr>
        <w:t>focus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falls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implications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categories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work</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Worker</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emphasis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guaranteeing</w:t>
      </w:r>
      <w:proofErr w:type="spellEnd"/>
      <w:r>
        <w:rPr>
          <w:sz w:val="20"/>
          <w:szCs w:val="20"/>
        </w:rPr>
        <w:t xml:space="preserve"> </w:t>
      </w:r>
      <w:proofErr w:type="spellStart"/>
      <w:r>
        <w:rPr>
          <w:sz w:val="20"/>
          <w:szCs w:val="20"/>
        </w:rPr>
        <w:t>rights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confronting</w:t>
      </w:r>
      <w:proofErr w:type="spellEnd"/>
      <w:r>
        <w:rPr>
          <w:sz w:val="20"/>
          <w:szCs w:val="20"/>
        </w:rPr>
        <w:t xml:space="preserve"> social </w:t>
      </w:r>
      <w:proofErr w:type="spellStart"/>
      <w:r>
        <w:rPr>
          <w:sz w:val="20"/>
          <w:szCs w:val="20"/>
        </w:rPr>
        <w:t>inequalities</w:t>
      </w:r>
      <w:proofErr w:type="spellEnd"/>
      <w:r>
        <w:rPr>
          <w:sz w:val="20"/>
          <w:szCs w:val="20"/>
        </w:rPr>
        <w:t>.</w:t>
      </w:r>
    </w:p>
    <w:p w14:paraId="41CB18D3" w14:textId="77777777" w:rsidR="00710ECC" w:rsidRDefault="00000000">
      <w:pPr>
        <w:spacing w:line="240" w:lineRule="auto"/>
        <w:ind w:left="2835"/>
        <w:jc w:val="both"/>
        <w:rPr>
          <w:sz w:val="20"/>
          <w:szCs w:val="20"/>
        </w:rPr>
      </w:pPr>
      <w:r>
        <w:rPr>
          <w:b/>
          <w:sz w:val="20"/>
          <w:szCs w:val="20"/>
        </w:rPr>
        <w:t>Keywords:</w:t>
      </w:r>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intersectionality</w:t>
      </w:r>
      <w:proofErr w:type="spellEnd"/>
      <w:r>
        <w:rPr>
          <w:sz w:val="20"/>
          <w:szCs w:val="20"/>
        </w:rPr>
        <w:t xml:space="preserve">; social </w:t>
      </w:r>
      <w:proofErr w:type="spellStart"/>
      <w:r>
        <w:rPr>
          <w:sz w:val="20"/>
          <w:szCs w:val="20"/>
        </w:rPr>
        <w:t>inequalities</w:t>
      </w:r>
      <w:proofErr w:type="spellEnd"/>
      <w:r>
        <w:rPr>
          <w:sz w:val="20"/>
          <w:szCs w:val="20"/>
        </w:rPr>
        <w:t>.</w:t>
      </w:r>
    </w:p>
    <w:p w14:paraId="27843E48" w14:textId="77777777" w:rsidR="00710ECC" w:rsidRDefault="00710ECC">
      <w:pPr>
        <w:spacing w:line="240" w:lineRule="auto"/>
        <w:ind w:left="2835"/>
        <w:jc w:val="both"/>
        <w:rPr>
          <w:sz w:val="20"/>
          <w:szCs w:val="20"/>
        </w:rPr>
      </w:pPr>
    </w:p>
    <w:p w14:paraId="17560BA7" w14:textId="77777777" w:rsidR="00710ECC" w:rsidRDefault="00710ECC">
      <w:pPr>
        <w:spacing w:line="240" w:lineRule="auto"/>
        <w:ind w:left="2835"/>
        <w:jc w:val="both"/>
        <w:rPr>
          <w:sz w:val="20"/>
          <w:szCs w:val="20"/>
        </w:rPr>
      </w:pPr>
    </w:p>
    <w:p w14:paraId="5B09C1AF" w14:textId="77777777" w:rsidR="00710ECC" w:rsidRDefault="00710ECC">
      <w:pPr>
        <w:spacing w:line="240" w:lineRule="auto"/>
        <w:ind w:left="2835"/>
        <w:jc w:val="both"/>
        <w:rPr>
          <w:sz w:val="20"/>
          <w:szCs w:val="20"/>
        </w:rPr>
      </w:pPr>
    </w:p>
    <w:p w14:paraId="2058435F" w14:textId="77777777" w:rsidR="00710ECC" w:rsidRDefault="00710ECC">
      <w:pPr>
        <w:spacing w:line="240" w:lineRule="auto"/>
        <w:ind w:left="2835"/>
        <w:jc w:val="both"/>
        <w:rPr>
          <w:sz w:val="20"/>
          <w:szCs w:val="20"/>
        </w:rPr>
      </w:pPr>
    </w:p>
    <w:p w14:paraId="751D6375" w14:textId="77777777" w:rsidR="00710ECC" w:rsidRDefault="00710ECC">
      <w:pPr>
        <w:spacing w:line="240" w:lineRule="auto"/>
        <w:ind w:left="2835"/>
        <w:jc w:val="both"/>
        <w:rPr>
          <w:sz w:val="20"/>
          <w:szCs w:val="20"/>
        </w:rPr>
      </w:pPr>
    </w:p>
    <w:p w14:paraId="037D7871" w14:textId="77777777" w:rsidR="00710ECC" w:rsidRDefault="00710ECC">
      <w:pPr>
        <w:spacing w:line="240" w:lineRule="auto"/>
        <w:ind w:left="2835"/>
        <w:jc w:val="both"/>
        <w:rPr>
          <w:sz w:val="20"/>
          <w:szCs w:val="20"/>
        </w:rPr>
      </w:pPr>
    </w:p>
    <w:p w14:paraId="7F82411E" w14:textId="77777777" w:rsidR="00710ECC" w:rsidRDefault="00000000">
      <w:pPr>
        <w:spacing w:line="360" w:lineRule="auto"/>
        <w:rPr>
          <w:sz w:val="24"/>
          <w:szCs w:val="24"/>
        </w:rPr>
      </w:pPr>
      <w:r>
        <w:rPr>
          <w:b/>
          <w:sz w:val="24"/>
          <w:szCs w:val="24"/>
        </w:rPr>
        <w:lastRenderedPageBreak/>
        <w:t>1</w:t>
      </w:r>
      <w:r>
        <w:rPr>
          <w:b/>
          <w:sz w:val="24"/>
          <w:szCs w:val="24"/>
        </w:rPr>
        <w:tab/>
        <w:t>INTRODUÇÃO</w:t>
      </w:r>
    </w:p>
    <w:p w14:paraId="43091356" w14:textId="77777777" w:rsidR="00710ECC" w:rsidRDefault="00000000">
      <w:pPr>
        <w:spacing w:line="360" w:lineRule="auto"/>
        <w:ind w:firstLine="708"/>
        <w:jc w:val="both"/>
        <w:rPr>
          <w:sz w:val="24"/>
          <w:szCs w:val="24"/>
        </w:rPr>
      </w:pPr>
      <w:r>
        <w:rPr>
          <w:sz w:val="24"/>
          <w:szCs w:val="24"/>
        </w:rPr>
        <w:t>A interseccionalidade está presente no cotidiano do Serviço Social. Em razão disso, o presente artigo propõe-se a realizar um debate acerca das categorias de gênero, raça e geração, articulando-as à atuação profissional dos/as Assistentes Sociais. Nos espaços de intervenção profissional, torna-se imprescindível adotar uma perspectiva crítica, alinhada ao projeto ético-político da profissão, de modo que os atendimentos estejam orientados à garantia de direitos.</w:t>
      </w:r>
    </w:p>
    <w:p w14:paraId="4E379266" w14:textId="77777777" w:rsidR="00710ECC" w:rsidRDefault="00000000">
      <w:pPr>
        <w:spacing w:line="360" w:lineRule="auto"/>
        <w:ind w:firstLine="708"/>
        <w:jc w:val="both"/>
        <w:rPr>
          <w:sz w:val="24"/>
          <w:szCs w:val="24"/>
        </w:rPr>
      </w:pPr>
      <w:r>
        <w:rPr>
          <w:sz w:val="24"/>
          <w:szCs w:val="24"/>
        </w:rPr>
        <w:t>No exercício profissional, evidenciam-se as expressões da questão social, que expõem as desigualdades vivenciadas pelos/as usuários/as, entre as quais se destaca o preconceito voltado às categorias que serão discutidas posteriormente.</w:t>
      </w:r>
    </w:p>
    <w:p w14:paraId="44F829D2" w14:textId="77777777" w:rsidR="00710ECC" w:rsidRDefault="00000000">
      <w:pPr>
        <w:spacing w:line="360" w:lineRule="auto"/>
        <w:ind w:firstLine="708"/>
        <w:jc w:val="both"/>
        <w:rPr>
          <w:sz w:val="24"/>
          <w:szCs w:val="24"/>
        </w:rPr>
      </w:pPr>
      <w:r>
        <w:rPr>
          <w:sz w:val="24"/>
          <w:szCs w:val="24"/>
        </w:rPr>
        <w:t>A presente pesquisa foi desenvolvida a partir da metodologia bibliográfica e documental, com a utilização de cartilhas, artigos, livros e fontes digitais, com vistas a fundamentar os temas abordados.</w:t>
      </w:r>
    </w:p>
    <w:p w14:paraId="7F694429" w14:textId="77777777" w:rsidR="00710ECC" w:rsidRDefault="00000000">
      <w:pPr>
        <w:spacing w:line="360" w:lineRule="auto"/>
        <w:ind w:firstLine="708"/>
        <w:jc w:val="both"/>
        <w:rPr>
          <w:sz w:val="24"/>
          <w:szCs w:val="24"/>
        </w:rPr>
      </w:pPr>
      <w:r>
        <w:rPr>
          <w:sz w:val="24"/>
          <w:szCs w:val="24"/>
        </w:rPr>
        <w:t>Dessa forma, objetiva-se discutir e evidenciar a interseccionalidade — gênero, raça e geração — no contexto da atuação profissional dos/as Assistentes Sociais, com ênfase nas desigualdades sociais. Destaca-se, ainda, a relevância de que teoria e prática caminhem de forma articulada, contribuindo para o fortalecimento da intervenção profissional, o enfrentamento ao preconceito, bem como a promoção da emancipação humana e a garantia dos direitos.</w:t>
      </w:r>
    </w:p>
    <w:p w14:paraId="0468E829" w14:textId="77777777" w:rsidR="00710ECC" w:rsidRDefault="00710ECC">
      <w:pPr>
        <w:spacing w:line="360" w:lineRule="auto"/>
        <w:ind w:firstLine="708"/>
        <w:jc w:val="both"/>
        <w:rPr>
          <w:sz w:val="24"/>
          <w:szCs w:val="24"/>
        </w:rPr>
      </w:pPr>
    </w:p>
    <w:p w14:paraId="479F2BC2" w14:textId="77777777" w:rsidR="00710ECC" w:rsidRDefault="00000000">
      <w:pPr>
        <w:spacing w:line="360" w:lineRule="auto"/>
        <w:jc w:val="both"/>
        <w:rPr>
          <w:sz w:val="24"/>
          <w:szCs w:val="24"/>
        </w:rPr>
      </w:pPr>
      <w:r>
        <w:rPr>
          <w:b/>
          <w:sz w:val="24"/>
          <w:szCs w:val="24"/>
        </w:rPr>
        <w:t>2</w:t>
      </w:r>
      <w:r>
        <w:rPr>
          <w:b/>
          <w:sz w:val="24"/>
          <w:szCs w:val="24"/>
        </w:rPr>
        <w:tab/>
        <w:t>DESENVOLVIMENTO</w:t>
      </w:r>
    </w:p>
    <w:p w14:paraId="405E9A87" w14:textId="77777777" w:rsidR="00710ECC" w:rsidRDefault="00710ECC">
      <w:pPr>
        <w:spacing w:line="360" w:lineRule="auto"/>
        <w:jc w:val="both"/>
        <w:rPr>
          <w:sz w:val="24"/>
          <w:szCs w:val="24"/>
        </w:rPr>
      </w:pPr>
    </w:p>
    <w:p w14:paraId="085AF9D9" w14:textId="77777777" w:rsidR="00710ECC" w:rsidRDefault="00000000">
      <w:pPr>
        <w:spacing w:line="360" w:lineRule="auto"/>
        <w:jc w:val="both"/>
        <w:rPr>
          <w:sz w:val="24"/>
          <w:szCs w:val="24"/>
        </w:rPr>
      </w:pPr>
      <w:r>
        <w:rPr>
          <w:b/>
          <w:sz w:val="24"/>
          <w:szCs w:val="24"/>
        </w:rPr>
        <w:t>2.1</w:t>
      </w:r>
      <w:r>
        <w:rPr>
          <w:b/>
          <w:sz w:val="24"/>
          <w:szCs w:val="24"/>
        </w:rPr>
        <w:tab/>
        <w:t>A Interseccionalidade como Ferramenta Analítica</w:t>
      </w:r>
    </w:p>
    <w:p w14:paraId="252FB447" w14:textId="77777777" w:rsidR="00710ECC" w:rsidRDefault="00000000">
      <w:pPr>
        <w:spacing w:line="360" w:lineRule="auto"/>
        <w:ind w:firstLine="720"/>
        <w:jc w:val="both"/>
        <w:rPr>
          <w:sz w:val="24"/>
          <w:szCs w:val="24"/>
        </w:rPr>
      </w:pPr>
      <w:r>
        <w:rPr>
          <w:sz w:val="24"/>
          <w:szCs w:val="24"/>
        </w:rPr>
        <w:t xml:space="preserve">O conceito de interseccionalidade surge da jurista e teórica crítica </w:t>
      </w:r>
      <w:proofErr w:type="spellStart"/>
      <w:r>
        <w:rPr>
          <w:sz w:val="24"/>
          <w:szCs w:val="24"/>
        </w:rPr>
        <w:t>Kimberlé</w:t>
      </w:r>
      <w:proofErr w:type="spellEnd"/>
      <w:r>
        <w:rPr>
          <w:sz w:val="24"/>
          <w:szCs w:val="24"/>
        </w:rPr>
        <w:t xml:space="preserve"> </w:t>
      </w:r>
      <w:proofErr w:type="spellStart"/>
      <w:r>
        <w:rPr>
          <w:sz w:val="24"/>
          <w:szCs w:val="24"/>
        </w:rPr>
        <w:t>Crenshaw</w:t>
      </w:r>
      <w:proofErr w:type="spellEnd"/>
      <w:r>
        <w:rPr>
          <w:sz w:val="24"/>
          <w:szCs w:val="24"/>
        </w:rPr>
        <w:t xml:space="preserve"> a partir do movimento de mulheres negras nos Estados Unidos em 1989. Conforme ressalta </w:t>
      </w:r>
      <w:proofErr w:type="spellStart"/>
      <w:r>
        <w:rPr>
          <w:sz w:val="24"/>
          <w:szCs w:val="24"/>
        </w:rPr>
        <w:t>Crenshaw</w:t>
      </w:r>
      <w:proofErr w:type="spellEnd"/>
      <w:r>
        <w:rPr>
          <w:sz w:val="24"/>
          <w:szCs w:val="24"/>
        </w:rPr>
        <w:t xml:space="preserve"> (1989) esse termo evidência como a raça e o gênero, além de outros marcadores sociais, irão se combinar de forma indissociável para uma compreensão mais ampla das particularidades e vivências de cada sujeito. </w:t>
      </w:r>
    </w:p>
    <w:p w14:paraId="3223D558" w14:textId="77777777" w:rsidR="00710ECC" w:rsidRDefault="00000000">
      <w:pPr>
        <w:spacing w:line="360" w:lineRule="auto"/>
        <w:jc w:val="both"/>
        <w:rPr>
          <w:sz w:val="24"/>
          <w:szCs w:val="24"/>
        </w:rPr>
      </w:pPr>
      <w:r>
        <w:rPr>
          <w:sz w:val="24"/>
          <w:szCs w:val="24"/>
        </w:rPr>
        <w:lastRenderedPageBreak/>
        <w:tab/>
        <w:t xml:space="preserve">A interseccionalidade tem sido um instrumental de fundamental importância nas ciências sociais e humanas, especialmente no campo do Serviço Social. Esse conceito permite uma compreensão mais ampla das formas existentes de opressão tais como o capacitismo, sexismo, racismo, classismo, </w:t>
      </w:r>
      <w:proofErr w:type="spellStart"/>
      <w:r>
        <w:rPr>
          <w:sz w:val="24"/>
          <w:szCs w:val="24"/>
        </w:rPr>
        <w:t>lgbtfobia</w:t>
      </w:r>
      <w:proofErr w:type="spellEnd"/>
      <w:r>
        <w:rPr>
          <w:sz w:val="24"/>
          <w:szCs w:val="24"/>
        </w:rPr>
        <w:t xml:space="preserve"> e os impactos que causam na vida dos sujeitos reproduzindo desse modo desigualdades complexas e específicas. </w:t>
      </w:r>
    </w:p>
    <w:p w14:paraId="23BC6ABC" w14:textId="77777777" w:rsidR="00710ECC" w:rsidRDefault="00000000">
      <w:pPr>
        <w:spacing w:line="360" w:lineRule="auto"/>
        <w:ind w:firstLine="720"/>
        <w:jc w:val="both"/>
        <w:rPr>
          <w:sz w:val="24"/>
          <w:szCs w:val="24"/>
        </w:rPr>
      </w:pPr>
      <w:r>
        <w:rPr>
          <w:sz w:val="24"/>
          <w:szCs w:val="24"/>
        </w:rPr>
        <w:t xml:space="preserve">É a partir da interseccionalidade que o Serviço Social consegue aprimorar a análise das expressões da questão social. Não mais considerando apenas uma categoria isolada, como classe, gênero ou raça, é com o enfoque interseccional que o profissional reconhece que essas categorias se interligam e moldam as condições de vida desses sujeitos assim como também as formas de exclusão social. Desse modo, o/a Assistente Social passa a ter uma análise mais ampla nessa compreensão e nas determinações que atravessam os sujeitos e as experiências vividas por estes conforme ressalta Machado (2022). </w:t>
      </w:r>
    </w:p>
    <w:p w14:paraId="0E577901" w14:textId="77777777" w:rsidR="00710ECC" w:rsidRDefault="00000000">
      <w:pPr>
        <w:spacing w:line="360" w:lineRule="auto"/>
        <w:ind w:firstLine="720"/>
        <w:jc w:val="both"/>
        <w:rPr>
          <w:sz w:val="24"/>
          <w:szCs w:val="24"/>
        </w:rPr>
      </w:pPr>
      <w:r>
        <w:rPr>
          <w:sz w:val="24"/>
          <w:szCs w:val="24"/>
        </w:rPr>
        <w:t xml:space="preserve">Com essa nova perspectiva de atuação, a prática profissional do Assistente Social tem impactos positivos, pois é partindo dela que as intervenções se tornam   mais sensíveis e eficazes, algo que é de fundamental importância, e que irá se considerar a particularidade de cada usuário dos serviços de saúde, de educação, socioassistenciais e em todos os outros campos que o serviço social se faz presente. </w:t>
      </w:r>
    </w:p>
    <w:p w14:paraId="4CC9D283" w14:textId="77777777" w:rsidR="00710ECC" w:rsidRDefault="00000000">
      <w:pPr>
        <w:spacing w:line="360" w:lineRule="auto"/>
        <w:ind w:firstLine="720"/>
        <w:jc w:val="both"/>
        <w:rPr>
          <w:sz w:val="24"/>
          <w:szCs w:val="24"/>
        </w:rPr>
      </w:pPr>
      <w:r>
        <w:rPr>
          <w:sz w:val="24"/>
          <w:szCs w:val="24"/>
        </w:rPr>
        <w:t xml:space="preserve">Assim como destaca Machado (2022), é também com a interseccionalidade que há uma ampliação nas bases teórico-metodológicas do Serviço Social, onde a profissão é influenciada de maneira direta. Vai instigar a problematização das políticas públicas vigentes assim como a própria organização institucional, realizando denúncias em que haja práticas discriminatórias e consequentemente propondo novos caminhos para uma atuação em que haja justiça e equidade. </w:t>
      </w:r>
    </w:p>
    <w:p w14:paraId="759DB970" w14:textId="77777777" w:rsidR="00710ECC" w:rsidRDefault="00000000">
      <w:pPr>
        <w:spacing w:line="360" w:lineRule="auto"/>
        <w:ind w:firstLine="720"/>
        <w:jc w:val="both"/>
        <w:rPr>
          <w:sz w:val="24"/>
          <w:szCs w:val="24"/>
        </w:rPr>
      </w:pPr>
      <w:r>
        <w:rPr>
          <w:sz w:val="24"/>
          <w:szCs w:val="24"/>
        </w:rPr>
        <w:t xml:space="preserve">Contudo, vale ressaltar que essa inserção da interseccionalidade ao Serviço Social não significa uma substituição da já existente análise de classes, mas sim um aprofundamento. Essa leitura interseccional vai dar uma amplitude sobre a </w:t>
      </w:r>
      <w:r>
        <w:rPr>
          <w:sz w:val="24"/>
          <w:szCs w:val="24"/>
        </w:rPr>
        <w:lastRenderedPageBreak/>
        <w:t xml:space="preserve">compreensão das diversas opressões que estão articuladas ao sistema capitalista, reforçando dessa maneira a luta por direitos humanos e pela justiça social. </w:t>
      </w:r>
    </w:p>
    <w:p w14:paraId="3EDFF353" w14:textId="77777777" w:rsidR="00710ECC" w:rsidRDefault="00000000">
      <w:pPr>
        <w:spacing w:line="360" w:lineRule="auto"/>
        <w:jc w:val="both"/>
        <w:rPr>
          <w:sz w:val="24"/>
          <w:szCs w:val="24"/>
        </w:rPr>
      </w:pPr>
      <w:r>
        <w:rPr>
          <w:sz w:val="24"/>
          <w:szCs w:val="24"/>
        </w:rPr>
        <w:tab/>
        <w:t xml:space="preserve">Por fim, devemos entender que a interseccionalidade vai para além de apenas uma ferramenta teórica, esta serve como um ponto de orientação para a prática profissional do/a Assistente Social que é comprometido com a transformação social, a equidade </w:t>
      </w:r>
      <w:proofErr w:type="gramStart"/>
      <w:r>
        <w:rPr>
          <w:sz w:val="24"/>
          <w:szCs w:val="24"/>
        </w:rPr>
        <w:t>e também</w:t>
      </w:r>
      <w:proofErr w:type="gramEnd"/>
      <w:r>
        <w:rPr>
          <w:sz w:val="24"/>
          <w:szCs w:val="24"/>
        </w:rPr>
        <w:t xml:space="preserve"> valoriza as múltiplas vozes e vivências de cada um dos sujeitos sociais. </w:t>
      </w:r>
    </w:p>
    <w:p w14:paraId="308697E3" w14:textId="77777777" w:rsidR="00710ECC" w:rsidRDefault="00710ECC">
      <w:pPr>
        <w:spacing w:line="360" w:lineRule="auto"/>
        <w:jc w:val="both"/>
        <w:rPr>
          <w:sz w:val="24"/>
          <w:szCs w:val="24"/>
        </w:rPr>
      </w:pPr>
    </w:p>
    <w:p w14:paraId="367DA60C" w14:textId="4EC587CE" w:rsidR="00710ECC" w:rsidRDefault="00000000">
      <w:pPr>
        <w:spacing w:line="360" w:lineRule="auto"/>
        <w:jc w:val="both"/>
        <w:rPr>
          <w:b/>
          <w:sz w:val="24"/>
          <w:szCs w:val="24"/>
        </w:rPr>
      </w:pPr>
      <w:proofErr w:type="gramStart"/>
      <w:r>
        <w:rPr>
          <w:b/>
          <w:sz w:val="24"/>
          <w:szCs w:val="24"/>
        </w:rPr>
        <w:t xml:space="preserve">2.2  </w:t>
      </w:r>
      <w:r w:rsidR="006955BA">
        <w:rPr>
          <w:b/>
          <w:sz w:val="24"/>
          <w:szCs w:val="24"/>
        </w:rPr>
        <w:tab/>
      </w:r>
      <w:proofErr w:type="gramEnd"/>
      <w:r>
        <w:rPr>
          <w:b/>
          <w:sz w:val="24"/>
          <w:szCs w:val="24"/>
        </w:rPr>
        <w:t>Gênero e a luta pela equidade no Serviço Social</w:t>
      </w:r>
    </w:p>
    <w:p w14:paraId="0D57F83F" w14:textId="30720964" w:rsidR="00710ECC" w:rsidRDefault="00000000">
      <w:pPr>
        <w:spacing w:line="360" w:lineRule="auto"/>
        <w:jc w:val="both"/>
        <w:rPr>
          <w:sz w:val="24"/>
          <w:szCs w:val="24"/>
        </w:rPr>
      </w:pPr>
      <w:r>
        <w:rPr>
          <w:b/>
          <w:sz w:val="24"/>
          <w:szCs w:val="24"/>
        </w:rPr>
        <w:tab/>
      </w:r>
      <w:r>
        <w:rPr>
          <w:sz w:val="24"/>
          <w:szCs w:val="24"/>
        </w:rPr>
        <w:t xml:space="preserve">A discussão sobre gênero no Serviço Social se insere no compromisso histórico da profissão com a defesa dos direitos humanos, da equidade e da justiça </w:t>
      </w:r>
      <w:r w:rsidR="006955BA">
        <w:rPr>
          <w:sz w:val="24"/>
          <w:szCs w:val="24"/>
        </w:rPr>
        <w:t>social (</w:t>
      </w:r>
      <w:proofErr w:type="spellStart"/>
      <w:r>
        <w:rPr>
          <w:sz w:val="24"/>
          <w:szCs w:val="24"/>
        </w:rPr>
        <w:t>Iamamoto</w:t>
      </w:r>
      <w:proofErr w:type="spellEnd"/>
      <w:r>
        <w:rPr>
          <w:sz w:val="24"/>
          <w:szCs w:val="24"/>
        </w:rPr>
        <w:t xml:space="preserve">, 2008). A categoria gênero, enquanto construção social e histórica das diferenças entre homens e mulheres, permite compreender como as relações sociais são estruturadas de forma desigual e hierárquica, produzindo e reproduzindo opressões que se manifestam nos mais diversos contextos (Scott, 1991). </w:t>
      </w:r>
    </w:p>
    <w:p w14:paraId="02DB5338" w14:textId="77777777" w:rsidR="00710ECC" w:rsidRDefault="00000000">
      <w:pPr>
        <w:spacing w:line="360" w:lineRule="auto"/>
        <w:ind w:firstLine="720"/>
        <w:jc w:val="both"/>
        <w:rPr>
          <w:sz w:val="24"/>
          <w:szCs w:val="24"/>
        </w:rPr>
      </w:pPr>
      <w:r>
        <w:rPr>
          <w:sz w:val="24"/>
          <w:szCs w:val="24"/>
        </w:rPr>
        <w:t>Para o Serviço Social, reconhecer essas desigualdades é essencial na formulação e implementação de políticas públicas que visem à superação das violências e da exclusão vividas pelas mulheres, em especial pelas mulheres negras, indígenas, LGBTQIAPN+</w:t>
      </w:r>
      <w:r>
        <w:rPr>
          <w:sz w:val="24"/>
          <w:szCs w:val="24"/>
          <w:vertAlign w:val="superscript"/>
        </w:rPr>
        <w:footnoteReference w:id="4"/>
      </w:r>
      <w:r>
        <w:rPr>
          <w:sz w:val="24"/>
          <w:szCs w:val="24"/>
        </w:rPr>
        <w:t xml:space="preserve"> e em situação de vulnerabilidade socioeconômica (</w:t>
      </w:r>
      <w:proofErr w:type="spellStart"/>
      <w:r>
        <w:rPr>
          <w:sz w:val="24"/>
          <w:szCs w:val="24"/>
        </w:rPr>
        <w:t>Saffioti</w:t>
      </w:r>
      <w:proofErr w:type="spellEnd"/>
      <w:r>
        <w:rPr>
          <w:sz w:val="24"/>
          <w:szCs w:val="24"/>
        </w:rPr>
        <w:t>, 2004; Ribeiro, 2017).</w:t>
      </w:r>
    </w:p>
    <w:p w14:paraId="33144604" w14:textId="5C8547C1" w:rsidR="00710ECC" w:rsidRDefault="00000000">
      <w:pPr>
        <w:spacing w:line="360" w:lineRule="auto"/>
        <w:ind w:firstLine="720"/>
        <w:jc w:val="both"/>
        <w:rPr>
          <w:sz w:val="24"/>
          <w:szCs w:val="24"/>
        </w:rPr>
      </w:pPr>
      <w:r>
        <w:rPr>
          <w:sz w:val="24"/>
          <w:szCs w:val="24"/>
        </w:rPr>
        <w:t xml:space="preserve">As expressões da questão social atravessadas por relações de gênero são visíveis nas múltiplas formas de violência, na divisão sexual do trabalho, na feminização da pobreza e na sobrecarga das responsabilidades de cuidado e reprodução social atribuídas historicamente às mulheres. Nesse cenário, o Serviço Social como profissão, atua diretamente com os usuários impactados por essas </w:t>
      </w:r>
      <w:r>
        <w:rPr>
          <w:sz w:val="24"/>
          <w:szCs w:val="24"/>
        </w:rPr>
        <w:lastRenderedPageBreak/>
        <w:t xml:space="preserve">desigualdades, demandando dos profissionais uma leitura crítica e interseccional </w:t>
      </w:r>
      <w:r w:rsidR="006955BA">
        <w:rPr>
          <w:sz w:val="24"/>
          <w:szCs w:val="24"/>
        </w:rPr>
        <w:t>da realidade</w:t>
      </w:r>
      <w:r>
        <w:rPr>
          <w:sz w:val="24"/>
          <w:szCs w:val="24"/>
        </w:rPr>
        <w:t xml:space="preserve"> social que considere essas complexidades (</w:t>
      </w:r>
      <w:proofErr w:type="spellStart"/>
      <w:r>
        <w:rPr>
          <w:sz w:val="24"/>
          <w:szCs w:val="24"/>
        </w:rPr>
        <w:t>Iamamoto</w:t>
      </w:r>
      <w:proofErr w:type="spellEnd"/>
      <w:r>
        <w:rPr>
          <w:sz w:val="24"/>
          <w:szCs w:val="24"/>
        </w:rPr>
        <w:t xml:space="preserve">, 2008). </w:t>
      </w:r>
    </w:p>
    <w:p w14:paraId="2BCEC38D" w14:textId="77777777" w:rsidR="00710ECC" w:rsidRDefault="00000000">
      <w:pPr>
        <w:spacing w:line="360" w:lineRule="auto"/>
        <w:ind w:firstLine="720"/>
        <w:jc w:val="both"/>
        <w:rPr>
          <w:sz w:val="24"/>
          <w:szCs w:val="24"/>
        </w:rPr>
      </w:pPr>
      <w:r>
        <w:rPr>
          <w:sz w:val="24"/>
          <w:szCs w:val="24"/>
        </w:rPr>
        <w:t xml:space="preserve">Conforme ressalta </w:t>
      </w:r>
      <w:proofErr w:type="spellStart"/>
      <w:r>
        <w:rPr>
          <w:sz w:val="24"/>
          <w:szCs w:val="24"/>
        </w:rPr>
        <w:t>Saffioti</w:t>
      </w:r>
      <w:proofErr w:type="spellEnd"/>
      <w:r>
        <w:rPr>
          <w:sz w:val="24"/>
          <w:szCs w:val="24"/>
        </w:rPr>
        <w:t xml:space="preserve"> (2004), a opressão de gênero se entrelaça com outras formas de dominação, como classe e raça, produzindo experiências sociais complexas que exigem abordagens sensíveis e politicamente engajadas.</w:t>
      </w:r>
    </w:p>
    <w:p w14:paraId="3630B644" w14:textId="77777777" w:rsidR="00710ECC" w:rsidRDefault="00000000">
      <w:pPr>
        <w:spacing w:line="360" w:lineRule="auto"/>
        <w:ind w:firstLine="720"/>
        <w:jc w:val="both"/>
        <w:rPr>
          <w:sz w:val="24"/>
          <w:szCs w:val="24"/>
        </w:rPr>
      </w:pPr>
      <w:r>
        <w:rPr>
          <w:sz w:val="24"/>
          <w:szCs w:val="24"/>
        </w:rPr>
        <w:t>A crítica às desigualdades de gênero no Serviço Social deve ir além da denúncia abstrata das opressões. É necessário que essa crítica seja incorporada à prática cotidiana por meio da problematização das relações sociais que desvalorizam as mulheres, especialmente aquelas que enfrentam as formas mais agudas de exploração (</w:t>
      </w:r>
      <w:proofErr w:type="spellStart"/>
      <w:r>
        <w:rPr>
          <w:sz w:val="24"/>
          <w:szCs w:val="24"/>
        </w:rPr>
        <w:t>Iamamoto</w:t>
      </w:r>
      <w:proofErr w:type="spellEnd"/>
      <w:r>
        <w:rPr>
          <w:sz w:val="24"/>
          <w:szCs w:val="24"/>
        </w:rPr>
        <w:t xml:space="preserve">, 2008). A escuta qualificada das experiências das usuárias, muitas vezes marcadas por trajetórias de violência e negação de direitos, é fundamental. </w:t>
      </w:r>
    </w:p>
    <w:p w14:paraId="05CD1178" w14:textId="77777777" w:rsidR="00710ECC" w:rsidRDefault="00000000">
      <w:pPr>
        <w:spacing w:line="360" w:lineRule="auto"/>
        <w:ind w:firstLine="720"/>
        <w:jc w:val="both"/>
        <w:rPr>
          <w:sz w:val="24"/>
          <w:szCs w:val="24"/>
        </w:rPr>
      </w:pPr>
      <w:r>
        <w:rPr>
          <w:sz w:val="24"/>
          <w:szCs w:val="24"/>
        </w:rPr>
        <w:t>Mais do que responder às demandas imediatas, cabe ao Serviço Social promover ações que fortaleçam as mulheres enquanto sujeitos de direitos, valorizando suas vozes e formas de organização (Ribeiro, 2017). Essa prática ultrapassa a dimensão técnica e assume compromisso ético com a transformação social (</w:t>
      </w:r>
      <w:proofErr w:type="spellStart"/>
      <w:r>
        <w:rPr>
          <w:sz w:val="24"/>
          <w:szCs w:val="24"/>
        </w:rPr>
        <w:t>Iamamoto</w:t>
      </w:r>
      <w:proofErr w:type="spellEnd"/>
      <w:r>
        <w:rPr>
          <w:sz w:val="24"/>
          <w:szCs w:val="24"/>
        </w:rPr>
        <w:t>, 2008).</w:t>
      </w:r>
    </w:p>
    <w:p w14:paraId="2723D601" w14:textId="77777777" w:rsidR="00710ECC" w:rsidRDefault="00000000">
      <w:pPr>
        <w:spacing w:line="360" w:lineRule="auto"/>
        <w:ind w:firstLine="720"/>
        <w:jc w:val="both"/>
        <w:rPr>
          <w:sz w:val="24"/>
          <w:szCs w:val="24"/>
        </w:rPr>
      </w:pPr>
      <w:r>
        <w:rPr>
          <w:sz w:val="24"/>
          <w:szCs w:val="24"/>
        </w:rPr>
        <w:t xml:space="preserve">No âmbito da intervenção profissional, a luta por equidade de gênero exige que o Serviço Social supere práticas marcadas pelo assistencialismo e avance na construção de estratégias que fortaleçam o protagonismo das usuárias e enfrentem, de forma intencional e crítica, as estruturas patriarcais que sustentam as desigualdades sociais. Isso implica tanto a atuação direta junto ao </w:t>
      </w:r>
      <w:proofErr w:type="gramStart"/>
      <w:r>
        <w:rPr>
          <w:sz w:val="24"/>
          <w:szCs w:val="24"/>
        </w:rPr>
        <w:t>público alvo</w:t>
      </w:r>
      <w:proofErr w:type="gramEnd"/>
      <w:r>
        <w:rPr>
          <w:sz w:val="24"/>
          <w:szCs w:val="24"/>
        </w:rPr>
        <w:t xml:space="preserve">, quanto o posicionamento crítico nas instituições e na defesa de políticas públicas que garantam direitos reprodutivos, igualdade salarial, acesso à educação, saúde e enfrentamento à violência. </w:t>
      </w:r>
    </w:p>
    <w:p w14:paraId="24D59AB0" w14:textId="77777777" w:rsidR="00710ECC" w:rsidRDefault="00000000">
      <w:pPr>
        <w:spacing w:line="360" w:lineRule="auto"/>
        <w:ind w:firstLine="720"/>
        <w:jc w:val="both"/>
        <w:rPr>
          <w:sz w:val="24"/>
          <w:szCs w:val="24"/>
        </w:rPr>
      </w:pPr>
      <w:r>
        <w:rPr>
          <w:sz w:val="24"/>
          <w:szCs w:val="24"/>
        </w:rPr>
        <w:t>A atuação nos serviços de saúde, assistência social, justiça e educação, por exemplo, demanda o reconhecimento das múltiplas opressões que atravessam o cotidiano das mulheres, exigindo do/a Assistente Social não apenas conhecimento técnico, mas também posicionamento ético-político.</w:t>
      </w:r>
    </w:p>
    <w:p w14:paraId="319C1FDD" w14:textId="77777777" w:rsidR="00710ECC" w:rsidRDefault="00000000">
      <w:pPr>
        <w:spacing w:line="360" w:lineRule="auto"/>
        <w:ind w:firstLine="720"/>
        <w:jc w:val="both"/>
        <w:rPr>
          <w:sz w:val="24"/>
          <w:szCs w:val="24"/>
        </w:rPr>
      </w:pPr>
      <w:r>
        <w:rPr>
          <w:sz w:val="24"/>
          <w:szCs w:val="24"/>
        </w:rPr>
        <w:lastRenderedPageBreak/>
        <w:t xml:space="preserve">A construção da equidade de gênero, portanto, não é uma tarefa neutra nem descolada da luta por transformação social. Ela exige a articulação entre teoria crítica, militância feminista e prática profissional comprometida com a emancipação humana. Nesse sentido, </w:t>
      </w:r>
      <w:proofErr w:type="spellStart"/>
      <w:r>
        <w:rPr>
          <w:sz w:val="24"/>
          <w:szCs w:val="24"/>
        </w:rPr>
        <w:t>Iamamoto</w:t>
      </w:r>
      <w:proofErr w:type="spellEnd"/>
      <w:r>
        <w:rPr>
          <w:sz w:val="24"/>
          <w:szCs w:val="24"/>
        </w:rPr>
        <w:t xml:space="preserve"> (2008) destaca que o Serviço Social, enquanto profissão inserida nas contradições do capital, deve se posicionar de forma ativa frente às desigualdades estruturais, reafirmando seu projeto ético-político como instrumento de resistência e mudança social.</w:t>
      </w:r>
    </w:p>
    <w:p w14:paraId="4D7F3787" w14:textId="77777777" w:rsidR="00710ECC" w:rsidRDefault="00000000">
      <w:pPr>
        <w:spacing w:line="360" w:lineRule="auto"/>
        <w:ind w:firstLine="720"/>
        <w:jc w:val="both"/>
        <w:rPr>
          <w:sz w:val="24"/>
          <w:szCs w:val="24"/>
        </w:rPr>
      </w:pPr>
      <w:r>
        <w:rPr>
          <w:sz w:val="24"/>
          <w:szCs w:val="24"/>
        </w:rPr>
        <w:t>Assim, incorporar a perspectiva de gênero à prática do Serviço Social é reconhecer que a neutralidade técnica não existe e que a intervenção profissional deve ser orientada por uma leitura crítica das relações sociais, capaz de enfrentar as desigualdades e contribuir para a construção de uma sociedade mais justa, plural e democrática.</w:t>
      </w:r>
    </w:p>
    <w:p w14:paraId="24821282" w14:textId="77777777" w:rsidR="00710ECC" w:rsidRDefault="00710ECC">
      <w:pPr>
        <w:spacing w:line="360" w:lineRule="auto"/>
        <w:jc w:val="both"/>
        <w:rPr>
          <w:sz w:val="24"/>
          <w:szCs w:val="24"/>
        </w:rPr>
      </w:pPr>
    </w:p>
    <w:p w14:paraId="2D0CBE40" w14:textId="77777777" w:rsidR="00710ECC" w:rsidRDefault="00000000">
      <w:pPr>
        <w:spacing w:line="360" w:lineRule="auto"/>
        <w:jc w:val="both"/>
        <w:rPr>
          <w:b/>
          <w:sz w:val="24"/>
          <w:szCs w:val="24"/>
        </w:rPr>
      </w:pPr>
      <w:r>
        <w:rPr>
          <w:b/>
          <w:sz w:val="24"/>
          <w:szCs w:val="24"/>
        </w:rPr>
        <w:t>2.3</w:t>
      </w:r>
      <w:r>
        <w:rPr>
          <w:b/>
          <w:sz w:val="24"/>
          <w:szCs w:val="24"/>
        </w:rPr>
        <w:tab/>
        <w:t>Questões Étnico-Raciais: o Racismo Estrutural e o Serviço Social</w:t>
      </w:r>
    </w:p>
    <w:p w14:paraId="5CEB597E" w14:textId="77777777" w:rsidR="00710ECC" w:rsidRDefault="00000000">
      <w:pPr>
        <w:spacing w:line="360" w:lineRule="auto"/>
        <w:jc w:val="both"/>
        <w:rPr>
          <w:sz w:val="24"/>
          <w:szCs w:val="24"/>
        </w:rPr>
      </w:pPr>
      <w:r>
        <w:rPr>
          <w:sz w:val="24"/>
          <w:szCs w:val="24"/>
        </w:rPr>
        <w:tab/>
        <w:t>O debate sobre as questões étnico-raciais no âmbito de nossa profissão é uma exigência ética, política e teórica diante da realidade brasileira profundamente marcada pelo racismo estrutural, que diferentemente de atitudes isoladas de preconceito, é um sistema enraizado historicamente que molda as instituições, as políticas públicas e as relações sociais, sustentando desigualdades profundas que afetam principalmente as populações negra e indígena (Silva, 2019).</w:t>
      </w:r>
    </w:p>
    <w:p w14:paraId="4BD5121C" w14:textId="77777777" w:rsidR="00710ECC" w:rsidRDefault="00000000">
      <w:pPr>
        <w:spacing w:line="360" w:lineRule="auto"/>
        <w:ind w:firstLine="720"/>
        <w:jc w:val="both"/>
        <w:rPr>
          <w:sz w:val="24"/>
          <w:szCs w:val="24"/>
        </w:rPr>
      </w:pPr>
      <w:r>
        <w:rPr>
          <w:sz w:val="24"/>
          <w:szCs w:val="24"/>
        </w:rPr>
        <w:t>Reconhecer o racismo como parte constitutiva da questão social é essencial para a prática crítica da profissão. A sociedade brasileira foi construída sobre bases escravocratas, e mesmo após a abolição, a ausência de políticas de reparação e os mecanismos de exclusão mantêm as marcas da subalternização racial. A precarização das condições de vida, a violência estatal e a marginalização dos territórios ocupados por essas populações revelam a persistência de um sistema que as exclui e controla.</w:t>
      </w:r>
    </w:p>
    <w:p w14:paraId="4824A61F" w14:textId="77777777" w:rsidR="00710ECC" w:rsidRDefault="00000000">
      <w:pPr>
        <w:spacing w:line="360" w:lineRule="auto"/>
        <w:ind w:firstLine="720"/>
        <w:jc w:val="both"/>
        <w:rPr>
          <w:sz w:val="24"/>
          <w:szCs w:val="24"/>
        </w:rPr>
      </w:pPr>
      <w:r>
        <w:rPr>
          <w:sz w:val="24"/>
          <w:szCs w:val="24"/>
        </w:rPr>
        <w:t xml:space="preserve">Nesse contexto, o Serviço Social como profissão se posiciona de forma ativa, rompendo com a neutralidade técnica e reafirmando seu compromisso com os direitos </w:t>
      </w:r>
      <w:r>
        <w:rPr>
          <w:sz w:val="24"/>
          <w:szCs w:val="24"/>
        </w:rPr>
        <w:lastRenderedPageBreak/>
        <w:t>humanos e com a justiça racial (Campos &amp; Gomes, 2016). Isso implica adotar uma escuta qualificada e realizar análises que levem em consideração os impactos do racismo no cotidiano dos sujeitos atendidos, especialmente no acesso a direitos, políticas públicas e oportunidades.</w:t>
      </w:r>
    </w:p>
    <w:p w14:paraId="4105C6F5" w14:textId="77777777" w:rsidR="00710ECC" w:rsidRDefault="00000000">
      <w:pPr>
        <w:spacing w:line="360" w:lineRule="auto"/>
        <w:ind w:firstLine="720"/>
        <w:jc w:val="both"/>
        <w:rPr>
          <w:sz w:val="24"/>
          <w:szCs w:val="24"/>
        </w:rPr>
      </w:pPr>
      <w:r>
        <w:rPr>
          <w:sz w:val="24"/>
          <w:szCs w:val="24"/>
        </w:rPr>
        <w:t xml:space="preserve">A obra de Carolina Maria de Jesus, especialmente </w:t>
      </w:r>
      <w:r>
        <w:rPr>
          <w:i/>
          <w:sz w:val="24"/>
          <w:szCs w:val="24"/>
        </w:rPr>
        <w:t>Quarto de Despejo: Diário de uma Favelada</w:t>
      </w:r>
      <w:r>
        <w:rPr>
          <w:sz w:val="24"/>
          <w:szCs w:val="24"/>
        </w:rPr>
        <w:t xml:space="preserve"> (1960), é um exemplo potente da denúncia dos efeitos do racismo estrutural na vida das mulheres negras em contextos de vulnerabilidade socioeconômica. Sua escrita, marcada pela simplicidade e sensibilidade, evidencia a fome, a exclusão e a violência simbólica vividas nas favelas. Ao afirmar: “O Brasil precisa ser dirigido por uma pessoa que já passou fome” (sic), Carolina revela a distância entre os governantes e as populações marginalizadas, oferecendo uma leitura crítica da realidade que dialoga diretamente com os princípios do Serviço Social (Jesus, 2015).</w:t>
      </w:r>
    </w:p>
    <w:p w14:paraId="15AE7ABA" w14:textId="77777777" w:rsidR="00710ECC" w:rsidRDefault="00000000">
      <w:pPr>
        <w:spacing w:line="360" w:lineRule="auto"/>
        <w:ind w:firstLine="720"/>
        <w:jc w:val="both"/>
        <w:rPr>
          <w:sz w:val="24"/>
          <w:szCs w:val="24"/>
        </w:rPr>
      </w:pPr>
      <w:r>
        <w:rPr>
          <w:sz w:val="24"/>
          <w:szCs w:val="24"/>
        </w:rPr>
        <w:t>Reconhecer e valorizar os saberes produzidos nas periferias, como propõe Ribeiro (2017), é uma forma de romper com epistemologias excludentes e de enriquecer a prática profissional. Incorporar as experiências e vozes de mulheres negras é também afirmar sua centralidade como produtoras de conhecimento e resistência.</w:t>
      </w:r>
    </w:p>
    <w:p w14:paraId="61A6DD40" w14:textId="77777777" w:rsidR="00710ECC" w:rsidRDefault="00000000">
      <w:pPr>
        <w:spacing w:line="360" w:lineRule="auto"/>
        <w:ind w:firstLine="720"/>
        <w:jc w:val="both"/>
        <w:rPr>
          <w:sz w:val="24"/>
          <w:szCs w:val="24"/>
        </w:rPr>
      </w:pPr>
      <w:r>
        <w:rPr>
          <w:sz w:val="24"/>
          <w:szCs w:val="24"/>
        </w:rPr>
        <w:t>A atuação profissional em espaços como Centro de Referência de Assistência Social (CRAS), Centro de Referência Especializado de Assistência Social (CREAS), unidades de saúde, escolas e instituições do sistema de justiça, exigem estratégias que enfrentem os mecanismos institucionais de reprodução do racismo. O compromisso com uma prática antirracista vai além do atendimento individual, demandando ações coletivas e posicionamentos políticos que visem transformar as estruturas de exclusão.</w:t>
      </w:r>
    </w:p>
    <w:p w14:paraId="5982DC7B" w14:textId="77777777" w:rsidR="00710ECC" w:rsidRDefault="00000000">
      <w:pPr>
        <w:spacing w:line="360" w:lineRule="auto"/>
        <w:ind w:firstLine="720"/>
        <w:jc w:val="both"/>
        <w:rPr>
          <w:sz w:val="24"/>
          <w:szCs w:val="24"/>
        </w:rPr>
      </w:pPr>
      <w:r>
        <w:rPr>
          <w:sz w:val="24"/>
          <w:szCs w:val="24"/>
        </w:rPr>
        <w:t xml:space="preserve">Autoras como Lélia Gonzalez e Sueli Carneiro são referências fundamentais para fortalecer uma leitura crítica e interseccional da realidade. Gonzalez (1988) denuncia o mito da democracia racial como uma ideologia que mascara as hierarquias raciais, mantendo a subalternização dos corpos negros, especialmente das mulheres. </w:t>
      </w:r>
      <w:r>
        <w:rPr>
          <w:sz w:val="24"/>
          <w:szCs w:val="24"/>
        </w:rPr>
        <w:lastRenderedPageBreak/>
        <w:t>Incorporar essas contribuições ao Serviço Social amplia seu campo analítico e reafirma o projeto ético-político da profissão.</w:t>
      </w:r>
    </w:p>
    <w:p w14:paraId="0C513AAC" w14:textId="77777777" w:rsidR="00710ECC" w:rsidRDefault="00000000">
      <w:pPr>
        <w:spacing w:line="360" w:lineRule="auto"/>
        <w:ind w:firstLine="720"/>
        <w:jc w:val="both"/>
        <w:rPr>
          <w:sz w:val="24"/>
          <w:szCs w:val="24"/>
        </w:rPr>
      </w:pPr>
      <w:r>
        <w:rPr>
          <w:sz w:val="24"/>
          <w:szCs w:val="24"/>
        </w:rPr>
        <w:t>Como afirma Almeida (2019), não basta não ser racista, é preciso ser ativamente antirracista. Isso significa denunciar práticas discriminatórias, combater omissões institucionais e questionar discursos meritocráticos que culpabilizam os sujeitos por desigualdades historicamente produzidas. O combate ao racismo deve ser compreendido como parte indissociável da luta por justiça social, equidade e democracia.</w:t>
      </w:r>
    </w:p>
    <w:p w14:paraId="23447FC0" w14:textId="77777777" w:rsidR="00710ECC" w:rsidRDefault="00710ECC">
      <w:pPr>
        <w:spacing w:line="360" w:lineRule="auto"/>
        <w:ind w:firstLine="720"/>
        <w:jc w:val="both"/>
        <w:rPr>
          <w:sz w:val="24"/>
          <w:szCs w:val="24"/>
        </w:rPr>
      </w:pPr>
    </w:p>
    <w:p w14:paraId="15E5A31F" w14:textId="77777777" w:rsidR="00710ECC" w:rsidRDefault="00000000">
      <w:pPr>
        <w:spacing w:line="360" w:lineRule="auto"/>
        <w:jc w:val="both"/>
      </w:pPr>
      <w:r>
        <w:rPr>
          <w:b/>
          <w:sz w:val="24"/>
          <w:szCs w:val="24"/>
        </w:rPr>
        <w:t>2.4</w:t>
      </w:r>
      <w:r>
        <w:rPr>
          <w:b/>
          <w:sz w:val="24"/>
          <w:szCs w:val="24"/>
        </w:rPr>
        <w:tab/>
        <w:t>Desafios e Possibilidades na Prática Profissional</w:t>
      </w:r>
    </w:p>
    <w:p w14:paraId="25AFA2D9" w14:textId="77777777" w:rsidR="00710ECC" w:rsidRDefault="00000000">
      <w:pPr>
        <w:spacing w:line="360" w:lineRule="auto"/>
        <w:ind w:firstLine="708"/>
        <w:jc w:val="both"/>
        <w:rPr>
          <w:sz w:val="24"/>
          <w:szCs w:val="24"/>
        </w:rPr>
      </w:pPr>
      <w:r>
        <w:rPr>
          <w:sz w:val="24"/>
          <w:szCs w:val="24"/>
        </w:rPr>
        <w:t>Durante a prática profissional, o/a Assistente Social enfrenta diversos desafios relacionados ao seu fazer profissional. Um dos debates presentes na profissão diz respeito à falsa separação entre teoria e prática, como se a prática pudesse funcionar de forma isolada, sem o suporte teórico. Forti e Guerra (2010) discutem essa questão e mostram que teoria e prática são interdependentes. O conhecimento teórico é indispensável para uma inserção qualificada do/a Assistente Social nos espaços de trabalho, permitindo respostas competentes às demandas sociais e combatendo a ideia equivocada de que teoria e prática são opostas.</w:t>
      </w:r>
    </w:p>
    <w:p w14:paraId="5E07165A" w14:textId="77777777" w:rsidR="00710ECC" w:rsidRDefault="00000000">
      <w:pPr>
        <w:spacing w:line="360" w:lineRule="auto"/>
        <w:ind w:firstLine="708"/>
        <w:jc w:val="both"/>
        <w:rPr>
          <w:sz w:val="24"/>
          <w:szCs w:val="24"/>
        </w:rPr>
      </w:pPr>
      <w:r>
        <w:rPr>
          <w:sz w:val="24"/>
          <w:szCs w:val="24"/>
        </w:rPr>
        <w:t>De acordo com Guerra (2016), é necessário reconhecer que há a mediação do assalariamento na compra e venda da força de trabalho dos/das Assistentes Sociais, o que influencia diretamente sua inserção no mercado de trabalho. Nesse cenário, há uma tensão constante entre as atribuições determinadas pelas instituições e aquelas reconhecidas pela própria categoria profissional como legítimas.</w:t>
      </w:r>
    </w:p>
    <w:p w14:paraId="50F16B63" w14:textId="77777777" w:rsidR="00710ECC" w:rsidRDefault="00000000">
      <w:pPr>
        <w:spacing w:line="360" w:lineRule="auto"/>
        <w:ind w:firstLine="708"/>
        <w:jc w:val="both"/>
        <w:rPr>
          <w:sz w:val="24"/>
          <w:szCs w:val="24"/>
        </w:rPr>
      </w:pPr>
      <w:r>
        <w:rPr>
          <w:sz w:val="24"/>
          <w:szCs w:val="24"/>
        </w:rPr>
        <w:t>Apesar dessas tensões, os/as profissionais encontram possibilidades de atuação diante das demandas sociais, que derivam de necessidades históricas da sociedade. Tais demandas incluem o enfrentamento ao racismo e ao preconceito contra pessoas LGBTQIAPN+. Essas expressões da questão social moldam a dinâmica da reprodução social no capitalismo e são construídas historicamente a partir de interesses contraditórios entre as classes sociais (Guerra et al., 2016).</w:t>
      </w:r>
    </w:p>
    <w:p w14:paraId="58B195FF" w14:textId="77777777" w:rsidR="00710ECC" w:rsidRDefault="00000000">
      <w:pPr>
        <w:spacing w:line="360" w:lineRule="auto"/>
        <w:ind w:firstLine="708"/>
        <w:jc w:val="both"/>
        <w:rPr>
          <w:sz w:val="24"/>
          <w:szCs w:val="24"/>
        </w:rPr>
      </w:pPr>
      <w:r>
        <w:rPr>
          <w:sz w:val="24"/>
          <w:szCs w:val="24"/>
        </w:rPr>
        <w:lastRenderedPageBreak/>
        <w:t>Ao longo do texto, foram abordadas questões como interseccionalidade, gênero e racismo, com o objetivo de entrelaçar aos desafios e possibilidades que marcam a atuação profissional do/a Assistente Social. Para isso, tomam-se como referência as cartilhas da série Assistente Social no Combate ao Preconceito, publicadas pelo Conselho Federal de Serviço Social (CFESS).</w:t>
      </w:r>
    </w:p>
    <w:p w14:paraId="2FD43A18" w14:textId="77777777" w:rsidR="00710ECC" w:rsidRDefault="00000000">
      <w:pPr>
        <w:spacing w:line="360" w:lineRule="auto"/>
        <w:ind w:firstLine="708"/>
        <w:jc w:val="both"/>
        <w:rPr>
          <w:sz w:val="24"/>
          <w:szCs w:val="24"/>
        </w:rPr>
      </w:pPr>
      <w:r>
        <w:rPr>
          <w:sz w:val="24"/>
          <w:szCs w:val="24"/>
        </w:rPr>
        <w:t>Na cartilha sobre transfobia, Castro de Matos et al. (2016) aponta que, embora o debate teórico sobre diversidade sexual e de gênero seja relativamente recente na profissão, tais questões já estavam presentes como desafios nos espaços sócio-ocupacionais frequentados pelos/as Assistentes Sociais. A cartilha destaca que a população espera dos/as profissionais atitudes de solidariedade e construção coletiva frente às discriminações e violências vividas. Também é esperado que esses profissionais se posicionem contra todas as formas de opressão, respeitem as vivências das pessoas, fortaleçam seus percursos com informações relevantes e contribuam com o processo de emancipação humana, sem julgamentos morais, reconhecendo-as como sujeitos políticos.</w:t>
      </w:r>
    </w:p>
    <w:p w14:paraId="7BC5781E" w14:textId="77777777" w:rsidR="00710ECC" w:rsidRDefault="00000000">
      <w:pPr>
        <w:spacing w:line="360" w:lineRule="auto"/>
        <w:ind w:firstLine="708"/>
        <w:jc w:val="both"/>
        <w:rPr>
          <w:sz w:val="24"/>
          <w:szCs w:val="24"/>
        </w:rPr>
      </w:pPr>
      <w:r>
        <w:rPr>
          <w:sz w:val="24"/>
          <w:szCs w:val="24"/>
        </w:rPr>
        <w:t>Dessa forma, o Serviço Social se coloca como agente de intervenção na defesa de direitos. Na cartilha sobre racismo, Rocha (2016) ressalta que o campo da intervenção profissional é atravessado por tensões e contradições, e que nele o/a Assistente Social encontra tanto limites quanto possibilidades para garantir direitos em uma sociedade de classes. Por isso, é fundamental compreender criticamente a realidade social, bem como aprofundar os conhecimentos sobre o racismo e outras expressões da questão social, como o gênero e a geração.</w:t>
      </w:r>
    </w:p>
    <w:p w14:paraId="619E0916" w14:textId="77777777" w:rsidR="00710ECC" w:rsidRDefault="00000000">
      <w:pPr>
        <w:spacing w:line="360" w:lineRule="auto"/>
        <w:ind w:firstLine="708"/>
        <w:jc w:val="both"/>
        <w:rPr>
          <w:sz w:val="24"/>
          <w:szCs w:val="24"/>
        </w:rPr>
      </w:pPr>
      <w:r>
        <w:rPr>
          <w:sz w:val="24"/>
          <w:szCs w:val="24"/>
        </w:rPr>
        <w:t>A autora enfatiza que esse movimento reflexivo e interventivo fortalece o projeto ético-político profissional, especialmente no que diz respeito à sua direção política. Esse projeto busca construir outra sociabilidade, baseada em valores emancipatórios, na qual as relações humanas estejam livres de toda forma de exploração, opressão e discriminação — sejam elas de classe, patriarcais ou raciais.</w:t>
      </w:r>
    </w:p>
    <w:p w14:paraId="04B25CBF" w14:textId="77777777" w:rsidR="006955BA" w:rsidRDefault="006955BA">
      <w:pPr>
        <w:spacing w:line="360" w:lineRule="auto"/>
        <w:ind w:firstLine="708"/>
        <w:jc w:val="both"/>
        <w:rPr>
          <w:sz w:val="24"/>
          <w:szCs w:val="24"/>
        </w:rPr>
      </w:pPr>
    </w:p>
    <w:p w14:paraId="06CF8A4E" w14:textId="77777777" w:rsidR="00710ECC" w:rsidRDefault="00710ECC">
      <w:pPr>
        <w:spacing w:line="360" w:lineRule="auto"/>
        <w:jc w:val="both"/>
        <w:rPr>
          <w:i/>
          <w:sz w:val="24"/>
          <w:szCs w:val="24"/>
        </w:rPr>
      </w:pPr>
    </w:p>
    <w:p w14:paraId="62F988BB" w14:textId="77777777" w:rsidR="00710ECC" w:rsidRDefault="00000000">
      <w:pPr>
        <w:spacing w:line="360" w:lineRule="auto"/>
        <w:jc w:val="both"/>
        <w:rPr>
          <w:sz w:val="24"/>
          <w:szCs w:val="24"/>
        </w:rPr>
      </w:pPr>
      <w:r>
        <w:rPr>
          <w:b/>
          <w:sz w:val="24"/>
          <w:szCs w:val="24"/>
        </w:rPr>
        <w:lastRenderedPageBreak/>
        <w:t>3</w:t>
      </w:r>
      <w:r>
        <w:rPr>
          <w:b/>
          <w:sz w:val="24"/>
          <w:szCs w:val="24"/>
        </w:rPr>
        <w:tab/>
        <w:t>CONCLUSÃO</w:t>
      </w:r>
    </w:p>
    <w:p w14:paraId="19FF6931" w14:textId="77777777" w:rsidR="00710ECC" w:rsidRDefault="00000000">
      <w:pPr>
        <w:spacing w:line="360" w:lineRule="auto"/>
        <w:ind w:firstLine="708"/>
        <w:jc w:val="both"/>
        <w:rPr>
          <w:sz w:val="24"/>
          <w:szCs w:val="24"/>
        </w:rPr>
      </w:pPr>
      <w:r>
        <w:rPr>
          <w:sz w:val="24"/>
          <w:szCs w:val="24"/>
        </w:rPr>
        <w:t xml:space="preserve">O debate ao longo do artigo nos possibilitou compreender com maior profundidade a interseccionalidade entre raça, gênero e geração, que integram o cotidiano da atuação profissional dos/as Assistentes Sociais nas diversas áreas de inserção. Com base nos/as autores/as analisados/as, observamos que o preconceito está presente nas práticas cotidianas, e os/as profissionais devem possuir embasamento teórico para enfrentá-lo de forma qualificada na prática. Ademais, também se torna indispensável que estejam atentos/as às dinâmicas das estruturas que condicionam as desigualdades e às expressões da questão social e que atravessam os sujeitos em suas particularidades.  </w:t>
      </w:r>
    </w:p>
    <w:p w14:paraId="76734EEB" w14:textId="77777777" w:rsidR="00710ECC" w:rsidRDefault="00000000">
      <w:pPr>
        <w:spacing w:line="360" w:lineRule="auto"/>
        <w:ind w:firstLine="708"/>
        <w:jc w:val="both"/>
        <w:rPr>
          <w:sz w:val="24"/>
          <w:szCs w:val="24"/>
        </w:rPr>
      </w:pPr>
      <w:r>
        <w:rPr>
          <w:sz w:val="24"/>
          <w:szCs w:val="24"/>
        </w:rPr>
        <w:t>Dessa maneira, teoria e prática mostram-se interligadas, uma vez que o conhecimento teórico acerca das múltiplas formas de opressão contribui para perceber, compreender e, consequentemente, combatê-las no cotidiano profissional. Por esse motivo, a luta se configura como parte da realidade diária, sendo a perspectiva crítica um instrumento essencial no enfrentamento das opressões e preconceitos que estruturam o modo de produção capitalista.</w:t>
      </w:r>
    </w:p>
    <w:p w14:paraId="40A79092" w14:textId="77777777" w:rsidR="00710ECC" w:rsidRDefault="00000000">
      <w:pPr>
        <w:spacing w:line="360" w:lineRule="auto"/>
        <w:ind w:firstLine="708"/>
        <w:jc w:val="both"/>
        <w:rPr>
          <w:sz w:val="24"/>
          <w:szCs w:val="24"/>
        </w:rPr>
      </w:pPr>
      <w:r>
        <w:rPr>
          <w:sz w:val="24"/>
          <w:szCs w:val="24"/>
        </w:rPr>
        <w:t xml:space="preserve">Com isso, reafirma-se a centralidade do projeto ético-político do Serviço Social, que exige do/a profissional uma atuação intencional, antirracista, antipatriarcal, </w:t>
      </w:r>
      <w:proofErr w:type="spellStart"/>
      <w:r>
        <w:rPr>
          <w:sz w:val="24"/>
          <w:szCs w:val="24"/>
        </w:rPr>
        <w:t>anticapacitista</w:t>
      </w:r>
      <w:proofErr w:type="spellEnd"/>
      <w:r>
        <w:rPr>
          <w:sz w:val="24"/>
          <w:szCs w:val="24"/>
        </w:rPr>
        <w:t xml:space="preserve"> e anticolonial. A luta contra o preconceito e as desigualdades não pode se restringir ao atendimento individual ou às ações pontuais, devendo estar articulada à denúncia das violações de direitos, à valorização dos saberes populares e à construção de estratégias coletivas de resistência nos territórios e nas instituições.</w:t>
      </w:r>
    </w:p>
    <w:p w14:paraId="77620CF9" w14:textId="77777777" w:rsidR="00710ECC" w:rsidRDefault="00000000">
      <w:pPr>
        <w:spacing w:line="360" w:lineRule="auto"/>
        <w:ind w:firstLine="720"/>
        <w:jc w:val="both"/>
        <w:rPr>
          <w:sz w:val="24"/>
          <w:szCs w:val="24"/>
        </w:rPr>
      </w:pPr>
      <w:r>
        <w:rPr>
          <w:sz w:val="24"/>
          <w:szCs w:val="24"/>
        </w:rPr>
        <w:t xml:space="preserve">Assim, compreende-se que os desafios enfrentados no exercício profissional não devem ser interpretados como entraves isolados, mas como mediações históricas e sociais que exigem posicionamento ético, formação crítica permanente e compromisso com os sujeitos historicamente marginalizados. O enfrentamento às opressões estruturais, como o racismo, o sexismo e a </w:t>
      </w:r>
      <w:proofErr w:type="spellStart"/>
      <w:r>
        <w:rPr>
          <w:sz w:val="24"/>
          <w:szCs w:val="24"/>
        </w:rPr>
        <w:t>adultocentria</w:t>
      </w:r>
      <w:proofErr w:type="spellEnd"/>
      <w:r>
        <w:rPr>
          <w:sz w:val="24"/>
          <w:szCs w:val="24"/>
        </w:rPr>
        <w:t xml:space="preserve">, deve ser incorporado como eixo transversal da prática profissional, impulsionando ações que </w:t>
      </w:r>
      <w:r>
        <w:rPr>
          <w:sz w:val="24"/>
          <w:szCs w:val="24"/>
        </w:rPr>
        <w:lastRenderedPageBreak/>
        <w:t>promovam o acesso universal aos direitos, a equidade nas políticas públicas e a transformação das relações sociais.</w:t>
      </w:r>
    </w:p>
    <w:p w14:paraId="0798A7CB" w14:textId="77777777" w:rsidR="00710ECC" w:rsidRDefault="00000000">
      <w:pPr>
        <w:spacing w:line="360" w:lineRule="auto"/>
        <w:ind w:firstLine="720"/>
        <w:jc w:val="both"/>
        <w:rPr>
          <w:sz w:val="24"/>
          <w:szCs w:val="24"/>
        </w:rPr>
      </w:pPr>
      <w:r>
        <w:rPr>
          <w:sz w:val="24"/>
          <w:szCs w:val="24"/>
        </w:rPr>
        <w:t>Conclui-se, portanto, que reconhecer e atuar a partir de uma perspectiva interseccional no Serviço Social é não apenas uma exigência teórica e metodológica (</w:t>
      </w:r>
      <w:proofErr w:type="spellStart"/>
      <w:r>
        <w:rPr>
          <w:sz w:val="24"/>
          <w:szCs w:val="24"/>
        </w:rPr>
        <w:t>Crenshaw</w:t>
      </w:r>
      <w:proofErr w:type="spellEnd"/>
      <w:r>
        <w:rPr>
          <w:sz w:val="24"/>
          <w:szCs w:val="24"/>
        </w:rPr>
        <w:t>, 1989; Gonzalez, 1988), mas sobretudo uma postura política que afirma a profissão como campo de resistência e de construção de uma sociedade mais justa, plural e democrática (</w:t>
      </w:r>
      <w:proofErr w:type="spellStart"/>
      <w:r>
        <w:rPr>
          <w:sz w:val="24"/>
          <w:szCs w:val="24"/>
        </w:rPr>
        <w:t>Iamamoto</w:t>
      </w:r>
      <w:proofErr w:type="spellEnd"/>
      <w:r>
        <w:rPr>
          <w:sz w:val="24"/>
          <w:szCs w:val="24"/>
        </w:rPr>
        <w:t>, 2008; CFESS, 2016).</w:t>
      </w:r>
    </w:p>
    <w:p w14:paraId="0669C9A0" w14:textId="77777777" w:rsidR="00710ECC" w:rsidRDefault="00710ECC">
      <w:pPr>
        <w:spacing w:line="360" w:lineRule="auto"/>
        <w:ind w:firstLine="720"/>
        <w:jc w:val="both"/>
        <w:rPr>
          <w:sz w:val="24"/>
          <w:szCs w:val="24"/>
        </w:rPr>
      </w:pPr>
    </w:p>
    <w:p w14:paraId="2368BF6A" w14:textId="77777777" w:rsidR="00710ECC" w:rsidRDefault="00000000">
      <w:pPr>
        <w:spacing w:line="360" w:lineRule="auto"/>
        <w:rPr>
          <w:sz w:val="24"/>
          <w:szCs w:val="24"/>
        </w:rPr>
      </w:pPr>
      <w:r>
        <w:rPr>
          <w:b/>
          <w:sz w:val="24"/>
          <w:szCs w:val="24"/>
        </w:rPr>
        <w:t xml:space="preserve">REFERÊNCIAS </w:t>
      </w:r>
    </w:p>
    <w:p w14:paraId="04841982" w14:textId="77777777" w:rsidR="00710ECC" w:rsidRDefault="00000000">
      <w:pPr>
        <w:spacing w:line="240" w:lineRule="auto"/>
        <w:rPr>
          <w:sz w:val="24"/>
          <w:szCs w:val="24"/>
        </w:rPr>
      </w:pPr>
      <w:r>
        <w:rPr>
          <w:sz w:val="24"/>
          <w:szCs w:val="24"/>
        </w:rPr>
        <w:t xml:space="preserve">ALMEIDA, Silvio Luiz de. </w:t>
      </w:r>
      <w:r>
        <w:rPr>
          <w:b/>
          <w:sz w:val="24"/>
          <w:szCs w:val="24"/>
        </w:rPr>
        <w:t>Racismo estrutural.</w:t>
      </w:r>
      <w:r>
        <w:rPr>
          <w:sz w:val="24"/>
          <w:szCs w:val="24"/>
        </w:rPr>
        <w:t xml:space="preserve"> São Paulo: Pólen, 2019.</w:t>
      </w:r>
    </w:p>
    <w:p w14:paraId="5AD33517" w14:textId="77777777" w:rsidR="00710ECC" w:rsidRDefault="00710ECC">
      <w:pPr>
        <w:spacing w:line="240" w:lineRule="auto"/>
        <w:rPr>
          <w:sz w:val="24"/>
          <w:szCs w:val="24"/>
        </w:rPr>
      </w:pPr>
    </w:p>
    <w:p w14:paraId="73A89B47" w14:textId="77777777" w:rsidR="00710ECC" w:rsidRDefault="00000000">
      <w:pPr>
        <w:spacing w:line="240" w:lineRule="auto"/>
        <w:rPr>
          <w:sz w:val="24"/>
          <w:szCs w:val="24"/>
        </w:rPr>
      </w:pPr>
      <w:r>
        <w:rPr>
          <w:sz w:val="24"/>
          <w:szCs w:val="24"/>
        </w:rPr>
        <w:t xml:space="preserve">CAMPOS, </w:t>
      </w:r>
      <w:proofErr w:type="spellStart"/>
      <w:r>
        <w:rPr>
          <w:sz w:val="24"/>
          <w:szCs w:val="24"/>
        </w:rPr>
        <w:t>Céli</w:t>
      </w:r>
      <w:proofErr w:type="spellEnd"/>
      <w:r>
        <w:rPr>
          <w:sz w:val="24"/>
          <w:szCs w:val="24"/>
        </w:rPr>
        <w:t xml:space="preserve"> Regina Jardim; GOMES, Nilma Lino. </w:t>
      </w:r>
      <w:r>
        <w:rPr>
          <w:b/>
          <w:sz w:val="24"/>
          <w:szCs w:val="24"/>
        </w:rPr>
        <w:t xml:space="preserve">Racismo e antirracismo: </w:t>
      </w:r>
      <w:r>
        <w:rPr>
          <w:sz w:val="24"/>
          <w:szCs w:val="24"/>
        </w:rPr>
        <w:t>perspectivas teóricas e metodológicas. In: GOMES, Nilma Lino (Org.). Educação para as relações étnico-raciais: caminhos abertos pela Lei Federal nº 10.639/03. Brasília, DF: MEC; SECADI, 2016. p. 67-89.</w:t>
      </w:r>
    </w:p>
    <w:p w14:paraId="2659F086" w14:textId="77777777" w:rsidR="00710ECC" w:rsidRDefault="00710ECC">
      <w:pPr>
        <w:spacing w:line="240" w:lineRule="auto"/>
        <w:rPr>
          <w:sz w:val="24"/>
          <w:szCs w:val="24"/>
        </w:rPr>
      </w:pPr>
    </w:p>
    <w:p w14:paraId="636D16B9" w14:textId="77777777" w:rsidR="00710ECC" w:rsidRDefault="00000000">
      <w:pPr>
        <w:spacing w:line="240" w:lineRule="auto"/>
        <w:rPr>
          <w:sz w:val="24"/>
          <w:szCs w:val="24"/>
        </w:rPr>
      </w:pPr>
      <w:r>
        <w:rPr>
          <w:sz w:val="24"/>
          <w:szCs w:val="24"/>
        </w:rPr>
        <w:t xml:space="preserve">CASTRO DE MATOS, Maurílio; LEMOS, Esther Luíza de Souza; GODOI DÍNIZ, Tânia Maria Ramos; et al. </w:t>
      </w:r>
      <w:r>
        <w:rPr>
          <w:b/>
          <w:sz w:val="24"/>
          <w:szCs w:val="24"/>
        </w:rPr>
        <w:t>Assistente social no combate ao preconceito:</w:t>
      </w:r>
      <w:r>
        <w:rPr>
          <w:sz w:val="24"/>
          <w:szCs w:val="24"/>
        </w:rPr>
        <w:t xml:space="preserve"> transfobia. Brasília, DF: Conselho Federal de Serviço Social (CFESS), 2016. Disponível em:</w:t>
      </w:r>
      <w:hyperlink r:id="rId6">
        <w:r>
          <w:rPr>
            <w:sz w:val="24"/>
            <w:szCs w:val="24"/>
          </w:rPr>
          <w:t xml:space="preserve"> </w:t>
        </w:r>
      </w:hyperlink>
      <w:hyperlink r:id="rId7">
        <w:r>
          <w:rPr>
            <w:sz w:val="24"/>
            <w:szCs w:val="24"/>
          </w:rPr>
          <w:t>https://www.cfess.org.br/uploads/revista/3932/-JDO9j6euM5_NwB3 GILjcLu04Ga73XLe.pdf</w:t>
        </w:r>
      </w:hyperlink>
      <w:r>
        <w:rPr>
          <w:sz w:val="24"/>
          <w:szCs w:val="24"/>
        </w:rPr>
        <w:t>. Acesso em: 24 jun. 2025.</w:t>
      </w:r>
    </w:p>
    <w:p w14:paraId="6B0DB370" w14:textId="77777777" w:rsidR="00710ECC" w:rsidRDefault="00710ECC">
      <w:pPr>
        <w:spacing w:line="240" w:lineRule="auto"/>
        <w:rPr>
          <w:sz w:val="24"/>
          <w:szCs w:val="24"/>
        </w:rPr>
      </w:pPr>
    </w:p>
    <w:p w14:paraId="07A9AFAD" w14:textId="77777777" w:rsidR="00710ECC" w:rsidRDefault="00000000">
      <w:pPr>
        <w:spacing w:line="240" w:lineRule="auto"/>
        <w:rPr>
          <w:sz w:val="24"/>
          <w:szCs w:val="24"/>
        </w:rPr>
      </w:pPr>
      <w:r>
        <w:rPr>
          <w:sz w:val="24"/>
          <w:szCs w:val="24"/>
        </w:rPr>
        <w:t xml:space="preserve">CRENSHAW, </w:t>
      </w:r>
      <w:proofErr w:type="spellStart"/>
      <w:r>
        <w:rPr>
          <w:sz w:val="24"/>
          <w:szCs w:val="24"/>
        </w:rPr>
        <w:t>Kimberlé</w:t>
      </w:r>
      <w:proofErr w:type="spellEnd"/>
      <w:r>
        <w:rPr>
          <w:sz w:val="24"/>
          <w:szCs w:val="24"/>
        </w:rPr>
        <w:t xml:space="preserve">. </w:t>
      </w:r>
      <w:proofErr w:type="spellStart"/>
      <w:r>
        <w:rPr>
          <w:b/>
          <w:sz w:val="24"/>
          <w:szCs w:val="24"/>
        </w:rPr>
        <w:t>Demarginalizing</w:t>
      </w:r>
      <w:proofErr w:type="spellEnd"/>
      <w:r>
        <w:rPr>
          <w:b/>
          <w:sz w:val="24"/>
          <w:szCs w:val="24"/>
        </w:rPr>
        <w:t xml:space="preserve"> </w:t>
      </w:r>
      <w:proofErr w:type="spellStart"/>
      <w:r>
        <w:rPr>
          <w:b/>
          <w:sz w:val="24"/>
          <w:szCs w:val="24"/>
        </w:rPr>
        <w:t>the</w:t>
      </w:r>
      <w:proofErr w:type="spellEnd"/>
      <w:r>
        <w:rPr>
          <w:b/>
          <w:sz w:val="24"/>
          <w:szCs w:val="24"/>
        </w:rPr>
        <w:t xml:space="preserve"> </w:t>
      </w:r>
      <w:proofErr w:type="spellStart"/>
      <w:r>
        <w:rPr>
          <w:b/>
          <w:sz w:val="24"/>
          <w:szCs w:val="24"/>
        </w:rPr>
        <w:t>intersection</w:t>
      </w:r>
      <w:proofErr w:type="spellEnd"/>
      <w:r>
        <w:rPr>
          <w:b/>
          <w:sz w:val="24"/>
          <w:szCs w:val="24"/>
        </w:rPr>
        <w:t xml:space="preserve"> </w:t>
      </w:r>
      <w:proofErr w:type="spellStart"/>
      <w:r>
        <w:rPr>
          <w:b/>
          <w:sz w:val="24"/>
          <w:szCs w:val="24"/>
        </w:rPr>
        <w:t>of</w:t>
      </w:r>
      <w:proofErr w:type="spellEnd"/>
      <w:r>
        <w:rPr>
          <w:b/>
          <w:sz w:val="24"/>
          <w:szCs w:val="24"/>
        </w:rPr>
        <w:t xml:space="preserve"> </w:t>
      </w:r>
      <w:proofErr w:type="spellStart"/>
      <w:r>
        <w:rPr>
          <w:b/>
          <w:sz w:val="24"/>
          <w:szCs w:val="24"/>
        </w:rPr>
        <w:t>race</w:t>
      </w:r>
      <w:proofErr w:type="spellEnd"/>
      <w:r>
        <w:rPr>
          <w:b/>
          <w:sz w:val="24"/>
          <w:szCs w:val="24"/>
        </w:rPr>
        <w:t xml:space="preserve"> </w:t>
      </w:r>
      <w:proofErr w:type="spellStart"/>
      <w:r>
        <w:rPr>
          <w:b/>
          <w:sz w:val="24"/>
          <w:szCs w:val="24"/>
        </w:rPr>
        <w:t>and</w:t>
      </w:r>
      <w:proofErr w:type="spellEnd"/>
      <w:r>
        <w:rPr>
          <w:b/>
          <w:sz w:val="24"/>
          <w:szCs w:val="24"/>
        </w:rPr>
        <w:t xml:space="preserve"> sex: </w:t>
      </w:r>
      <w:r>
        <w:rPr>
          <w:sz w:val="24"/>
          <w:szCs w:val="24"/>
        </w:rPr>
        <w:t xml:space="preserve">a Black </w:t>
      </w:r>
      <w:proofErr w:type="spellStart"/>
      <w:r>
        <w:rPr>
          <w:sz w:val="24"/>
          <w:szCs w:val="24"/>
        </w:rPr>
        <w:t>feminist</w:t>
      </w:r>
      <w:proofErr w:type="spellEnd"/>
      <w:r>
        <w:rPr>
          <w:sz w:val="24"/>
          <w:szCs w:val="24"/>
        </w:rPr>
        <w:t xml:space="preserve"> critique </w:t>
      </w:r>
      <w:proofErr w:type="spellStart"/>
      <w:r>
        <w:rPr>
          <w:sz w:val="24"/>
          <w:szCs w:val="24"/>
        </w:rPr>
        <w:t>of</w:t>
      </w:r>
      <w:proofErr w:type="spellEnd"/>
      <w:r>
        <w:rPr>
          <w:sz w:val="24"/>
          <w:szCs w:val="24"/>
        </w:rPr>
        <w:t xml:space="preserve"> </w:t>
      </w:r>
      <w:proofErr w:type="spellStart"/>
      <w:r>
        <w:rPr>
          <w:sz w:val="24"/>
          <w:szCs w:val="24"/>
        </w:rPr>
        <w:t>antidiscrimination</w:t>
      </w:r>
      <w:proofErr w:type="spellEnd"/>
      <w:r>
        <w:rPr>
          <w:sz w:val="24"/>
          <w:szCs w:val="24"/>
        </w:rPr>
        <w:t xml:space="preserve"> </w:t>
      </w:r>
      <w:proofErr w:type="spellStart"/>
      <w:r>
        <w:rPr>
          <w:sz w:val="24"/>
          <w:szCs w:val="24"/>
        </w:rPr>
        <w:t>doctrine</w:t>
      </w:r>
      <w:proofErr w:type="spellEnd"/>
      <w:r>
        <w:rPr>
          <w:sz w:val="24"/>
          <w:szCs w:val="24"/>
        </w:rPr>
        <w:t xml:space="preserve">, </w:t>
      </w:r>
      <w:proofErr w:type="spellStart"/>
      <w:r>
        <w:rPr>
          <w:sz w:val="24"/>
          <w:szCs w:val="24"/>
        </w:rPr>
        <w:t>feminist</w:t>
      </w:r>
      <w:proofErr w:type="spellEnd"/>
      <w:r>
        <w:rPr>
          <w:sz w:val="24"/>
          <w:szCs w:val="24"/>
        </w:rPr>
        <w:t xml:space="preserve"> </w:t>
      </w:r>
      <w:proofErr w:type="spellStart"/>
      <w:r>
        <w:rPr>
          <w:sz w:val="24"/>
          <w:szCs w:val="24"/>
        </w:rPr>
        <w:t>theory</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antiracist</w:t>
      </w:r>
      <w:proofErr w:type="spellEnd"/>
      <w:r>
        <w:rPr>
          <w:sz w:val="24"/>
          <w:szCs w:val="24"/>
        </w:rPr>
        <w:t xml:space="preserve"> </w:t>
      </w:r>
      <w:proofErr w:type="spellStart"/>
      <w:r>
        <w:rPr>
          <w:sz w:val="24"/>
          <w:szCs w:val="24"/>
        </w:rPr>
        <w:t>politics</w:t>
      </w:r>
      <w:proofErr w:type="spellEnd"/>
      <w:r>
        <w:rPr>
          <w:sz w:val="24"/>
          <w:szCs w:val="24"/>
        </w:rPr>
        <w:t xml:space="preserve">. </w:t>
      </w:r>
      <w:proofErr w:type="spellStart"/>
      <w:r>
        <w:rPr>
          <w:sz w:val="24"/>
          <w:szCs w:val="24"/>
        </w:rPr>
        <w:t>University</w:t>
      </w:r>
      <w:proofErr w:type="spellEnd"/>
      <w:r>
        <w:rPr>
          <w:sz w:val="24"/>
          <w:szCs w:val="24"/>
        </w:rPr>
        <w:t xml:space="preserve"> </w:t>
      </w:r>
      <w:proofErr w:type="spellStart"/>
      <w:r>
        <w:rPr>
          <w:sz w:val="24"/>
          <w:szCs w:val="24"/>
        </w:rPr>
        <w:t>of</w:t>
      </w:r>
      <w:proofErr w:type="spellEnd"/>
      <w:r>
        <w:rPr>
          <w:sz w:val="24"/>
          <w:szCs w:val="24"/>
        </w:rPr>
        <w:t xml:space="preserve"> Chicago Legal </w:t>
      </w:r>
      <w:proofErr w:type="spellStart"/>
      <w:r>
        <w:rPr>
          <w:sz w:val="24"/>
          <w:szCs w:val="24"/>
        </w:rPr>
        <w:t>Forum</w:t>
      </w:r>
      <w:proofErr w:type="spellEnd"/>
      <w:r>
        <w:rPr>
          <w:sz w:val="24"/>
          <w:szCs w:val="24"/>
        </w:rPr>
        <w:t>, v. 1989, n. 1, p. 139–167, 1989.</w:t>
      </w:r>
    </w:p>
    <w:p w14:paraId="13C52730" w14:textId="77777777" w:rsidR="00710ECC" w:rsidRDefault="00710ECC">
      <w:pPr>
        <w:spacing w:line="240" w:lineRule="auto"/>
        <w:rPr>
          <w:sz w:val="24"/>
          <w:szCs w:val="24"/>
        </w:rPr>
      </w:pPr>
    </w:p>
    <w:p w14:paraId="0D7D1DC7" w14:textId="77777777" w:rsidR="00710ECC" w:rsidRDefault="00000000">
      <w:pPr>
        <w:spacing w:line="240" w:lineRule="auto"/>
        <w:rPr>
          <w:sz w:val="24"/>
          <w:szCs w:val="24"/>
        </w:rPr>
      </w:pPr>
      <w:r>
        <w:rPr>
          <w:sz w:val="24"/>
          <w:szCs w:val="24"/>
        </w:rPr>
        <w:t xml:space="preserve">FORTI, Valéria; GUERRA, Yolanda. </w:t>
      </w:r>
      <w:r>
        <w:rPr>
          <w:b/>
          <w:sz w:val="24"/>
          <w:szCs w:val="24"/>
        </w:rPr>
        <w:t xml:space="preserve">Na prática a teoria é outra? </w:t>
      </w:r>
      <w:r>
        <w:rPr>
          <w:sz w:val="24"/>
          <w:szCs w:val="24"/>
        </w:rPr>
        <w:t xml:space="preserve">In: GUERRA, Yolanda (Org.). </w:t>
      </w:r>
      <w:r>
        <w:rPr>
          <w:i/>
          <w:sz w:val="24"/>
          <w:szCs w:val="24"/>
        </w:rPr>
        <w:t>Serviço social: temas, textos e contextos</w:t>
      </w:r>
      <w:r>
        <w:rPr>
          <w:sz w:val="24"/>
          <w:szCs w:val="24"/>
        </w:rPr>
        <w:t xml:space="preserve">. Rio de Janeiro: </w:t>
      </w:r>
      <w:proofErr w:type="spellStart"/>
      <w:r>
        <w:rPr>
          <w:sz w:val="24"/>
          <w:szCs w:val="24"/>
        </w:rPr>
        <w:t>Lumen</w:t>
      </w:r>
      <w:proofErr w:type="spellEnd"/>
      <w:r>
        <w:rPr>
          <w:sz w:val="24"/>
          <w:szCs w:val="24"/>
        </w:rPr>
        <w:t xml:space="preserve"> Juris, 2010. p. 3–22.</w:t>
      </w:r>
    </w:p>
    <w:p w14:paraId="13EC1DC2" w14:textId="77777777" w:rsidR="00710ECC" w:rsidRDefault="00710ECC">
      <w:pPr>
        <w:spacing w:line="240" w:lineRule="auto"/>
        <w:rPr>
          <w:sz w:val="24"/>
          <w:szCs w:val="24"/>
        </w:rPr>
      </w:pPr>
    </w:p>
    <w:p w14:paraId="643E535F" w14:textId="77777777" w:rsidR="00710ECC" w:rsidRDefault="00000000">
      <w:pPr>
        <w:spacing w:line="240" w:lineRule="auto"/>
        <w:rPr>
          <w:sz w:val="24"/>
          <w:szCs w:val="24"/>
        </w:rPr>
      </w:pPr>
      <w:r>
        <w:rPr>
          <w:sz w:val="24"/>
          <w:szCs w:val="24"/>
        </w:rPr>
        <w:t xml:space="preserve">GONZALEZ, Lélia. </w:t>
      </w:r>
      <w:r>
        <w:rPr>
          <w:b/>
          <w:sz w:val="24"/>
          <w:szCs w:val="24"/>
        </w:rPr>
        <w:t>Racismo e sexismo na cultura brasileira.</w:t>
      </w:r>
      <w:r>
        <w:rPr>
          <w:sz w:val="24"/>
          <w:szCs w:val="24"/>
        </w:rPr>
        <w:t xml:space="preserve"> In: GONZALEZ, Lélia. Primavera para as rosas negras: coletânea de textos sobre mulheres negras. Org. Flávia Rios; Márcia Lima. São Paulo: Zahar, 1988 [Reed. 2020]. p. 43-51.</w:t>
      </w:r>
    </w:p>
    <w:p w14:paraId="461150AF" w14:textId="77777777" w:rsidR="00710ECC" w:rsidRDefault="00710ECC">
      <w:pPr>
        <w:spacing w:line="240" w:lineRule="auto"/>
        <w:rPr>
          <w:sz w:val="24"/>
          <w:szCs w:val="24"/>
        </w:rPr>
      </w:pPr>
    </w:p>
    <w:p w14:paraId="21511601" w14:textId="77777777" w:rsidR="00710ECC" w:rsidRDefault="00000000">
      <w:pPr>
        <w:spacing w:line="240" w:lineRule="auto"/>
        <w:rPr>
          <w:sz w:val="24"/>
          <w:szCs w:val="24"/>
        </w:rPr>
      </w:pPr>
      <w:r>
        <w:rPr>
          <w:sz w:val="24"/>
          <w:szCs w:val="24"/>
        </w:rPr>
        <w:t xml:space="preserve">GUERRA, Y. </w:t>
      </w:r>
      <w:r>
        <w:rPr>
          <w:i/>
          <w:sz w:val="24"/>
          <w:szCs w:val="24"/>
        </w:rPr>
        <w:t>et al.</w:t>
      </w:r>
      <w:r>
        <w:rPr>
          <w:sz w:val="24"/>
          <w:szCs w:val="24"/>
        </w:rPr>
        <w:t xml:space="preserve"> </w:t>
      </w:r>
      <w:r>
        <w:rPr>
          <w:b/>
          <w:sz w:val="24"/>
          <w:szCs w:val="24"/>
        </w:rPr>
        <w:t>Atribuições, competências, demandas e requisições</w:t>
      </w:r>
      <w:r w:rsidRPr="006955BA">
        <w:rPr>
          <w:bCs/>
          <w:sz w:val="24"/>
          <w:szCs w:val="24"/>
        </w:rPr>
        <w:t>: o trabalho do assistente social em debate.</w:t>
      </w:r>
      <w:r>
        <w:rPr>
          <w:sz w:val="24"/>
          <w:szCs w:val="24"/>
        </w:rPr>
        <w:t xml:space="preserve"> In: MESA TEMÁTICA COORDENADA: Fundamentos do trabalho do/a assistente social no contexto de reconfiguração das políticas sociais no Brasil. </w:t>
      </w:r>
      <w:r>
        <w:rPr>
          <w:i/>
          <w:sz w:val="24"/>
          <w:szCs w:val="24"/>
        </w:rPr>
        <w:t>Anais do XV Encontro Nacional de Pesquisadores em Serviço Social</w:t>
      </w:r>
      <w:r>
        <w:rPr>
          <w:sz w:val="24"/>
          <w:szCs w:val="24"/>
        </w:rPr>
        <w:t xml:space="preserve">, Ribeirão Preto, 4–9 dez. 2016. Disponível em: https://www.abeps </w:t>
      </w:r>
      <w:r>
        <w:rPr>
          <w:sz w:val="24"/>
          <w:szCs w:val="24"/>
        </w:rPr>
        <w:lastRenderedPageBreak/>
        <w:t>s.org.br/arquivos/anexos/guerra-e-outros-201804131237474299190.pdf. Acesso em: 24 jun. 2025.</w:t>
      </w:r>
    </w:p>
    <w:p w14:paraId="3EC5E254" w14:textId="77777777" w:rsidR="00710ECC" w:rsidRDefault="00710ECC">
      <w:pPr>
        <w:spacing w:line="240" w:lineRule="auto"/>
        <w:rPr>
          <w:sz w:val="24"/>
          <w:szCs w:val="24"/>
        </w:rPr>
      </w:pPr>
    </w:p>
    <w:p w14:paraId="488892AC" w14:textId="77777777" w:rsidR="00710ECC" w:rsidRDefault="00000000">
      <w:pPr>
        <w:spacing w:line="240" w:lineRule="auto"/>
        <w:rPr>
          <w:sz w:val="24"/>
          <w:szCs w:val="24"/>
        </w:rPr>
      </w:pPr>
      <w:r>
        <w:rPr>
          <w:sz w:val="24"/>
          <w:szCs w:val="24"/>
        </w:rPr>
        <w:t>IAMAMOTO, Marilda Villela.</w:t>
      </w:r>
      <w:r>
        <w:rPr>
          <w:b/>
          <w:sz w:val="24"/>
          <w:szCs w:val="24"/>
        </w:rPr>
        <w:t xml:space="preserve"> O Serviço Social na contemporaneidade:</w:t>
      </w:r>
      <w:r>
        <w:rPr>
          <w:sz w:val="24"/>
          <w:szCs w:val="24"/>
        </w:rPr>
        <w:t xml:space="preserve"> trabalho e formação profissional. 12. ed. São Paulo: Cortez, 2008.</w:t>
      </w:r>
    </w:p>
    <w:p w14:paraId="3A6FA860" w14:textId="77777777" w:rsidR="00710ECC" w:rsidRDefault="00710ECC">
      <w:pPr>
        <w:spacing w:line="240" w:lineRule="auto"/>
        <w:rPr>
          <w:sz w:val="24"/>
          <w:szCs w:val="24"/>
        </w:rPr>
      </w:pPr>
    </w:p>
    <w:p w14:paraId="689B472F" w14:textId="77777777" w:rsidR="00710ECC" w:rsidRDefault="00000000">
      <w:pPr>
        <w:spacing w:line="240" w:lineRule="auto"/>
        <w:rPr>
          <w:sz w:val="24"/>
          <w:szCs w:val="24"/>
        </w:rPr>
      </w:pPr>
      <w:r>
        <w:rPr>
          <w:sz w:val="24"/>
          <w:szCs w:val="24"/>
        </w:rPr>
        <w:t xml:space="preserve">JESUS, Carolina Maria de. </w:t>
      </w:r>
      <w:r>
        <w:rPr>
          <w:b/>
          <w:sz w:val="24"/>
          <w:szCs w:val="24"/>
        </w:rPr>
        <w:t xml:space="preserve">Quarto de despejo: </w:t>
      </w:r>
      <w:r>
        <w:rPr>
          <w:sz w:val="24"/>
          <w:szCs w:val="24"/>
        </w:rPr>
        <w:t>diário de uma favelada. São Paulo: Ática, 2015.</w:t>
      </w:r>
    </w:p>
    <w:p w14:paraId="2806CDE3" w14:textId="77777777" w:rsidR="00710ECC" w:rsidRDefault="00710ECC">
      <w:pPr>
        <w:spacing w:line="240" w:lineRule="auto"/>
        <w:rPr>
          <w:sz w:val="24"/>
          <w:szCs w:val="24"/>
        </w:rPr>
      </w:pPr>
    </w:p>
    <w:p w14:paraId="281541F3" w14:textId="77777777" w:rsidR="00710ECC" w:rsidRDefault="00000000">
      <w:pPr>
        <w:spacing w:line="240" w:lineRule="auto"/>
        <w:rPr>
          <w:sz w:val="24"/>
          <w:szCs w:val="24"/>
        </w:rPr>
      </w:pPr>
      <w:r>
        <w:rPr>
          <w:sz w:val="24"/>
          <w:szCs w:val="24"/>
        </w:rPr>
        <w:t xml:space="preserve">MACHADO, Daniela. </w:t>
      </w:r>
      <w:r>
        <w:rPr>
          <w:b/>
          <w:sz w:val="24"/>
          <w:szCs w:val="24"/>
        </w:rPr>
        <w:t xml:space="preserve">Interseccionalidade e Serviço Social: </w:t>
      </w:r>
      <w:r>
        <w:rPr>
          <w:sz w:val="24"/>
          <w:szCs w:val="24"/>
        </w:rPr>
        <w:t>um diálogo necessário.</w:t>
      </w:r>
      <w:r>
        <w:rPr>
          <w:b/>
          <w:sz w:val="24"/>
          <w:szCs w:val="24"/>
        </w:rPr>
        <w:t xml:space="preserve"> </w:t>
      </w:r>
      <w:r>
        <w:rPr>
          <w:sz w:val="24"/>
          <w:szCs w:val="24"/>
        </w:rPr>
        <w:t xml:space="preserve">In: ENPESS – XVII Encontro Nacional de Pesquisadores em Serviço Social, 19., 2022, Rio de Janeiro. Anais eletrônicos. Rio de Janeiro: ABEPSS, 2022. Disponível em: </w:t>
      </w:r>
      <w:hyperlink r:id="rId8">
        <w:r>
          <w:rPr>
            <w:sz w:val="24"/>
            <w:szCs w:val="24"/>
          </w:rPr>
          <w:t>https://www.abepss.org.br/enpess-anais/public/arquivos/00262.pdf</w:t>
        </w:r>
      </w:hyperlink>
      <w:r>
        <w:rPr>
          <w:sz w:val="24"/>
          <w:szCs w:val="24"/>
        </w:rPr>
        <w:t>. Acesso em 20 de junho de 2025.</w:t>
      </w:r>
    </w:p>
    <w:p w14:paraId="528FE1DD" w14:textId="77777777" w:rsidR="00710ECC" w:rsidRDefault="00710ECC">
      <w:pPr>
        <w:spacing w:line="240" w:lineRule="auto"/>
        <w:rPr>
          <w:sz w:val="24"/>
          <w:szCs w:val="24"/>
        </w:rPr>
      </w:pPr>
    </w:p>
    <w:p w14:paraId="74D8CC46" w14:textId="77777777" w:rsidR="00710ECC" w:rsidRDefault="00000000">
      <w:pPr>
        <w:spacing w:line="240" w:lineRule="auto"/>
        <w:rPr>
          <w:sz w:val="24"/>
          <w:szCs w:val="24"/>
        </w:rPr>
      </w:pPr>
      <w:r>
        <w:rPr>
          <w:sz w:val="24"/>
          <w:szCs w:val="24"/>
        </w:rPr>
        <w:t xml:space="preserve">RIBEIRO, </w:t>
      </w:r>
      <w:proofErr w:type="spellStart"/>
      <w:r>
        <w:rPr>
          <w:sz w:val="24"/>
          <w:szCs w:val="24"/>
        </w:rPr>
        <w:t>Djamila</w:t>
      </w:r>
      <w:proofErr w:type="spellEnd"/>
      <w:r>
        <w:rPr>
          <w:sz w:val="24"/>
          <w:szCs w:val="24"/>
        </w:rPr>
        <w:t xml:space="preserve">. </w:t>
      </w:r>
      <w:r>
        <w:rPr>
          <w:b/>
          <w:sz w:val="24"/>
          <w:szCs w:val="24"/>
        </w:rPr>
        <w:t>O que é lugar de fala?</w:t>
      </w:r>
      <w:r>
        <w:rPr>
          <w:sz w:val="24"/>
          <w:szCs w:val="24"/>
        </w:rPr>
        <w:t xml:space="preserve"> Belo Horizonte: Letramento, 2017.</w:t>
      </w:r>
    </w:p>
    <w:p w14:paraId="3C219656" w14:textId="77777777" w:rsidR="00710ECC" w:rsidRDefault="00710ECC">
      <w:pPr>
        <w:spacing w:line="240" w:lineRule="auto"/>
        <w:rPr>
          <w:sz w:val="24"/>
          <w:szCs w:val="24"/>
        </w:rPr>
      </w:pPr>
    </w:p>
    <w:p w14:paraId="6F913349" w14:textId="77777777" w:rsidR="00710ECC" w:rsidRDefault="00000000">
      <w:pPr>
        <w:spacing w:line="240" w:lineRule="auto"/>
        <w:rPr>
          <w:sz w:val="24"/>
          <w:szCs w:val="24"/>
        </w:rPr>
      </w:pPr>
      <w:r>
        <w:rPr>
          <w:sz w:val="24"/>
          <w:szCs w:val="24"/>
        </w:rPr>
        <w:t xml:space="preserve">ROCHA, Roseli; DÍNIZ, Tânia Maria Ramos Godoi (coord.); NEVES, Daniela; et al. </w:t>
      </w:r>
      <w:r>
        <w:rPr>
          <w:b/>
          <w:sz w:val="24"/>
          <w:szCs w:val="24"/>
        </w:rPr>
        <w:t xml:space="preserve">Assistente social no combate ao preconceito: </w:t>
      </w:r>
      <w:r>
        <w:rPr>
          <w:sz w:val="24"/>
          <w:szCs w:val="24"/>
        </w:rPr>
        <w:t>racismo. Brasília, DF: Conselho Federal de Serviço Social (CFESS), 2016. ISBN 978-85-99447-22-2. Disponível em:</w:t>
      </w:r>
      <w:hyperlink r:id="rId9">
        <w:r>
          <w:rPr>
            <w:sz w:val="24"/>
            <w:szCs w:val="24"/>
          </w:rPr>
          <w:t xml:space="preserve"> </w:t>
        </w:r>
      </w:hyperlink>
      <w:hyperlink r:id="rId10">
        <w:r>
          <w:rPr>
            <w:sz w:val="24"/>
            <w:szCs w:val="24"/>
          </w:rPr>
          <w:t>https://www.cfess.org.br/uploads/revista/3934/y92wyhk1E2wYjaZuimVUwLhZ3RwTkoJ-.pdf</w:t>
        </w:r>
      </w:hyperlink>
      <w:r>
        <w:rPr>
          <w:sz w:val="24"/>
          <w:szCs w:val="24"/>
        </w:rPr>
        <w:t>. Acesso em: 24 jun. 2025.</w:t>
      </w:r>
    </w:p>
    <w:p w14:paraId="306973C0" w14:textId="77777777" w:rsidR="00710ECC" w:rsidRDefault="00710ECC">
      <w:pPr>
        <w:spacing w:line="240" w:lineRule="auto"/>
        <w:rPr>
          <w:sz w:val="24"/>
          <w:szCs w:val="24"/>
        </w:rPr>
      </w:pPr>
    </w:p>
    <w:p w14:paraId="588A6CE2" w14:textId="77777777" w:rsidR="00710ECC" w:rsidRDefault="00000000">
      <w:pPr>
        <w:spacing w:line="240" w:lineRule="auto"/>
        <w:rPr>
          <w:sz w:val="24"/>
          <w:szCs w:val="24"/>
        </w:rPr>
      </w:pPr>
      <w:r>
        <w:rPr>
          <w:sz w:val="24"/>
          <w:szCs w:val="24"/>
        </w:rPr>
        <w:t xml:space="preserve">SAFFIOTI, </w:t>
      </w:r>
      <w:proofErr w:type="spellStart"/>
      <w:r>
        <w:rPr>
          <w:sz w:val="24"/>
          <w:szCs w:val="24"/>
        </w:rPr>
        <w:t>Heleieth</w:t>
      </w:r>
      <w:proofErr w:type="spellEnd"/>
      <w:r>
        <w:rPr>
          <w:sz w:val="24"/>
          <w:szCs w:val="24"/>
        </w:rPr>
        <w:t xml:space="preserve"> Iara </w:t>
      </w:r>
      <w:proofErr w:type="spellStart"/>
      <w:r>
        <w:rPr>
          <w:sz w:val="24"/>
          <w:szCs w:val="24"/>
        </w:rPr>
        <w:t>Bongiovani</w:t>
      </w:r>
      <w:proofErr w:type="spellEnd"/>
      <w:r>
        <w:rPr>
          <w:sz w:val="24"/>
          <w:szCs w:val="24"/>
        </w:rPr>
        <w:t>.</w:t>
      </w:r>
      <w:r>
        <w:rPr>
          <w:b/>
          <w:sz w:val="24"/>
          <w:szCs w:val="24"/>
        </w:rPr>
        <w:t xml:space="preserve"> Gênero, patriarcado, violência.</w:t>
      </w:r>
      <w:r>
        <w:rPr>
          <w:sz w:val="24"/>
          <w:szCs w:val="24"/>
        </w:rPr>
        <w:t xml:space="preserve"> São Paulo: Fundação Perseu Abramo, 2004.</w:t>
      </w:r>
    </w:p>
    <w:p w14:paraId="517FF5AA" w14:textId="77777777" w:rsidR="00710ECC" w:rsidRDefault="00710ECC">
      <w:pPr>
        <w:spacing w:line="240" w:lineRule="auto"/>
        <w:rPr>
          <w:sz w:val="24"/>
          <w:szCs w:val="24"/>
        </w:rPr>
      </w:pPr>
    </w:p>
    <w:p w14:paraId="35005340" w14:textId="77777777" w:rsidR="00710ECC" w:rsidRDefault="00000000">
      <w:pPr>
        <w:spacing w:line="240" w:lineRule="auto"/>
        <w:rPr>
          <w:sz w:val="24"/>
          <w:szCs w:val="24"/>
        </w:rPr>
      </w:pPr>
      <w:r>
        <w:rPr>
          <w:sz w:val="24"/>
          <w:szCs w:val="24"/>
        </w:rPr>
        <w:t xml:space="preserve">SCOTT, Joan W. </w:t>
      </w:r>
      <w:r>
        <w:rPr>
          <w:b/>
          <w:sz w:val="24"/>
          <w:szCs w:val="24"/>
        </w:rPr>
        <w:t xml:space="preserve">Gênero: </w:t>
      </w:r>
      <w:r>
        <w:rPr>
          <w:sz w:val="24"/>
          <w:szCs w:val="24"/>
        </w:rPr>
        <w:t>uma categoria útil de análise histórica. Educação &amp; Realidade, Porto Alegre, v. 16, n. 2, p. 5-22, jul./dez. 1991.</w:t>
      </w:r>
    </w:p>
    <w:p w14:paraId="68868594" w14:textId="77777777" w:rsidR="00710ECC" w:rsidRDefault="00710ECC">
      <w:pPr>
        <w:spacing w:line="240" w:lineRule="auto"/>
        <w:rPr>
          <w:sz w:val="24"/>
          <w:szCs w:val="24"/>
        </w:rPr>
      </w:pPr>
    </w:p>
    <w:p w14:paraId="0BBF7BF9" w14:textId="77777777" w:rsidR="00710ECC" w:rsidRDefault="00000000">
      <w:pPr>
        <w:spacing w:line="240" w:lineRule="auto"/>
        <w:rPr>
          <w:sz w:val="24"/>
          <w:szCs w:val="24"/>
        </w:rPr>
      </w:pPr>
      <w:r>
        <w:rPr>
          <w:sz w:val="24"/>
          <w:szCs w:val="24"/>
        </w:rPr>
        <w:t xml:space="preserve">SILVA, Petronilha Beatriz Gonçalves e. </w:t>
      </w:r>
      <w:r>
        <w:rPr>
          <w:b/>
          <w:sz w:val="24"/>
          <w:szCs w:val="24"/>
        </w:rPr>
        <w:t>Relações étnico-raciais e educação:</w:t>
      </w:r>
      <w:r>
        <w:rPr>
          <w:sz w:val="24"/>
          <w:szCs w:val="24"/>
        </w:rPr>
        <w:t xml:space="preserve"> desafios e perspectivas. Revista da Associação Brasileira de Pesquisadores/as Negros/as (ABPN), v. 11, n. 28, p. 1-20, 2019.</w:t>
      </w:r>
    </w:p>
    <w:p w14:paraId="4C03C6F0" w14:textId="77777777" w:rsidR="00710ECC" w:rsidRDefault="00710ECC">
      <w:pPr>
        <w:spacing w:line="240" w:lineRule="auto"/>
        <w:rPr>
          <w:sz w:val="24"/>
          <w:szCs w:val="24"/>
        </w:rPr>
      </w:pPr>
    </w:p>
    <w:p w14:paraId="47F3C9F7" w14:textId="77777777" w:rsidR="00710ECC" w:rsidRDefault="00000000">
      <w:pPr>
        <w:spacing w:line="240" w:lineRule="auto"/>
        <w:rPr>
          <w:sz w:val="24"/>
          <w:szCs w:val="24"/>
        </w:rPr>
      </w:pPr>
      <w:r>
        <w:rPr>
          <w:sz w:val="24"/>
          <w:szCs w:val="24"/>
        </w:rPr>
        <w:t xml:space="preserve">TRIBUNAL DE JUSTIÇA DO DISTRITO FEDERAL E DOS TERRITÓRIOS (TJDFT). </w:t>
      </w:r>
      <w:r>
        <w:rPr>
          <w:b/>
          <w:sz w:val="24"/>
          <w:szCs w:val="24"/>
        </w:rPr>
        <w:t xml:space="preserve">O que é interseccionalidade? </w:t>
      </w:r>
      <w:r>
        <w:rPr>
          <w:sz w:val="24"/>
          <w:szCs w:val="24"/>
        </w:rPr>
        <w:t>Disponível em: https://www.tjdft.jus.br/acessibilidade/publicacoes/sementes-da-equidade/o-que-e-interseccionalidade. Acesso em: 15 jun. 2025.</w:t>
      </w:r>
    </w:p>
    <w:sectPr w:rsidR="00710ECC">
      <w:headerReference w:type="default" r:id="rId11"/>
      <w:footerReference w:type="defaul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B4C07" w14:textId="77777777" w:rsidR="00212265" w:rsidRDefault="00212265">
      <w:pPr>
        <w:spacing w:line="240" w:lineRule="auto"/>
      </w:pPr>
      <w:r>
        <w:separator/>
      </w:r>
    </w:p>
  </w:endnote>
  <w:endnote w:type="continuationSeparator" w:id="0">
    <w:p w14:paraId="42DF75D8" w14:textId="77777777" w:rsidR="00212265" w:rsidRDefault="002122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DF9C" w14:textId="77777777" w:rsidR="00710ECC" w:rsidRDefault="00710E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D0993" w14:textId="77777777" w:rsidR="00212265" w:rsidRDefault="00212265">
      <w:pPr>
        <w:spacing w:line="240" w:lineRule="auto"/>
      </w:pPr>
      <w:r>
        <w:separator/>
      </w:r>
    </w:p>
  </w:footnote>
  <w:footnote w:type="continuationSeparator" w:id="0">
    <w:p w14:paraId="10CA296C" w14:textId="77777777" w:rsidR="00212265" w:rsidRDefault="00212265">
      <w:pPr>
        <w:spacing w:line="240" w:lineRule="auto"/>
      </w:pPr>
      <w:r>
        <w:continuationSeparator/>
      </w:r>
    </w:p>
  </w:footnote>
  <w:footnote w:id="1">
    <w:p w14:paraId="6A43A8D5" w14:textId="77777777" w:rsidR="00710ECC" w:rsidRDefault="00000000">
      <w:pPr>
        <w:spacing w:line="240" w:lineRule="auto"/>
        <w:jc w:val="both"/>
        <w:rPr>
          <w:sz w:val="20"/>
          <w:szCs w:val="20"/>
        </w:rPr>
      </w:pPr>
      <w:r>
        <w:rPr>
          <w:vertAlign w:val="superscript"/>
        </w:rPr>
        <w:footnoteRef/>
      </w:r>
      <w:r>
        <w:rPr>
          <w:sz w:val="20"/>
          <w:szCs w:val="20"/>
        </w:rPr>
        <w:t xml:space="preserve"> Graduada em Serviço Social pela Universidade Estadual do Ceará - UECE, Mestranda em Serviço Social, Trabalho e Questão Social pela Universidade Estadual do Ceará - UECE, E-mail: antonia.paulyane@aluno.uece.br</w:t>
      </w:r>
    </w:p>
    <w:p w14:paraId="40B0D2EA" w14:textId="77777777" w:rsidR="00710ECC" w:rsidRDefault="00710ECC">
      <w:pPr>
        <w:spacing w:line="240" w:lineRule="auto"/>
        <w:jc w:val="both"/>
        <w:rPr>
          <w:sz w:val="20"/>
          <w:szCs w:val="20"/>
        </w:rPr>
      </w:pPr>
    </w:p>
  </w:footnote>
  <w:footnote w:id="2">
    <w:p w14:paraId="5A98252F" w14:textId="77777777" w:rsidR="00710ECC" w:rsidRDefault="00000000">
      <w:pPr>
        <w:spacing w:line="240" w:lineRule="auto"/>
        <w:jc w:val="both"/>
        <w:rPr>
          <w:sz w:val="20"/>
          <w:szCs w:val="20"/>
        </w:rPr>
      </w:pPr>
      <w:r>
        <w:rPr>
          <w:vertAlign w:val="superscript"/>
        </w:rPr>
        <w:footnoteRef/>
      </w:r>
      <w:r>
        <w:rPr>
          <w:sz w:val="20"/>
          <w:szCs w:val="20"/>
        </w:rPr>
        <w:t xml:space="preserve"> Graduanda em Serviço Social pela Universidade Estadual do Ceará - UECE, E-mail: leandra.freire@aluno.uece.br</w:t>
      </w:r>
    </w:p>
    <w:p w14:paraId="19D77589" w14:textId="77777777" w:rsidR="00710ECC" w:rsidRDefault="00710ECC">
      <w:pPr>
        <w:spacing w:line="240" w:lineRule="auto"/>
        <w:rPr>
          <w:sz w:val="20"/>
          <w:szCs w:val="20"/>
        </w:rPr>
      </w:pPr>
    </w:p>
  </w:footnote>
  <w:footnote w:id="3">
    <w:p w14:paraId="79C4CD1A" w14:textId="77777777" w:rsidR="00710ECC" w:rsidRDefault="00000000">
      <w:pPr>
        <w:spacing w:line="240" w:lineRule="auto"/>
        <w:jc w:val="both"/>
        <w:rPr>
          <w:sz w:val="20"/>
          <w:szCs w:val="20"/>
        </w:rPr>
      </w:pPr>
      <w:r>
        <w:rPr>
          <w:vertAlign w:val="superscript"/>
        </w:rPr>
        <w:footnoteRef/>
      </w:r>
      <w:r>
        <w:rPr>
          <w:sz w:val="20"/>
          <w:szCs w:val="20"/>
        </w:rPr>
        <w:t xml:space="preserve"> Graduada em Serviço Social pela Universidade Estadual do Ceará - UECE, Mestranda em Serviço Social, Trabalho e Questão Social pela Universidade Estadual do Ceará - UECE, E-mail: lauraads00@gmail.com</w:t>
      </w:r>
    </w:p>
    <w:p w14:paraId="0DFD5177" w14:textId="77777777" w:rsidR="00710ECC" w:rsidRDefault="00710ECC">
      <w:pPr>
        <w:spacing w:line="240" w:lineRule="auto"/>
        <w:jc w:val="both"/>
        <w:rPr>
          <w:sz w:val="20"/>
          <w:szCs w:val="20"/>
        </w:rPr>
      </w:pPr>
    </w:p>
  </w:footnote>
  <w:footnote w:id="4">
    <w:p w14:paraId="4A2AEED0" w14:textId="77777777" w:rsidR="00710ECC" w:rsidRDefault="00000000">
      <w:pPr>
        <w:spacing w:line="240" w:lineRule="auto"/>
        <w:jc w:val="both"/>
        <w:rPr>
          <w:sz w:val="20"/>
          <w:szCs w:val="20"/>
        </w:rPr>
      </w:pPr>
      <w:r>
        <w:rPr>
          <w:vertAlign w:val="superscript"/>
        </w:rPr>
        <w:footnoteRef/>
      </w:r>
      <w:r>
        <w:rPr>
          <w:sz w:val="20"/>
          <w:szCs w:val="20"/>
        </w:rPr>
        <w:t xml:space="preserve"> LGBTQIAPN+ é a sigla que representa Lésbicas, Gays, Bissexuais, Travestis, Transexuais, Queer, Intersexos, Assexuais, Pansexuais e Pessoas Não Binárias, abrangendo ainda outras identidades de gênero e orientações sexuais por meio do sinal “+”, que indica a inclusão de diversas expressões e vivências dissidentes da norma </w:t>
      </w:r>
      <w:proofErr w:type="spellStart"/>
      <w:r>
        <w:rPr>
          <w:sz w:val="20"/>
          <w:szCs w:val="20"/>
        </w:rPr>
        <w:t>cisheteronormativa</w:t>
      </w:r>
      <w:proofErr w:type="spellEnd"/>
      <w:r>
        <w:rPr>
          <w:sz w:val="20"/>
          <w:szCs w:val="20"/>
        </w:rPr>
        <w:t>.</w:t>
      </w:r>
    </w:p>
    <w:p w14:paraId="6C187E52" w14:textId="77777777" w:rsidR="00710ECC" w:rsidRDefault="00710ECC">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7945" w14:textId="77777777" w:rsidR="00710ECC" w:rsidRDefault="00000000">
    <w:r>
      <w:rPr>
        <w:noProof/>
      </w:rPr>
      <w:drawing>
        <wp:anchor distT="0" distB="0" distL="0" distR="0" simplePos="0" relativeHeight="251658240" behindDoc="1" locked="0" layoutInCell="1" hidden="0" allowOverlap="1" wp14:anchorId="6200B87D" wp14:editId="50B27BC9">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CC"/>
    <w:rsid w:val="00212265"/>
    <w:rsid w:val="004C0683"/>
    <w:rsid w:val="006955BA"/>
    <w:rsid w:val="00710E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83465"/>
  <w15:docId w15:val="{1AA16210-F203-47DC-9777-466D4C81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bepss.org.br/enpess-anais/public/arquivos/00262.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fess.org.br/uploads/revista/3932/-JDO9j6euM5_NwB3GILjcLu04Ga73XLe.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fess.org.br/uploads/revista/3932/-JDO9j6euM5_NwB3GILjcLu04Ga73XLe.pdf"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cfess.org.br/uploads/revista/3934/y92wyhk1E2wYjaZuimVUwLhZ3RwTkoJ-.pdf" TargetMode="External"/><Relationship Id="rId4" Type="http://schemas.openxmlformats.org/officeDocument/2006/relationships/footnotes" Target="footnotes.xml"/><Relationship Id="rId9" Type="http://schemas.openxmlformats.org/officeDocument/2006/relationships/hyperlink" Target="https://www.cfess.org.br/uploads/revista/3934/y92wyhk1E2wYjaZuimVUwLhZ3RwTkoJ-.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3754</Words>
  <Characters>20276</Characters>
  <Application>Microsoft Office Word</Application>
  <DocSecurity>0</DocSecurity>
  <Lines>168</Lines>
  <Paragraphs>47</Paragraphs>
  <ScaleCrop>false</ScaleCrop>
  <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Antonia Paulyane Lima Rebouças</cp:lastModifiedBy>
  <cp:revision>2</cp:revision>
  <dcterms:created xsi:type="dcterms:W3CDTF">2025-06-29T20:10:00Z</dcterms:created>
  <dcterms:modified xsi:type="dcterms:W3CDTF">2025-06-29T20:15:00Z</dcterms:modified>
</cp:coreProperties>
</file>