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1F1D" w:rsidRDefault="0074545C">
      <w:pPr>
        <w:spacing w:line="240" w:lineRule="auto"/>
        <w:jc w:val="center"/>
        <w:rPr>
          <w:sz w:val="24"/>
          <w:szCs w:val="24"/>
        </w:rPr>
      </w:pPr>
      <w:r>
        <w:rPr>
          <w:b/>
          <w:sz w:val="24"/>
          <w:szCs w:val="24"/>
        </w:rPr>
        <w:t>O DIREITO DE SER CUIDADO:</w:t>
      </w:r>
      <w:r>
        <w:rPr>
          <w:sz w:val="24"/>
          <w:szCs w:val="24"/>
        </w:rPr>
        <w:t xml:space="preserve"> o serviço de acolhimento em Família Acolhedora como estratégia de proteção à crianças e adolescentes em situação de violação de direitos.</w:t>
      </w:r>
    </w:p>
    <w:p w:rsidR="00DA1F1D" w:rsidRDefault="0074545C">
      <w:pPr>
        <w:spacing w:line="240" w:lineRule="auto"/>
        <w:jc w:val="right"/>
        <w:rPr>
          <w:sz w:val="24"/>
          <w:szCs w:val="24"/>
        </w:rPr>
      </w:pPr>
      <w:r>
        <w:rPr>
          <w:sz w:val="24"/>
          <w:szCs w:val="24"/>
        </w:rPr>
        <w:t>Raíssa Araújo dos Santos</w:t>
      </w:r>
      <w:r>
        <w:rPr>
          <w:sz w:val="24"/>
          <w:szCs w:val="24"/>
          <w:vertAlign w:val="superscript"/>
        </w:rPr>
        <w:footnoteReference w:id="1"/>
      </w:r>
      <w:r>
        <w:rPr>
          <w:sz w:val="24"/>
          <w:szCs w:val="24"/>
        </w:rPr>
        <w:t xml:space="preserve"> </w:t>
      </w:r>
    </w:p>
    <w:p w:rsidR="00DA1F1D" w:rsidRDefault="0074545C">
      <w:pPr>
        <w:spacing w:line="360" w:lineRule="auto"/>
        <w:jc w:val="right"/>
        <w:rPr>
          <w:sz w:val="20"/>
          <w:szCs w:val="20"/>
        </w:rPr>
      </w:pPr>
      <w:r>
        <w:rPr>
          <w:sz w:val="24"/>
          <w:szCs w:val="24"/>
        </w:rPr>
        <w:t>Marinez Gil Nogueira</w:t>
      </w:r>
      <w:r>
        <w:rPr>
          <w:sz w:val="24"/>
          <w:szCs w:val="24"/>
          <w:vertAlign w:val="superscript"/>
        </w:rPr>
        <w:footnoteReference w:id="2"/>
      </w:r>
    </w:p>
    <w:p w:rsidR="00DA1F1D" w:rsidRDefault="0074545C">
      <w:pPr>
        <w:spacing w:line="240" w:lineRule="auto"/>
        <w:ind w:left="2835"/>
        <w:jc w:val="both"/>
        <w:rPr>
          <w:sz w:val="20"/>
          <w:szCs w:val="20"/>
        </w:rPr>
      </w:pPr>
      <w:r>
        <w:rPr>
          <w:b/>
          <w:sz w:val="20"/>
          <w:szCs w:val="20"/>
        </w:rPr>
        <w:t>Resumo</w:t>
      </w:r>
    </w:p>
    <w:p w:rsidR="00DA1F1D" w:rsidRDefault="0074545C">
      <w:pPr>
        <w:spacing w:line="240" w:lineRule="auto"/>
        <w:ind w:left="2835"/>
        <w:jc w:val="both"/>
        <w:rPr>
          <w:sz w:val="20"/>
          <w:szCs w:val="20"/>
        </w:rPr>
      </w:pPr>
      <w:r>
        <w:rPr>
          <w:sz w:val="20"/>
          <w:szCs w:val="20"/>
        </w:rPr>
        <w:t>Este artigo é resultado de pesquisa desenvolvida no âmbito do curso de mestrado em Serviço Social da Universidade Federal do Amazonas (UFAM), com financiamento da Fundação de Amparo à Pesquisa do Estado do Amazonas (FAPEAM). Discute a modalidade de acolhimento no serviço de família acolhedora como estratégia de proteção e como resposta concreta às violações sofridas por crianças e adolescentes. O objetivo central é destacar a relevância da modalidade para a proteção integral e o desenvolvimento de crianças vítimas de violência. Trata-se de uma pesquisa bibliográfica, cujos resultados evidenciam a importância deste serviço, especialmente no desenvolvimento integral a partir da reconstrução de vínculos afetivos, conforme preconiza o Estatuto da Criança e do Adolescente.</w:t>
      </w:r>
    </w:p>
    <w:p w:rsidR="00DA1F1D" w:rsidRDefault="0074545C">
      <w:pPr>
        <w:spacing w:line="240" w:lineRule="auto"/>
        <w:ind w:left="2835"/>
        <w:jc w:val="both"/>
        <w:rPr>
          <w:sz w:val="20"/>
          <w:szCs w:val="20"/>
        </w:rPr>
      </w:pPr>
      <w:r>
        <w:rPr>
          <w:b/>
          <w:sz w:val="20"/>
          <w:szCs w:val="20"/>
        </w:rPr>
        <w:t>Palavras-chave</w:t>
      </w:r>
      <w:r>
        <w:rPr>
          <w:sz w:val="20"/>
          <w:szCs w:val="20"/>
        </w:rPr>
        <w:t>: Serviço de acolhimento; Família acolhedora; Violência infantil; Medida protetiva; Violação de direitos.</w:t>
      </w:r>
    </w:p>
    <w:p w:rsidR="00DA1F1D" w:rsidRDefault="0074545C">
      <w:pPr>
        <w:spacing w:line="240" w:lineRule="auto"/>
        <w:ind w:left="2835"/>
        <w:jc w:val="both"/>
        <w:rPr>
          <w:sz w:val="20"/>
          <w:szCs w:val="20"/>
        </w:rPr>
      </w:pPr>
      <w:r>
        <w:rPr>
          <w:b/>
          <w:sz w:val="20"/>
          <w:szCs w:val="20"/>
        </w:rPr>
        <w:t>Abstract</w:t>
      </w:r>
    </w:p>
    <w:p w:rsidR="00DA1F1D" w:rsidRDefault="00A64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35"/>
        <w:jc w:val="both"/>
        <w:rPr>
          <w:color w:val="1F1F1F"/>
          <w:sz w:val="42"/>
          <w:szCs w:val="42"/>
        </w:rPr>
      </w:pPr>
      <w:r w:rsidRPr="00A64C7D">
        <w:rPr>
          <w:sz w:val="20"/>
          <w:szCs w:val="20"/>
        </w:rPr>
        <w:t>This article is the result of research developed within the Master's program in Social Work at the Federal University of Amazonas (UFAM), funded by the Amazonas State Research Support Foundation (FAPEAM). It discusses the foster family care service as a protection strategy and a concrete response to the violations suffered by children and adolescents. The main objective is to highlight the relevance of this care modality for the comprehensive protection and development of children who are victims of violence. This is a bibliographic research study, and its results highlight the importance of this service, especially in promoting holistic development through the reconstruction of affective bonds, as established by the Statute of the Child and Adolescent.</w:t>
      </w:r>
      <w:r w:rsidR="0074545C">
        <w:rPr>
          <w:b/>
          <w:sz w:val="20"/>
          <w:szCs w:val="20"/>
        </w:rPr>
        <w:t>Keywords:</w:t>
      </w:r>
      <w:r w:rsidR="0074545C">
        <w:rPr>
          <w:sz w:val="20"/>
          <w:szCs w:val="20"/>
        </w:rPr>
        <w:t xml:space="preserve"> Foster care service; Foster family; Child violence; Protective measure; Violation of rights</w:t>
      </w:r>
      <w:r w:rsidR="0074545C">
        <w:rPr>
          <w:color w:val="1F1F1F"/>
          <w:sz w:val="20"/>
          <w:szCs w:val="20"/>
        </w:rPr>
        <w:t>.</w:t>
      </w:r>
    </w:p>
    <w:p w:rsidR="00DA1F1D" w:rsidRDefault="0074545C">
      <w:pPr>
        <w:spacing w:line="240" w:lineRule="auto"/>
        <w:ind w:left="2835"/>
        <w:jc w:val="both"/>
        <w:rPr>
          <w:sz w:val="20"/>
          <w:szCs w:val="20"/>
        </w:rPr>
      </w:pPr>
      <w:r>
        <w:rPr>
          <w:b/>
          <w:sz w:val="20"/>
          <w:szCs w:val="20"/>
        </w:rPr>
        <w:t>Keywords</w:t>
      </w:r>
      <w:r>
        <w:rPr>
          <w:sz w:val="20"/>
          <w:szCs w:val="20"/>
        </w:rPr>
        <w:t>: Foster care service; Foster family; Child abuse; Protective measure; Rights violation.</w:t>
      </w:r>
    </w:p>
    <w:p w:rsidR="00DA1F1D" w:rsidRDefault="0074545C">
      <w:pPr>
        <w:spacing w:before="200" w:line="360" w:lineRule="auto"/>
        <w:rPr>
          <w:b/>
          <w:sz w:val="24"/>
          <w:szCs w:val="24"/>
        </w:rPr>
      </w:pPr>
      <w:r>
        <w:rPr>
          <w:b/>
          <w:sz w:val="24"/>
          <w:szCs w:val="24"/>
        </w:rPr>
        <w:lastRenderedPageBreak/>
        <w:t>1         INTRODUÇÃO</w:t>
      </w:r>
    </w:p>
    <w:p w:rsidR="00DA1F1D" w:rsidRDefault="0074545C">
      <w:pPr>
        <w:spacing w:before="200" w:line="360" w:lineRule="auto"/>
        <w:ind w:firstLine="720"/>
        <w:jc w:val="both"/>
        <w:rPr>
          <w:sz w:val="24"/>
          <w:szCs w:val="24"/>
        </w:rPr>
      </w:pPr>
      <w:r>
        <w:rPr>
          <w:sz w:val="24"/>
          <w:szCs w:val="24"/>
        </w:rPr>
        <w:t>A Constituição Federal de 1988 representou um avanço significativo na garantia da proteção integral de crianças e adolescentes, ao atribuir essa responsabilidade de forma compartilhada à família, à sociedade e ao Estado. De acordo com o Artigo 227, nenhum desses agentes pode adotar uma postura de neutralidade diante de situações que resultem em desproteção (Brasil, 1988). Nesse sentido, o Estatuto da Criança e do Adolescente (ECA), instituído pela Lei nº 8.069/1990, foi criado para efetivar os princípios desse artigo, assegurando a proteção e a garantia dos direitos fundamentais de crianças e adolescentes. Conforme a legislação, considera-se criança a pessoa com até 12 anos incompletos, e adolescente aquele entre 12 e 18 anos de idade.</w:t>
      </w:r>
    </w:p>
    <w:p w:rsidR="00DA1F1D" w:rsidRDefault="0074545C">
      <w:pPr>
        <w:spacing w:line="360" w:lineRule="auto"/>
        <w:jc w:val="both"/>
        <w:rPr>
          <w:sz w:val="24"/>
          <w:szCs w:val="24"/>
        </w:rPr>
      </w:pPr>
      <w:r>
        <w:rPr>
          <w:sz w:val="24"/>
          <w:szCs w:val="24"/>
        </w:rPr>
        <w:t xml:space="preserve">       É inconteste que, nos últimos anos, houve um crescimento significativo no número de denúncias referentes a violações de direitos contra crianças e adolescentes. Quando esses direitos são violados, por negligência, abandono, maus-tratos, abuso sexual, entre outras formas de violência, o Estado deve intervir de forma protetiva e excepcional. Nesta linha, as violações aos direitos humanos de crianças e adolescentes no Brasil e suas múltiplas manifestações têm levado a busca de atendimentos contínuos para seu enfrentamento no âmbito das políticas públicas. </w:t>
      </w:r>
    </w:p>
    <w:p w:rsidR="00DA1F1D" w:rsidRDefault="0074545C" w:rsidP="00BC340C">
      <w:pPr>
        <w:spacing w:line="360" w:lineRule="auto"/>
        <w:ind w:firstLine="720"/>
        <w:jc w:val="both"/>
        <w:rPr>
          <w:sz w:val="24"/>
          <w:szCs w:val="24"/>
        </w:rPr>
      </w:pPr>
      <w:r>
        <w:rPr>
          <w:sz w:val="24"/>
          <w:szCs w:val="24"/>
        </w:rPr>
        <w:t>Sendo assim, o acolhimento familiar, por meio do Programa Família Acolhedora, desponta como alternativa sensível ao acolhimento institucional, assegurando às crianças e adolescentes afastados do convívio familiar por determinação judicial, um ambiente temporário de cuidado, proteç</w:t>
      </w:r>
      <w:r w:rsidR="00BC340C">
        <w:rPr>
          <w:sz w:val="24"/>
          <w:szCs w:val="24"/>
        </w:rPr>
        <w:t>ão e pertencimento. Além disso</w:t>
      </w:r>
      <w:r>
        <w:rPr>
          <w:sz w:val="24"/>
          <w:szCs w:val="24"/>
        </w:rPr>
        <w:t xml:space="preserve">, o serviço oferta </w:t>
      </w:r>
      <w:r w:rsidR="00BC340C">
        <w:rPr>
          <w:sz w:val="24"/>
          <w:szCs w:val="24"/>
        </w:rPr>
        <w:t>mecanismos de acompanhamentos até que a</w:t>
      </w:r>
      <w:r>
        <w:rPr>
          <w:sz w:val="24"/>
          <w:szCs w:val="24"/>
        </w:rPr>
        <w:t xml:space="preserve"> criança ou adolescente</w:t>
      </w:r>
      <w:r w:rsidR="00BC340C">
        <w:rPr>
          <w:sz w:val="24"/>
          <w:szCs w:val="24"/>
        </w:rPr>
        <w:t xml:space="preserve"> </w:t>
      </w:r>
      <w:r>
        <w:rPr>
          <w:sz w:val="24"/>
          <w:szCs w:val="24"/>
        </w:rPr>
        <w:t>possa ser reinserido em família de origem ou na impossibilidade, em família substituta.</w:t>
      </w:r>
    </w:p>
    <w:p w:rsidR="00DA1F1D" w:rsidRDefault="0074545C">
      <w:pPr>
        <w:spacing w:line="360" w:lineRule="auto"/>
        <w:jc w:val="both"/>
        <w:rPr>
          <w:sz w:val="24"/>
          <w:szCs w:val="24"/>
        </w:rPr>
      </w:pPr>
      <w:r>
        <w:rPr>
          <w:sz w:val="24"/>
          <w:szCs w:val="24"/>
        </w:rPr>
        <w:t xml:space="preserve">        Mediante essa reflexão, este artigo tem como objetivo analisar o Serviço de Acolhimento em Família Acolhedora (SFA) como um mecanismo de cuidado e </w:t>
      </w:r>
      <w:r>
        <w:rPr>
          <w:sz w:val="24"/>
          <w:szCs w:val="24"/>
        </w:rPr>
        <w:lastRenderedPageBreak/>
        <w:t>proteção de crianças e adolescentes vítimas de violações de direitos, destacando sua importância e a necessidade do seu contínuo aprimoramento como política pública.</w:t>
      </w:r>
    </w:p>
    <w:p w:rsidR="00DA1F1D" w:rsidRDefault="0074545C">
      <w:pPr>
        <w:spacing w:line="360" w:lineRule="auto"/>
        <w:ind w:firstLine="720"/>
        <w:jc w:val="both"/>
        <w:rPr>
          <w:sz w:val="24"/>
          <w:szCs w:val="24"/>
        </w:rPr>
      </w:pPr>
      <w:bookmarkStart w:id="0" w:name="_heading=h.emle3jl0f5z8" w:colFirst="0" w:colLast="0"/>
      <w:bookmarkEnd w:id="0"/>
      <w:r>
        <w:rPr>
          <w:sz w:val="24"/>
          <w:szCs w:val="24"/>
        </w:rPr>
        <w:t>Quanto ao percurso metodológico, a elaboração do artigo apoia-se em estudo de natureza descritiva e bibliográfica que, de acordo com Gil (2010, p. 2002), tem como objetivo principal descrever as características de um grupo, fenômeno ou situação, ou estabelecer relações entre variáveis, por meio do levantamento bibliográfico de materiais publicados, com o fito de expor a importância do SFA a partir da análise de autores.</w:t>
      </w:r>
      <w:r w:rsidR="00250200">
        <w:rPr>
          <w:sz w:val="24"/>
          <w:szCs w:val="24"/>
        </w:rPr>
        <w:t xml:space="preserve"> </w:t>
      </w:r>
    </w:p>
    <w:p w:rsidR="006F799A" w:rsidRDefault="00250200" w:rsidP="006F799A">
      <w:pPr>
        <w:spacing w:line="360" w:lineRule="auto"/>
        <w:ind w:firstLine="720"/>
        <w:jc w:val="both"/>
        <w:rPr>
          <w:sz w:val="24"/>
          <w:szCs w:val="24"/>
        </w:rPr>
      </w:pPr>
      <w:r>
        <w:rPr>
          <w:sz w:val="24"/>
          <w:szCs w:val="24"/>
        </w:rPr>
        <w:t xml:space="preserve">Além disso, o </w:t>
      </w:r>
      <w:r w:rsidR="006F799A">
        <w:rPr>
          <w:sz w:val="24"/>
          <w:szCs w:val="24"/>
        </w:rPr>
        <w:t>artigo utiliza o método dialético histórico-crítico para compreender a totalidade concreta da realidade social e as contradições da sociedade capitalista. Netto (2011), destaca a importância desse método para uma investigação crítica sob a realidade em que se estuda. F</w:t>
      </w:r>
      <w:r w:rsidR="006F799A" w:rsidRPr="006F799A">
        <w:rPr>
          <w:sz w:val="24"/>
          <w:szCs w:val="24"/>
        </w:rPr>
        <w:t>az-se relevante expor a te</w:t>
      </w:r>
      <w:r w:rsidR="006F799A">
        <w:rPr>
          <w:sz w:val="24"/>
          <w:szCs w:val="24"/>
        </w:rPr>
        <w:t>mática</w:t>
      </w:r>
      <w:r w:rsidR="00084EBD">
        <w:rPr>
          <w:sz w:val="24"/>
          <w:szCs w:val="24"/>
        </w:rPr>
        <w:t>,</w:t>
      </w:r>
      <w:r w:rsidR="006F799A">
        <w:rPr>
          <w:sz w:val="24"/>
          <w:szCs w:val="24"/>
        </w:rPr>
        <w:t xml:space="preserve"> por se tratar de um tema </w:t>
      </w:r>
      <w:r w:rsidR="006F799A" w:rsidRPr="006F799A">
        <w:rPr>
          <w:sz w:val="24"/>
          <w:szCs w:val="24"/>
        </w:rPr>
        <w:t>relativamente novo, foram encontradas apenas 11 produções na área de serviço social nas</w:t>
      </w:r>
      <w:r w:rsidR="006F799A">
        <w:rPr>
          <w:sz w:val="24"/>
          <w:szCs w:val="24"/>
        </w:rPr>
        <w:t xml:space="preserve"> </w:t>
      </w:r>
      <w:r w:rsidR="006F799A" w:rsidRPr="006F799A">
        <w:rPr>
          <w:sz w:val="24"/>
          <w:szCs w:val="24"/>
        </w:rPr>
        <w:t>bases de dados digital (Periódicos Capes, Scielo, Biblioteca Digital Brasileira de Teses e</w:t>
      </w:r>
      <w:r w:rsidR="006F799A">
        <w:rPr>
          <w:sz w:val="24"/>
          <w:szCs w:val="24"/>
        </w:rPr>
        <w:t xml:space="preserve"> </w:t>
      </w:r>
      <w:r w:rsidR="006F799A" w:rsidRPr="006F799A">
        <w:rPr>
          <w:sz w:val="24"/>
          <w:szCs w:val="24"/>
        </w:rPr>
        <w:t xml:space="preserve">Dissertações </w:t>
      </w:r>
      <w:r w:rsidR="006F799A">
        <w:rPr>
          <w:sz w:val="24"/>
          <w:szCs w:val="24"/>
        </w:rPr>
        <w:t>–</w:t>
      </w:r>
      <w:r w:rsidR="006F799A" w:rsidRPr="006F799A">
        <w:rPr>
          <w:sz w:val="24"/>
          <w:szCs w:val="24"/>
        </w:rPr>
        <w:t xml:space="preserve"> BSTS</w:t>
      </w:r>
      <w:r w:rsidR="006F799A">
        <w:rPr>
          <w:sz w:val="24"/>
          <w:szCs w:val="24"/>
        </w:rPr>
        <w:t xml:space="preserve">). </w:t>
      </w:r>
      <w:r w:rsidR="006F799A" w:rsidRPr="006F799A">
        <w:rPr>
          <w:sz w:val="24"/>
          <w:szCs w:val="24"/>
        </w:rPr>
        <w:t>Assim, agregando as competências e atribuições a produção de pesquisa científicas de</w:t>
      </w:r>
      <w:r w:rsidR="006F799A">
        <w:rPr>
          <w:sz w:val="24"/>
          <w:szCs w:val="24"/>
        </w:rPr>
        <w:t xml:space="preserve"> </w:t>
      </w:r>
      <w:r w:rsidR="006F799A" w:rsidRPr="006F799A">
        <w:rPr>
          <w:sz w:val="24"/>
          <w:szCs w:val="24"/>
        </w:rPr>
        <w:t>análise da realidade e das relações sociais que um profissional de serviço social deve realizar,</w:t>
      </w:r>
      <w:r w:rsidR="006F799A">
        <w:rPr>
          <w:sz w:val="24"/>
          <w:szCs w:val="24"/>
        </w:rPr>
        <w:t xml:space="preserve"> </w:t>
      </w:r>
      <w:r w:rsidR="006F799A" w:rsidRPr="006F799A">
        <w:rPr>
          <w:sz w:val="24"/>
          <w:szCs w:val="24"/>
        </w:rPr>
        <w:t>o presente estudo visa contribuir para a produção de conhecimento no campo institucional</w:t>
      </w:r>
      <w:r w:rsidR="00084EBD">
        <w:rPr>
          <w:sz w:val="24"/>
          <w:szCs w:val="24"/>
        </w:rPr>
        <w:t>.</w:t>
      </w:r>
    </w:p>
    <w:p w:rsidR="00DA1F1D" w:rsidRDefault="0074545C">
      <w:pPr>
        <w:spacing w:line="360" w:lineRule="auto"/>
        <w:ind w:firstLine="720"/>
        <w:jc w:val="both"/>
        <w:rPr>
          <w:sz w:val="24"/>
          <w:szCs w:val="24"/>
        </w:rPr>
      </w:pPr>
      <w:bookmarkStart w:id="1" w:name="_heading=h.u2kha0utt4xg" w:colFirst="0" w:colLast="0"/>
      <w:bookmarkEnd w:id="1"/>
      <w:r>
        <w:rPr>
          <w:sz w:val="24"/>
          <w:szCs w:val="24"/>
        </w:rPr>
        <w:t>Desta forma, o artigo está estruturado em três seções destinadas ao desenvolvimento, além desta introdução, considerações finais e referências. A primeira parte, discute as bases legais que sustentam o direito ao cuidado e à convivência familiar e comunitária no contexto do acolhimento. A segunda parte, identifica os principais tipos de violações de direitos e seus impactos no desenvolvimento integral. Na terceira e última parte, serão ressaltados os impactos dessa modalidade de acolhimento com ênfase na reparação de danos e na reintegração familiar ou colocação em família substituta.</w:t>
      </w:r>
    </w:p>
    <w:p w:rsidR="00DA1F1D" w:rsidRDefault="0074545C">
      <w:pPr>
        <w:spacing w:before="200" w:line="360" w:lineRule="auto"/>
        <w:ind w:left="-141" w:firstLine="135"/>
        <w:jc w:val="both"/>
        <w:rPr>
          <w:b/>
          <w:sz w:val="24"/>
          <w:szCs w:val="24"/>
        </w:rPr>
      </w:pPr>
      <w:r>
        <w:rPr>
          <w:b/>
          <w:sz w:val="24"/>
          <w:szCs w:val="24"/>
        </w:rPr>
        <w:t xml:space="preserve">2 </w:t>
      </w:r>
      <w:r>
        <w:rPr>
          <w:b/>
          <w:sz w:val="24"/>
          <w:szCs w:val="24"/>
        </w:rPr>
        <w:tab/>
        <w:t>A PROTEÇÃO INTEGRAL COMO FUNDAMENTO DO DIREITO AO CUIDADO</w:t>
      </w:r>
    </w:p>
    <w:p w:rsidR="00DA1F1D" w:rsidRDefault="0074545C">
      <w:pPr>
        <w:spacing w:before="200" w:line="360" w:lineRule="auto"/>
        <w:ind w:firstLine="720"/>
        <w:jc w:val="both"/>
        <w:rPr>
          <w:sz w:val="24"/>
          <w:szCs w:val="24"/>
        </w:rPr>
      </w:pPr>
      <w:r>
        <w:rPr>
          <w:sz w:val="24"/>
          <w:szCs w:val="24"/>
        </w:rPr>
        <w:lastRenderedPageBreak/>
        <w:t xml:space="preserve">Como evidenciado, a Constituição Federal de 1988, foi o primeiro passo para uma nova perspectiva de direitos das crianças e adolescentes. A partir da compreensão que na garantia de direitos deve ser levada em conta o melhor interesse da criança, o que está relacionado com a promoção do chamado desenvolvimento integral. Assim, no que diz respeito ao direito à convivência familiar e comunitária, existem três aspectos que devem ser observados: </w:t>
      </w:r>
    </w:p>
    <w:p w:rsidR="00DA1F1D" w:rsidRDefault="0074545C">
      <w:pPr>
        <w:spacing w:after="200" w:line="240" w:lineRule="auto"/>
        <w:ind w:left="2267"/>
        <w:jc w:val="both"/>
        <w:rPr>
          <w:sz w:val="24"/>
          <w:szCs w:val="24"/>
        </w:rPr>
      </w:pPr>
      <w:bookmarkStart w:id="2" w:name="_heading=h.oato2kyrdzdx" w:colFirst="0" w:colLast="0"/>
      <w:bookmarkEnd w:id="2"/>
      <w:r>
        <w:rPr>
          <w:sz w:val="20"/>
          <w:szCs w:val="20"/>
        </w:rPr>
        <w:t>1) Preocupação com o desenvolvimento da personalidade da criança na família e com o ambiente em que ela será criada; 2) Ser criada, em regra, pelos pais; e 3) Estabelecimento de responsabilidades à sociedade e ao Estado no auxílio às crianças em situações de vulnerabilidade (órfãos, abandonados e carentes) (Vieira, 2014, p. 63)</w:t>
      </w:r>
    </w:p>
    <w:p w:rsidR="00DA1F1D" w:rsidRDefault="0074545C">
      <w:pPr>
        <w:spacing w:line="360" w:lineRule="auto"/>
        <w:ind w:firstLine="720"/>
        <w:jc w:val="both"/>
        <w:rPr>
          <w:sz w:val="24"/>
          <w:szCs w:val="24"/>
        </w:rPr>
      </w:pPr>
      <w:r>
        <w:rPr>
          <w:sz w:val="24"/>
          <w:szCs w:val="24"/>
        </w:rPr>
        <w:t>Entende-se, portanto, que existe uma responsabilidade social de proteção frente a esses sujeitos. Quando se discute desenvolvimento integral de crianças e adolescentes, esse termo não se limita a um princípio legal previsto na legislação, mas a um processo que abrange dimensões físicas, materiais, emocionais, sociais e psicológicas, fundamentais para a formação plena do indivíduo.</w:t>
      </w:r>
    </w:p>
    <w:p w:rsidR="00DA1F1D" w:rsidRDefault="0074545C">
      <w:pPr>
        <w:spacing w:line="360" w:lineRule="auto"/>
        <w:ind w:firstLine="720"/>
        <w:jc w:val="both"/>
        <w:rPr>
          <w:sz w:val="24"/>
          <w:szCs w:val="24"/>
        </w:rPr>
      </w:pPr>
      <w:r>
        <w:rPr>
          <w:sz w:val="24"/>
          <w:szCs w:val="24"/>
        </w:rPr>
        <w:t xml:space="preserve">No tocante aos direitos essenciais para esse desenvolvimento integral, o ECA preconiza o direito à convivência familiar e comunitária. De acordo com o artigo 19, "toda criança ou adolescente tem o direito de ser criado e educado no seio de sua família e, excepcionalmente, em família substituta". </w:t>
      </w:r>
    </w:p>
    <w:p w:rsidR="00DA1F1D" w:rsidRDefault="0074545C">
      <w:pPr>
        <w:spacing w:line="360" w:lineRule="auto"/>
        <w:ind w:firstLine="720"/>
        <w:jc w:val="both"/>
        <w:rPr>
          <w:sz w:val="24"/>
          <w:szCs w:val="24"/>
        </w:rPr>
      </w:pPr>
      <w:r>
        <w:rPr>
          <w:sz w:val="24"/>
          <w:szCs w:val="24"/>
        </w:rPr>
        <w:t xml:space="preserve">Durante o acolhimento institucional, devem ser garantidos os direitos fundamentais das crianças e adolescentes, entre os quais se destaca o direito à convivência familiar e comunitária. Embora o acolhimento institucional seja importante instrumento de proteção, ele não possui a capacidade de ofertar um desenvolvimento individual e relações afetivas. </w:t>
      </w:r>
    </w:p>
    <w:p w:rsidR="00DA1F1D" w:rsidRDefault="0074545C">
      <w:pPr>
        <w:spacing w:line="360" w:lineRule="auto"/>
        <w:ind w:firstLine="720"/>
        <w:jc w:val="both"/>
        <w:rPr>
          <w:sz w:val="24"/>
          <w:szCs w:val="24"/>
        </w:rPr>
      </w:pPr>
      <w:r>
        <w:rPr>
          <w:sz w:val="24"/>
          <w:szCs w:val="24"/>
        </w:rPr>
        <w:t>De acordo com as autoras (Ramos; Oliveira, 2025, p. 6) o SFA “[...] pode assegurar os direitos essenciais da criança, promovendo seu desenvolvimento físico e mental que já está fragilizado devido às violências sofridas [...]”. Em consonância a essa perspectiva, Cerutti (2022, p. 33) aborda que:</w:t>
      </w:r>
    </w:p>
    <w:p w:rsidR="00DA1F1D" w:rsidRDefault="0074545C">
      <w:pPr>
        <w:spacing w:before="200" w:line="240" w:lineRule="auto"/>
        <w:ind w:left="2267"/>
        <w:jc w:val="both"/>
        <w:rPr>
          <w:sz w:val="20"/>
          <w:szCs w:val="20"/>
        </w:rPr>
      </w:pPr>
      <w:r>
        <w:rPr>
          <w:sz w:val="20"/>
          <w:szCs w:val="20"/>
        </w:rPr>
        <w:t xml:space="preserve">[...] para o desenvolvimento completo e harmonioso de sua personalidade, a criança precisa de amor e compreensão. Criar-se-á, sempre que possível, </w:t>
      </w:r>
      <w:r>
        <w:rPr>
          <w:sz w:val="20"/>
          <w:szCs w:val="20"/>
        </w:rPr>
        <w:lastRenderedPageBreak/>
        <w:t>aos cuidados e sob a responsabilidade dos pais e, em qualquer hipótese, num ambiente de afeto e de segurança moral e material [...].</w:t>
      </w:r>
    </w:p>
    <w:p w:rsidR="00DA1F1D" w:rsidRDefault="00DA1F1D">
      <w:pPr>
        <w:spacing w:before="200" w:line="240" w:lineRule="auto"/>
        <w:ind w:left="2160"/>
        <w:jc w:val="both"/>
        <w:rPr>
          <w:sz w:val="20"/>
          <w:szCs w:val="20"/>
        </w:rPr>
      </w:pPr>
    </w:p>
    <w:p w:rsidR="00DA1F1D" w:rsidRDefault="0074545C">
      <w:pPr>
        <w:spacing w:line="360" w:lineRule="auto"/>
        <w:ind w:firstLine="720"/>
        <w:jc w:val="both"/>
        <w:rPr>
          <w:sz w:val="24"/>
          <w:szCs w:val="24"/>
        </w:rPr>
      </w:pPr>
      <w:r>
        <w:rPr>
          <w:sz w:val="24"/>
          <w:szCs w:val="24"/>
        </w:rPr>
        <w:t>Portanto, no que se refere ao direito da convivência familiar, Cerutti (2022) ressalta a carta constitucional, pois esse direito tem como premissa a garantia absoluta da convivência familiar e comunitária. Apesar do acolhimento oferecer o subsídio básico material, ocorre a quebra de vínculos afetivos, e dependendo da situação do acolhido, há o afastamento definitivo do lar, c</w:t>
      </w:r>
      <w:r w:rsidR="00ED4867">
        <w:rPr>
          <w:sz w:val="24"/>
          <w:szCs w:val="24"/>
        </w:rPr>
        <w:t>om futuros direcionamentos para</w:t>
      </w:r>
      <w:r>
        <w:rPr>
          <w:sz w:val="24"/>
          <w:szCs w:val="24"/>
        </w:rPr>
        <w:t xml:space="preserve"> uma família substituta. </w:t>
      </w:r>
    </w:p>
    <w:p w:rsidR="00DA1F1D" w:rsidRDefault="0074545C">
      <w:pPr>
        <w:spacing w:line="360" w:lineRule="auto"/>
        <w:jc w:val="both"/>
        <w:rPr>
          <w:sz w:val="24"/>
          <w:szCs w:val="24"/>
        </w:rPr>
      </w:pPr>
      <w:r>
        <w:rPr>
          <w:sz w:val="24"/>
          <w:szCs w:val="24"/>
        </w:rPr>
        <w:t xml:space="preserve">       Nesse ponto então, destaca-se a importância do acolhimento familiar para garantir a convivência familiar. Assim, Cerutti (2022) e Vieira (2014) dialogam na linha de preservação dos vínculos familiares e incentivo ao desenvolvimento infantil, mesmo que em caráter temporário em um acolhimento familiar. Mas, também, defendem que a criança ou o adolescente tenham assegurado o direito de retornar à família natural (caso seja possível com segurança) ou tenham o direito de ter uma família substituta.</w:t>
      </w:r>
      <w:r>
        <w:rPr>
          <w:sz w:val="24"/>
          <w:szCs w:val="24"/>
          <w:highlight w:val="white"/>
        </w:rPr>
        <w:t xml:space="preserve"> </w:t>
      </w:r>
      <w:r>
        <w:rPr>
          <w:sz w:val="24"/>
          <w:szCs w:val="24"/>
        </w:rPr>
        <w:t xml:space="preserve"> </w:t>
      </w:r>
    </w:p>
    <w:p w:rsidR="00DA1F1D" w:rsidRDefault="00DA1F1D">
      <w:pPr>
        <w:spacing w:line="360" w:lineRule="auto"/>
        <w:jc w:val="both"/>
        <w:rPr>
          <w:sz w:val="24"/>
          <w:szCs w:val="24"/>
        </w:rPr>
      </w:pPr>
    </w:p>
    <w:p w:rsidR="00DA1F1D" w:rsidRDefault="0074545C">
      <w:pPr>
        <w:spacing w:after="200" w:line="360" w:lineRule="auto"/>
        <w:jc w:val="both"/>
        <w:rPr>
          <w:b/>
          <w:sz w:val="24"/>
          <w:szCs w:val="24"/>
        </w:rPr>
      </w:pPr>
      <w:r>
        <w:rPr>
          <w:b/>
          <w:sz w:val="24"/>
          <w:szCs w:val="24"/>
        </w:rPr>
        <w:t xml:space="preserve">3 </w:t>
      </w:r>
      <w:r>
        <w:rPr>
          <w:sz w:val="24"/>
          <w:szCs w:val="24"/>
        </w:rPr>
        <w:t xml:space="preserve">  </w:t>
      </w:r>
      <w:r>
        <w:rPr>
          <w:sz w:val="24"/>
          <w:szCs w:val="24"/>
        </w:rPr>
        <w:tab/>
      </w:r>
      <w:r>
        <w:rPr>
          <w:b/>
          <w:sz w:val="24"/>
          <w:szCs w:val="24"/>
        </w:rPr>
        <w:t xml:space="preserve">A VIOLÊNCIA E SEUS IMPACTOS NO DESENVOLVIMENTO INTEGRAL </w:t>
      </w:r>
    </w:p>
    <w:p w:rsidR="00DA1F1D" w:rsidRDefault="0074545C">
      <w:pPr>
        <w:spacing w:line="360" w:lineRule="auto"/>
        <w:ind w:firstLine="709"/>
        <w:jc w:val="both"/>
        <w:rPr>
          <w:sz w:val="24"/>
          <w:szCs w:val="24"/>
        </w:rPr>
      </w:pPr>
      <w:r>
        <w:rPr>
          <w:sz w:val="24"/>
          <w:szCs w:val="24"/>
        </w:rPr>
        <w:t xml:space="preserve">De acordo com Souza (2024, p. 48), a violação de direitos relaciona-se a toda forma de situação que ameace ou viole os direitos garantidos e assegurados às crianças e aos adolescentes. No caderno de “Orientações Técnicas: Serviços de Acolhimento para Crianças e Adolescentes”, a violação de direitos é definida como sendo um atentado aos direitos de crianças e adolescentes, estabelecidos pelo Estatuto da Criança e do Adolescente. </w:t>
      </w:r>
    </w:p>
    <w:p w:rsidR="00DA1F1D" w:rsidRDefault="0074545C">
      <w:pPr>
        <w:spacing w:line="360" w:lineRule="auto"/>
        <w:ind w:firstLine="709"/>
        <w:jc w:val="both"/>
        <w:rPr>
          <w:sz w:val="24"/>
          <w:szCs w:val="24"/>
        </w:rPr>
      </w:pPr>
      <w:r>
        <w:rPr>
          <w:sz w:val="24"/>
          <w:szCs w:val="24"/>
        </w:rPr>
        <w:t xml:space="preserve"> Ainda de acordo com</w:t>
      </w:r>
      <w:r w:rsidR="009F4DAA">
        <w:rPr>
          <w:sz w:val="24"/>
          <w:szCs w:val="24"/>
        </w:rPr>
        <w:t xml:space="preserve"> a autora Sousa (2024)</w:t>
      </w:r>
      <w:bookmarkStart w:id="3" w:name="_GoBack"/>
      <w:bookmarkEnd w:id="3"/>
      <w:r>
        <w:rPr>
          <w:sz w:val="24"/>
          <w:szCs w:val="24"/>
        </w:rPr>
        <w:t>, nos quatro primeiros meses de 2022 foram registradas em torno de 6.400 denúncias de violação de direitos contra crianças e adolescentes. Nos quatro primeiros meses do ano de 2023, esse número já era superior, totalizando 69.300 denúncias, dentre as quais, em torn</w:t>
      </w:r>
      <w:r w:rsidR="00A64C7D">
        <w:rPr>
          <w:sz w:val="24"/>
          <w:szCs w:val="24"/>
        </w:rPr>
        <w:t xml:space="preserve">o de 17.500, conforme os dados </w:t>
      </w:r>
      <w:r>
        <w:rPr>
          <w:sz w:val="24"/>
          <w:szCs w:val="24"/>
        </w:rPr>
        <w:t xml:space="preserve">do Ministério dos Direitos Humanos e da Cidadania (MDHC). A </w:t>
      </w:r>
      <w:r>
        <w:rPr>
          <w:sz w:val="24"/>
          <w:szCs w:val="24"/>
        </w:rPr>
        <w:lastRenderedPageBreak/>
        <w:t>autora explica que o número significativo de denúncias é para todo tipo de violência, evidenciando que o papel do Estado é importante para elaborar estratégias que possam garantir os direitos a esses sujeitos.</w:t>
      </w:r>
    </w:p>
    <w:p w:rsidR="00DA1F1D" w:rsidRDefault="0074545C">
      <w:pPr>
        <w:spacing w:line="360" w:lineRule="auto"/>
        <w:ind w:firstLine="709"/>
        <w:jc w:val="both"/>
        <w:rPr>
          <w:sz w:val="24"/>
          <w:szCs w:val="24"/>
        </w:rPr>
      </w:pPr>
      <w:r>
        <w:rPr>
          <w:sz w:val="24"/>
          <w:szCs w:val="24"/>
          <w:highlight w:val="white"/>
        </w:rPr>
        <w:t>Outro dado importante a destacar é referente ao caderno Atlas de Violência, que demonstra que crianças são a maioria das vítimas de violência psicológica (54,8%) e sexual (65,2%); já os adolescentes são as principais vítimas de violência física (58,2%); e Crianças e adolescentes do sexo masculino são as principais vítimas de negligência, totalizando 52,3%</w:t>
      </w:r>
      <w:r>
        <w:rPr>
          <w:sz w:val="24"/>
          <w:szCs w:val="24"/>
        </w:rPr>
        <w:t xml:space="preserve"> (A</w:t>
      </w:r>
      <w:r w:rsidR="00ED4867">
        <w:rPr>
          <w:sz w:val="24"/>
          <w:szCs w:val="24"/>
        </w:rPr>
        <w:t>tlas de violência, 2025, p. 39)</w:t>
      </w:r>
      <w:r>
        <w:rPr>
          <w:sz w:val="24"/>
          <w:szCs w:val="24"/>
        </w:rPr>
        <w:t>.</w:t>
      </w:r>
    </w:p>
    <w:p w:rsidR="00DA1F1D" w:rsidRDefault="0074545C">
      <w:pPr>
        <w:spacing w:after="200" w:line="360" w:lineRule="auto"/>
        <w:ind w:firstLine="709"/>
        <w:jc w:val="both"/>
        <w:rPr>
          <w:sz w:val="24"/>
          <w:szCs w:val="24"/>
        </w:rPr>
      </w:pPr>
      <w:r>
        <w:rPr>
          <w:sz w:val="24"/>
          <w:szCs w:val="24"/>
        </w:rPr>
        <w:t xml:space="preserve">Os tipos de violências contra crianças e adolescentes são variados e muitas vezes apresentam conceitos diversos. Para a compreensão do que constitui uma violência, usa-se a legislação nacional, </w:t>
      </w:r>
      <w:hyperlink r:id="rId8">
        <w:r>
          <w:rPr>
            <w:sz w:val="24"/>
            <w:szCs w:val="24"/>
          </w:rPr>
          <w:t>Lei 13431/2017 (Lei da Escuta Protegida)</w:t>
        </w:r>
      </w:hyperlink>
      <w:r>
        <w:rPr>
          <w:sz w:val="24"/>
          <w:szCs w:val="24"/>
        </w:rPr>
        <w:t>, que define os seguintes tipos de violência:</w:t>
      </w:r>
    </w:p>
    <w:p w:rsidR="00DA1F1D" w:rsidRDefault="0074545C">
      <w:pPr>
        <w:shd w:val="clear" w:color="auto" w:fill="FFFFFF"/>
        <w:spacing w:after="200" w:line="240" w:lineRule="auto"/>
        <w:ind w:left="2267"/>
        <w:jc w:val="both"/>
        <w:rPr>
          <w:sz w:val="20"/>
          <w:szCs w:val="20"/>
        </w:rPr>
      </w:pPr>
      <w:r>
        <w:rPr>
          <w:sz w:val="20"/>
          <w:szCs w:val="20"/>
        </w:rPr>
        <w:t>Violência Física: ação que impacta negativamente a integridade ou saúde corporal ou cause sofrimento físico; Violência Psicológica: Discriminação, ameaças, constrangimentos, humilhações, manipulações, isolamento, xingamentos, ridicularização, indiferença, entre outros, que prejudique seu desenvolvimento mental e emocional; Violência sexual: ação que force criança ou adolescente a praticar ou presenciar ato sexual, de modo presencial ou virtual. A violência sexual inclui o abuso sexual, a exploração sexual comercial e o tráfico de pessoa” (Brasil, 2017, Art. 4).</w:t>
      </w:r>
    </w:p>
    <w:p w:rsidR="00DA1F1D" w:rsidRDefault="00DA1F1D">
      <w:pPr>
        <w:shd w:val="clear" w:color="auto" w:fill="FFFFFF"/>
        <w:spacing w:line="240" w:lineRule="auto"/>
        <w:ind w:left="2880"/>
        <w:jc w:val="both"/>
        <w:rPr>
          <w:sz w:val="20"/>
          <w:szCs w:val="20"/>
        </w:rPr>
      </w:pPr>
    </w:p>
    <w:p w:rsidR="00DA1F1D" w:rsidRDefault="0074545C">
      <w:pPr>
        <w:spacing w:line="360" w:lineRule="auto"/>
        <w:ind w:firstLine="709"/>
        <w:jc w:val="both"/>
        <w:rPr>
          <w:sz w:val="24"/>
          <w:szCs w:val="24"/>
          <w:highlight w:val="white"/>
        </w:rPr>
      </w:pPr>
      <w:r>
        <w:rPr>
          <w:sz w:val="24"/>
          <w:szCs w:val="24"/>
        </w:rPr>
        <w:t xml:space="preserve"> O contexto</w:t>
      </w:r>
      <w:r>
        <w:rPr>
          <w:sz w:val="24"/>
          <w:szCs w:val="24"/>
          <w:highlight w:val="white"/>
        </w:rPr>
        <w:t xml:space="preserve"> de violência contra criança e adolescente</w:t>
      </w:r>
      <w:r>
        <w:rPr>
          <w:sz w:val="24"/>
          <w:szCs w:val="24"/>
        </w:rPr>
        <w:t xml:space="preserve"> traz impacto na vida das vítimas, e segundo a UNICEF(2024) a </w:t>
      </w:r>
      <w:r>
        <w:rPr>
          <w:sz w:val="24"/>
          <w:szCs w:val="24"/>
          <w:highlight w:val="white"/>
        </w:rPr>
        <w:t>exposição às violências em idade precoce pode causar estresse tóxico, que afeta o desenvolvimento do cérebro e gera agressividade, além de favorecer o abuso de substâncias e a aparição de comportamentos delituosos.</w:t>
      </w:r>
    </w:p>
    <w:p w:rsidR="00DA1F1D" w:rsidRDefault="0074545C">
      <w:pPr>
        <w:spacing w:line="360" w:lineRule="auto"/>
        <w:ind w:firstLine="709"/>
        <w:jc w:val="both"/>
        <w:rPr>
          <w:sz w:val="24"/>
          <w:szCs w:val="24"/>
          <w:highlight w:val="white"/>
        </w:rPr>
      </w:pPr>
      <w:r>
        <w:rPr>
          <w:sz w:val="24"/>
          <w:szCs w:val="24"/>
        </w:rPr>
        <w:t xml:space="preserve">O Ministério da Saúde (2010 p. 10), no livro “Impacto </w:t>
      </w:r>
      <w:r>
        <w:rPr>
          <w:sz w:val="24"/>
          <w:szCs w:val="24"/>
          <w:highlight w:val="white"/>
        </w:rPr>
        <w:t xml:space="preserve">da violência na saúde das crianças e adolescentes”, explica como a violência pode gerar consequências e podem perdurar a vida completa das vítimas. </w:t>
      </w:r>
    </w:p>
    <w:p w:rsidR="00DA1F1D" w:rsidRDefault="0074545C">
      <w:pPr>
        <w:spacing w:line="240" w:lineRule="auto"/>
        <w:ind w:left="2267"/>
        <w:jc w:val="both"/>
        <w:rPr>
          <w:sz w:val="20"/>
          <w:szCs w:val="20"/>
          <w:highlight w:val="white"/>
        </w:rPr>
      </w:pPr>
      <w:r>
        <w:rPr>
          <w:sz w:val="20"/>
          <w:szCs w:val="20"/>
          <w:highlight w:val="white"/>
        </w:rPr>
        <w:t xml:space="preserve">[...] A violência pode gerar problemas sociais, emocionais, psicológicos e cognitivos durante toda a vida, podendo apresentar também comportamentos prejudiciais à saúde. Em geral, se manifesta por meio do abuso de substâncias psicoativas, do álcool e outras drogas e da iniciação, precoce à </w:t>
      </w:r>
      <w:r>
        <w:rPr>
          <w:sz w:val="20"/>
          <w:szCs w:val="20"/>
          <w:highlight w:val="white"/>
        </w:rPr>
        <w:lastRenderedPageBreak/>
        <w:t>atividade sexual, tornando-os mais vulneráveis à gravidez, à exploração sexual e à prostituição [...]</w:t>
      </w:r>
    </w:p>
    <w:p w:rsidR="00DA1F1D" w:rsidRDefault="00DA1F1D">
      <w:pPr>
        <w:spacing w:line="240" w:lineRule="auto"/>
        <w:ind w:left="2160"/>
        <w:jc w:val="both"/>
        <w:rPr>
          <w:sz w:val="20"/>
          <w:szCs w:val="20"/>
          <w:highlight w:val="white"/>
        </w:rPr>
      </w:pPr>
    </w:p>
    <w:p w:rsidR="00DA1F1D" w:rsidRDefault="0074545C">
      <w:pPr>
        <w:spacing w:line="360" w:lineRule="auto"/>
        <w:ind w:firstLine="709"/>
        <w:jc w:val="both"/>
        <w:rPr>
          <w:sz w:val="24"/>
          <w:szCs w:val="24"/>
          <w:highlight w:val="white"/>
        </w:rPr>
      </w:pPr>
      <w:r>
        <w:rPr>
          <w:sz w:val="24"/>
          <w:szCs w:val="24"/>
          <w:highlight w:val="white"/>
        </w:rPr>
        <w:t>A exposição à violência pode gerar transtornos no desenvolvimento físico e mental das crianças e adolescentes. Tendo em vista que são múltiplas as sequelas, como ansiedade, transtornos depressivos, alucinações, baixo desempenho na escola e nas tarefas de casa, alterações de memória, comportamento agressivo, violento e até tentativas de suicídio. Todos esses aspectos são observados quando a criança e/ou adolescente estão inseridos em um ac</w:t>
      </w:r>
      <w:r w:rsidR="00ED4867">
        <w:rPr>
          <w:sz w:val="24"/>
          <w:szCs w:val="24"/>
          <w:highlight w:val="white"/>
        </w:rPr>
        <w:t>olhimento institucional, em que</w:t>
      </w:r>
      <w:r>
        <w:rPr>
          <w:sz w:val="24"/>
          <w:szCs w:val="24"/>
          <w:highlight w:val="white"/>
        </w:rPr>
        <w:t xml:space="preserve"> se observa a importância do acompanhamento psicossocial.</w:t>
      </w:r>
    </w:p>
    <w:p w:rsidR="00DA1F1D" w:rsidRDefault="0074545C">
      <w:pPr>
        <w:spacing w:line="360" w:lineRule="auto"/>
        <w:ind w:firstLine="709"/>
        <w:jc w:val="both"/>
        <w:rPr>
          <w:sz w:val="24"/>
          <w:szCs w:val="24"/>
          <w:highlight w:val="yellow"/>
        </w:rPr>
      </w:pPr>
      <w:r>
        <w:rPr>
          <w:sz w:val="24"/>
          <w:szCs w:val="24"/>
          <w:highlight w:val="white"/>
        </w:rPr>
        <w:t xml:space="preserve">A violência acontece em muitos contextos sociais, pois sujeitos que se encontram em vulnerabilidade social estão mais expostos a sofrer algum tipo de </w:t>
      </w:r>
      <w:r>
        <w:rPr>
          <w:sz w:val="24"/>
          <w:szCs w:val="24"/>
        </w:rPr>
        <w:t>violência. De acordo com Pedersen (2009, p.15):</w:t>
      </w:r>
    </w:p>
    <w:p w:rsidR="00DA1F1D" w:rsidRDefault="00ED4867">
      <w:pPr>
        <w:spacing w:after="200" w:line="240" w:lineRule="auto"/>
        <w:ind w:left="2880"/>
        <w:jc w:val="both"/>
        <w:rPr>
          <w:color w:val="555555"/>
          <w:sz w:val="24"/>
          <w:szCs w:val="24"/>
          <w:highlight w:val="white"/>
        </w:rPr>
      </w:pPr>
      <w:r>
        <w:rPr>
          <w:sz w:val="20"/>
          <w:szCs w:val="20"/>
        </w:rPr>
        <w:t>Vulnerabilidade social pode ser um fator</w:t>
      </w:r>
      <w:r w:rsidR="0074545C">
        <w:rPr>
          <w:sz w:val="20"/>
          <w:szCs w:val="20"/>
        </w:rPr>
        <w:t xml:space="preserve"> determinante para o desencadeamento </w:t>
      </w:r>
      <w:r>
        <w:rPr>
          <w:sz w:val="20"/>
          <w:szCs w:val="20"/>
        </w:rPr>
        <w:t xml:space="preserve">da agressão física e/ou </w:t>
      </w:r>
      <w:r w:rsidR="0074545C">
        <w:rPr>
          <w:sz w:val="20"/>
          <w:szCs w:val="20"/>
        </w:rPr>
        <w:t>sexual de crianças e  adolescentes, haja vista que  as  consequências  trazidas  pelas  desigualdades  sociais  geradas  pelo  mundo  capitalista contribuem também para a precarização e deterioração de suas relações afetivas e parentais.</w:t>
      </w:r>
    </w:p>
    <w:p w:rsidR="00DA1F1D" w:rsidRDefault="0074545C">
      <w:pPr>
        <w:spacing w:line="360" w:lineRule="auto"/>
        <w:ind w:firstLine="709"/>
        <w:jc w:val="both"/>
        <w:rPr>
          <w:sz w:val="20"/>
          <w:szCs w:val="20"/>
          <w:highlight w:val="white"/>
        </w:rPr>
      </w:pPr>
      <w:r>
        <w:rPr>
          <w:sz w:val="24"/>
          <w:szCs w:val="24"/>
          <w:highlight w:val="white"/>
        </w:rPr>
        <w:t>Além disso, a violência é uma expressão da questão social, em que o profissional de serviço social precisa atuar para que os direitos fundamentais de criança e adolescente sejam viabilizados.</w:t>
      </w:r>
      <w:r>
        <w:rPr>
          <w:sz w:val="20"/>
          <w:szCs w:val="20"/>
          <w:highlight w:val="white"/>
        </w:rPr>
        <w:t xml:space="preserve"> </w:t>
      </w:r>
    </w:p>
    <w:p w:rsidR="00DA1F1D" w:rsidRDefault="00DA1F1D" w:rsidP="009F4DAA">
      <w:pPr>
        <w:spacing w:line="240" w:lineRule="auto"/>
        <w:jc w:val="both"/>
        <w:rPr>
          <w:sz w:val="20"/>
          <w:szCs w:val="20"/>
          <w:highlight w:val="white"/>
        </w:rPr>
      </w:pPr>
    </w:p>
    <w:p w:rsidR="00DA1F1D" w:rsidRDefault="00DA1F1D">
      <w:pPr>
        <w:spacing w:line="240" w:lineRule="auto"/>
        <w:ind w:left="2880"/>
        <w:jc w:val="both"/>
        <w:rPr>
          <w:sz w:val="20"/>
          <w:szCs w:val="20"/>
          <w:highlight w:val="white"/>
        </w:rPr>
      </w:pPr>
    </w:p>
    <w:p w:rsidR="00DA1F1D" w:rsidRDefault="0074545C">
      <w:pPr>
        <w:spacing w:after="200" w:line="360" w:lineRule="auto"/>
        <w:jc w:val="both"/>
        <w:rPr>
          <w:sz w:val="24"/>
          <w:szCs w:val="24"/>
        </w:rPr>
      </w:pPr>
      <w:r>
        <w:rPr>
          <w:b/>
          <w:sz w:val="24"/>
          <w:szCs w:val="24"/>
        </w:rPr>
        <w:t>4</w:t>
      </w:r>
      <w:r>
        <w:rPr>
          <w:b/>
          <w:sz w:val="24"/>
          <w:szCs w:val="24"/>
        </w:rPr>
        <w:tab/>
        <w:t>A FAMÍLIA ACOLHEDORA COMO MODALIDADE DE ACOLHIMENTO PROTETIVO</w:t>
      </w:r>
    </w:p>
    <w:p w:rsidR="00DA1F1D" w:rsidRDefault="0074545C">
      <w:pPr>
        <w:spacing w:line="360" w:lineRule="auto"/>
        <w:jc w:val="both"/>
        <w:rPr>
          <w:sz w:val="20"/>
          <w:szCs w:val="20"/>
        </w:rPr>
      </w:pPr>
      <w:r>
        <w:rPr>
          <w:sz w:val="24"/>
          <w:szCs w:val="24"/>
        </w:rPr>
        <w:t xml:space="preserve">       O Programa Serviço de Acolhimento em Família Acolhedora (SFA) é uma modalidade de acolhimento prevista na Política Nacional de Assistência Social (PNAS). No âmbito do Sistema Único de Assistência Social (SUAS), o SFA compõe a Proteção Social Especial de Alta Complexidade, sendo previsto na Tipificação Nacional de Serviços Socioassistenciais.</w:t>
      </w:r>
    </w:p>
    <w:p w:rsidR="00DA1F1D" w:rsidRDefault="00A64C7D">
      <w:pPr>
        <w:spacing w:line="360" w:lineRule="auto"/>
        <w:ind w:firstLine="720"/>
        <w:jc w:val="both"/>
        <w:rPr>
          <w:sz w:val="24"/>
          <w:szCs w:val="24"/>
        </w:rPr>
      </w:pPr>
      <w:r>
        <w:rPr>
          <w:sz w:val="24"/>
          <w:szCs w:val="24"/>
        </w:rPr>
        <w:t>Os serviços de acolhimento são</w:t>
      </w:r>
      <w:r w:rsidR="0074545C">
        <w:rPr>
          <w:sz w:val="24"/>
          <w:szCs w:val="24"/>
        </w:rPr>
        <w:t xml:space="preserve"> destinados aos acompanhamentos dos sujeitos que tiveram os vínculos familiares rompidos. O Serviço de Acolhimento em </w:t>
      </w:r>
      <w:r w:rsidR="0074545C">
        <w:rPr>
          <w:sz w:val="24"/>
          <w:szCs w:val="24"/>
        </w:rPr>
        <w:lastRenderedPageBreak/>
        <w:t xml:space="preserve">Família Acolhedora (SFA) constitui uma modalidade de acolhimento familiar prevista no ECA, sendo considerado de prioridade quando se fala em acolhimento. </w:t>
      </w:r>
    </w:p>
    <w:p w:rsidR="00DA1F1D" w:rsidRDefault="0074545C">
      <w:pPr>
        <w:spacing w:after="200" w:line="240" w:lineRule="auto"/>
        <w:ind w:left="2267"/>
        <w:jc w:val="both"/>
        <w:rPr>
          <w:sz w:val="24"/>
          <w:szCs w:val="24"/>
        </w:rPr>
      </w:pPr>
      <w:r>
        <w:rPr>
          <w:sz w:val="20"/>
          <w:szCs w:val="20"/>
        </w:rPr>
        <w:t>O acolhimento familiar formal operacionalizado por meio de um serviço e com equipe técnica específica, infraestrutura, metodologia de trabalho e interface com o Sistema de Justiça, recebendo crianças e adolescentes em medida protetiva (Pinheiro, Campelo e Valente, 2021, p.114).</w:t>
      </w:r>
    </w:p>
    <w:p w:rsidR="00DA1F1D" w:rsidRDefault="0074545C">
      <w:pPr>
        <w:spacing w:line="360" w:lineRule="auto"/>
        <w:ind w:firstLine="709"/>
        <w:jc w:val="both"/>
        <w:rPr>
          <w:sz w:val="24"/>
          <w:szCs w:val="24"/>
        </w:rPr>
      </w:pPr>
      <w:r>
        <w:rPr>
          <w:sz w:val="24"/>
          <w:szCs w:val="24"/>
        </w:rPr>
        <w:t xml:space="preserve"> Quando a criança ou adolescente é encaminhada para o SFA, é realizado um procedimento no processo de medida de proteção do sistema jurídico, em que para esse tipo de acolhimento é feito um termo de Guarda Provisório, solicitado pelo serviço de acolhimento e emitido pela autoridade judiciária para a família acolhedora previamente cadastrada. A guarda será deferida para a família acolhedora indicada pelo serviço e sua manutenção deve estar vinculada à permanência da família acolhedora no serviço (MDS, 2009, p 83).</w:t>
      </w:r>
    </w:p>
    <w:p w:rsidR="00DA1F1D" w:rsidRDefault="0074545C">
      <w:pPr>
        <w:spacing w:line="360" w:lineRule="auto"/>
        <w:ind w:firstLine="709"/>
        <w:jc w:val="both"/>
        <w:rPr>
          <w:sz w:val="24"/>
          <w:szCs w:val="24"/>
        </w:rPr>
      </w:pPr>
      <w:r>
        <w:rPr>
          <w:sz w:val="24"/>
          <w:szCs w:val="24"/>
        </w:rPr>
        <w:t xml:space="preserve"> Para se tornar uma f</w:t>
      </w:r>
      <w:r w:rsidR="00BC340C">
        <w:rPr>
          <w:sz w:val="24"/>
          <w:szCs w:val="24"/>
        </w:rPr>
        <w:t>amília acolhedora é necessário</w:t>
      </w:r>
      <w:r>
        <w:rPr>
          <w:sz w:val="24"/>
          <w:szCs w:val="24"/>
        </w:rPr>
        <w:t xml:space="preserve"> a realização de um curso preparatório e o próprio acompanhamento pela equipe técnica. As famílias acolhe</w:t>
      </w:r>
      <w:r w:rsidR="00BC340C">
        <w:rPr>
          <w:sz w:val="24"/>
          <w:szCs w:val="24"/>
        </w:rPr>
        <w:t xml:space="preserve">doras atuam de forma voluntária. </w:t>
      </w:r>
      <w:r>
        <w:rPr>
          <w:sz w:val="24"/>
          <w:szCs w:val="24"/>
        </w:rPr>
        <w:t>No entanto, conforme o portal família acolhedora, os municípios podem repassar um valor de custo durante o período de acolhimento, geralmente entre meio e um salário-mínimo e meio por criança. Esse valor deve ser utilizado para cobrir os gastos com a criança ou adolescente acolhido.</w:t>
      </w:r>
    </w:p>
    <w:p w:rsidR="00DA1F1D" w:rsidRDefault="0074545C">
      <w:pPr>
        <w:spacing w:line="360" w:lineRule="auto"/>
        <w:ind w:firstLine="720"/>
        <w:jc w:val="both"/>
        <w:rPr>
          <w:sz w:val="24"/>
          <w:szCs w:val="24"/>
        </w:rPr>
      </w:pPr>
      <w:r>
        <w:rPr>
          <w:sz w:val="24"/>
          <w:szCs w:val="24"/>
        </w:rPr>
        <w:t xml:space="preserve">O SFA pode ser executado de forma direta ou indireta, direta quando é executado pelo poder público e indireta quando o serviço é executado por meio de parceria ou uma </w:t>
      </w:r>
      <w:r>
        <w:rPr>
          <w:sz w:val="24"/>
          <w:szCs w:val="24"/>
          <w:highlight w:val="white"/>
        </w:rPr>
        <w:t>Organização da Sociedade Civil</w:t>
      </w:r>
      <w:r>
        <w:rPr>
          <w:sz w:val="24"/>
          <w:szCs w:val="24"/>
        </w:rPr>
        <w:t xml:space="preserve"> (OSC). Cabe destacar, que o SFA precisa ser inscrito no Conselho Municipal do Direito da Criança e do Adolescente (CMDCA) e caso seja executada por uma OSC, é necessário a inscrição no CMDCA e no Conselho Municipal de Assistência Social, sendo também necessário a inscrição da OSC no Cadastro nacional do Sistema Único de Assistência Social (CADSUAS).</w:t>
      </w:r>
    </w:p>
    <w:p w:rsidR="00DA1F1D" w:rsidRDefault="0074545C">
      <w:pPr>
        <w:spacing w:line="360" w:lineRule="auto"/>
        <w:ind w:firstLine="709"/>
        <w:jc w:val="both"/>
        <w:rPr>
          <w:sz w:val="24"/>
          <w:szCs w:val="24"/>
        </w:rPr>
      </w:pPr>
      <w:r>
        <w:rPr>
          <w:sz w:val="24"/>
          <w:szCs w:val="24"/>
        </w:rPr>
        <w:t xml:space="preserve">O SFA proporciona à criança uma rotina familiar em um lar temporário, promovendo vínculos afetivos mais consistentes e um sentimento de pertencimento. Essa convivência favorece de forma significativa o desenvolvimento da autoestima e da autonomia infantil. Em contextos marcados pela violação de direitos, essa </w:t>
      </w:r>
      <w:r>
        <w:rPr>
          <w:sz w:val="24"/>
          <w:szCs w:val="24"/>
        </w:rPr>
        <w:lastRenderedPageBreak/>
        <w:t>mo</w:t>
      </w:r>
      <w:r w:rsidR="009F4DAA">
        <w:rPr>
          <w:sz w:val="24"/>
          <w:szCs w:val="24"/>
        </w:rPr>
        <w:t xml:space="preserve">dalidade de acolhimento oferta </w:t>
      </w:r>
      <w:r>
        <w:rPr>
          <w:sz w:val="24"/>
          <w:szCs w:val="24"/>
        </w:rPr>
        <w:t xml:space="preserve">uma referência concreta </w:t>
      </w:r>
      <w:r w:rsidR="009F4DAA">
        <w:rPr>
          <w:sz w:val="24"/>
          <w:szCs w:val="24"/>
        </w:rPr>
        <w:t xml:space="preserve">de </w:t>
      </w:r>
      <w:r>
        <w:rPr>
          <w:sz w:val="24"/>
          <w:szCs w:val="24"/>
        </w:rPr>
        <w:t>um desenvolvimento mais protegido</w:t>
      </w:r>
      <w:r w:rsidR="005C6929">
        <w:rPr>
          <w:sz w:val="24"/>
          <w:szCs w:val="24"/>
        </w:rPr>
        <w:t>.</w:t>
      </w:r>
    </w:p>
    <w:p w:rsidR="00DA1F1D" w:rsidRDefault="0074545C">
      <w:pPr>
        <w:spacing w:line="360" w:lineRule="auto"/>
        <w:ind w:firstLine="709"/>
        <w:jc w:val="both"/>
        <w:rPr>
          <w:sz w:val="24"/>
          <w:szCs w:val="24"/>
        </w:rPr>
      </w:pPr>
      <w:r>
        <w:rPr>
          <w:sz w:val="24"/>
          <w:szCs w:val="24"/>
        </w:rPr>
        <w:t xml:space="preserve">De acordo com o SUAS (2005), </w:t>
      </w:r>
      <w:r>
        <w:rPr>
          <w:sz w:val="24"/>
          <w:szCs w:val="24"/>
          <w:highlight w:val="white"/>
        </w:rPr>
        <w:t>a criança e/ou adolescente (na casa da família acolhedora) e sua família de origem são acompanhados por assistentes sociais e psicólogos do SFA durante todo o processo.</w:t>
      </w:r>
      <w:r>
        <w:rPr>
          <w:sz w:val="24"/>
          <w:szCs w:val="24"/>
        </w:rPr>
        <w:t xml:space="preserve"> As atividades desenvolvidas pela equipe técnica consistem na acolhida, avaliação, preparação e acompanhamento das famílias acolhedoras, assim como o acompanhamento psicossocial às famílias de origem através de visita técnica domiciliar e entrevistas.</w:t>
      </w:r>
    </w:p>
    <w:p w:rsidR="00DA1F1D" w:rsidRDefault="0074545C">
      <w:pPr>
        <w:spacing w:line="360" w:lineRule="auto"/>
        <w:ind w:firstLine="709"/>
        <w:jc w:val="both"/>
        <w:rPr>
          <w:sz w:val="24"/>
          <w:szCs w:val="24"/>
        </w:rPr>
      </w:pPr>
      <w:r>
        <w:rPr>
          <w:sz w:val="24"/>
          <w:szCs w:val="24"/>
        </w:rPr>
        <w:t xml:space="preserve">Cabe destacar, que no contexto brasileiro, 34.482 crianças e adolescentes estão acolhidos, sendo 93.8% em instituições e apenas 6.2% estão no Serviço de Acolhimento Família Acolhedora (Brasil, 2025). </w:t>
      </w:r>
    </w:p>
    <w:p w:rsidR="00DA1F1D" w:rsidRDefault="0074545C">
      <w:pPr>
        <w:spacing w:line="360" w:lineRule="auto"/>
        <w:ind w:firstLine="709"/>
        <w:jc w:val="both"/>
        <w:rPr>
          <w:sz w:val="24"/>
          <w:szCs w:val="24"/>
        </w:rPr>
      </w:pPr>
      <w:r>
        <w:rPr>
          <w:sz w:val="24"/>
          <w:szCs w:val="24"/>
        </w:rPr>
        <w:t>Portanto, é possível evidenciar a importância do serviço para os direitos fundamentais de crianças e adolescentes. No entanto, como política pública, o programa no Brasil apresenta-se de forma atrasada em relação a outros países, de acordo com o portal família acolhedora</w:t>
      </w:r>
      <w:r w:rsidR="00A64C7D">
        <w:rPr>
          <w:rStyle w:val="Refdenotaderodap"/>
          <w:sz w:val="24"/>
          <w:szCs w:val="24"/>
        </w:rPr>
        <w:footnoteReference w:id="3"/>
      </w:r>
      <w:r>
        <w:rPr>
          <w:sz w:val="24"/>
          <w:szCs w:val="24"/>
        </w:rPr>
        <w:t xml:space="preserve">. A prioridade do acolhimento familiar tornou-se prática em países como a Austrália (91%), </w:t>
      </w:r>
      <w:r w:rsidR="00A64C7D">
        <w:rPr>
          <w:sz w:val="24"/>
          <w:szCs w:val="24"/>
        </w:rPr>
        <w:t>Reino Unido (80%) e Estados Unidos (75%),</w:t>
      </w:r>
      <w:r>
        <w:rPr>
          <w:sz w:val="24"/>
          <w:szCs w:val="24"/>
        </w:rPr>
        <w:t xml:space="preserve"> entretanto no Brasil esse percentual ainda é inexpressivo (6.2%). </w:t>
      </w:r>
    </w:p>
    <w:p w:rsidR="00DA1F1D" w:rsidRDefault="0074545C">
      <w:pPr>
        <w:spacing w:line="360" w:lineRule="auto"/>
        <w:ind w:firstLine="709"/>
        <w:jc w:val="both"/>
        <w:rPr>
          <w:sz w:val="20"/>
          <w:szCs w:val="20"/>
        </w:rPr>
      </w:pPr>
      <w:r>
        <w:rPr>
          <w:sz w:val="24"/>
          <w:szCs w:val="24"/>
        </w:rPr>
        <w:t xml:space="preserve">Destaca-se a importância da ampliação deste debate, não limitado apenas ao campo das Organizações da Sociedade Civil, mas ao âmbito Estadual e nos demais campos da defesa da proteção integral. </w:t>
      </w:r>
    </w:p>
    <w:p w:rsidR="00DA1F1D" w:rsidRDefault="00DA1F1D">
      <w:pPr>
        <w:spacing w:line="360" w:lineRule="auto"/>
        <w:jc w:val="both"/>
        <w:rPr>
          <w:sz w:val="24"/>
          <w:szCs w:val="24"/>
        </w:rPr>
      </w:pPr>
    </w:p>
    <w:p w:rsidR="00DA1F1D" w:rsidRDefault="0074545C">
      <w:pPr>
        <w:spacing w:line="360" w:lineRule="auto"/>
        <w:jc w:val="both"/>
        <w:rPr>
          <w:sz w:val="24"/>
          <w:szCs w:val="24"/>
        </w:rPr>
      </w:pPr>
      <w:r>
        <w:rPr>
          <w:b/>
          <w:sz w:val="24"/>
          <w:szCs w:val="24"/>
        </w:rPr>
        <w:t>4         CONCLUSÃO</w:t>
      </w:r>
    </w:p>
    <w:p w:rsidR="00DA1F1D" w:rsidRDefault="0074545C">
      <w:pPr>
        <w:spacing w:before="240" w:line="360" w:lineRule="auto"/>
        <w:jc w:val="both"/>
        <w:rPr>
          <w:sz w:val="24"/>
          <w:szCs w:val="24"/>
        </w:rPr>
      </w:pPr>
      <w:r>
        <w:rPr>
          <w:sz w:val="24"/>
          <w:szCs w:val="24"/>
        </w:rPr>
        <w:t xml:space="preserve"> </w:t>
      </w:r>
      <w:r w:rsidR="00ED4867">
        <w:rPr>
          <w:sz w:val="24"/>
          <w:szCs w:val="24"/>
        </w:rPr>
        <w:t xml:space="preserve">    </w:t>
      </w:r>
      <w:r>
        <w:rPr>
          <w:sz w:val="24"/>
          <w:szCs w:val="24"/>
        </w:rPr>
        <w:t xml:space="preserve">    Diante das evidências analisadas, o Serviço de Acolhimento em Família Acolhedora (SFA) configura-se como uma alternativa eficaz e humanizada, garantindo às crianças e adolescentes vítimas de violações de direitos um ambiente protetivo, afetivo e promotor do desenvolvimento integral. Essa modalidade permite a reconstrução de vínculos emocionais e o resgate da dignidade desses sujeitos, </w:t>
      </w:r>
      <w:r>
        <w:rPr>
          <w:sz w:val="24"/>
          <w:szCs w:val="24"/>
        </w:rPr>
        <w:lastRenderedPageBreak/>
        <w:t>rompendo com o ciclo de desproteção e negligência a que muitos foram submetidos. Trata-se de uma política pública que traduz, na prática, o princípio do melhor interesse da criança e do adolescente.</w:t>
      </w:r>
    </w:p>
    <w:p w:rsidR="00DA1F1D" w:rsidRDefault="0074545C" w:rsidP="009F4DAA">
      <w:pPr>
        <w:spacing w:line="360" w:lineRule="auto"/>
        <w:ind w:firstLine="720"/>
        <w:jc w:val="both"/>
        <w:rPr>
          <w:sz w:val="24"/>
          <w:szCs w:val="24"/>
        </w:rPr>
      </w:pPr>
      <w:r>
        <w:rPr>
          <w:sz w:val="24"/>
          <w:szCs w:val="24"/>
        </w:rPr>
        <w:t xml:space="preserve">Além disso, este estudo sinaliza a necessidade de fortalecimento do Sistema de Garantia de Direitos, com ênfase no fortalecimento da rede de proteção, com vistas </w:t>
      </w:r>
      <w:r w:rsidR="00A64C7D">
        <w:rPr>
          <w:sz w:val="24"/>
          <w:szCs w:val="24"/>
        </w:rPr>
        <w:t>a planejar</w:t>
      </w:r>
      <w:r>
        <w:rPr>
          <w:sz w:val="24"/>
          <w:szCs w:val="24"/>
        </w:rPr>
        <w:t xml:space="preserve"> e realizar ações intersetoriais que visem diferentes serviços, para promover a saúde, educação, assistência, segurança e cultura. Por isso, a efetivação do acolhimento familiar como prioridade exige investimentos, capacitação contínua e a articulação entre os diversos atores envolvidos na política de proteção à infância e juventude.</w:t>
      </w:r>
    </w:p>
    <w:p w:rsidR="009F4DAA" w:rsidRDefault="009F4DAA" w:rsidP="009F4DAA">
      <w:pPr>
        <w:spacing w:line="360" w:lineRule="auto"/>
        <w:ind w:firstLine="720"/>
        <w:jc w:val="both"/>
        <w:rPr>
          <w:sz w:val="24"/>
          <w:szCs w:val="24"/>
        </w:rPr>
      </w:pPr>
    </w:p>
    <w:p w:rsidR="00DA1F1D" w:rsidRDefault="009F4DAA">
      <w:pPr>
        <w:spacing w:after="200" w:line="360" w:lineRule="auto"/>
        <w:jc w:val="both"/>
        <w:rPr>
          <w:sz w:val="24"/>
          <w:szCs w:val="24"/>
        </w:rPr>
      </w:pPr>
      <w:r>
        <w:rPr>
          <w:b/>
          <w:sz w:val="24"/>
          <w:szCs w:val="24"/>
        </w:rPr>
        <w:t xml:space="preserve">5       </w:t>
      </w:r>
      <w:r w:rsidR="0074545C">
        <w:rPr>
          <w:b/>
          <w:sz w:val="24"/>
          <w:szCs w:val="24"/>
        </w:rPr>
        <w:t xml:space="preserve">REFERÊNCIAS </w:t>
      </w:r>
    </w:p>
    <w:p w:rsidR="00DA1F1D" w:rsidRDefault="0074545C">
      <w:pPr>
        <w:spacing w:line="240" w:lineRule="auto"/>
        <w:rPr>
          <w:sz w:val="24"/>
          <w:szCs w:val="24"/>
        </w:rPr>
      </w:pPr>
      <w:r>
        <w:rPr>
          <w:sz w:val="24"/>
          <w:szCs w:val="24"/>
        </w:rPr>
        <w:t xml:space="preserve">BRASIL. Conselho Nacional de Assistência Social. </w:t>
      </w:r>
      <w:r>
        <w:rPr>
          <w:b/>
          <w:sz w:val="24"/>
          <w:szCs w:val="24"/>
        </w:rPr>
        <w:t>Resolução CNAS nº 109, de 11 de novembro de 2009.</w:t>
      </w:r>
      <w:r>
        <w:rPr>
          <w:sz w:val="24"/>
          <w:szCs w:val="24"/>
        </w:rPr>
        <w:t xml:space="preserve"> Aprova a Tipificação Nacional dos Serviços Socioassistenciais. Brasília, DF, 2009. Disponível em: https://www.mds.gov.br/webarquivos/publicacao/assistencia_social/Normativas/resolucao_cnas_109_2009.pdf. Acesso em: 01 maio 2025.</w:t>
      </w:r>
    </w:p>
    <w:p w:rsidR="00DA1F1D" w:rsidRDefault="00DA1F1D">
      <w:pPr>
        <w:spacing w:line="240" w:lineRule="auto"/>
        <w:rPr>
          <w:sz w:val="24"/>
          <w:szCs w:val="24"/>
        </w:rPr>
      </w:pPr>
    </w:p>
    <w:p w:rsidR="00DA1F1D" w:rsidRDefault="0074545C">
      <w:pPr>
        <w:spacing w:line="240" w:lineRule="auto"/>
        <w:rPr>
          <w:sz w:val="24"/>
          <w:szCs w:val="24"/>
        </w:rPr>
      </w:pPr>
      <w:r>
        <w:rPr>
          <w:sz w:val="24"/>
          <w:szCs w:val="24"/>
        </w:rPr>
        <w:t xml:space="preserve">BRASIL. Conselho Nacional de Justiça. </w:t>
      </w:r>
      <w:r>
        <w:rPr>
          <w:b/>
          <w:sz w:val="24"/>
          <w:szCs w:val="24"/>
        </w:rPr>
        <w:t>Crianças e adolescentes acolhidos.</w:t>
      </w:r>
      <w:r>
        <w:rPr>
          <w:sz w:val="24"/>
          <w:szCs w:val="24"/>
        </w:rPr>
        <w:t xml:space="preserve"> Brasília: CNJ, 2025. Disponível em: https://www.cnj.jus.br/criancas-e-adolescentes-acolhidos. Acesso em: 29 mar. 2025.</w:t>
      </w:r>
    </w:p>
    <w:p w:rsidR="00DA1F1D" w:rsidRDefault="00DA1F1D">
      <w:pPr>
        <w:spacing w:line="240" w:lineRule="auto"/>
        <w:rPr>
          <w:sz w:val="24"/>
          <w:szCs w:val="24"/>
        </w:rPr>
      </w:pPr>
    </w:p>
    <w:p w:rsidR="00DA1F1D" w:rsidRDefault="0074545C">
      <w:pPr>
        <w:spacing w:line="240" w:lineRule="auto"/>
        <w:rPr>
          <w:sz w:val="24"/>
          <w:szCs w:val="24"/>
        </w:rPr>
      </w:pPr>
      <w:r>
        <w:rPr>
          <w:sz w:val="24"/>
          <w:szCs w:val="24"/>
        </w:rPr>
        <w:t>BRASIL. Conselho Nacional dos Direitos da Criança e do Adolescente; Conselho Nacional de Assistência Social</w:t>
      </w:r>
      <w:r>
        <w:rPr>
          <w:b/>
          <w:i/>
          <w:sz w:val="24"/>
          <w:szCs w:val="24"/>
        </w:rPr>
        <w:t xml:space="preserve">. </w:t>
      </w:r>
      <w:r>
        <w:rPr>
          <w:b/>
          <w:sz w:val="24"/>
          <w:szCs w:val="24"/>
        </w:rPr>
        <w:t>Orientações técnicas: serviços de acolhimento para crianças e adolescentes</w:t>
      </w:r>
      <w:r>
        <w:rPr>
          <w:b/>
          <w:i/>
          <w:sz w:val="24"/>
          <w:szCs w:val="24"/>
        </w:rPr>
        <w:t>.</w:t>
      </w:r>
      <w:r>
        <w:rPr>
          <w:sz w:val="24"/>
          <w:szCs w:val="24"/>
        </w:rPr>
        <w:t xml:space="preserve"> Brasília: MDS/SNAS/DPSE, 2009. Disponível em: </w:t>
      </w:r>
      <w:hyperlink r:id="rId9">
        <w:r>
          <w:rPr>
            <w:sz w:val="24"/>
            <w:szCs w:val="24"/>
          </w:rPr>
          <w:t>https://www.mds.gov.br/webarquivos/publicacao/assistencia_social/cadernos/orientacoes-tecnicas-servicos-de-alcolhimento.pdf</w:t>
        </w:r>
      </w:hyperlink>
      <w:r>
        <w:rPr>
          <w:sz w:val="24"/>
          <w:szCs w:val="24"/>
        </w:rPr>
        <w:t>. Acesso em: 23 abr. 2025.</w:t>
      </w:r>
    </w:p>
    <w:p w:rsidR="00DA1F1D" w:rsidRDefault="00DA1F1D">
      <w:pPr>
        <w:spacing w:line="240" w:lineRule="auto"/>
        <w:rPr>
          <w:sz w:val="24"/>
          <w:szCs w:val="24"/>
        </w:rPr>
      </w:pPr>
    </w:p>
    <w:p w:rsidR="00DA1F1D" w:rsidRDefault="0074545C">
      <w:pPr>
        <w:spacing w:line="240" w:lineRule="auto"/>
        <w:rPr>
          <w:sz w:val="24"/>
          <w:szCs w:val="24"/>
        </w:rPr>
      </w:pPr>
      <w:r>
        <w:rPr>
          <w:sz w:val="24"/>
          <w:szCs w:val="24"/>
        </w:rPr>
        <w:t xml:space="preserve">BRASIL. </w:t>
      </w:r>
      <w:r>
        <w:rPr>
          <w:b/>
          <w:sz w:val="24"/>
          <w:szCs w:val="24"/>
        </w:rPr>
        <w:t>Constituição da República Federativa do Brasil</w:t>
      </w:r>
      <w:r>
        <w:rPr>
          <w:sz w:val="24"/>
          <w:szCs w:val="24"/>
        </w:rPr>
        <w:t>. Brasília, DF: Senado Federal, 1988.</w:t>
      </w:r>
    </w:p>
    <w:p w:rsidR="00DA1F1D" w:rsidRDefault="00DA1F1D">
      <w:pPr>
        <w:spacing w:line="240" w:lineRule="auto"/>
        <w:rPr>
          <w:sz w:val="24"/>
          <w:szCs w:val="24"/>
        </w:rPr>
      </w:pPr>
    </w:p>
    <w:p w:rsidR="00DA1F1D" w:rsidRDefault="0074545C">
      <w:pPr>
        <w:spacing w:line="240" w:lineRule="auto"/>
        <w:rPr>
          <w:sz w:val="24"/>
          <w:szCs w:val="24"/>
        </w:rPr>
      </w:pPr>
      <w:r>
        <w:rPr>
          <w:sz w:val="24"/>
          <w:szCs w:val="24"/>
        </w:rPr>
        <w:t xml:space="preserve">BRASIL. Lei n° 8.069, de 13 de julho de 1990. Dispõe sobre o Estatuto da Criança e do Adolescente e dá outras providências. </w:t>
      </w:r>
      <w:r>
        <w:rPr>
          <w:b/>
          <w:sz w:val="24"/>
          <w:szCs w:val="24"/>
        </w:rPr>
        <w:t>Diário Oficial da União</w:t>
      </w:r>
      <w:r>
        <w:rPr>
          <w:sz w:val="24"/>
          <w:szCs w:val="24"/>
        </w:rPr>
        <w:t>, Brasília, DF, 1990.</w:t>
      </w:r>
    </w:p>
    <w:p w:rsidR="00DA1F1D" w:rsidRDefault="00DA1F1D">
      <w:pPr>
        <w:spacing w:line="240" w:lineRule="auto"/>
        <w:rPr>
          <w:sz w:val="24"/>
          <w:szCs w:val="24"/>
        </w:rPr>
      </w:pPr>
    </w:p>
    <w:p w:rsidR="00DA1F1D" w:rsidRDefault="0074545C">
      <w:pPr>
        <w:spacing w:line="240" w:lineRule="auto"/>
        <w:rPr>
          <w:sz w:val="24"/>
          <w:szCs w:val="24"/>
        </w:rPr>
      </w:pPr>
      <w:r>
        <w:rPr>
          <w:sz w:val="24"/>
          <w:szCs w:val="24"/>
        </w:rPr>
        <w:lastRenderedPageBreak/>
        <w:t>BRASIL. Lei nº 8.742, de 7 de dezembro de 1993. Dispõe sobre a organização da Assistência Social e dá outras providências (Lei Orgânica da Assistência Social – LOAS). Brasília, DF, 1993. Disponível em: https://www.planalto.gov.br/ccivil_03/leis/l8742.htm. Acesso em: 24 maio 2025.</w:t>
      </w:r>
    </w:p>
    <w:p w:rsidR="00DA1F1D" w:rsidRDefault="00DA1F1D">
      <w:pPr>
        <w:spacing w:line="240" w:lineRule="auto"/>
        <w:rPr>
          <w:sz w:val="24"/>
          <w:szCs w:val="24"/>
        </w:rPr>
      </w:pPr>
    </w:p>
    <w:p w:rsidR="00DA1F1D" w:rsidRDefault="0074545C">
      <w:pPr>
        <w:spacing w:line="240" w:lineRule="auto"/>
        <w:rPr>
          <w:sz w:val="24"/>
          <w:szCs w:val="24"/>
        </w:rPr>
      </w:pPr>
      <w:r>
        <w:rPr>
          <w:sz w:val="24"/>
          <w:szCs w:val="24"/>
        </w:rPr>
        <w:t xml:space="preserve">BRASIL. Lei nº </w:t>
      </w:r>
      <w:hyperlink r:id="rId10">
        <w:r>
          <w:rPr>
            <w:sz w:val="24"/>
            <w:szCs w:val="24"/>
          </w:rPr>
          <w:t>13.431, de 4 de abril de 2017.</w:t>
        </w:r>
      </w:hyperlink>
      <w:r>
        <w:rPr>
          <w:sz w:val="24"/>
          <w:szCs w:val="24"/>
        </w:rPr>
        <w:t xml:space="preserve"> Estabelece o sistema de garantia de direitos da criança e do adolescente vítima ou testemunha de violência e altera a Lei nº 8.069, de 13 de julho de 1990 (Estatuto da Criança e do Adolescente). Brasília, DF, 2017. Disponível em: https://www.planalto.gov.br/ccivil_03/_ato2015-2018/2017/lei/l13431.htm. Acesso em: 12 jun. 2025.</w:t>
      </w:r>
    </w:p>
    <w:p w:rsidR="00DA1F1D" w:rsidRDefault="00DA1F1D">
      <w:pPr>
        <w:spacing w:line="240" w:lineRule="auto"/>
        <w:rPr>
          <w:sz w:val="24"/>
          <w:szCs w:val="24"/>
        </w:rPr>
      </w:pPr>
    </w:p>
    <w:p w:rsidR="00DA1F1D" w:rsidRDefault="0074545C">
      <w:pPr>
        <w:spacing w:line="240" w:lineRule="auto"/>
        <w:rPr>
          <w:sz w:val="24"/>
          <w:szCs w:val="24"/>
        </w:rPr>
      </w:pPr>
      <w:r>
        <w:rPr>
          <w:sz w:val="24"/>
          <w:szCs w:val="24"/>
        </w:rPr>
        <w:t xml:space="preserve">BRASIL. Ministério da Saúde. </w:t>
      </w:r>
      <w:r>
        <w:rPr>
          <w:b/>
          <w:sz w:val="24"/>
          <w:szCs w:val="24"/>
        </w:rPr>
        <w:t>Impacto da violência na saúde das crianças e adolescentes [online].</w:t>
      </w:r>
      <w:r>
        <w:rPr>
          <w:sz w:val="24"/>
          <w:szCs w:val="24"/>
        </w:rPr>
        <w:t xml:space="preserve"> Brasília: Ministério da Saúde, 1ª ed. 2010. Disponível em:</w:t>
      </w:r>
      <w:hyperlink r:id="rId11">
        <w:r>
          <w:rPr>
            <w:sz w:val="24"/>
            <w:szCs w:val="24"/>
          </w:rPr>
          <w:t xml:space="preserve"> </w:t>
        </w:r>
      </w:hyperlink>
      <w:hyperlink r:id="rId12">
        <w:r>
          <w:rPr>
            <w:color w:val="1155CC"/>
            <w:sz w:val="24"/>
            <w:szCs w:val="24"/>
            <w:u w:val="single"/>
          </w:rPr>
          <w:t>https://bvsms.saude.gov.br/bvs/publicacoes/impactoviolenciasaudecriancasadolescentes.pdf</w:t>
        </w:r>
      </w:hyperlink>
      <w:r>
        <w:rPr>
          <w:sz w:val="24"/>
          <w:szCs w:val="24"/>
        </w:rPr>
        <w:t>. Acesso em: 21 jun. 2025.</w:t>
      </w:r>
    </w:p>
    <w:p w:rsidR="00DA1F1D" w:rsidRDefault="00DA1F1D">
      <w:pPr>
        <w:spacing w:line="240" w:lineRule="auto"/>
        <w:rPr>
          <w:sz w:val="24"/>
          <w:szCs w:val="24"/>
        </w:rPr>
      </w:pPr>
    </w:p>
    <w:p w:rsidR="00DA1F1D" w:rsidRDefault="0074545C">
      <w:pPr>
        <w:spacing w:line="240" w:lineRule="auto"/>
        <w:rPr>
          <w:sz w:val="24"/>
          <w:szCs w:val="24"/>
        </w:rPr>
      </w:pPr>
      <w:r>
        <w:rPr>
          <w:sz w:val="24"/>
          <w:szCs w:val="24"/>
        </w:rPr>
        <w:t xml:space="preserve">BRASIL. </w:t>
      </w:r>
      <w:r>
        <w:rPr>
          <w:b/>
          <w:sz w:val="24"/>
          <w:szCs w:val="24"/>
        </w:rPr>
        <w:t>Resolução nº 23, de 27 de setembro de 2013</w:t>
      </w:r>
      <w:r>
        <w:rPr>
          <w:sz w:val="24"/>
          <w:szCs w:val="24"/>
        </w:rPr>
        <w:t>. Conselho Nacional de Assistência Social. Brasília, DF, 2013. Disponível em: https://www.mds.gov.br/webarquivos/publicacao/assistencia_social/Normativas/resolucao_cnas_23_2013.pdf. Acesso em: 24 maio 2025.</w:t>
      </w:r>
    </w:p>
    <w:p w:rsidR="00DA1F1D" w:rsidRDefault="00DA1F1D">
      <w:pPr>
        <w:spacing w:line="240" w:lineRule="auto"/>
        <w:rPr>
          <w:color w:val="001D35"/>
          <w:sz w:val="27"/>
          <w:szCs w:val="27"/>
          <w:highlight w:val="white"/>
        </w:rPr>
      </w:pPr>
    </w:p>
    <w:p w:rsidR="00DA1F1D" w:rsidRDefault="0074545C">
      <w:pPr>
        <w:spacing w:line="240" w:lineRule="auto"/>
        <w:rPr>
          <w:sz w:val="24"/>
          <w:szCs w:val="24"/>
        </w:rPr>
      </w:pPr>
      <w:r>
        <w:rPr>
          <w:sz w:val="24"/>
          <w:szCs w:val="24"/>
        </w:rPr>
        <w:t xml:space="preserve">CERQUEIRA, Daniel; BUENO, Samira (coords.). </w:t>
      </w:r>
      <w:r>
        <w:rPr>
          <w:b/>
          <w:sz w:val="24"/>
          <w:szCs w:val="24"/>
        </w:rPr>
        <w:t>Atlas da violência 2025</w:t>
      </w:r>
      <w:r>
        <w:rPr>
          <w:sz w:val="24"/>
          <w:szCs w:val="24"/>
        </w:rPr>
        <w:t>. Brasília: Ipea; FBSP, 2025. Disponível em: https://forumseguranca.org.br/wp-content/uploads/2025/05/atlas-violencia-2025.pdf. Acesso em: 21 jun. de 2025.</w:t>
      </w:r>
    </w:p>
    <w:p w:rsidR="00DA1F1D" w:rsidRDefault="00DA1F1D">
      <w:pPr>
        <w:spacing w:line="240" w:lineRule="auto"/>
        <w:rPr>
          <w:sz w:val="24"/>
          <w:szCs w:val="24"/>
        </w:rPr>
      </w:pPr>
    </w:p>
    <w:p w:rsidR="00DA1F1D" w:rsidRDefault="0074545C">
      <w:pPr>
        <w:spacing w:line="240" w:lineRule="auto"/>
        <w:rPr>
          <w:sz w:val="24"/>
          <w:szCs w:val="24"/>
        </w:rPr>
      </w:pPr>
      <w:r>
        <w:rPr>
          <w:sz w:val="24"/>
          <w:szCs w:val="24"/>
        </w:rPr>
        <w:t xml:space="preserve">CERUTTI, Neusa Eli Figueredo. </w:t>
      </w:r>
      <w:r>
        <w:rPr>
          <w:b/>
          <w:sz w:val="24"/>
          <w:szCs w:val="24"/>
        </w:rPr>
        <w:t>A garantia à convivência familiar e comunitária de adolescentes e jovens no contexto do serviço de acolhimento em família acolhedora.</w:t>
      </w:r>
      <w:r>
        <w:rPr>
          <w:sz w:val="24"/>
          <w:szCs w:val="24"/>
        </w:rPr>
        <w:t xml:space="preserve"> 2022. 158 f. Dissertação (Mestrado em Serviço Social) – Universidade Estadual do Oeste do Paraná, Toledo, 2022. Disponível em: </w:t>
      </w:r>
      <w:hyperlink r:id="rId13">
        <w:r>
          <w:rPr>
            <w:sz w:val="24"/>
            <w:szCs w:val="24"/>
          </w:rPr>
          <w:t>https://tede.unioeste.br/bitstream/tede/6517/2/Neuza_Cerutti_2022.pdf</w:t>
        </w:r>
      </w:hyperlink>
      <w:r>
        <w:rPr>
          <w:sz w:val="24"/>
          <w:szCs w:val="24"/>
        </w:rPr>
        <w:t>. Acesso em 04 de abr. 2025.</w:t>
      </w:r>
    </w:p>
    <w:p w:rsidR="00DA1F1D" w:rsidRDefault="00DA1F1D">
      <w:pPr>
        <w:spacing w:line="240" w:lineRule="auto"/>
        <w:rPr>
          <w:sz w:val="24"/>
          <w:szCs w:val="24"/>
        </w:rPr>
      </w:pPr>
    </w:p>
    <w:p w:rsidR="00DA1F1D" w:rsidRDefault="0074545C">
      <w:pPr>
        <w:spacing w:line="240" w:lineRule="auto"/>
        <w:rPr>
          <w:sz w:val="24"/>
          <w:szCs w:val="24"/>
        </w:rPr>
      </w:pPr>
      <w:r>
        <w:rPr>
          <w:sz w:val="24"/>
          <w:szCs w:val="24"/>
        </w:rPr>
        <w:t xml:space="preserve">FUNDO DAS NAÇÕES UNIDAS PARA A INFÂNCIA (UNICEF). </w:t>
      </w:r>
      <w:r>
        <w:rPr>
          <w:b/>
          <w:sz w:val="24"/>
          <w:szCs w:val="24"/>
        </w:rPr>
        <w:t>Violência contra crianças e adolescentes está amplamente disseminada e afeta milhões em todo o mundo.</w:t>
      </w:r>
      <w:r>
        <w:rPr>
          <w:sz w:val="24"/>
          <w:szCs w:val="24"/>
        </w:rPr>
        <w:t xml:space="preserve"> Brasília, 2024. Disponível em:</w:t>
      </w:r>
      <w:hyperlink r:id="rId14">
        <w:r>
          <w:rPr>
            <w:sz w:val="24"/>
            <w:szCs w:val="24"/>
          </w:rPr>
          <w:t xml:space="preserve"> https://www.unicef.org/brazil/comunicados-de-imprensa/violencia-contra-criancas-e-adolescentes-esta-amplamente-disseminada-e-e-afeta-milhoes-em-todo-o-mundo</w:t>
        </w:r>
      </w:hyperlink>
      <w:r>
        <w:rPr>
          <w:sz w:val="24"/>
          <w:szCs w:val="24"/>
        </w:rPr>
        <w:t>. Acesso em: 21 jun. 2025</w:t>
      </w:r>
    </w:p>
    <w:p w:rsidR="00DA1F1D" w:rsidRDefault="00DA1F1D">
      <w:pPr>
        <w:spacing w:line="240" w:lineRule="auto"/>
        <w:rPr>
          <w:sz w:val="24"/>
          <w:szCs w:val="24"/>
        </w:rPr>
      </w:pPr>
    </w:p>
    <w:p w:rsidR="00DA1F1D" w:rsidRDefault="0074545C">
      <w:pPr>
        <w:spacing w:line="240" w:lineRule="auto"/>
        <w:rPr>
          <w:sz w:val="24"/>
          <w:szCs w:val="24"/>
        </w:rPr>
      </w:pPr>
      <w:r>
        <w:rPr>
          <w:sz w:val="24"/>
          <w:szCs w:val="24"/>
        </w:rPr>
        <w:t xml:space="preserve">GIL, Antônio Carlos. </w:t>
      </w:r>
      <w:r>
        <w:rPr>
          <w:b/>
          <w:sz w:val="24"/>
          <w:szCs w:val="24"/>
        </w:rPr>
        <w:t>Como elaborar projetos de pesquisa</w:t>
      </w:r>
      <w:r>
        <w:rPr>
          <w:sz w:val="24"/>
          <w:szCs w:val="24"/>
        </w:rPr>
        <w:t>. 4. ed. São Paulo: Atlas, 2010.</w:t>
      </w:r>
    </w:p>
    <w:p w:rsidR="00DA1F1D" w:rsidRDefault="00DA1F1D">
      <w:pPr>
        <w:spacing w:line="240" w:lineRule="auto"/>
        <w:jc w:val="both"/>
        <w:rPr>
          <w:sz w:val="24"/>
          <w:szCs w:val="24"/>
        </w:rPr>
      </w:pPr>
    </w:p>
    <w:p w:rsidR="00DA1F1D" w:rsidRDefault="0074545C">
      <w:pPr>
        <w:spacing w:line="240" w:lineRule="auto"/>
        <w:jc w:val="both"/>
        <w:rPr>
          <w:sz w:val="24"/>
          <w:szCs w:val="24"/>
        </w:rPr>
      </w:pPr>
      <w:r>
        <w:rPr>
          <w:sz w:val="24"/>
          <w:szCs w:val="24"/>
        </w:rPr>
        <w:lastRenderedPageBreak/>
        <w:t>IAMAMOTO, M. V. O Serviço Social na Contemporaneidade: trabalho e formação profissional. 26. ed. São Paulo, Cortez, 2015.</w:t>
      </w:r>
    </w:p>
    <w:p w:rsidR="00DA1F1D" w:rsidRDefault="00DA1F1D">
      <w:pPr>
        <w:spacing w:line="240" w:lineRule="auto"/>
        <w:rPr>
          <w:sz w:val="24"/>
          <w:szCs w:val="24"/>
        </w:rPr>
      </w:pPr>
    </w:p>
    <w:p w:rsidR="00250200" w:rsidRPr="006F799A" w:rsidRDefault="006F799A" w:rsidP="00250200">
      <w:pPr>
        <w:spacing w:line="240" w:lineRule="auto"/>
        <w:rPr>
          <w:sz w:val="24"/>
          <w:szCs w:val="24"/>
        </w:rPr>
      </w:pPr>
      <w:r w:rsidRPr="006F799A">
        <w:rPr>
          <w:sz w:val="24"/>
          <w:szCs w:val="24"/>
        </w:rPr>
        <w:t>PAULO NETTO, José</w:t>
      </w:r>
      <w:r>
        <w:rPr>
          <w:sz w:val="24"/>
          <w:szCs w:val="24"/>
        </w:rPr>
        <w:t>.</w:t>
      </w:r>
      <w:r w:rsidR="00250200" w:rsidRPr="006F799A">
        <w:rPr>
          <w:sz w:val="24"/>
          <w:szCs w:val="24"/>
        </w:rPr>
        <w:t xml:space="preserve"> </w:t>
      </w:r>
      <w:r w:rsidR="00250200" w:rsidRPr="006F799A">
        <w:rPr>
          <w:b/>
          <w:sz w:val="24"/>
          <w:szCs w:val="24"/>
        </w:rPr>
        <w:t>Introdução ao estudo do método de Marx</w:t>
      </w:r>
      <w:r w:rsidR="00250200" w:rsidRPr="006F799A">
        <w:rPr>
          <w:sz w:val="24"/>
          <w:szCs w:val="24"/>
        </w:rPr>
        <w:t>. 1. ed. São Paulo: Expressão Popular, 2011.</w:t>
      </w:r>
    </w:p>
    <w:p w:rsidR="006F799A" w:rsidRDefault="006F799A" w:rsidP="00250200">
      <w:pPr>
        <w:spacing w:line="240" w:lineRule="auto"/>
        <w:rPr>
          <w:sz w:val="24"/>
          <w:szCs w:val="24"/>
        </w:rPr>
      </w:pPr>
    </w:p>
    <w:p w:rsidR="00DA1F1D" w:rsidRDefault="0074545C">
      <w:pPr>
        <w:spacing w:line="240" w:lineRule="auto"/>
        <w:rPr>
          <w:sz w:val="24"/>
          <w:szCs w:val="24"/>
        </w:rPr>
      </w:pPr>
      <w:r>
        <w:rPr>
          <w:sz w:val="24"/>
          <w:szCs w:val="24"/>
        </w:rPr>
        <w:t xml:space="preserve">PEDERSEN, Jaina Raqueli. Vitimação e vitimização de crianças e adolescentes: expressões da questão social e objeto de trabalho do Serviço Social. </w:t>
      </w:r>
      <w:r>
        <w:rPr>
          <w:b/>
          <w:sz w:val="24"/>
          <w:szCs w:val="24"/>
        </w:rPr>
        <w:t>Textos &amp; Contextos</w:t>
      </w:r>
      <w:r>
        <w:rPr>
          <w:sz w:val="24"/>
          <w:szCs w:val="24"/>
        </w:rPr>
        <w:t xml:space="preserve"> (Porto Alegre), </w:t>
      </w:r>
      <w:r>
        <w:rPr>
          <w:i/>
          <w:sz w:val="24"/>
          <w:szCs w:val="24"/>
        </w:rPr>
        <w:t>[S. l.]</w:t>
      </w:r>
      <w:r>
        <w:rPr>
          <w:sz w:val="24"/>
          <w:szCs w:val="24"/>
        </w:rPr>
        <w:t>, v. 8, n. 1, p. 104–122, 2009. Disponível em: https://revistaseletronicas.pucrs.br/fass/article/view/5677. Acesso em: 15 de jun. 2025.</w:t>
      </w:r>
    </w:p>
    <w:p w:rsidR="00DA1F1D" w:rsidRDefault="00DA1F1D">
      <w:pPr>
        <w:spacing w:line="240" w:lineRule="auto"/>
        <w:rPr>
          <w:sz w:val="24"/>
          <w:szCs w:val="24"/>
        </w:rPr>
      </w:pPr>
    </w:p>
    <w:p w:rsidR="00DA1F1D" w:rsidRDefault="0074545C">
      <w:pPr>
        <w:spacing w:line="240" w:lineRule="auto"/>
        <w:rPr>
          <w:sz w:val="24"/>
          <w:szCs w:val="24"/>
        </w:rPr>
      </w:pPr>
      <w:r>
        <w:rPr>
          <w:sz w:val="24"/>
          <w:szCs w:val="24"/>
        </w:rPr>
        <w:t xml:space="preserve">PINHEIRO, Adriana; CAMPELO, Ana Angélica; VALENTE, Jane (orgs.). </w:t>
      </w:r>
      <w:r>
        <w:rPr>
          <w:b/>
          <w:sz w:val="24"/>
          <w:szCs w:val="24"/>
        </w:rPr>
        <w:t xml:space="preserve">Guia de acolhimento familiar: </w:t>
      </w:r>
      <w:r>
        <w:rPr>
          <w:sz w:val="24"/>
          <w:szCs w:val="24"/>
        </w:rPr>
        <w:t xml:space="preserve">o serviço de acolhimento em família acolhedora: caderno 1. 2. ed. São Paulo: Paulus, 2024. Disponível em: </w:t>
      </w:r>
      <w:hyperlink r:id="rId15">
        <w:r>
          <w:rPr>
            <w:sz w:val="24"/>
            <w:szCs w:val="24"/>
          </w:rPr>
          <w:t>https://familiaacolhedora.org.br/formacao/guia-de-acolhimento-familiar/</w:t>
        </w:r>
      </w:hyperlink>
      <w:r>
        <w:rPr>
          <w:sz w:val="24"/>
          <w:szCs w:val="24"/>
        </w:rPr>
        <w:t>. Acesso em: 14 abr. 2025.</w:t>
      </w:r>
    </w:p>
    <w:p w:rsidR="00DA1F1D" w:rsidRDefault="00DA1F1D">
      <w:pPr>
        <w:spacing w:line="240" w:lineRule="auto"/>
        <w:rPr>
          <w:sz w:val="24"/>
          <w:szCs w:val="24"/>
        </w:rPr>
      </w:pPr>
    </w:p>
    <w:p w:rsidR="00DA1F1D" w:rsidRDefault="0074545C">
      <w:pPr>
        <w:spacing w:line="240" w:lineRule="auto"/>
        <w:rPr>
          <w:sz w:val="24"/>
          <w:szCs w:val="24"/>
        </w:rPr>
      </w:pPr>
      <w:r>
        <w:rPr>
          <w:sz w:val="24"/>
          <w:szCs w:val="24"/>
        </w:rPr>
        <w:t xml:space="preserve">RAMOS, Mariângela Ramos Braga; OLIVEIRA, Daniele Ribeiro do Val de. Serviço de Acolhimento em Família Acolhedora: benefícios e contribuições para a proteção de crianças e adolescentes. </w:t>
      </w:r>
      <w:r>
        <w:rPr>
          <w:b/>
          <w:sz w:val="24"/>
          <w:szCs w:val="24"/>
        </w:rPr>
        <w:t>Tudo é Ciência:</w:t>
      </w:r>
      <w:r>
        <w:rPr>
          <w:sz w:val="24"/>
          <w:szCs w:val="24"/>
        </w:rPr>
        <w:t xml:space="preserve"> Congresso Brasileiro de Ciências e Saberes Multidisciplinares, </w:t>
      </w:r>
      <w:r>
        <w:rPr>
          <w:i/>
          <w:sz w:val="24"/>
          <w:szCs w:val="24"/>
        </w:rPr>
        <w:t>[S. l.]</w:t>
      </w:r>
      <w:r>
        <w:rPr>
          <w:sz w:val="24"/>
          <w:szCs w:val="24"/>
        </w:rPr>
        <w:t>, n. 3, p. 1–9, 2025. DOI: 10.47385/tudoeciencia.1870.2024. Disponível em: https://conferenciasunifoa.emnuvens.com.br/tc/article/view/1870. Acesso em: 12 de jun. 2025.</w:t>
      </w:r>
    </w:p>
    <w:p w:rsidR="00DA1F1D" w:rsidRDefault="00DA1F1D">
      <w:pPr>
        <w:spacing w:line="240" w:lineRule="auto"/>
        <w:rPr>
          <w:sz w:val="24"/>
          <w:szCs w:val="24"/>
        </w:rPr>
      </w:pPr>
    </w:p>
    <w:p w:rsidR="00DA1F1D" w:rsidRDefault="0074545C">
      <w:pPr>
        <w:spacing w:line="240" w:lineRule="auto"/>
        <w:rPr>
          <w:sz w:val="24"/>
          <w:szCs w:val="24"/>
        </w:rPr>
      </w:pPr>
      <w:r>
        <w:rPr>
          <w:sz w:val="24"/>
          <w:szCs w:val="24"/>
        </w:rPr>
        <w:t xml:space="preserve">SOUSA, Francinete Oliveira de. </w:t>
      </w:r>
      <w:r>
        <w:rPr>
          <w:b/>
          <w:sz w:val="24"/>
          <w:szCs w:val="24"/>
        </w:rPr>
        <w:t xml:space="preserve">Crianças e adolescentes sob medida protetiva de acolhimento: </w:t>
      </w:r>
      <w:r>
        <w:rPr>
          <w:sz w:val="24"/>
          <w:szCs w:val="24"/>
        </w:rPr>
        <w:t>caracterização das violações de direitos judicializadas na cidade de Manaus no ano de 2022. 2024. 96 f. Dissertação (Mestrado em Justiça Administrativa) – Universidade Federal Fluminense, Niterói, 2024.</w:t>
      </w:r>
    </w:p>
    <w:p w:rsidR="00DA1F1D" w:rsidRDefault="00DA1F1D">
      <w:pPr>
        <w:spacing w:line="240" w:lineRule="auto"/>
        <w:rPr>
          <w:sz w:val="24"/>
          <w:szCs w:val="24"/>
        </w:rPr>
      </w:pPr>
    </w:p>
    <w:p w:rsidR="00DA1F1D" w:rsidRDefault="0074545C">
      <w:pPr>
        <w:spacing w:line="240" w:lineRule="auto"/>
        <w:rPr>
          <w:sz w:val="24"/>
          <w:szCs w:val="24"/>
        </w:rPr>
      </w:pPr>
      <w:r>
        <w:rPr>
          <w:sz w:val="24"/>
          <w:szCs w:val="24"/>
        </w:rPr>
        <w:t xml:space="preserve">VIEIRA, Marcelo de Mello. </w:t>
      </w:r>
      <w:r>
        <w:rPr>
          <w:b/>
          <w:sz w:val="24"/>
          <w:szCs w:val="24"/>
        </w:rPr>
        <w:t>Direito de crianças e de adolescentes à convivência familiar</w:t>
      </w:r>
      <w:r>
        <w:rPr>
          <w:sz w:val="24"/>
          <w:szCs w:val="24"/>
        </w:rPr>
        <w:t xml:space="preserve">. 2014. 153 f. Dissertação (Mestrado em Direito) – Universidade Federal de Minas Gerais, Belo Horizonte, 2014. Disponível em: </w:t>
      </w:r>
      <w:hyperlink r:id="rId16">
        <w:r>
          <w:rPr>
            <w:sz w:val="24"/>
            <w:szCs w:val="24"/>
          </w:rPr>
          <w:t>https://repositorio.ufmg.br/handle/1843/BUBD-9HMH64</w:t>
        </w:r>
      </w:hyperlink>
      <w:r>
        <w:rPr>
          <w:sz w:val="24"/>
          <w:szCs w:val="24"/>
        </w:rPr>
        <w:t>. Acesso em 28 mar. de 2025.</w:t>
      </w:r>
    </w:p>
    <w:p w:rsidR="00DA1F1D" w:rsidRDefault="00DA1F1D">
      <w:pPr>
        <w:spacing w:line="240" w:lineRule="auto"/>
        <w:jc w:val="both"/>
        <w:rPr>
          <w:b/>
          <w:sz w:val="24"/>
          <w:szCs w:val="24"/>
        </w:rPr>
      </w:pPr>
    </w:p>
    <w:p w:rsidR="00DA1F1D" w:rsidRDefault="0074545C">
      <w:pPr>
        <w:spacing w:after="200" w:line="240" w:lineRule="auto"/>
        <w:rPr>
          <w:sz w:val="24"/>
          <w:szCs w:val="24"/>
        </w:rPr>
      </w:pPr>
      <w:r>
        <w:rPr>
          <w:sz w:val="24"/>
          <w:szCs w:val="24"/>
        </w:rPr>
        <w:t xml:space="preserve">ZAMBON, Mariana Porto </w:t>
      </w:r>
      <w:r>
        <w:rPr>
          <w:i/>
          <w:sz w:val="24"/>
          <w:szCs w:val="24"/>
        </w:rPr>
        <w:t>et al.</w:t>
      </w:r>
      <w:r>
        <w:rPr>
          <w:sz w:val="24"/>
          <w:szCs w:val="24"/>
        </w:rPr>
        <w:t xml:space="preserve"> Violência doméstica contra crianças e adolescentes: um desafio.</w:t>
      </w:r>
      <w:r>
        <w:rPr>
          <w:b/>
          <w:sz w:val="24"/>
          <w:szCs w:val="24"/>
        </w:rPr>
        <w:t xml:space="preserve"> Revista da Associação Médica Brasileira</w:t>
      </w:r>
      <w:r>
        <w:rPr>
          <w:sz w:val="24"/>
          <w:szCs w:val="24"/>
        </w:rPr>
        <w:t xml:space="preserve">, São Paulo, v. 58, n. 4, p. 465–471, ago. 2012. Disponível em: </w:t>
      </w:r>
      <w:hyperlink r:id="rId17">
        <w:r>
          <w:rPr>
            <w:sz w:val="24"/>
            <w:szCs w:val="24"/>
          </w:rPr>
          <w:t>https://www.scielo.br/j/ramb/a/QTPXsnN8D4DCm3x6KwHZgZJ/</w:t>
        </w:r>
      </w:hyperlink>
      <w:r>
        <w:rPr>
          <w:sz w:val="24"/>
          <w:szCs w:val="24"/>
        </w:rPr>
        <w:t>. Acesso em: 10 de jun. 2025.</w:t>
      </w:r>
    </w:p>
    <w:sectPr w:rsidR="00DA1F1D">
      <w:headerReference w:type="default" r:id="rId18"/>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4A00" w:rsidRDefault="00044A00">
      <w:pPr>
        <w:spacing w:line="240" w:lineRule="auto"/>
      </w:pPr>
      <w:r>
        <w:separator/>
      </w:r>
    </w:p>
  </w:endnote>
  <w:endnote w:type="continuationSeparator" w:id="0">
    <w:p w:rsidR="00044A00" w:rsidRDefault="00044A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4A00" w:rsidRDefault="00044A00">
      <w:pPr>
        <w:spacing w:line="240" w:lineRule="auto"/>
      </w:pPr>
      <w:r>
        <w:separator/>
      </w:r>
    </w:p>
  </w:footnote>
  <w:footnote w:type="continuationSeparator" w:id="0">
    <w:p w:rsidR="00044A00" w:rsidRDefault="00044A00">
      <w:pPr>
        <w:spacing w:line="240" w:lineRule="auto"/>
      </w:pPr>
      <w:r>
        <w:continuationSeparator/>
      </w:r>
    </w:p>
  </w:footnote>
  <w:footnote w:id="1">
    <w:p w:rsidR="00DA1F1D" w:rsidRDefault="0074545C">
      <w:pPr>
        <w:spacing w:line="240" w:lineRule="auto"/>
        <w:jc w:val="both"/>
        <w:rPr>
          <w:sz w:val="20"/>
          <w:szCs w:val="20"/>
        </w:rPr>
      </w:pPr>
      <w:r>
        <w:rPr>
          <w:vertAlign w:val="superscript"/>
        </w:rPr>
        <w:footnoteRef/>
      </w:r>
      <w:r>
        <w:rPr>
          <w:sz w:val="20"/>
          <w:szCs w:val="20"/>
        </w:rPr>
        <w:t xml:space="preserve"> Bacharela em Serviço Social; Mestranda do Programa de Pós-Graduação em Serviço Social e Sustentabilidade na Amazônia pela Universidade Federal do Amazonas (UFAM), bolsista pela Fundação Amparo à Pesquisa do Estado do Amazonas (FAPEAM). Membro do Grupo de Pesquisa em Gestão Social, Direitos Humanos e Sustentabilidade na Amazônia – GEDHS. E-mail: raissa.araujo@ufam.edu.br</w:t>
      </w:r>
    </w:p>
    <w:p w:rsidR="00DA1F1D" w:rsidRDefault="00DA1F1D">
      <w:pPr>
        <w:spacing w:line="240" w:lineRule="auto"/>
        <w:rPr>
          <w:sz w:val="20"/>
          <w:szCs w:val="20"/>
        </w:rPr>
      </w:pPr>
    </w:p>
  </w:footnote>
  <w:footnote w:id="2">
    <w:p w:rsidR="00DA1F1D" w:rsidRDefault="0074545C">
      <w:pPr>
        <w:spacing w:line="240" w:lineRule="auto"/>
        <w:jc w:val="both"/>
        <w:rPr>
          <w:sz w:val="20"/>
          <w:szCs w:val="20"/>
        </w:rPr>
      </w:pPr>
      <w:r>
        <w:rPr>
          <w:vertAlign w:val="superscript"/>
        </w:rPr>
        <w:footnoteRef/>
      </w:r>
      <w:r>
        <w:rPr>
          <w:sz w:val="20"/>
          <w:szCs w:val="20"/>
        </w:rPr>
        <w:t xml:space="preserve"> Professora doutora vinculada ao Departamento de Serviço Social da Universidade Federal do Amazonas (UFAM) e ao Programa de Pós-Graduação em Serviço Social e Sustentabilidade na Amazônia (PPGSS/UFAM). Pós-doutora em Serviço Social pela Pontifícia Universidade Católica do Rio Grande do Sul (PUCRS). Líder do Grupo de Pesquisa em Gestão Social, Direitos Humanos e Sustentabilidade na Amazônia (GEDHS). E-mail: marinezgil@ufam.edu.br</w:t>
      </w:r>
    </w:p>
    <w:p w:rsidR="00DA1F1D" w:rsidRDefault="00DA1F1D">
      <w:pPr>
        <w:spacing w:line="240" w:lineRule="auto"/>
        <w:rPr>
          <w:sz w:val="20"/>
          <w:szCs w:val="20"/>
        </w:rPr>
      </w:pPr>
    </w:p>
  </w:footnote>
  <w:footnote w:id="3">
    <w:p w:rsidR="00A64C7D" w:rsidRDefault="00A64C7D">
      <w:pPr>
        <w:pStyle w:val="Textodenotaderodap"/>
      </w:pPr>
      <w:r>
        <w:rPr>
          <w:rStyle w:val="Refdenotaderodap"/>
        </w:rPr>
        <w:footnoteRef/>
      </w:r>
      <w:r>
        <w:t>https://familiaacolhedora.org.br/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F1D" w:rsidRDefault="0074545C">
    <w:r>
      <w:rPr>
        <w:noProof/>
      </w:rPr>
      <w:drawing>
        <wp:anchor distT="0" distB="0" distL="0" distR="0" simplePos="0" relativeHeight="251658240" behindDoc="1" locked="0" layoutInCell="1" hidden="0" allowOverlap="1">
          <wp:simplePos x="0" y="0"/>
          <wp:positionH relativeFrom="page">
            <wp:posOffset>0</wp:posOffset>
          </wp:positionH>
          <wp:positionV relativeFrom="page">
            <wp:posOffset>6985</wp:posOffset>
          </wp:positionV>
          <wp:extent cx="7563485" cy="1072769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F1D"/>
    <w:rsid w:val="00044A00"/>
    <w:rsid w:val="00084EBD"/>
    <w:rsid w:val="00250200"/>
    <w:rsid w:val="005C6929"/>
    <w:rsid w:val="006F799A"/>
    <w:rsid w:val="0074545C"/>
    <w:rsid w:val="009A1898"/>
    <w:rsid w:val="009F4DAA"/>
    <w:rsid w:val="00A64C7D"/>
    <w:rsid w:val="00BC340C"/>
    <w:rsid w:val="00DA1F1D"/>
    <w:rsid w:val="00ED486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32048"/>
  <w15:docId w15:val="{AF6CEB63-F668-4C15-B2A4-6E537CAA7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paragraph" w:styleId="Reviso">
    <w:name w:val="Revision"/>
    <w:hidden/>
    <w:uiPriority w:val="99"/>
    <w:semiHidden/>
    <w:rsid w:val="000A7F1E"/>
    <w:pPr>
      <w:spacing w:line="240" w:lineRule="auto"/>
    </w:pPr>
  </w:style>
  <w:style w:type="character" w:styleId="Refdecomentrio">
    <w:name w:val="annotation reference"/>
    <w:basedOn w:val="Fontepargpadro"/>
    <w:uiPriority w:val="99"/>
    <w:semiHidden/>
    <w:unhideWhenUsed/>
    <w:rsid w:val="00D45A47"/>
    <w:rPr>
      <w:sz w:val="16"/>
      <w:szCs w:val="16"/>
    </w:rPr>
  </w:style>
  <w:style w:type="paragraph" w:styleId="Textodecomentrio">
    <w:name w:val="annotation text"/>
    <w:basedOn w:val="Normal"/>
    <w:link w:val="TextodecomentrioChar"/>
    <w:uiPriority w:val="99"/>
    <w:semiHidden/>
    <w:unhideWhenUsed/>
    <w:rsid w:val="00D45A47"/>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D45A47"/>
    <w:rPr>
      <w:sz w:val="20"/>
      <w:szCs w:val="20"/>
    </w:rPr>
  </w:style>
  <w:style w:type="paragraph" w:styleId="Assuntodocomentrio">
    <w:name w:val="annotation subject"/>
    <w:basedOn w:val="Textodecomentrio"/>
    <w:next w:val="Textodecomentrio"/>
    <w:link w:val="AssuntodocomentrioChar"/>
    <w:uiPriority w:val="99"/>
    <w:semiHidden/>
    <w:unhideWhenUsed/>
    <w:rsid w:val="00D45A47"/>
    <w:rPr>
      <w:b/>
      <w:bCs/>
    </w:rPr>
  </w:style>
  <w:style w:type="character" w:customStyle="1" w:styleId="AssuntodocomentrioChar">
    <w:name w:val="Assunto do comentário Char"/>
    <w:basedOn w:val="TextodecomentrioChar"/>
    <w:link w:val="Assuntodocomentrio"/>
    <w:uiPriority w:val="99"/>
    <w:semiHidden/>
    <w:rsid w:val="00D45A47"/>
    <w:rPr>
      <w:b/>
      <w:bCs/>
      <w:sz w:val="20"/>
      <w:szCs w:val="20"/>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notaderodap">
    <w:name w:val="footnote text"/>
    <w:basedOn w:val="Normal"/>
    <w:link w:val="TextodenotaderodapChar"/>
    <w:uiPriority w:val="99"/>
    <w:semiHidden/>
    <w:unhideWhenUsed/>
    <w:rsid w:val="00A64C7D"/>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A64C7D"/>
    <w:rPr>
      <w:sz w:val="20"/>
      <w:szCs w:val="20"/>
    </w:rPr>
  </w:style>
  <w:style w:type="character" w:styleId="Refdenotaderodap">
    <w:name w:val="footnote reference"/>
    <w:basedOn w:val="Fontepargpadro"/>
    <w:uiPriority w:val="99"/>
    <w:semiHidden/>
    <w:unhideWhenUsed/>
    <w:rsid w:val="00A64C7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_ato2015-2018/2017/lei/l13431.htm" TargetMode="External"/><Relationship Id="rId13" Type="http://schemas.openxmlformats.org/officeDocument/2006/relationships/hyperlink" Target="https://tede.unioeste.br/bitstream/tede/6517/2/Neuza_Cerutti_2022.pdf"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vsms.saude.gov.br/bvs/publicacoes/impacto_violencia_saude_criancas_adolescentes.pdf" TargetMode="External"/><Relationship Id="rId17" Type="http://schemas.openxmlformats.org/officeDocument/2006/relationships/hyperlink" Target="https://www.scielo.br/j/ramb/a/QTPXsnN8D4DCm3x6KwHZgZJ/" TargetMode="External"/><Relationship Id="rId2" Type="http://schemas.openxmlformats.org/officeDocument/2006/relationships/customXml" Target="../customXml/item2.xml"/><Relationship Id="rId16" Type="http://schemas.openxmlformats.org/officeDocument/2006/relationships/hyperlink" Target="https://repositorio.ufmg.br/handle/1843/BUBD-9HMH6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vsms.saude.gov.br/bvs/publicacoes/impacto_violencia_saude_criancas_adolescentes.pdf" TargetMode="External"/><Relationship Id="rId5" Type="http://schemas.openxmlformats.org/officeDocument/2006/relationships/webSettings" Target="webSettings.xml"/><Relationship Id="rId15" Type="http://schemas.openxmlformats.org/officeDocument/2006/relationships/hyperlink" Target="https://familiaacolhedora.org.br/formacao/guia-de-acolhimento-familiar/" TargetMode="External"/><Relationship Id="rId10" Type="http://schemas.openxmlformats.org/officeDocument/2006/relationships/hyperlink" Target="http://legislacao.planalto.gov.br/legisla/legislacao.nsf/Viw_Identificacao/lei%2013.431-2017?OpenDocumen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ds.gov.br/webarquivos/publicacao/assistencia_social/cadernos/orientacoes-tecnicas-servicos-de-alcolhimento.pdf" TargetMode="External"/><Relationship Id="rId14" Type="http://schemas.openxmlformats.org/officeDocument/2006/relationships/hyperlink" Target="https://www.unicef.org/brazil/comunicados-de-imprensa/violencia-contra-criancas-e-adolescentes-esta-amplamente-disseminada-e-e-afeta-milhoes-em-todo-o-mund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S6r/qu9hUKMm/qKShMeIFuIuFQ==">CgMxLjAyDmguZW1sZTNqbDBmNXo4Mg5oLnUya2hhMHV0dDR4ZzIOaC5vYXRvMmt5cmR6ZHg4AHIhMWt0X2ZkbTZISGxSN05CRV9ZUXpSQnRrTFI4SWNVby1P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7151AAA-F096-44E4-9CAE-822880246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1472</TotalTime>
  <Pages>1</Pages>
  <Words>4072</Words>
  <Characters>21990</Characters>
  <Application>Microsoft Office Word</Application>
  <DocSecurity>0</DocSecurity>
  <Lines>183</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Marinez UFAM</dc:creator>
  <cp:lastModifiedBy>Raíssa</cp:lastModifiedBy>
  <cp:revision>6</cp:revision>
  <dcterms:created xsi:type="dcterms:W3CDTF">2025-06-27T19:52:00Z</dcterms:created>
  <dcterms:modified xsi:type="dcterms:W3CDTF">2025-07-05T17:18:00Z</dcterms:modified>
</cp:coreProperties>
</file>