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Eficiência administrativa e controle de legalidade nas licitações municipais</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w:t>
      </w:r>
      <w:r w:rsidDel="00000000" w:rsidR="00000000" w:rsidRPr="00000000">
        <w:rPr>
          <w:sz w:val="24"/>
          <w:szCs w:val="24"/>
          <w:rtl w:val="0"/>
        </w:rPr>
        <w:t xml:space="preserve">reflexões jurídicas sobre a Lei n. 14.133/2021 e sua incidência nas políticas públicas locais</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360" w:lineRule="auto"/>
        <w:jc w:val="right"/>
        <w:rPr>
          <w:sz w:val="20"/>
          <w:szCs w:val="20"/>
        </w:rPr>
      </w:pPr>
      <w:r w:rsidDel="00000000" w:rsidR="00000000" w:rsidRPr="00000000">
        <w:rPr>
          <w:b w:val="1"/>
          <w:sz w:val="24"/>
          <w:szCs w:val="24"/>
          <w:rtl w:val="0"/>
        </w:rPr>
        <w:t xml:space="preserve">Samuel Jorge Arruda de Melo</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360" w:lineRule="auto"/>
        <w:jc w:val="left"/>
        <w:rPr>
          <w:sz w:val="20"/>
          <w:szCs w:val="20"/>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sz w:val="20"/>
          <w:szCs w:val="20"/>
          <w:rtl w:val="0"/>
        </w:rPr>
        <w:t xml:space="preserve">A Lei n. 14.133/2021 introduziu um novo regime jurídico para as contratações públicas, conferindo especial relevo à racionalização procedimental e à otimização da gestão administrativa, notadamente no âmbito municipal. Este artigo examina, sob perspectiva jurídico-dogmática, as tensões inerentes à concretização do princípio da eficiência em coexistência com o princípio da legalidade, considerando seus impactos diretos na formulação e execução das políticas públicas locais. A investigação, de natureza qualitativa, ancora-se na análise doutrinária, legislativa e jurisprudencial, com ênfase na dicotomia entre discricionariedade técnica e controle institucional. Sustenta-se que a efetividade da nova legislação depende da harmonização entre agilidade procedimental, segurança jurídica e mecanismos de integridade administrativa. Conclui-se que a adequada implementação da norma exige não apenas estrutura normativa consistente, mas também qualificação técnica dos agentes públicos e fortalecimento das capacidades institucionais dos municípios</w:t>
      </w:r>
      <w:r w:rsidDel="00000000" w:rsidR="00000000" w:rsidRPr="00000000">
        <w:rPr>
          <w:sz w:val="20"/>
          <w:szCs w:val="20"/>
          <w:vertAlign w:val="baseline"/>
          <w:rtl w:val="0"/>
        </w:rPr>
        <w:t xml:space="preserve">.</w:t>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Eficiência administrativa</w:t>
      </w:r>
      <w:r w:rsidDel="00000000" w:rsidR="00000000" w:rsidRPr="00000000">
        <w:rPr>
          <w:sz w:val="20"/>
          <w:szCs w:val="20"/>
          <w:vertAlign w:val="baseline"/>
          <w:rtl w:val="0"/>
        </w:rPr>
        <w:t xml:space="preserve">; </w:t>
      </w:r>
      <w:r w:rsidDel="00000000" w:rsidR="00000000" w:rsidRPr="00000000">
        <w:rPr>
          <w:sz w:val="20"/>
          <w:szCs w:val="20"/>
          <w:rtl w:val="0"/>
        </w:rPr>
        <w:t xml:space="preserve">Licitações públicas</w:t>
      </w:r>
      <w:r w:rsidDel="00000000" w:rsidR="00000000" w:rsidRPr="00000000">
        <w:rPr>
          <w:sz w:val="20"/>
          <w:szCs w:val="20"/>
          <w:vertAlign w:val="baseline"/>
          <w:rtl w:val="0"/>
        </w:rPr>
        <w:t xml:space="preserve">. </w:t>
      </w:r>
      <w:r w:rsidDel="00000000" w:rsidR="00000000" w:rsidRPr="00000000">
        <w:rPr>
          <w:sz w:val="20"/>
          <w:szCs w:val="20"/>
          <w:rtl w:val="0"/>
        </w:rPr>
        <w:t xml:space="preserve">Políticas públicas municipais</w:t>
      </w:r>
      <w:r w:rsidDel="00000000" w:rsidR="00000000" w:rsidRPr="00000000">
        <w:rPr>
          <w:sz w:val="20"/>
          <w:szCs w:val="20"/>
          <w:vertAlign w:val="baseline"/>
          <w:rtl w:val="0"/>
        </w:rPr>
        <w:t xml:space="preserve">.</w:t>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sz w:val="20"/>
          <w:szCs w:val="20"/>
          <w:rtl w:val="0"/>
        </w:rPr>
        <w:t xml:space="preserve">Law No. 14,133/2021 introduced a new legal framework for public procurement, placing special emphasis on procedural streamlining and the optimization of administrative management, particularly at the municipal level. This article examines, from a legal-dogmatic perspective, the tensions inherent in the implementation of the principle of efficiency in coexistence with the principle of legality, considering its direct impacts on the formulation and implementation of local public policies. The investigation, of a qualitative nature, is anchored in doctrinal, legislative, and jurisprudential analysis, with an emphasis on the dichotomy between technical discretion and institutional control. It is argued that the effectiveness of the new legislation depends on the harmonization between procedural agility, legal certainty, and administrative integrity mechanisms. It is concluded that the adequate implementation of the norm requires not only a consistent normative structure, but also technical qualification of public agents and strengthening of the institutional capacities of municipalities</w:t>
      </w:r>
      <w:r w:rsidDel="00000000" w:rsidR="00000000" w:rsidRPr="00000000">
        <w:rPr>
          <w:sz w:val="20"/>
          <w:szCs w:val="20"/>
          <w:vertAlign w:val="baseline"/>
          <w:rtl w:val="0"/>
        </w:rPr>
        <w:t xml:space="preserve">.</w:t>
      </w:r>
    </w:p>
    <w:p w:rsidR="00000000" w:rsidDel="00000000" w:rsidP="00000000" w:rsidRDefault="00000000" w:rsidRPr="00000000" w14:paraId="0000000B">
      <w:pPr>
        <w:spacing w:line="240" w:lineRule="auto"/>
        <w:ind w:left="2835" w:firstLine="0"/>
        <w:jc w:val="both"/>
        <w:rPr>
          <w:sz w:val="24"/>
          <w:szCs w:val="24"/>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Eficiência administrativa; Licitações públicas. Políticas públicas municipais</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rPr>
          <w:b w:val="0"/>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ind w:firstLine="709"/>
        <w:jc w:val="both"/>
        <w:rPr>
          <w:sz w:val="24"/>
          <w:szCs w:val="24"/>
        </w:rPr>
      </w:pPr>
      <w:r w:rsidDel="00000000" w:rsidR="00000000" w:rsidRPr="00000000">
        <w:rPr>
          <w:sz w:val="24"/>
          <w:szCs w:val="24"/>
          <w:rtl w:val="0"/>
        </w:rPr>
        <w:t xml:space="preserve">A promulgação da Lei nº 14.133/2021 representou uma inflexão normativa no regime jurídico das contratações públicas, com impactos significativos sobre a estruturação das políticas públicas no plano municipal. Ao substituir as normas gerais anteriores e estabelecer novos paradigmas para a gestão contratual, a legislação busca conferir maior eficiência, planejamento e integridade aos processos administrativos, sobretudo em contextos locais marcados por escassez de recursos e limitações institucionais (Justen Filho, 2021; Di Pietro, 2022). Nesse cenário, o tensionamento entre o princípio da eficiência e o princípio da legalidade ganha centralidade, especialmente diante da crescente complexidade dos procedimentos licitatórios e da necessidade de compatibilizar celeridade decisória com observância estrita aos marcos normativos e aos mecanismos de controle (Motta, 2018; Sundfeld, 2021).</w:t>
      </w:r>
    </w:p>
    <w:p w:rsidR="00000000" w:rsidDel="00000000" w:rsidP="00000000" w:rsidRDefault="00000000" w:rsidRPr="00000000" w14:paraId="00000010">
      <w:pPr>
        <w:spacing w:line="360" w:lineRule="auto"/>
        <w:ind w:firstLine="709"/>
        <w:jc w:val="both"/>
        <w:rPr>
          <w:sz w:val="24"/>
          <w:szCs w:val="24"/>
        </w:rPr>
      </w:pPr>
      <w:r w:rsidDel="00000000" w:rsidR="00000000" w:rsidRPr="00000000">
        <w:rPr>
          <w:sz w:val="24"/>
          <w:szCs w:val="24"/>
          <w:rtl w:val="0"/>
        </w:rPr>
        <w:t xml:space="preserve">A presente investigação parte da constatação de que os municípios brasileiros, enquanto entes federativos responsáveis pela formulação e execução de políticas públicas essenciais, enfrentam obstáculos significativos à internalização dos preceitos da nova legislação, notadamente em virtude de limitações operacionais, carência de qualificação técnica, instabilidade institucional e estruturas de controle incipientes. Essas fragilidades comprometem a efetividade dos mecanismos de planejamento, execução contratual e fiscalização, dificultando a compatibilização entre a margem de discricionariedade técnica conferida ao gestor público e as exigências de motivação, responsabilidade e integridade administrativa impostas pelo novo regime normativo (Oliveira, 2023; Ferraz, 2021). </w:t>
      </w:r>
    </w:p>
    <w:p w:rsidR="00000000" w:rsidDel="00000000" w:rsidP="00000000" w:rsidRDefault="00000000" w:rsidRPr="00000000" w14:paraId="00000011">
      <w:pPr>
        <w:spacing w:line="360" w:lineRule="auto"/>
        <w:ind w:firstLine="709"/>
        <w:jc w:val="both"/>
        <w:rPr>
          <w:sz w:val="24"/>
          <w:szCs w:val="24"/>
        </w:rPr>
      </w:pPr>
      <w:r w:rsidDel="00000000" w:rsidR="00000000" w:rsidRPr="00000000">
        <w:rPr>
          <w:sz w:val="24"/>
          <w:szCs w:val="24"/>
          <w:rtl w:val="0"/>
        </w:rPr>
        <w:t xml:space="preserve">Nesse sentido, este estudo tem como objetivo geral analisar, sob enfoque jurídico-dogmático, os limites e possibilidades da aplicação da Lei nº 14.133/2021 na promoção da eficiência administrativa e na conformação legal das políticas públicas municipais. Especificamente, busca-se: (i) examinar os fundamentos constitucionais e administrativos que orientam a nova legislação; (ii) discutir os efeitos da norma sobre o planejamento e a execução das políticas públicas locais; e (iii) refletir criticamente sobre os riscos de flexibilização excessiva dos controles legais sob a retórica da modernização (Niebuhr, 2022; TCU, 2022).</w:t>
      </w:r>
    </w:p>
    <w:p w:rsidR="00000000" w:rsidDel="00000000" w:rsidP="00000000" w:rsidRDefault="00000000" w:rsidRPr="00000000" w14:paraId="00000012">
      <w:pPr>
        <w:spacing w:line="360" w:lineRule="auto"/>
        <w:ind w:firstLine="709"/>
        <w:jc w:val="both"/>
        <w:rPr>
          <w:sz w:val="24"/>
          <w:szCs w:val="24"/>
        </w:rPr>
      </w:pPr>
      <w:r w:rsidDel="00000000" w:rsidR="00000000" w:rsidRPr="00000000">
        <w:rPr>
          <w:sz w:val="24"/>
          <w:szCs w:val="24"/>
          <w:rtl w:val="0"/>
        </w:rPr>
        <w:t xml:space="preserve">Metodologicamente, adotou-se abordagem qualitativa, com base em revisão bibliográfica e documental, utilizando como referenciais a doutrina especializada em direito administrativo e constitucional, a legislação vigente e os precedentes dos órgãos de controle e das cortes superiores. A análise é construída a partir de um recorte jurídico-normativo, sem prejuízo de incursões analíticas sobre a estrutura institucional e os desafios práticos enfrentados pelos municípios brasileiros.</w:t>
      </w:r>
    </w:p>
    <w:p w:rsidR="00000000" w:rsidDel="00000000" w:rsidP="00000000" w:rsidRDefault="00000000" w:rsidRPr="00000000" w14:paraId="00000013">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4">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FUNDAMENTOS JURÍDICOS DA LEI Nº 14.133/2021 E A EFICIÊNCIA NA GESTÃO DAS POLÍTICAS PÚBLICAS MUNICIPAIS</w:t>
      </w:r>
      <w:r w:rsidDel="00000000" w:rsidR="00000000" w:rsidRPr="00000000">
        <w:rPr>
          <w:rtl w:val="0"/>
        </w:rPr>
      </w:r>
    </w:p>
    <w:p w:rsidR="00000000" w:rsidDel="00000000" w:rsidP="00000000" w:rsidRDefault="00000000" w:rsidRPr="00000000" w14:paraId="00000015">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6">
      <w:pPr>
        <w:spacing w:line="360" w:lineRule="auto"/>
        <w:ind w:firstLine="709"/>
        <w:jc w:val="both"/>
        <w:rPr>
          <w:sz w:val="24"/>
          <w:szCs w:val="24"/>
        </w:rPr>
      </w:pPr>
      <w:r w:rsidDel="00000000" w:rsidR="00000000" w:rsidRPr="00000000">
        <w:rPr>
          <w:sz w:val="24"/>
          <w:szCs w:val="24"/>
          <w:rtl w:val="0"/>
        </w:rPr>
        <w:t xml:space="preserve">A promulgação da Lei nº 14.133/2021 insere-se em um movimento de reformulação do papel do Estado no âmbito das contratações públicas, com impactos diretos sobre a concepção, o planejamento e a execução das políticas públicas, em especial no plano municipal. Mais do que uma atualização procedimental, a norma propõe uma reconfiguração dos fundamentos jurídicos e institucionais que estruturam os contratos administrativos, incorporando diretrizes de governança, integridade, eficiência e planejamento (Justen Filho, 2021; Sundfeld, 2021).</w:t>
      </w:r>
    </w:p>
    <w:p w:rsidR="00000000" w:rsidDel="00000000" w:rsidP="00000000" w:rsidRDefault="00000000" w:rsidRPr="00000000" w14:paraId="00000017">
      <w:pPr>
        <w:spacing w:line="360" w:lineRule="auto"/>
        <w:ind w:firstLine="709"/>
        <w:jc w:val="both"/>
        <w:rPr>
          <w:sz w:val="24"/>
          <w:szCs w:val="24"/>
        </w:rPr>
      </w:pPr>
      <w:r w:rsidDel="00000000" w:rsidR="00000000" w:rsidRPr="00000000">
        <w:rPr>
          <w:sz w:val="24"/>
          <w:szCs w:val="24"/>
          <w:rtl w:val="0"/>
        </w:rPr>
        <w:t xml:space="preserve">Constitucionalmente, a Lei se ancora no art. 37 da Constituição Federal, que estabelece os princípios que regem a Administração Pública, entre eles a eficiência, introduzida pela Emenda Constitucional nº 19/1998. Essa diretriz desloca o foco da legalidade estrita para uma racionalidade orientada à obtenção de resultados, exigindo da Administração a adoção de práticas que promovam economicidade, qualidade e efetividade na prestação dos serviços (Motta, 2018; Di Pietro, 2022). Contudo, como destaca Ferraz (2021), a concretização desse princípio pressupõe aparato técnico-institucional capaz de compatibilizar desempenho com juridicidade e controle. </w:t>
      </w:r>
    </w:p>
    <w:p w:rsidR="00000000" w:rsidDel="00000000" w:rsidP="00000000" w:rsidRDefault="00000000" w:rsidRPr="00000000" w14:paraId="00000018">
      <w:pPr>
        <w:spacing w:line="360" w:lineRule="auto"/>
        <w:ind w:firstLine="709"/>
        <w:jc w:val="both"/>
        <w:rPr>
          <w:sz w:val="24"/>
          <w:szCs w:val="24"/>
        </w:rPr>
      </w:pPr>
      <w:r w:rsidDel="00000000" w:rsidR="00000000" w:rsidRPr="00000000">
        <w:rPr>
          <w:sz w:val="24"/>
          <w:szCs w:val="24"/>
          <w:rtl w:val="0"/>
        </w:rPr>
        <w:t xml:space="preserve">A nova legislação reposiciona o planejamento como etapa estruturante do processo licitatório. A exigência de estudos técnicos preliminares, análise de riscos e matriz de responsabilização (arts. 18 a 24) demonstra que o contrato administrativo deve refletir a vinculação da contratação aos objetivos estratégicos da gestão pública (Oliveira, 2023). Isso pressupõe que as contratações dialoguem com o planejamento orçamentário, os instrumentos legais de governança fiscal e os indicadores de desempenho programático (Ferraz, 2021).</w:t>
      </w:r>
    </w:p>
    <w:p w:rsidR="00000000" w:rsidDel="00000000" w:rsidP="00000000" w:rsidRDefault="00000000" w:rsidRPr="00000000" w14:paraId="00000019">
      <w:pPr>
        <w:spacing w:line="360" w:lineRule="auto"/>
        <w:ind w:firstLine="709"/>
        <w:jc w:val="both"/>
        <w:rPr>
          <w:sz w:val="24"/>
          <w:szCs w:val="24"/>
        </w:rPr>
      </w:pPr>
      <w:r w:rsidDel="00000000" w:rsidR="00000000" w:rsidRPr="00000000">
        <w:rPr>
          <w:sz w:val="24"/>
          <w:szCs w:val="24"/>
          <w:rtl w:val="0"/>
        </w:rPr>
        <w:t xml:space="preserve">Contudo, como observa Niebuhr (2022), a operacionalização desse modelo encontra barreiras nos municípios, que lidam com carência de pessoal qualificado, rotatividade de servidores e ausência de núcleos de planejamento institucionalizado. Essa limitação conduz à formalização de procedimentos sem aderência ao conteúdo técnico exigido, esvaziando o sentido prático dos instrumentos previstos na lei.</w:t>
      </w:r>
    </w:p>
    <w:p w:rsidR="00000000" w:rsidDel="00000000" w:rsidP="00000000" w:rsidRDefault="00000000" w:rsidRPr="00000000" w14:paraId="0000001A">
      <w:pPr>
        <w:spacing w:line="360" w:lineRule="auto"/>
        <w:ind w:firstLine="709"/>
        <w:jc w:val="both"/>
        <w:rPr>
          <w:sz w:val="24"/>
          <w:szCs w:val="24"/>
        </w:rPr>
      </w:pPr>
      <w:r w:rsidDel="00000000" w:rsidR="00000000" w:rsidRPr="00000000">
        <w:rPr>
          <w:sz w:val="24"/>
          <w:szCs w:val="24"/>
          <w:rtl w:val="0"/>
        </w:rPr>
        <w:t xml:space="preserve">A eficiência, nesse cenário, não pode ser compreendida como sinônimo de celeridade. Conforme Motta (2018), trata-se de um desempenho juridicamente qualificado, que deve ser compatibilizado com a legalidade, a moralidade administrativa e os princípios do devido processo decisório. A redução de etapas ou a adoção de soluções simplificadas, quando desprovidas de motivação e suporte técnico, pode comprometer a integridade do processo licitatório.</w:t>
      </w:r>
    </w:p>
    <w:p w:rsidR="00000000" w:rsidDel="00000000" w:rsidP="00000000" w:rsidRDefault="00000000" w:rsidRPr="00000000" w14:paraId="0000001B">
      <w:pPr>
        <w:spacing w:line="360" w:lineRule="auto"/>
        <w:ind w:firstLine="709"/>
        <w:jc w:val="both"/>
        <w:rPr>
          <w:sz w:val="24"/>
          <w:szCs w:val="24"/>
        </w:rPr>
      </w:pPr>
      <w:r w:rsidDel="00000000" w:rsidR="00000000" w:rsidRPr="00000000">
        <w:rPr>
          <w:sz w:val="24"/>
          <w:szCs w:val="24"/>
          <w:rtl w:val="0"/>
        </w:rPr>
        <w:t xml:space="preserve">Além disso, a Lei nº 14.133/2021 reflete uma racionalidade de matriz gerencial, inspirada em reformas administrativas ocorridas em países centrais na década de 1990 (Bresser-Pereira, 2001). Essa racionalidade, embora promova a adoção de práticas como gestão por resultados e controle de desempenho, nem sempre é compatível com as condições materiais e institucionais dos entes federativos brasileiros. </w:t>
      </w:r>
    </w:p>
    <w:p w:rsidR="00000000" w:rsidDel="00000000" w:rsidP="00000000" w:rsidRDefault="00000000" w:rsidRPr="00000000" w14:paraId="0000001C">
      <w:pPr>
        <w:spacing w:line="360" w:lineRule="auto"/>
        <w:ind w:firstLine="709"/>
        <w:jc w:val="both"/>
        <w:rPr>
          <w:sz w:val="24"/>
          <w:szCs w:val="24"/>
        </w:rPr>
      </w:pPr>
      <w:r w:rsidDel="00000000" w:rsidR="00000000" w:rsidRPr="00000000">
        <w:rPr>
          <w:sz w:val="24"/>
          <w:szCs w:val="24"/>
          <w:rtl w:val="0"/>
        </w:rPr>
        <w:t xml:space="preserve">Dados do Instituto Rui Barbosa (2022) apontam que a maioria dos municípios carece de infraestrutura tecnológica e de recursos humanos minimamente adequados à execução das exigências legais. De acordo com Oliveira (2023, p. 08):</w:t>
      </w:r>
    </w:p>
    <w:p w:rsidR="00000000" w:rsidDel="00000000" w:rsidP="00000000" w:rsidRDefault="00000000" w:rsidRPr="00000000" w14:paraId="0000001D">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1E">
      <w:pPr>
        <w:spacing w:line="240" w:lineRule="auto"/>
        <w:ind w:left="2267.71653543307" w:firstLine="0"/>
        <w:jc w:val="both"/>
        <w:rPr>
          <w:sz w:val="20"/>
          <w:szCs w:val="20"/>
        </w:rPr>
      </w:pPr>
      <w:r w:rsidDel="00000000" w:rsidR="00000000" w:rsidRPr="00000000">
        <w:rPr>
          <w:sz w:val="20"/>
          <w:szCs w:val="20"/>
          <w:rtl w:val="0"/>
        </w:rPr>
        <w:t xml:space="preserve">[...] sabe-se que os governos locais são indispensáveis para manter a proximidade entre o cidadão e as instituições do Estado. E, tem-se como papel significativo a atuação dos gestores internos das organizações, os quais possuem recursos, habilidades e autonomia para conduzir o processo de modernização dos municípios</w:t>
      </w:r>
    </w:p>
    <w:p w:rsidR="00000000" w:rsidDel="00000000" w:rsidP="00000000" w:rsidRDefault="00000000" w:rsidRPr="00000000" w14:paraId="0000001F">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20">
      <w:pPr>
        <w:spacing w:line="360" w:lineRule="auto"/>
        <w:ind w:firstLine="709"/>
        <w:jc w:val="both"/>
        <w:rPr>
          <w:sz w:val="24"/>
          <w:szCs w:val="24"/>
        </w:rPr>
      </w:pPr>
      <w:r w:rsidDel="00000000" w:rsidR="00000000" w:rsidRPr="00000000">
        <w:rPr>
          <w:sz w:val="24"/>
          <w:szCs w:val="24"/>
          <w:rtl w:val="0"/>
        </w:rPr>
        <w:t xml:space="preserve">O modelo proposto pela nova legislação, ao elevar o grau de exigência técnica, tende a favorecer os entes com maior capacidade instalada e penalizar os menos estruturados, mesmo quando estes atuam com boa-fé (TCU, 2022). Tal assimetria reforça a necessidade de que o princípio da eficiência seja interpretado em consonância com a realidade federativa, sob pena de se converter em critério de exclusão institucional.</w:t>
      </w:r>
    </w:p>
    <w:p w:rsidR="00000000" w:rsidDel="00000000" w:rsidP="00000000" w:rsidRDefault="00000000" w:rsidRPr="00000000" w14:paraId="00000021">
      <w:pPr>
        <w:spacing w:line="360" w:lineRule="auto"/>
        <w:ind w:firstLine="709"/>
        <w:jc w:val="both"/>
        <w:rPr>
          <w:sz w:val="24"/>
          <w:szCs w:val="24"/>
        </w:rPr>
      </w:pPr>
      <w:r w:rsidDel="00000000" w:rsidR="00000000" w:rsidRPr="00000000">
        <w:rPr>
          <w:sz w:val="24"/>
          <w:szCs w:val="24"/>
          <w:rtl w:val="0"/>
        </w:rPr>
        <w:t xml:space="preserve">Conclui-se que a efetividade da Lei nº 14.133/2021 dependerá não apenas da coerência de seu desenho normativo, mas do fortalecimento das capacidades institucionais locais. A norma representa avanço relevante, mas sua concretização exige leitura crítica, contextualizada e comprometida com a equidade na gestão pública.</w:t>
      </w:r>
    </w:p>
    <w:p w:rsidR="00000000" w:rsidDel="00000000" w:rsidP="00000000" w:rsidRDefault="00000000" w:rsidRPr="00000000" w14:paraId="00000022">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3">
      <w:pPr>
        <w:spacing w:line="360" w:lineRule="auto"/>
        <w:jc w:val="both"/>
        <w:rPr>
          <w:sz w:val="24"/>
          <w:szCs w:val="24"/>
        </w:rPr>
      </w:pPr>
      <w:r w:rsidDel="00000000" w:rsidR="00000000" w:rsidRPr="00000000">
        <w:rPr>
          <w:b w:val="1"/>
          <w:sz w:val="24"/>
          <w:szCs w:val="24"/>
          <w:rtl w:val="0"/>
        </w:rPr>
        <w:t xml:space="preserve">3</w:t>
        <w:tab/>
        <w:t xml:space="preserve">DESAFIOS PARA A IMPLEMENTAÇÃO MUNICIPAL DA LEI Nº 14.133/2021: EFICIÊNCIA, LEGALIDADE E LIMITAÇÕES ESTRUTURAIS</w:t>
      </w:r>
      <w:r w:rsidDel="00000000" w:rsidR="00000000" w:rsidRPr="00000000">
        <w:rPr>
          <w:rtl w:val="0"/>
        </w:rPr>
      </w:r>
    </w:p>
    <w:p w:rsidR="00000000" w:rsidDel="00000000" w:rsidP="00000000" w:rsidRDefault="00000000" w:rsidRPr="00000000" w14:paraId="00000024">
      <w:pPr>
        <w:spacing w:line="360" w:lineRule="auto"/>
        <w:jc w:val="both"/>
        <w:rPr>
          <w:sz w:val="24"/>
          <w:szCs w:val="24"/>
        </w:rPr>
      </w:pPr>
      <w:r w:rsidDel="00000000" w:rsidR="00000000" w:rsidRPr="00000000">
        <w:rPr>
          <w:rtl w:val="0"/>
        </w:rPr>
      </w:r>
    </w:p>
    <w:p w:rsidR="00000000" w:rsidDel="00000000" w:rsidP="00000000" w:rsidRDefault="00000000" w:rsidRPr="00000000" w14:paraId="00000025">
      <w:pPr>
        <w:spacing w:line="360" w:lineRule="auto"/>
        <w:ind w:firstLine="709"/>
        <w:jc w:val="both"/>
        <w:rPr>
          <w:sz w:val="24"/>
          <w:szCs w:val="24"/>
        </w:rPr>
      </w:pPr>
      <w:r w:rsidDel="00000000" w:rsidR="00000000" w:rsidRPr="00000000">
        <w:rPr>
          <w:sz w:val="24"/>
          <w:szCs w:val="24"/>
          <w:rtl w:val="0"/>
        </w:rPr>
        <w:t xml:space="preserve">A implementação da Lei nº 14.133/2021 no plano municipal revela um conjunto de desafios operacionais e institucionais que dificultam a efetividade do novo regime licitatório, especialmente em entes federativos com estruturas administrativas frágeis. Embora a legislação pretenda uniformizar e modernizar os procedimentos licitatórios, sua execução depende de capacidades técnicas e institucionais frequentemente ausentes em administrações locais (Instituto Rui Barbosa, 2022).</w:t>
      </w:r>
    </w:p>
    <w:p w:rsidR="00000000" w:rsidDel="00000000" w:rsidP="00000000" w:rsidRDefault="00000000" w:rsidRPr="00000000" w14:paraId="00000026">
      <w:pPr>
        <w:spacing w:line="360" w:lineRule="auto"/>
        <w:ind w:firstLine="709"/>
        <w:jc w:val="both"/>
        <w:rPr>
          <w:sz w:val="24"/>
          <w:szCs w:val="24"/>
        </w:rPr>
      </w:pPr>
      <w:r w:rsidDel="00000000" w:rsidR="00000000" w:rsidRPr="00000000">
        <w:rPr>
          <w:sz w:val="24"/>
          <w:szCs w:val="24"/>
          <w:rtl w:val="0"/>
        </w:rPr>
        <w:t xml:space="preserve">A carência de equipes qualificadas compromete diretamente a elaboração de instrumentos exigidos pelo novo modelo, como estudos técnicos preliminares, análise de riscos e termos de referência fundamentados (Niebuhr, 2022; Oliveira, 2023). Em muitos casos, tais etapas são cumpridas formalmente, mas sem a densidade técnica necessária, o que esvazia o planejamento contratual e compromete a efetividade das contratações públicas.</w:t>
      </w:r>
    </w:p>
    <w:p w:rsidR="00000000" w:rsidDel="00000000" w:rsidP="00000000" w:rsidRDefault="00000000" w:rsidRPr="00000000" w14:paraId="00000027">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8">
      <w:pPr>
        <w:spacing w:line="360" w:lineRule="auto"/>
        <w:ind w:firstLine="709"/>
        <w:jc w:val="both"/>
        <w:rPr>
          <w:sz w:val="24"/>
          <w:szCs w:val="24"/>
        </w:rPr>
      </w:pPr>
      <w:r w:rsidDel="00000000" w:rsidR="00000000" w:rsidRPr="00000000">
        <w:rPr>
          <w:sz w:val="24"/>
          <w:szCs w:val="24"/>
          <w:rtl w:val="0"/>
        </w:rPr>
        <w:t xml:space="preserve">A informatização dos processos, exigida para assegurar transparência e controle, também representa um entrave para os municípios. De acordo com levantamento da Atricon (2022), boa parte dos entes locais ainda carece de infraestrutura digital básica, o que inviabiliza a adoção plena dos sistemas eletrônicos previstos na legislação. Esse déficit tecnológico amplia as desigualdades federativas, ao tornar mais difícil o cumprimento dos padrões exigidos.</w:t>
      </w:r>
    </w:p>
    <w:p w:rsidR="00000000" w:rsidDel="00000000" w:rsidP="00000000" w:rsidRDefault="00000000" w:rsidRPr="00000000" w14:paraId="00000029">
      <w:pPr>
        <w:spacing w:line="360" w:lineRule="auto"/>
        <w:ind w:firstLine="709"/>
        <w:jc w:val="both"/>
        <w:rPr>
          <w:sz w:val="24"/>
          <w:szCs w:val="24"/>
        </w:rPr>
      </w:pPr>
      <w:r w:rsidDel="00000000" w:rsidR="00000000" w:rsidRPr="00000000">
        <w:rPr>
          <w:sz w:val="24"/>
          <w:szCs w:val="24"/>
          <w:rtl w:val="0"/>
        </w:rPr>
        <w:t xml:space="preserve">Adicionalmente, o aumento da discricionariedade técnica conferida aos gestores vem sendo acompanhado por um crescimento do receio de responsabilização pessoal. A insegurança jurídica, potencializada por atuações rigoristas de órgãos de controle, tem incentivado a administração defensiva, em que decisões legítimas deixam de ser tomadas por temor a sanções, mesmo quando não há dolo ou má-fé (Motta, 2018; Sundfeld, 2021; TCU, 2022).</w:t>
      </w:r>
    </w:p>
    <w:p w:rsidR="00000000" w:rsidDel="00000000" w:rsidP="00000000" w:rsidRDefault="00000000" w:rsidRPr="00000000" w14:paraId="0000002A">
      <w:pPr>
        <w:spacing w:line="360" w:lineRule="auto"/>
        <w:ind w:firstLine="709"/>
        <w:jc w:val="both"/>
        <w:rPr>
          <w:sz w:val="24"/>
          <w:szCs w:val="24"/>
        </w:rPr>
      </w:pPr>
      <w:r w:rsidDel="00000000" w:rsidR="00000000" w:rsidRPr="00000000">
        <w:rPr>
          <w:sz w:val="24"/>
          <w:szCs w:val="24"/>
          <w:rtl w:val="0"/>
        </w:rPr>
        <w:t xml:space="preserve">Ferraz (2021) destaca que a Lei nº 14.133/2021 parte de um modelo normativo idealizado, que desconsidera as disparidades institucionais entre os municípios. A falta de núcleos de planejamento, comissões permanentes estruturadas e cultura de avaliação dificulta a internalização dos princípios e práticas estabelecidos pela nova norma. Isso resulta na adoção de práticas superficiais, muitas vezes incompatíveis com os objetivos de eficiência e controle previstos na legislação.</w:t>
      </w:r>
    </w:p>
    <w:p w:rsidR="00000000" w:rsidDel="00000000" w:rsidP="00000000" w:rsidRDefault="00000000" w:rsidRPr="00000000" w14:paraId="0000002B">
      <w:pPr>
        <w:spacing w:line="360" w:lineRule="auto"/>
        <w:ind w:firstLine="709"/>
        <w:jc w:val="both"/>
        <w:rPr>
          <w:sz w:val="24"/>
          <w:szCs w:val="24"/>
        </w:rPr>
      </w:pPr>
      <w:r w:rsidDel="00000000" w:rsidR="00000000" w:rsidRPr="00000000">
        <w:rPr>
          <w:sz w:val="24"/>
          <w:szCs w:val="24"/>
          <w:rtl w:val="0"/>
        </w:rPr>
        <w:t xml:space="preserve">A aplicação uniforme de regras complexas, sem considerar as especificidades dos entes federativos, pode gerar um quadro de simulação de legalidade nos municípios com menor capacidade instalada e, ao mesmo tempo, de sobreposição de controles nos mais estruturados. Essa assimetria normativa reforça a desigualdade no acesso a uma gestão pública qualificada (Bresser-Pereira, 2001; Sundfeld, 2021).</w:t>
      </w:r>
    </w:p>
    <w:p w:rsidR="00000000" w:rsidDel="00000000" w:rsidP="00000000" w:rsidRDefault="00000000" w:rsidRPr="00000000" w14:paraId="0000002C">
      <w:pPr>
        <w:spacing w:line="360" w:lineRule="auto"/>
        <w:ind w:firstLine="709"/>
        <w:jc w:val="both"/>
        <w:rPr>
          <w:sz w:val="24"/>
          <w:szCs w:val="24"/>
        </w:rPr>
      </w:pPr>
      <w:r w:rsidDel="00000000" w:rsidR="00000000" w:rsidRPr="00000000">
        <w:rPr>
          <w:sz w:val="24"/>
          <w:szCs w:val="24"/>
          <w:rtl w:val="0"/>
        </w:rPr>
        <w:t xml:space="preserve">Superar tais entraves requer medidas articuladas de apoio intergovernamental, com foco na qualificação técnica, no fortalecimento das estruturas de governança e na flexibilização calibrada da norma, respeitando as realidades locais. A universalização da eficiência, sem enfrentamento das assimetrias federativas, corre o risco de reproduzir desigualdades em vez de superá-las.</w:t>
      </w:r>
    </w:p>
    <w:p w:rsidR="00000000" w:rsidDel="00000000" w:rsidP="00000000" w:rsidRDefault="00000000" w:rsidRPr="00000000" w14:paraId="0000002D">
      <w:pPr>
        <w:spacing w:line="360" w:lineRule="auto"/>
        <w:jc w:val="both"/>
        <w:rPr>
          <w:sz w:val="24"/>
          <w:szCs w:val="24"/>
        </w:rPr>
      </w:pPr>
      <w:r w:rsidDel="00000000" w:rsidR="00000000" w:rsidRPr="00000000">
        <w:rPr>
          <w:rtl w:val="0"/>
        </w:rPr>
      </w:r>
    </w:p>
    <w:p w:rsidR="00000000" w:rsidDel="00000000" w:rsidP="00000000" w:rsidRDefault="00000000" w:rsidRPr="00000000" w14:paraId="0000002E">
      <w:pPr>
        <w:spacing w:line="360" w:lineRule="auto"/>
        <w:jc w:val="both"/>
        <w:rPr>
          <w:sz w:val="24"/>
          <w:szCs w:val="24"/>
        </w:rPr>
      </w:pPr>
      <w:r w:rsidDel="00000000" w:rsidR="00000000" w:rsidRPr="00000000">
        <w:rPr>
          <w:b w:val="1"/>
          <w:sz w:val="24"/>
          <w:szCs w:val="24"/>
          <w:rtl w:val="0"/>
        </w:rPr>
        <w:t xml:space="preserve">4</w:t>
        <w:tab/>
        <w:t xml:space="preserve">DISCRICIONARIEDADE ADMINISTRATIVA, CONTROLE DE LEGALIDADE E RISCOS DE FLEXIBILIZAÇÃO NO NOVO REGIME LICITATÓRIO</w:t>
      </w:r>
      <w:r w:rsidDel="00000000" w:rsidR="00000000" w:rsidRPr="00000000">
        <w:rPr>
          <w:rtl w:val="0"/>
        </w:rPr>
      </w:r>
    </w:p>
    <w:p w:rsidR="00000000" w:rsidDel="00000000" w:rsidP="00000000" w:rsidRDefault="00000000" w:rsidRPr="00000000" w14:paraId="0000002F">
      <w:pPr>
        <w:spacing w:line="360" w:lineRule="auto"/>
        <w:jc w:val="both"/>
        <w:rPr>
          <w:sz w:val="24"/>
          <w:szCs w:val="24"/>
        </w:rPr>
      </w:pPr>
      <w:r w:rsidDel="00000000" w:rsidR="00000000" w:rsidRPr="00000000">
        <w:rPr>
          <w:rtl w:val="0"/>
        </w:rPr>
      </w:r>
    </w:p>
    <w:p w:rsidR="00000000" w:rsidDel="00000000" w:rsidP="00000000" w:rsidRDefault="00000000" w:rsidRPr="00000000" w14:paraId="00000030">
      <w:pPr>
        <w:spacing w:line="360" w:lineRule="auto"/>
        <w:ind w:firstLine="709"/>
        <w:jc w:val="both"/>
        <w:rPr>
          <w:sz w:val="24"/>
          <w:szCs w:val="24"/>
        </w:rPr>
      </w:pPr>
      <w:r w:rsidDel="00000000" w:rsidR="00000000" w:rsidRPr="00000000">
        <w:rPr>
          <w:sz w:val="24"/>
          <w:szCs w:val="24"/>
          <w:rtl w:val="0"/>
        </w:rPr>
        <w:t xml:space="preserve">A Lei nº 14.133/2021 ampliou os espaços de atuação discricionária dos gestores públicos ao permitir maior flexibilidade na estruturação dos procedimentos licitatórios e na modelagem dos contratos administrativos. Tal mudança, embora fundamentada na busca por eficiência e racionalização dos processos, levanta questões relevantes quanto aos limites jurídicos dessa atuação e à compatibilidade entre a discricionariedade técnica e os mecanismos de controle institucional. A tensão entre liberdade decisória e dever de legalidade, especialmente em entes federativos estruturalmente frágeis, exige uma análise crítica dos instrumentos de responsabilização e da atuação dos órgãos de controle na nova ordem normativa (Sundfeld, 2021; Oliveira, 2023).</w:t>
      </w:r>
    </w:p>
    <w:p w:rsidR="00000000" w:rsidDel="00000000" w:rsidP="00000000" w:rsidRDefault="00000000" w:rsidRPr="00000000" w14:paraId="00000031">
      <w:pPr>
        <w:spacing w:line="360" w:lineRule="auto"/>
        <w:ind w:firstLine="709"/>
        <w:jc w:val="both"/>
        <w:rPr>
          <w:sz w:val="24"/>
          <w:szCs w:val="24"/>
        </w:rPr>
      </w:pPr>
      <w:r w:rsidDel="00000000" w:rsidR="00000000" w:rsidRPr="00000000">
        <w:rPr>
          <w:sz w:val="24"/>
          <w:szCs w:val="24"/>
          <w:rtl w:val="0"/>
        </w:rPr>
        <w:t xml:space="preserve">A discricionariedade administrativa, longe de configurar um espaço de arbítrio, é juridicamente delimitada pelos princípios constitucionais que regem a Administração Pública, em especial a legalidade, a moralidade, a motivação e a finalidade. Como assinala Di Pietro (2022), o ato discricionário, ainda que permita escolha entre alternativas juridicamente válidas, está sujeito a controle de legalidade, proporcionalidade e razoabilidade, não sendo imune à fiscalização judicial e administrativa. A nova legislação reforça essa compreensão ao prever, por exemplo, no art. 11, que todas as decisões devem ser motivadas e fundamentadas tecnicamente, sobretudo na fase de planejamento da contratação.</w:t>
      </w:r>
    </w:p>
    <w:p w:rsidR="00000000" w:rsidDel="00000000" w:rsidP="00000000" w:rsidRDefault="00000000" w:rsidRPr="00000000" w14:paraId="00000032">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3">
      <w:pPr>
        <w:spacing w:line="360" w:lineRule="auto"/>
        <w:ind w:firstLine="709"/>
        <w:jc w:val="both"/>
        <w:rPr>
          <w:sz w:val="24"/>
          <w:szCs w:val="24"/>
        </w:rPr>
      </w:pPr>
      <w:r w:rsidDel="00000000" w:rsidR="00000000" w:rsidRPr="00000000">
        <w:rPr>
          <w:sz w:val="24"/>
          <w:szCs w:val="24"/>
          <w:rtl w:val="0"/>
        </w:rPr>
        <w:t xml:space="preserve">Ocorre que, na prática administrativa, o alargamento dos espaços discricionários pode gerar interpretações divergentes sobre o alcance da atuação do gestor público, sobretudo em contextos em que as normas são de alta densidade técnica, mas de difícil concretização. A adoção de critérios de julgamento por técnica e preço, o uso do diálogo competitivo, a contratação integrada ou semi-integrada e a definição de matriz de riscos são exemplos de institutos cuja aplicação exige não apenas expertise, mas também juízo de conveniência técnica, o que aumenta o grau de complexidade e de subjetividade da tomada de decisão (Ferraz, 2021; Justen Filho, 2021).</w:t>
      </w:r>
    </w:p>
    <w:p w:rsidR="00000000" w:rsidDel="00000000" w:rsidP="00000000" w:rsidRDefault="00000000" w:rsidRPr="00000000" w14:paraId="00000034">
      <w:pPr>
        <w:spacing w:line="360" w:lineRule="auto"/>
        <w:ind w:firstLine="709"/>
        <w:jc w:val="both"/>
        <w:rPr>
          <w:sz w:val="24"/>
          <w:szCs w:val="24"/>
        </w:rPr>
      </w:pPr>
      <w:r w:rsidDel="00000000" w:rsidR="00000000" w:rsidRPr="00000000">
        <w:rPr>
          <w:sz w:val="24"/>
          <w:szCs w:val="24"/>
          <w:rtl w:val="0"/>
        </w:rPr>
        <w:t xml:space="preserve">Essa complexidade tem provocado insegurança entre os agentes públicos municipais, especialmente diante do histórico de responsabilizações rigoristas por parte dos Tribunais de Contas e do Ministério Público, muitas vezes baseadas em falhas formais ou na simples discordância interpretativa quanto ao uso da discricionariedade (Motta, 2018; TCU, 2022). O resultado é o fenômeno recorrente da chamada administração defensiva, na qual gestores evitam decisões inovadoras, optando por soluções conservadoras, mesmo que menos eficientes, para reduzir riscos pessoais. Tal postura compromete a efetividade da nova legislação e esvazia o espaço legítimo de autonomia técnica conferido ao gestor público. </w:t>
      </w:r>
    </w:p>
    <w:p w:rsidR="00000000" w:rsidDel="00000000" w:rsidP="00000000" w:rsidRDefault="00000000" w:rsidRPr="00000000" w14:paraId="00000035">
      <w:pPr>
        <w:spacing w:line="360" w:lineRule="auto"/>
        <w:ind w:firstLine="709"/>
        <w:jc w:val="both"/>
        <w:rPr>
          <w:sz w:val="24"/>
          <w:szCs w:val="24"/>
        </w:rPr>
      </w:pPr>
      <w:r w:rsidDel="00000000" w:rsidR="00000000" w:rsidRPr="00000000">
        <w:rPr>
          <w:sz w:val="24"/>
          <w:szCs w:val="24"/>
          <w:rtl w:val="0"/>
        </w:rPr>
        <w:t xml:space="preserve">Como explana Nobre Júnior (2016, p. 215)</w:t>
      </w:r>
    </w:p>
    <w:p w:rsidR="00000000" w:rsidDel="00000000" w:rsidP="00000000" w:rsidRDefault="00000000" w:rsidRPr="00000000" w14:paraId="00000036">
      <w:pPr>
        <w:spacing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037">
      <w:pPr>
        <w:spacing w:line="240" w:lineRule="auto"/>
        <w:ind w:left="2267.71653543307" w:firstLine="0"/>
        <w:jc w:val="both"/>
        <w:rPr>
          <w:sz w:val="20"/>
          <w:szCs w:val="20"/>
        </w:rPr>
      </w:pPr>
      <w:r w:rsidDel="00000000" w:rsidR="00000000" w:rsidRPr="00000000">
        <w:rPr>
          <w:sz w:val="20"/>
          <w:szCs w:val="20"/>
          <w:rtl w:val="0"/>
        </w:rPr>
        <w:t xml:space="preserve">[...] a concepção hodierna de legalidade superou a noção da lei formal, ampliando o rol das fontes do Direito Administrativo, englobando, destarte, não apenas a lei aprovada pelo Parlamento, mas todo o Direito, ou seja, o sistema jurídico em sua integralidade.</w:t>
      </w:r>
    </w:p>
    <w:p w:rsidR="00000000" w:rsidDel="00000000" w:rsidP="00000000" w:rsidRDefault="00000000" w:rsidRPr="00000000" w14:paraId="00000038">
      <w:pPr>
        <w:spacing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sz w:val="24"/>
          <w:szCs w:val="24"/>
          <w:rtl w:val="0"/>
        </w:rPr>
        <w:t xml:space="preserve">Nesse contexto, torna-se essencial repensar os critérios de controle da atuação administrativa. A doutrina especializada tem defendido a adoção de modelos de responsabilização baseados na distinção entre erro técnico e dolo ou má-fé, de forma a preservar o espaço de julgamento administrativo e estimular a qualificação da decisão pública (Bandeira de Mello, 2020; Sundfeld, 2021). O Tribunal de Contas da União, em julgados recentes, tem reconhecido a necessidade de calibragem do controle externo, orientando-se pelo princípio da deferência administrativa e pela razoabilidade na aferição da conduta dos gestores, sobretudo quando as decisões estiverem adequadamente fundamentadas (TCU, 2022).</w:t>
      </w:r>
    </w:p>
    <w:p w:rsidR="00000000" w:rsidDel="00000000" w:rsidP="00000000" w:rsidRDefault="00000000" w:rsidRPr="00000000" w14:paraId="0000003A">
      <w:pPr>
        <w:spacing w:line="360" w:lineRule="auto"/>
        <w:ind w:firstLine="709"/>
        <w:jc w:val="both"/>
        <w:rPr>
          <w:sz w:val="24"/>
          <w:szCs w:val="24"/>
        </w:rPr>
      </w:pPr>
      <w:r w:rsidDel="00000000" w:rsidR="00000000" w:rsidRPr="00000000">
        <w:rPr>
          <w:sz w:val="24"/>
          <w:szCs w:val="24"/>
          <w:rtl w:val="0"/>
        </w:rPr>
        <w:t xml:space="preserve">Por outro lado, a flexibilização excessiva de procedimentos sob o manto da eficiência pode abrir margem para práticas arbitrárias ou mesmo para a desestruturação dos controles internos. A redução de exigências formais, a dispensa de licitação em novos moldes (art. 75) e a ampliação das hipóteses de inexigibilidade exigem sistemas robustos de governança, auditoria e controle social — o que não é uma realidade consolidada em boa parte dos municípios. Como alerta Niebuhr (2022), a simplificação procedimental, quando descolada de um aparato institucional de integridade, tende a produzir vulnerabilidades jurídicas e administrativas que comprometem a eficácia do regime contratual e expõem os gestores a riscos desproporcionais.</w:t>
      </w:r>
    </w:p>
    <w:p w:rsidR="00000000" w:rsidDel="00000000" w:rsidP="00000000" w:rsidRDefault="00000000" w:rsidRPr="00000000" w14:paraId="0000003B">
      <w:pPr>
        <w:spacing w:line="360" w:lineRule="auto"/>
        <w:ind w:firstLine="709"/>
        <w:jc w:val="both"/>
        <w:rPr>
          <w:sz w:val="24"/>
          <w:szCs w:val="24"/>
        </w:rPr>
      </w:pPr>
      <w:r w:rsidDel="00000000" w:rsidR="00000000" w:rsidRPr="00000000">
        <w:rPr>
          <w:sz w:val="24"/>
          <w:szCs w:val="24"/>
          <w:rtl w:val="0"/>
        </w:rPr>
        <w:t xml:space="preserve">Assim, a construção de um equilíbrio entre discricionariedade e controle passa, necessariamente, pela adoção de diretrizes claras para os órgãos de fiscalização, pelo fortalecimento dos controles internos e pela valorização da motivação técnica como critério central da legitimidade do ato administrativo. É nesse ponto que a nova Lei de Licitações se revela ambígua: embora reconheça a importância da eficiência e da autonomia técnica, não explicita com a devida precisão os mecanismos de proteção ao gestor que atua com diligência, boa-fé e racionalidade justificável. Essa omissão legislativa amplia a responsabilidade hermenêutica dos intérpretes e aplicadores da norma, em especial dos Tribunais de Contas e do Poder Judiciário.</w:t>
      </w:r>
    </w:p>
    <w:p w:rsidR="00000000" w:rsidDel="00000000" w:rsidP="00000000" w:rsidRDefault="00000000" w:rsidRPr="00000000" w14:paraId="0000003C">
      <w:pPr>
        <w:spacing w:line="360" w:lineRule="auto"/>
        <w:ind w:firstLine="709"/>
        <w:jc w:val="both"/>
        <w:rPr>
          <w:sz w:val="24"/>
          <w:szCs w:val="24"/>
        </w:rPr>
      </w:pPr>
      <w:r w:rsidDel="00000000" w:rsidR="00000000" w:rsidRPr="00000000">
        <w:rPr>
          <w:sz w:val="24"/>
          <w:szCs w:val="24"/>
          <w:rtl w:val="0"/>
        </w:rPr>
        <w:t xml:space="preserve">A maturidade institucional do novo regime licitatório dependerá, em grande medida, da capacidade dos órgãos de controle de atuarem com inteligência regulatória, evitando tanto o punitivismo descontextualizado quanto a permissividade acrítica. A legalidade, nesse sentido, deve ser interpretada como instrumento de conformação e qualificação da eficiência, e não como obstáculo a sua concretização. O desafio está em reconhecer que a discricionariedade legítima é parte constitutiva da boa administração pública, desde que exercida com transparência, técnica e responsabilidade institucional. </w:t>
      </w:r>
    </w:p>
    <w:p w:rsidR="00000000" w:rsidDel="00000000" w:rsidP="00000000" w:rsidRDefault="00000000" w:rsidRPr="00000000" w14:paraId="0000003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E">
      <w:pPr>
        <w:spacing w:line="360" w:lineRule="auto"/>
        <w:jc w:val="both"/>
        <w:rPr>
          <w:b w:val="0"/>
          <w:sz w:val="24"/>
          <w:szCs w:val="24"/>
          <w:vertAlign w:val="baseline"/>
        </w:rPr>
      </w:pPr>
      <w:r w:rsidDel="00000000" w:rsidR="00000000" w:rsidRPr="00000000">
        <w:rPr>
          <w:b w:val="1"/>
          <w:sz w:val="24"/>
          <w:szCs w:val="24"/>
          <w:rtl w:val="0"/>
        </w:rPr>
        <w:t xml:space="preserve">5</w:t>
      </w:r>
      <w:r w:rsidDel="00000000" w:rsidR="00000000" w:rsidRPr="00000000">
        <w:rPr>
          <w:b w:val="1"/>
          <w:sz w:val="24"/>
          <w:szCs w:val="24"/>
          <w:vertAlign w:val="baseline"/>
          <w:rtl w:val="0"/>
        </w:rPr>
        <w:tab/>
        <w:t xml:space="preserve">CONCLUSÃO</w:t>
      </w:r>
      <w:r w:rsidDel="00000000" w:rsidR="00000000" w:rsidRPr="00000000">
        <w:rPr>
          <w:rtl w:val="0"/>
        </w:rPr>
      </w:r>
    </w:p>
    <w:p w:rsidR="00000000" w:rsidDel="00000000" w:rsidP="00000000" w:rsidRDefault="00000000" w:rsidRPr="00000000" w14:paraId="0000003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40">
      <w:pPr>
        <w:spacing w:line="360" w:lineRule="auto"/>
        <w:ind w:firstLine="709"/>
        <w:jc w:val="both"/>
        <w:rPr>
          <w:sz w:val="24"/>
          <w:szCs w:val="24"/>
        </w:rPr>
      </w:pPr>
      <w:r w:rsidDel="00000000" w:rsidR="00000000" w:rsidRPr="00000000">
        <w:rPr>
          <w:sz w:val="24"/>
          <w:szCs w:val="24"/>
          <w:rtl w:val="0"/>
        </w:rPr>
        <w:t xml:space="preserve">A análise da Lei nº 14.133/2021, sob a perspectiva da gestão municipal e da efetivação das políticas públicas, revelou um arcabouço normativo ambicioso, orientado por princípios de eficiência, planejamento e governança. Entretanto, constatou-se que sua plena implementação nos municípios brasileiros é atravessada por limitações institucionais, técnicas e federativas que comprometem sua eficácia prática. O tensionamento entre a ampliação da discricionariedade administrativa e a rigidez dos mecanismos de controle evidencia um paradoxo normativo: pretende-se promover autonomia técnica, mas persiste-se em estruturas de responsabilização marcadas pelo formalismo e pela insegurança jurídica.</w:t>
      </w:r>
    </w:p>
    <w:p w:rsidR="00000000" w:rsidDel="00000000" w:rsidP="00000000" w:rsidRDefault="00000000" w:rsidRPr="00000000" w14:paraId="00000041">
      <w:pPr>
        <w:spacing w:line="360" w:lineRule="auto"/>
        <w:ind w:firstLine="709"/>
        <w:jc w:val="both"/>
        <w:rPr>
          <w:sz w:val="24"/>
          <w:szCs w:val="24"/>
        </w:rPr>
      </w:pPr>
      <w:r w:rsidDel="00000000" w:rsidR="00000000" w:rsidRPr="00000000">
        <w:rPr>
          <w:sz w:val="24"/>
          <w:szCs w:val="24"/>
          <w:rtl w:val="0"/>
        </w:rPr>
        <w:t xml:space="preserve">A fragilidade das capacidades institucionais locais, aliada à complexidade dos novos institutos licitatórios, impõe o desafio de adaptar a norma à realidade federativa brasileira, sob pena de reproduzir desigualdades no acesso aos instrumentos de contratação pública. Nesse cenário, é imprescindível que os órgãos de controle, o legislador e a doutrina avancem na construção de parâmetros interpretativos que equilibrem inovação e legalidade, discricionariedade e responsabilidade, com vistas à efetividade dos contratos administrativos como instrumentos de materialização das políticas públicas.</w:t>
      </w:r>
    </w:p>
    <w:p w:rsidR="00000000" w:rsidDel="00000000" w:rsidP="00000000" w:rsidRDefault="00000000" w:rsidRPr="00000000" w14:paraId="00000042">
      <w:pPr>
        <w:spacing w:line="360" w:lineRule="auto"/>
        <w:ind w:firstLine="709"/>
        <w:jc w:val="both"/>
        <w:rPr>
          <w:sz w:val="24"/>
          <w:szCs w:val="24"/>
          <w:vertAlign w:val="baseline"/>
        </w:rPr>
      </w:pPr>
      <w:r w:rsidDel="00000000" w:rsidR="00000000" w:rsidRPr="00000000">
        <w:rPr>
          <w:sz w:val="24"/>
          <w:szCs w:val="24"/>
          <w:rtl w:val="0"/>
        </w:rPr>
        <w:t xml:space="preserve">Sugere-se, como desdobramento teórico e empírico, o aprofundamento de estudos voltados à análise comparada da aplicação da Lei nº 14.133/2021 entre municípios com diferentes níveis de maturidade institucional, bem como a investigação crítica do papel dos Tribunais de Contas na conformação de uma cultura de governança pública local. A superação dos entraves identificados passa, necessariamente, pela articulação entre reforma normativa, qualificação institucional e compromisso federativo com a redução das assimetrias na gestão pública brasileira.</w:t>
      </w:r>
      <w:r w:rsidDel="00000000" w:rsidR="00000000" w:rsidRPr="00000000">
        <w:rPr>
          <w:sz w:val="24"/>
          <w:szCs w:val="24"/>
          <w:vertAlign w:val="baseline"/>
          <w:rtl w:val="0"/>
        </w:rPr>
        <w:t xml:space="preserve">.</w:t>
      </w:r>
    </w:p>
    <w:p w:rsidR="00000000" w:rsidDel="00000000" w:rsidP="00000000" w:rsidRDefault="00000000" w:rsidRPr="00000000" w14:paraId="00000043">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44">
      <w:pPr>
        <w:spacing w:line="360" w:lineRule="auto"/>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sz w:val="24"/>
          <w:szCs w:val="24"/>
          <w:vertAlign w:val="baseline"/>
          <w:rtl w:val="0"/>
        </w:rPr>
        <w:t xml:space="preserve">(exemplos de alguns tipos de referência)</w:t>
      </w:r>
    </w:p>
    <w:p w:rsidR="00000000" w:rsidDel="00000000" w:rsidP="00000000" w:rsidRDefault="00000000" w:rsidRPr="00000000" w14:paraId="00000045">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6">
      <w:pPr>
        <w:spacing w:line="240" w:lineRule="auto"/>
        <w:jc w:val="both"/>
        <w:rPr>
          <w:sz w:val="24"/>
          <w:szCs w:val="24"/>
        </w:rPr>
      </w:pPr>
      <w:r w:rsidDel="00000000" w:rsidR="00000000" w:rsidRPr="00000000">
        <w:rPr>
          <w:sz w:val="24"/>
          <w:szCs w:val="24"/>
          <w:rtl w:val="0"/>
        </w:rPr>
        <w:t xml:space="preserve">ATRICON. </w:t>
      </w:r>
      <w:r w:rsidDel="00000000" w:rsidR="00000000" w:rsidRPr="00000000">
        <w:rPr>
          <w:b w:val="1"/>
          <w:sz w:val="24"/>
          <w:szCs w:val="24"/>
          <w:rtl w:val="0"/>
        </w:rPr>
        <w:t xml:space="preserve">Panorama da governança pública em municípios brasileiros</w:t>
      </w:r>
      <w:r w:rsidDel="00000000" w:rsidR="00000000" w:rsidRPr="00000000">
        <w:rPr>
          <w:sz w:val="24"/>
          <w:szCs w:val="24"/>
          <w:rtl w:val="0"/>
        </w:rPr>
        <w:t xml:space="preserve">: diagnóstico 2022. Brasília: Atricon, 2022.</w:t>
      </w:r>
    </w:p>
    <w:p w:rsidR="00000000" w:rsidDel="00000000" w:rsidP="00000000" w:rsidRDefault="00000000" w:rsidRPr="00000000" w14:paraId="00000047">
      <w:pPr>
        <w:spacing w:line="240" w:lineRule="auto"/>
        <w:jc w:val="both"/>
        <w:rPr>
          <w:sz w:val="24"/>
          <w:szCs w:val="24"/>
        </w:rPr>
      </w:pPr>
      <w:r w:rsidDel="00000000" w:rsidR="00000000" w:rsidRPr="00000000">
        <w:rPr>
          <w:rtl w:val="0"/>
        </w:rPr>
      </w:r>
    </w:p>
    <w:p w:rsidR="00000000" w:rsidDel="00000000" w:rsidP="00000000" w:rsidRDefault="00000000" w:rsidRPr="00000000" w14:paraId="00000048">
      <w:pPr>
        <w:spacing w:line="240" w:lineRule="auto"/>
        <w:jc w:val="both"/>
        <w:rPr>
          <w:sz w:val="24"/>
          <w:szCs w:val="24"/>
        </w:rPr>
      </w:pPr>
      <w:r w:rsidDel="00000000" w:rsidR="00000000" w:rsidRPr="00000000">
        <w:rPr>
          <w:sz w:val="24"/>
          <w:szCs w:val="24"/>
          <w:rtl w:val="0"/>
        </w:rPr>
        <w:t xml:space="preserve">BANDEIRA DE MELLO, Celso Antônio. </w:t>
      </w:r>
      <w:r w:rsidDel="00000000" w:rsidR="00000000" w:rsidRPr="00000000">
        <w:rPr>
          <w:b w:val="1"/>
          <w:sz w:val="24"/>
          <w:szCs w:val="24"/>
          <w:rtl w:val="0"/>
        </w:rPr>
        <w:t xml:space="preserve">Curso de direito administrativo</w:t>
      </w:r>
      <w:r w:rsidDel="00000000" w:rsidR="00000000" w:rsidRPr="00000000">
        <w:rPr>
          <w:sz w:val="24"/>
          <w:szCs w:val="24"/>
          <w:rtl w:val="0"/>
        </w:rPr>
        <w:t xml:space="preserve">. 35. ed. São Paulo: Malheiros, 2020.</w:t>
      </w:r>
    </w:p>
    <w:p w:rsidR="00000000" w:rsidDel="00000000" w:rsidP="00000000" w:rsidRDefault="00000000" w:rsidRPr="00000000" w14:paraId="00000049">
      <w:pPr>
        <w:spacing w:line="240" w:lineRule="auto"/>
        <w:jc w:val="both"/>
        <w:rPr>
          <w:sz w:val="24"/>
          <w:szCs w:val="24"/>
        </w:rPr>
      </w:pPr>
      <w:r w:rsidDel="00000000" w:rsidR="00000000" w:rsidRPr="00000000">
        <w:rPr>
          <w:rtl w:val="0"/>
        </w:rPr>
      </w:r>
    </w:p>
    <w:p w:rsidR="00000000" w:rsidDel="00000000" w:rsidP="00000000" w:rsidRDefault="00000000" w:rsidRPr="00000000" w14:paraId="0000004A">
      <w:pPr>
        <w:spacing w:line="240" w:lineRule="auto"/>
        <w:jc w:val="both"/>
        <w:rPr>
          <w:sz w:val="24"/>
          <w:szCs w:val="24"/>
        </w:rPr>
      </w:pPr>
      <w:r w:rsidDel="00000000" w:rsidR="00000000" w:rsidRPr="00000000">
        <w:rPr>
          <w:sz w:val="24"/>
          <w:szCs w:val="24"/>
          <w:rtl w:val="0"/>
        </w:rPr>
        <w:t xml:space="preserve">BRESSER-PEREIRA, Luiz Carlos. </w:t>
      </w:r>
      <w:r w:rsidDel="00000000" w:rsidR="00000000" w:rsidRPr="00000000">
        <w:rPr>
          <w:b w:val="1"/>
          <w:sz w:val="24"/>
          <w:szCs w:val="24"/>
          <w:rtl w:val="0"/>
        </w:rPr>
        <w:t xml:space="preserve">A reforma do Estado dos anos 90</w:t>
      </w:r>
      <w:r w:rsidDel="00000000" w:rsidR="00000000" w:rsidRPr="00000000">
        <w:rPr>
          <w:sz w:val="24"/>
          <w:szCs w:val="24"/>
          <w:rtl w:val="0"/>
        </w:rPr>
        <w:t xml:space="preserve">: lógica e mecanismos de controle. Revista do Serviço Público, v. 49, n. 1, p. 5–22, 2001.</w:t>
      </w:r>
    </w:p>
    <w:p w:rsidR="00000000" w:rsidDel="00000000" w:rsidP="00000000" w:rsidRDefault="00000000" w:rsidRPr="00000000" w14:paraId="0000004B">
      <w:pPr>
        <w:spacing w:line="240" w:lineRule="auto"/>
        <w:jc w:val="both"/>
        <w:rPr>
          <w:sz w:val="24"/>
          <w:szCs w:val="24"/>
        </w:rPr>
      </w:pPr>
      <w:r w:rsidDel="00000000" w:rsidR="00000000" w:rsidRPr="00000000">
        <w:rPr>
          <w:rtl w:val="0"/>
        </w:rPr>
      </w:r>
    </w:p>
    <w:p w:rsidR="00000000" w:rsidDel="00000000" w:rsidP="00000000" w:rsidRDefault="00000000" w:rsidRPr="00000000" w14:paraId="0000004C">
      <w:pPr>
        <w:spacing w:line="240" w:lineRule="auto"/>
        <w:jc w:val="both"/>
        <w:rPr>
          <w:sz w:val="24"/>
          <w:szCs w:val="24"/>
        </w:rPr>
      </w:pPr>
      <w:r w:rsidDel="00000000" w:rsidR="00000000" w:rsidRPr="00000000">
        <w:rPr>
          <w:sz w:val="24"/>
          <w:szCs w:val="24"/>
          <w:rtl w:val="0"/>
        </w:rPr>
        <w:t xml:space="preserve">DI PIETRO, Maria Sylvia Zanella. </w:t>
      </w:r>
      <w:r w:rsidDel="00000000" w:rsidR="00000000" w:rsidRPr="00000000">
        <w:rPr>
          <w:b w:val="1"/>
          <w:sz w:val="24"/>
          <w:szCs w:val="24"/>
          <w:rtl w:val="0"/>
        </w:rPr>
        <w:t xml:space="preserve">Direito administrativo</w:t>
      </w:r>
      <w:r w:rsidDel="00000000" w:rsidR="00000000" w:rsidRPr="00000000">
        <w:rPr>
          <w:sz w:val="24"/>
          <w:szCs w:val="24"/>
          <w:rtl w:val="0"/>
        </w:rPr>
        <w:t xml:space="preserve">. 35. ed. São Paulo: Atlas, 2022.</w:t>
      </w:r>
    </w:p>
    <w:p w:rsidR="00000000" w:rsidDel="00000000" w:rsidP="00000000" w:rsidRDefault="00000000" w:rsidRPr="00000000" w14:paraId="0000004D">
      <w:pPr>
        <w:spacing w:line="240" w:lineRule="auto"/>
        <w:jc w:val="both"/>
        <w:rPr>
          <w:sz w:val="24"/>
          <w:szCs w:val="24"/>
        </w:rPr>
      </w:pPr>
      <w:r w:rsidDel="00000000" w:rsidR="00000000" w:rsidRPr="00000000">
        <w:rPr>
          <w:rtl w:val="0"/>
        </w:rPr>
      </w:r>
    </w:p>
    <w:p w:rsidR="00000000" w:rsidDel="00000000" w:rsidP="00000000" w:rsidRDefault="00000000" w:rsidRPr="00000000" w14:paraId="0000004E">
      <w:pPr>
        <w:spacing w:line="240" w:lineRule="auto"/>
        <w:jc w:val="both"/>
        <w:rPr>
          <w:sz w:val="24"/>
          <w:szCs w:val="24"/>
        </w:rPr>
      </w:pPr>
      <w:r w:rsidDel="00000000" w:rsidR="00000000" w:rsidRPr="00000000">
        <w:rPr>
          <w:sz w:val="24"/>
          <w:szCs w:val="24"/>
          <w:rtl w:val="0"/>
        </w:rPr>
        <w:t xml:space="preserve">FERRAZ, Carolina Costa. </w:t>
      </w:r>
      <w:r w:rsidDel="00000000" w:rsidR="00000000" w:rsidRPr="00000000">
        <w:rPr>
          <w:b w:val="1"/>
          <w:sz w:val="24"/>
          <w:szCs w:val="24"/>
          <w:rtl w:val="0"/>
        </w:rPr>
        <w:t xml:space="preserve">Nova Lei de Licitações e políticas públicas</w:t>
      </w:r>
      <w:r w:rsidDel="00000000" w:rsidR="00000000" w:rsidRPr="00000000">
        <w:rPr>
          <w:sz w:val="24"/>
          <w:szCs w:val="24"/>
          <w:rtl w:val="0"/>
        </w:rPr>
        <w:t xml:space="preserve">. Belo Horizonte: Fórum, 2021.</w:t>
      </w:r>
    </w:p>
    <w:p w:rsidR="00000000" w:rsidDel="00000000" w:rsidP="00000000" w:rsidRDefault="00000000" w:rsidRPr="00000000" w14:paraId="0000004F">
      <w:pPr>
        <w:spacing w:line="240" w:lineRule="auto"/>
        <w:jc w:val="both"/>
        <w:rPr>
          <w:sz w:val="24"/>
          <w:szCs w:val="24"/>
        </w:rPr>
      </w:pPr>
      <w:r w:rsidDel="00000000" w:rsidR="00000000" w:rsidRPr="00000000">
        <w:rPr>
          <w:rtl w:val="0"/>
        </w:rPr>
      </w:r>
    </w:p>
    <w:p w:rsidR="00000000" w:rsidDel="00000000" w:rsidP="00000000" w:rsidRDefault="00000000" w:rsidRPr="00000000" w14:paraId="00000050">
      <w:pPr>
        <w:spacing w:line="240" w:lineRule="auto"/>
        <w:jc w:val="both"/>
        <w:rPr>
          <w:sz w:val="24"/>
          <w:szCs w:val="24"/>
        </w:rPr>
      </w:pPr>
      <w:r w:rsidDel="00000000" w:rsidR="00000000" w:rsidRPr="00000000">
        <w:rPr>
          <w:sz w:val="24"/>
          <w:szCs w:val="24"/>
          <w:rtl w:val="0"/>
        </w:rPr>
        <w:t xml:space="preserve">INSTITUTO RUI BARBOSA. </w:t>
      </w:r>
      <w:r w:rsidDel="00000000" w:rsidR="00000000" w:rsidRPr="00000000">
        <w:rPr>
          <w:b w:val="1"/>
          <w:sz w:val="24"/>
          <w:szCs w:val="24"/>
          <w:rtl w:val="0"/>
        </w:rPr>
        <w:t xml:space="preserve">Estudo técnico sobre capacidades institucionais dos municípios frente à Lei nº 14.133/2021</w:t>
      </w:r>
      <w:r w:rsidDel="00000000" w:rsidR="00000000" w:rsidRPr="00000000">
        <w:rPr>
          <w:sz w:val="24"/>
          <w:szCs w:val="24"/>
          <w:rtl w:val="0"/>
        </w:rPr>
        <w:t xml:space="preserve">. Brasília: IRB, 2022.</w:t>
      </w:r>
    </w:p>
    <w:p w:rsidR="00000000" w:rsidDel="00000000" w:rsidP="00000000" w:rsidRDefault="00000000" w:rsidRPr="00000000" w14:paraId="00000051">
      <w:pPr>
        <w:spacing w:line="240" w:lineRule="auto"/>
        <w:jc w:val="both"/>
        <w:rPr>
          <w:sz w:val="24"/>
          <w:szCs w:val="24"/>
        </w:rPr>
      </w:pPr>
      <w:r w:rsidDel="00000000" w:rsidR="00000000" w:rsidRPr="00000000">
        <w:rPr>
          <w:rtl w:val="0"/>
        </w:rPr>
      </w:r>
    </w:p>
    <w:p w:rsidR="00000000" w:rsidDel="00000000" w:rsidP="00000000" w:rsidRDefault="00000000" w:rsidRPr="00000000" w14:paraId="00000052">
      <w:pPr>
        <w:spacing w:line="240" w:lineRule="auto"/>
        <w:jc w:val="both"/>
        <w:rPr>
          <w:sz w:val="24"/>
          <w:szCs w:val="24"/>
        </w:rPr>
      </w:pPr>
      <w:r w:rsidDel="00000000" w:rsidR="00000000" w:rsidRPr="00000000">
        <w:rPr>
          <w:sz w:val="24"/>
          <w:szCs w:val="24"/>
          <w:rtl w:val="0"/>
        </w:rPr>
        <w:t xml:space="preserve">JUSTEN FILHO, Marçal. Comentários à Lei de Licitações e Contratos Administrativos. São Paulo: </w:t>
      </w:r>
      <w:r w:rsidDel="00000000" w:rsidR="00000000" w:rsidRPr="00000000">
        <w:rPr>
          <w:b w:val="1"/>
          <w:sz w:val="24"/>
          <w:szCs w:val="24"/>
          <w:rtl w:val="0"/>
        </w:rPr>
        <w:t xml:space="preserve">Revista dos Tribunais</w:t>
      </w:r>
      <w:r w:rsidDel="00000000" w:rsidR="00000000" w:rsidRPr="00000000">
        <w:rPr>
          <w:sz w:val="24"/>
          <w:szCs w:val="24"/>
          <w:rtl w:val="0"/>
        </w:rPr>
        <w:t xml:space="preserve">, 2021.</w:t>
      </w:r>
    </w:p>
    <w:p w:rsidR="00000000" w:rsidDel="00000000" w:rsidP="00000000" w:rsidRDefault="00000000" w:rsidRPr="00000000" w14:paraId="00000053">
      <w:pPr>
        <w:spacing w:line="240" w:lineRule="auto"/>
        <w:jc w:val="both"/>
        <w:rPr>
          <w:sz w:val="24"/>
          <w:szCs w:val="24"/>
        </w:rPr>
      </w:pPr>
      <w:r w:rsidDel="00000000" w:rsidR="00000000" w:rsidRPr="00000000">
        <w:rPr>
          <w:rtl w:val="0"/>
        </w:rPr>
      </w:r>
    </w:p>
    <w:p w:rsidR="00000000" w:rsidDel="00000000" w:rsidP="00000000" w:rsidRDefault="00000000" w:rsidRPr="00000000" w14:paraId="00000054">
      <w:pPr>
        <w:spacing w:line="240" w:lineRule="auto"/>
        <w:jc w:val="both"/>
        <w:rPr>
          <w:sz w:val="24"/>
          <w:szCs w:val="24"/>
        </w:rPr>
      </w:pPr>
      <w:r w:rsidDel="00000000" w:rsidR="00000000" w:rsidRPr="00000000">
        <w:rPr>
          <w:sz w:val="24"/>
          <w:szCs w:val="24"/>
          <w:rtl w:val="0"/>
        </w:rPr>
        <w:t xml:space="preserve">MOTTA, Fabrício. </w:t>
      </w:r>
      <w:r w:rsidDel="00000000" w:rsidR="00000000" w:rsidRPr="00000000">
        <w:rPr>
          <w:b w:val="1"/>
          <w:sz w:val="24"/>
          <w:szCs w:val="24"/>
          <w:rtl w:val="0"/>
        </w:rPr>
        <w:t xml:space="preserve">Eficiência e controle na administração pública</w:t>
      </w:r>
      <w:r w:rsidDel="00000000" w:rsidR="00000000" w:rsidRPr="00000000">
        <w:rPr>
          <w:sz w:val="24"/>
          <w:szCs w:val="24"/>
          <w:rtl w:val="0"/>
        </w:rPr>
        <w:t xml:space="preserve">. Revista do TCU, n. 142, p. 24-31, jul/set, 2018.</w:t>
      </w:r>
    </w:p>
    <w:p w:rsidR="00000000" w:rsidDel="00000000" w:rsidP="00000000" w:rsidRDefault="00000000" w:rsidRPr="00000000" w14:paraId="00000055">
      <w:pPr>
        <w:spacing w:line="240" w:lineRule="auto"/>
        <w:jc w:val="both"/>
        <w:rPr>
          <w:sz w:val="24"/>
          <w:szCs w:val="24"/>
        </w:rPr>
      </w:pPr>
      <w:r w:rsidDel="00000000" w:rsidR="00000000" w:rsidRPr="00000000">
        <w:rPr>
          <w:rtl w:val="0"/>
        </w:rPr>
      </w:r>
    </w:p>
    <w:p w:rsidR="00000000" w:rsidDel="00000000" w:rsidP="00000000" w:rsidRDefault="00000000" w:rsidRPr="00000000" w14:paraId="00000056">
      <w:pPr>
        <w:spacing w:line="240" w:lineRule="auto"/>
        <w:jc w:val="both"/>
        <w:rPr>
          <w:sz w:val="24"/>
          <w:szCs w:val="24"/>
        </w:rPr>
      </w:pPr>
      <w:r w:rsidDel="00000000" w:rsidR="00000000" w:rsidRPr="00000000">
        <w:rPr>
          <w:sz w:val="24"/>
          <w:szCs w:val="24"/>
          <w:rtl w:val="0"/>
        </w:rPr>
        <w:t xml:space="preserve">OLIVEIRA, Ludmylla Kelia Bastos Machado de. </w:t>
      </w:r>
      <w:r w:rsidDel="00000000" w:rsidR="00000000" w:rsidRPr="00000000">
        <w:rPr>
          <w:b w:val="1"/>
          <w:sz w:val="24"/>
          <w:szCs w:val="24"/>
          <w:rtl w:val="0"/>
        </w:rPr>
        <w:t xml:space="preserve">Nova lei de licitações e contratos</w:t>
      </w:r>
      <w:r w:rsidDel="00000000" w:rsidR="00000000" w:rsidRPr="00000000">
        <w:rPr>
          <w:sz w:val="24"/>
          <w:szCs w:val="24"/>
          <w:rtl w:val="0"/>
        </w:rPr>
        <w:t xml:space="preserve">: desafios do governo eletrônico e da transformação digital dos municípios do estado da Paraíba. 2023. 26 f. TCC (Graduação) - Curso de Gestão Pública, Centro de Ciências Sociais Aplicadas - Universidade Federal da Paraíba, João Pessoa, 2023.</w:t>
      </w:r>
    </w:p>
    <w:p w:rsidR="00000000" w:rsidDel="00000000" w:rsidP="00000000" w:rsidRDefault="00000000" w:rsidRPr="00000000" w14:paraId="00000057">
      <w:pPr>
        <w:spacing w:line="240" w:lineRule="auto"/>
        <w:jc w:val="both"/>
        <w:rPr>
          <w:sz w:val="24"/>
          <w:szCs w:val="24"/>
        </w:rPr>
      </w:pPr>
      <w:r w:rsidDel="00000000" w:rsidR="00000000" w:rsidRPr="00000000">
        <w:rPr>
          <w:rtl w:val="0"/>
        </w:rPr>
      </w:r>
    </w:p>
    <w:p w:rsidR="00000000" w:rsidDel="00000000" w:rsidP="00000000" w:rsidRDefault="00000000" w:rsidRPr="00000000" w14:paraId="00000058">
      <w:pPr>
        <w:spacing w:line="240" w:lineRule="auto"/>
        <w:jc w:val="both"/>
        <w:rPr>
          <w:sz w:val="24"/>
          <w:szCs w:val="24"/>
        </w:rPr>
      </w:pPr>
      <w:r w:rsidDel="00000000" w:rsidR="00000000" w:rsidRPr="00000000">
        <w:rPr>
          <w:sz w:val="24"/>
          <w:szCs w:val="24"/>
          <w:rtl w:val="0"/>
        </w:rPr>
        <w:t xml:space="preserve">NIEBUHR, Joel de Menezes. </w:t>
      </w:r>
      <w:r w:rsidDel="00000000" w:rsidR="00000000" w:rsidRPr="00000000">
        <w:rPr>
          <w:b w:val="1"/>
          <w:sz w:val="24"/>
          <w:szCs w:val="24"/>
          <w:rtl w:val="0"/>
        </w:rPr>
        <w:t xml:space="preserve">Licitações e contratos administrativos</w:t>
      </w:r>
      <w:r w:rsidDel="00000000" w:rsidR="00000000" w:rsidRPr="00000000">
        <w:rPr>
          <w:sz w:val="24"/>
          <w:szCs w:val="24"/>
          <w:rtl w:val="0"/>
        </w:rPr>
        <w:t xml:space="preserve">: comentários à Lei nº 14.133/2021. 2. ed. Salvador: JusPodivm, 2022.</w:t>
      </w:r>
    </w:p>
    <w:p w:rsidR="00000000" w:rsidDel="00000000" w:rsidP="00000000" w:rsidRDefault="00000000" w:rsidRPr="00000000" w14:paraId="00000059">
      <w:pPr>
        <w:spacing w:line="240" w:lineRule="auto"/>
        <w:jc w:val="both"/>
        <w:rPr>
          <w:sz w:val="24"/>
          <w:szCs w:val="24"/>
        </w:rPr>
      </w:pPr>
      <w:r w:rsidDel="00000000" w:rsidR="00000000" w:rsidRPr="00000000">
        <w:rPr>
          <w:rtl w:val="0"/>
        </w:rPr>
      </w:r>
    </w:p>
    <w:p w:rsidR="00000000" w:rsidDel="00000000" w:rsidP="00000000" w:rsidRDefault="00000000" w:rsidRPr="00000000" w14:paraId="0000005A">
      <w:pPr>
        <w:spacing w:line="240" w:lineRule="auto"/>
        <w:jc w:val="both"/>
        <w:rPr>
          <w:sz w:val="24"/>
          <w:szCs w:val="24"/>
        </w:rPr>
      </w:pPr>
      <w:r w:rsidDel="00000000" w:rsidR="00000000" w:rsidRPr="00000000">
        <w:rPr>
          <w:sz w:val="24"/>
          <w:szCs w:val="24"/>
          <w:rtl w:val="0"/>
        </w:rPr>
        <w:t xml:space="preserve">OLIVEIRA, Rafael Carvalho Rezende. </w:t>
      </w:r>
      <w:r w:rsidDel="00000000" w:rsidR="00000000" w:rsidRPr="00000000">
        <w:rPr>
          <w:b w:val="1"/>
          <w:sz w:val="24"/>
          <w:szCs w:val="24"/>
          <w:rtl w:val="0"/>
        </w:rPr>
        <w:t xml:space="preserve">Contratos administrativos e a nova Lei de Licitações</w:t>
      </w:r>
      <w:r w:rsidDel="00000000" w:rsidR="00000000" w:rsidRPr="00000000">
        <w:rPr>
          <w:sz w:val="24"/>
          <w:szCs w:val="24"/>
          <w:rtl w:val="0"/>
        </w:rPr>
        <w:t xml:space="preserve">. 2. ed. São Paulo: Método, 2023.</w:t>
      </w:r>
    </w:p>
    <w:p w:rsidR="00000000" w:rsidDel="00000000" w:rsidP="00000000" w:rsidRDefault="00000000" w:rsidRPr="00000000" w14:paraId="0000005B">
      <w:pPr>
        <w:spacing w:line="240" w:lineRule="auto"/>
        <w:jc w:val="both"/>
        <w:rPr>
          <w:sz w:val="24"/>
          <w:szCs w:val="24"/>
        </w:rPr>
      </w:pPr>
      <w:r w:rsidDel="00000000" w:rsidR="00000000" w:rsidRPr="00000000">
        <w:rPr>
          <w:rtl w:val="0"/>
        </w:rPr>
      </w:r>
    </w:p>
    <w:p w:rsidR="00000000" w:rsidDel="00000000" w:rsidP="00000000" w:rsidRDefault="00000000" w:rsidRPr="00000000" w14:paraId="0000005C">
      <w:pPr>
        <w:spacing w:line="240" w:lineRule="auto"/>
        <w:jc w:val="both"/>
        <w:rPr>
          <w:sz w:val="24"/>
          <w:szCs w:val="24"/>
        </w:rPr>
      </w:pPr>
      <w:r w:rsidDel="00000000" w:rsidR="00000000" w:rsidRPr="00000000">
        <w:rPr>
          <w:sz w:val="24"/>
          <w:szCs w:val="24"/>
          <w:rtl w:val="0"/>
        </w:rPr>
        <w:t xml:space="preserve">SUNDFELD, Carlos Ari. Controle da administração pública e a nova Lei de Licitações. </w:t>
      </w:r>
      <w:r w:rsidDel="00000000" w:rsidR="00000000" w:rsidRPr="00000000">
        <w:rPr>
          <w:b w:val="1"/>
          <w:sz w:val="24"/>
          <w:szCs w:val="24"/>
          <w:rtl w:val="0"/>
        </w:rPr>
        <w:t xml:space="preserve">Revista de Direito Administrativo</w:t>
      </w:r>
      <w:r w:rsidDel="00000000" w:rsidR="00000000" w:rsidRPr="00000000">
        <w:rPr>
          <w:sz w:val="24"/>
          <w:szCs w:val="24"/>
          <w:rtl w:val="0"/>
        </w:rPr>
        <w:t xml:space="preserve">, v. 278, 2021.</w:t>
      </w:r>
    </w:p>
    <w:p w:rsidR="00000000" w:rsidDel="00000000" w:rsidP="00000000" w:rsidRDefault="00000000" w:rsidRPr="00000000" w14:paraId="0000005D">
      <w:pPr>
        <w:spacing w:line="240" w:lineRule="auto"/>
        <w:jc w:val="both"/>
        <w:rPr>
          <w:sz w:val="24"/>
          <w:szCs w:val="24"/>
        </w:rPr>
      </w:pPr>
      <w:r w:rsidDel="00000000" w:rsidR="00000000" w:rsidRPr="00000000">
        <w:rPr>
          <w:rtl w:val="0"/>
        </w:rPr>
      </w:r>
    </w:p>
    <w:p w:rsidR="00000000" w:rsidDel="00000000" w:rsidP="00000000" w:rsidRDefault="00000000" w:rsidRPr="00000000" w14:paraId="0000005E">
      <w:pPr>
        <w:spacing w:line="240" w:lineRule="auto"/>
        <w:jc w:val="both"/>
        <w:rPr>
          <w:sz w:val="24"/>
          <w:szCs w:val="24"/>
        </w:rPr>
      </w:pPr>
      <w:r w:rsidDel="00000000" w:rsidR="00000000" w:rsidRPr="00000000">
        <w:rPr>
          <w:sz w:val="24"/>
          <w:szCs w:val="24"/>
          <w:rtl w:val="0"/>
        </w:rPr>
        <w:t xml:space="preserve">TRIBUNAL DE CONTAS DA UNIÃO (TCU). </w:t>
      </w:r>
      <w:r w:rsidDel="00000000" w:rsidR="00000000" w:rsidRPr="00000000">
        <w:rPr>
          <w:b w:val="1"/>
          <w:sz w:val="24"/>
          <w:szCs w:val="24"/>
          <w:rtl w:val="0"/>
        </w:rPr>
        <w:t xml:space="preserve">Relatório de auditoria operacional sobre riscos na implementação da Lei nº 14.133/2021</w:t>
      </w:r>
      <w:r w:rsidDel="00000000" w:rsidR="00000000" w:rsidRPr="00000000">
        <w:rPr>
          <w:sz w:val="24"/>
          <w:szCs w:val="24"/>
          <w:rtl w:val="0"/>
        </w:rPr>
        <w:t xml:space="preserve">. Brasília: TCU, 2022.</w:t>
      </w:r>
    </w:p>
    <w:p w:rsidR="00000000" w:rsidDel="00000000" w:rsidP="00000000" w:rsidRDefault="00000000" w:rsidRPr="00000000" w14:paraId="0000005F">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60">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8" w:type="default"/>
      <w:foot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Advogado. Pós-graduado em Ciências Criminais (IMADEC). E-mail: samueljorge.arruda@hotmail.com.</w:t>
      </w:r>
    </w:p>
    <w:p w:rsidR="00000000" w:rsidDel="00000000" w:rsidP="00000000" w:rsidRDefault="00000000" w:rsidRPr="00000000" w14:paraId="00000063">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kBxPzh6kd1pSL1cv6KS8ZNgg7w==">CgMxLjA4AHIhMTQyRHVSUVJNaEtwSEVkbkxwZjVfd3ZpYnptcE41THo5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