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4B64C" w14:textId="77777777" w:rsidR="00B94EC3" w:rsidRDefault="00000000">
      <w:pPr>
        <w:spacing w:line="360" w:lineRule="auto"/>
        <w:ind w:left="0" w:hanging="2"/>
        <w:jc w:val="center"/>
        <w:rPr>
          <w:sz w:val="24"/>
          <w:szCs w:val="24"/>
        </w:rPr>
      </w:pPr>
      <w:r>
        <w:rPr>
          <w:b/>
          <w:sz w:val="24"/>
          <w:szCs w:val="24"/>
        </w:rPr>
        <w:t xml:space="preserve">BRANQUIDADE DO ESTADO E POLÍTICA URBANA: </w:t>
      </w:r>
      <w:r>
        <w:rPr>
          <w:sz w:val="24"/>
          <w:szCs w:val="24"/>
        </w:rPr>
        <w:t>o legado racial do colonialismo nas enchentes de Recife</w:t>
      </w:r>
    </w:p>
    <w:p w14:paraId="1BD249C5" w14:textId="77777777" w:rsidR="00B94EC3" w:rsidRDefault="00B94EC3">
      <w:pPr>
        <w:ind w:left="0" w:hanging="2"/>
        <w:jc w:val="center"/>
        <w:rPr>
          <w:sz w:val="24"/>
          <w:szCs w:val="24"/>
          <w:highlight w:val="yellow"/>
        </w:rPr>
      </w:pPr>
    </w:p>
    <w:p w14:paraId="6D64BAF8" w14:textId="77777777" w:rsidR="00B94EC3" w:rsidRDefault="00000000">
      <w:pPr>
        <w:ind w:left="0" w:hanging="2"/>
        <w:jc w:val="right"/>
        <w:rPr>
          <w:sz w:val="24"/>
          <w:szCs w:val="24"/>
        </w:rPr>
      </w:pPr>
      <w:r>
        <w:rPr>
          <w:sz w:val="24"/>
          <w:szCs w:val="24"/>
        </w:rPr>
        <w:t>Amália Victória Godoy Xavier ¹</w:t>
      </w:r>
    </w:p>
    <w:p w14:paraId="4C65A2F8" w14:textId="77777777" w:rsidR="00B94EC3" w:rsidRDefault="00000000">
      <w:pPr>
        <w:ind w:left="0" w:hanging="2"/>
        <w:jc w:val="right"/>
        <w:rPr>
          <w:sz w:val="24"/>
          <w:szCs w:val="24"/>
        </w:rPr>
      </w:pPr>
      <w:r>
        <w:rPr>
          <w:sz w:val="24"/>
          <w:szCs w:val="24"/>
        </w:rPr>
        <w:t>Christian Carvalho Domingos ²</w:t>
      </w:r>
    </w:p>
    <w:p w14:paraId="7229ED11" w14:textId="77777777" w:rsidR="00B94EC3" w:rsidRDefault="00000000">
      <w:pPr>
        <w:ind w:left="0" w:hanging="2"/>
        <w:jc w:val="right"/>
        <w:rPr>
          <w:sz w:val="24"/>
          <w:szCs w:val="24"/>
        </w:rPr>
      </w:pPr>
      <w:r>
        <w:rPr>
          <w:sz w:val="24"/>
          <w:szCs w:val="24"/>
        </w:rPr>
        <w:t>Drielly Evangelista de Barros Silva ³</w:t>
      </w:r>
    </w:p>
    <w:p w14:paraId="4D78915F" w14:textId="77777777" w:rsidR="00B94EC3" w:rsidRDefault="00000000">
      <w:pPr>
        <w:ind w:left="0" w:hanging="2"/>
        <w:jc w:val="right"/>
        <w:rPr>
          <w:sz w:val="24"/>
          <w:szCs w:val="24"/>
        </w:rPr>
      </w:pPr>
      <w:r>
        <w:rPr>
          <w:sz w:val="24"/>
          <w:szCs w:val="24"/>
        </w:rPr>
        <w:t>Raquel da Silva Rodrigues ⁴</w:t>
      </w:r>
    </w:p>
    <w:p w14:paraId="256DCE71" w14:textId="77777777" w:rsidR="00B94EC3" w:rsidRDefault="00000000">
      <w:pPr>
        <w:spacing w:line="240" w:lineRule="auto"/>
        <w:ind w:left="0" w:hanging="2"/>
        <w:jc w:val="both"/>
        <w:rPr>
          <w:color w:val="FFFFFF"/>
          <w:sz w:val="20"/>
          <w:szCs w:val="20"/>
          <w:highlight w:val="yellow"/>
        </w:rPr>
      </w:pPr>
      <w:r>
        <w:rPr>
          <w:color w:val="FFFFFF"/>
          <w:sz w:val="24"/>
          <w:szCs w:val="24"/>
          <w:vertAlign w:val="superscript"/>
        </w:rPr>
        <w:footnoteReference w:id="1"/>
      </w:r>
    </w:p>
    <w:p w14:paraId="0095923B" w14:textId="77777777" w:rsidR="00B94EC3" w:rsidRDefault="00000000">
      <w:pPr>
        <w:spacing w:line="240" w:lineRule="auto"/>
        <w:ind w:left="0" w:hanging="2"/>
        <w:jc w:val="both"/>
        <w:rPr>
          <w:sz w:val="20"/>
          <w:szCs w:val="20"/>
        </w:rPr>
      </w:pPr>
      <w:r>
        <w:rPr>
          <w:b/>
          <w:sz w:val="20"/>
          <w:szCs w:val="20"/>
        </w:rPr>
        <w:t>Resumo</w:t>
      </w:r>
    </w:p>
    <w:p w14:paraId="0517985C" w14:textId="77777777" w:rsidR="00B94EC3" w:rsidRDefault="00000000">
      <w:pPr>
        <w:spacing w:line="240" w:lineRule="auto"/>
        <w:ind w:left="0" w:hanging="2"/>
        <w:jc w:val="both"/>
        <w:rPr>
          <w:sz w:val="20"/>
          <w:szCs w:val="20"/>
          <w:highlight w:val="yellow"/>
        </w:rPr>
      </w:pPr>
      <w:r>
        <w:rPr>
          <w:sz w:val="20"/>
          <w:szCs w:val="20"/>
        </w:rPr>
        <w:t>Este artigo analisa as políticas de mitigação de riscos no Recife, evidenciando como as enchentes afetam desproporcionalmente comunidades negras e periféricas. Com base no materialismo histórico-dialético, discute-se a atuação do Estado brasileiro na reprodução da segregação racial e espacial, sustentando a hipótese de que a vulnerabilidade é socialmente produzida e reforçada por uma racionalidade estatal orientada pela branquidade institucional. A pesquisa examina legislações e programas municipais desde a Constituição de 1988, evidencia-se que tais políticas, ao desconsiderar as desigualdades raciais estruturais, contribuem para a perpetuação das exclusões. Conclui-se que os desastres climáticos refletem escolhas políticas seletivas e que é urgente a formulação de políticas públicas estruturantes com justiça social, equidade racial e compromisso com o direito à cidade.</w:t>
      </w:r>
    </w:p>
    <w:p w14:paraId="753CBA5E" w14:textId="77777777" w:rsidR="00B94EC3" w:rsidRDefault="00000000">
      <w:pPr>
        <w:spacing w:line="240" w:lineRule="auto"/>
        <w:ind w:left="0" w:hanging="2"/>
        <w:jc w:val="both"/>
        <w:rPr>
          <w:sz w:val="20"/>
          <w:szCs w:val="20"/>
        </w:rPr>
      </w:pPr>
      <w:r>
        <w:rPr>
          <w:b/>
          <w:sz w:val="20"/>
          <w:szCs w:val="20"/>
        </w:rPr>
        <w:t>Palavras-chave</w:t>
      </w:r>
      <w:r>
        <w:rPr>
          <w:sz w:val="20"/>
          <w:szCs w:val="20"/>
        </w:rPr>
        <w:t xml:space="preserve">: Racismo ambiental; Branquidade do Estado; </w:t>
      </w:r>
      <w:proofErr w:type="gramStart"/>
      <w:r>
        <w:rPr>
          <w:sz w:val="20"/>
          <w:szCs w:val="20"/>
        </w:rPr>
        <w:t>Política</w:t>
      </w:r>
      <w:proofErr w:type="gramEnd"/>
      <w:r>
        <w:rPr>
          <w:sz w:val="20"/>
          <w:szCs w:val="20"/>
        </w:rPr>
        <w:t xml:space="preserve"> urbana. </w:t>
      </w:r>
    </w:p>
    <w:p w14:paraId="35C68F49" w14:textId="77777777" w:rsidR="00B94EC3" w:rsidRDefault="00B94EC3">
      <w:pPr>
        <w:spacing w:line="240" w:lineRule="auto"/>
        <w:ind w:left="0" w:hanging="2"/>
        <w:jc w:val="both"/>
        <w:rPr>
          <w:sz w:val="20"/>
          <w:szCs w:val="20"/>
          <w:highlight w:val="yellow"/>
        </w:rPr>
      </w:pPr>
    </w:p>
    <w:p w14:paraId="1D73A3BC" w14:textId="77777777" w:rsidR="00B94EC3" w:rsidRPr="00130141" w:rsidRDefault="00000000">
      <w:pPr>
        <w:spacing w:line="240" w:lineRule="auto"/>
        <w:ind w:left="0" w:hanging="2"/>
        <w:jc w:val="both"/>
        <w:rPr>
          <w:sz w:val="20"/>
          <w:szCs w:val="20"/>
          <w:lang w:val="en-GB"/>
        </w:rPr>
      </w:pPr>
      <w:r w:rsidRPr="00130141">
        <w:rPr>
          <w:b/>
          <w:sz w:val="20"/>
          <w:szCs w:val="20"/>
          <w:lang w:val="en-GB"/>
        </w:rPr>
        <w:t>Abstract</w:t>
      </w:r>
    </w:p>
    <w:p w14:paraId="785D3052" w14:textId="77777777" w:rsidR="00B94EC3" w:rsidRPr="00130141" w:rsidRDefault="00000000">
      <w:pPr>
        <w:spacing w:line="240" w:lineRule="auto"/>
        <w:ind w:left="0" w:hanging="2"/>
        <w:jc w:val="both"/>
        <w:rPr>
          <w:sz w:val="20"/>
          <w:szCs w:val="20"/>
          <w:lang w:val="en-GB"/>
        </w:rPr>
      </w:pPr>
      <w:r w:rsidRPr="00130141">
        <w:rPr>
          <w:sz w:val="20"/>
          <w:szCs w:val="20"/>
          <w:lang w:val="en-GB"/>
        </w:rPr>
        <w:t xml:space="preserve">This article analyzes risk mitigation policies in Recife, highlighting how floods disproportionately affect Black and peripheral communities. Based on historical-dialectical materialism, it discusses the role of the Brazilian state in reproducing racial and spatial segregation, arguing that vulnerability is socially constructed and reinforced by a state rationality guided by institutional whiteness. By examining legislation and municipal programs since 1988, the study shows that such policies, by disregarding structural racial inequalities, contribute to the persistence of exclusion. It concludes that climate disasters reflect selective political choices, reinforcing the urgency of public policies grounded in racial and social justice and committed to the right to the city. </w:t>
      </w:r>
    </w:p>
    <w:p w14:paraId="2A13AF81" w14:textId="77777777" w:rsidR="00B94EC3" w:rsidRPr="00130141" w:rsidRDefault="00000000">
      <w:pPr>
        <w:spacing w:line="240" w:lineRule="auto"/>
        <w:ind w:left="0" w:hanging="2"/>
        <w:jc w:val="both"/>
        <w:rPr>
          <w:sz w:val="24"/>
          <w:szCs w:val="24"/>
          <w:lang w:val="en-GB"/>
        </w:rPr>
      </w:pPr>
      <w:r w:rsidRPr="00130141">
        <w:rPr>
          <w:b/>
          <w:sz w:val="20"/>
          <w:szCs w:val="20"/>
          <w:lang w:val="en-GB"/>
        </w:rPr>
        <w:t>Keywords</w:t>
      </w:r>
      <w:r w:rsidRPr="00130141">
        <w:rPr>
          <w:sz w:val="20"/>
          <w:szCs w:val="20"/>
          <w:lang w:val="en-GB"/>
        </w:rPr>
        <w:t xml:space="preserve">: Environmental racism; State whiteness; Urban policy. </w:t>
      </w:r>
    </w:p>
    <w:p w14:paraId="5040A920" w14:textId="77777777" w:rsidR="00B94EC3" w:rsidRPr="00130141" w:rsidRDefault="00B94EC3">
      <w:pPr>
        <w:spacing w:line="360" w:lineRule="auto"/>
        <w:ind w:left="0" w:hanging="2"/>
        <w:jc w:val="both"/>
        <w:rPr>
          <w:sz w:val="24"/>
          <w:szCs w:val="24"/>
          <w:lang w:val="en-GB"/>
        </w:rPr>
      </w:pPr>
    </w:p>
    <w:p w14:paraId="5BA5127B" w14:textId="77777777" w:rsidR="00B94EC3" w:rsidRDefault="00000000">
      <w:pPr>
        <w:spacing w:line="360" w:lineRule="auto"/>
        <w:ind w:left="0" w:hanging="2"/>
        <w:rPr>
          <w:sz w:val="24"/>
          <w:szCs w:val="24"/>
          <w:highlight w:val="white"/>
        </w:rPr>
      </w:pPr>
      <w:r>
        <w:rPr>
          <w:b/>
          <w:sz w:val="24"/>
          <w:szCs w:val="24"/>
        </w:rPr>
        <w:t>1</w:t>
      </w:r>
      <w:r>
        <w:rPr>
          <w:b/>
          <w:sz w:val="24"/>
          <w:szCs w:val="24"/>
        </w:rPr>
        <w:tab/>
      </w:r>
      <w:r>
        <w:rPr>
          <w:b/>
          <w:sz w:val="24"/>
          <w:szCs w:val="24"/>
          <w:highlight w:val="white"/>
        </w:rPr>
        <w:t>INTRODUÇÃO</w:t>
      </w:r>
    </w:p>
    <w:p w14:paraId="66C2DB10" w14:textId="77777777" w:rsidR="00B94EC3" w:rsidRDefault="00B94EC3">
      <w:pPr>
        <w:spacing w:line="360" w:lineRule="auto"/>
        <w:ind w:left="0" w:hanging="2"/>
        <w:jc w:val="both"/>
        <w:rPr>
          <w:sz w:val="24"/>
          <w:szCs w:val="24"/>
          <w:highlight w:val="yellow"/>
        </w:rPr>
      </w:pPr>
    </w:p>
    <w:p w14:paraId="5C5AE19B" w14:textId="77777777" w:rsidR="00B94EC3" w:rsidRDefault="00000000">
      <w:pPr>
        <w:spacing w:line="360" w:lineRule="auto"/>
        <w:ind w:left="0" w:hanging="2"/>
        <w:jc w:val="both"/>
        <w:rPr>
          <w:sz w:val="24"/>
          <w:szCs w:val="24"/>
        </w:rPr>
      </w:pPr>
      <w:bookmarkStart w:id="0" w:name="_heading=h.dbbvrgd4wd01" w:colFirst="0" w:colLast="0"/>
      <w:bookmarkEnd w:id="0"/>
      <w:r>
        <w:rPr>
          <w:sz w:val="24"/>
          <w:szCs w:val="24"/>
        </w:rPr>
        <w:t xml:space="preserve">A configuração urbana do Recife é atravessada por um histórico </w:t>
      </w:r>
      <w:proofErr w:type="gramStart"/>
      <w:r>
        <w:rPr>
          <w:sz w:val="24"/>
          <w:szCs w:val="24"/>
        </w:rPr>
        <w:t>de  colonialismo</w:t>
      </w:r>
      <w:proofErr w:type="gramEnd"/>
      <w:r>
        <w:rPr>
          <w:sz w:val="24"/>
          <w:szCs w:val="24"/>
        </w:rPr>
        <w:t xml:space="preserve">, racismo estrutural e desigualdades socioeconômicas, de modo que eventos como </w:t>
      </w:r>
      <w:r>
        <w:rPr>
          <w:sz w:val="24"/>
          <w:szCs w:val="24"/>
        </w:rPr>
        <w:lastRenderedPageBreak/>
        <w:t>enchentes não ocorrem de forma aleatória, mas afetam com maior intensidade as populações negras (pretos e pardos) e periféricas, situadas em áreas de risco e com baixa infraestrutura. Tal afirmação é evidenciada pelo fato de que 84% das áreas atingidas pelas enchentes ocorridas na Região Metropolitana do Recife, em 2022, possuem população majoritariamente negra (ALEPE, 2022).</w:t>
      </w:r>
    </w:p>
    <w:p w14:paraId="258DED9F" w14:textId="77777777" w:rsidR="00B94EC3" w:rsidRDefault="00000000">
      <w:pPr>
        <w:spacing w:line="360" w:lineRule="auto"/>
        <w:ind w:left="0" w:hanging="2"/>
        <w:jc w:val="both"/>
        <w:rPr>
          <w:sz w:val="24"/>
          <w:szCs w:val="24"/>
        </w:rPr>
      </w:pPr>
      <w:bookmarkStart w:id="1" w:name="_heading=h.8zhbzcgmxnd8" w:colFirst="0" w:colLast="0"/>
      <w:bookmarkEnd w:id="1"/>
      <w:r>
        <w:rPr>
          <w:sz w:val="24"/>
          <w:szCs w:val="24"/>
        </w:rPr>
        <w:t>Esse padrão revela a produção social do risco e a atuação do Estado não apenas como gestor ineficaz, mas como agente que reproduz desigualdades estruturais. Ao não reconhecer a racialização como vetor das desigualdades, o Estado opera com base em uma lógica de branquidade institucional, tornando as tragédias climáticas também tragédias sociais e políticas, marcadas por escolhas que privilegiam certos grupos em detrimento de outros.</w:t>
      </w:r>
    </w:p>
    <w:p w14:paraId="50E1BF55" w14:textId="77777777" w:rsidR="00B94EC3" w:rsidRDefault="00000000">
      <w:pPr>
        <w:spacing w:line="360" w:lineRule="auto"/>
        <w:ind w:left="0" w:hanging="2"/>
        <w:jc w:val="both"/>
        <w:rPr>
          <w:sz w:val="24"/>
          <w:szCs w:val="24"/>
          <w:highlight w:val="yellow"/>
        </w:rPr>
      </w:pPr>
      <w:bookmarkStart w:id="2" w:name="_heading=h.q2wk7v9hppnp" w:colFirst="0" w:colLast="0"/>
      <w:bookmarkEnd w:id="2"/>
      <w:r>
        <w:rPr>
          <w:sz w:val="24"/>
          <w:szCs w:val="24"/>
        </w:rPr>
        <w:t xml:space="preserve">Ancorado na perspectiva teórico-metodológica do materialismo histórico e dialético de Marx, este artigo analisa a concepção de Estado no sistema capitalista e suas ações historicamente </w:t>
      </w:r>
      <w:proofErr w:type="spellStart"/>
      <w:r>
        <w:rPr>
          <w:sz w:val="24"/>
          <w:szCs w:val="24"/>
        </w:rPr>
        <w:t>racializadas</w:t>
      </w:r>
      <w:proofErr w:type="spellEnd"/>
      <w:r>
        <w:rPr>
          <w:sz w:val="24"/>
          <w:szCs w:val="24"/>
        </w:rPr>
        <w:t xml:space="preserve">. A hipótese central sustenta que o Estado brasileiro, desde sua fundação, estrutura políticas que inviabilizam ou inferiorizam os sujeitos </w:t>
      </w:r>
      <w:proofErr w:type="spellStart"/>
      <w:r>
        <w:rPr>
          <w:sz w:val="24"/>
          <w:szCs w:val="24"/>
        </w:rPr>
        <w:t>racializados</w:t>
      </w:r>
      <w:proofErr w:type="spellEnd"/>
      <w:r>
        <w:rPr>
          <w:sz w:val="24"/>
          <w:szCs w:val="24"/>
        </w:rPr>
        <w:t xml:space="preserve"> – por omissão ou por ação deliberada – perpetuando hierarquias de raça, classe, gênero e espaço. O objetivo é refletir criticamente sobre o papel do Estado nas políticas de mitigação de riscos e habitação, compreendendo-as como expressões de uma racionalidade estatal que mantém e atualiza desigualdades históricas sob a aparência de neutralidade administrativa.  </w:t>
      </w:r>
    </w:p>
    <w:p w14:paraId="7F760029" w14:textId="77777777" w:rsidR="00B94EC3" w:rsidRDefault="00B94EC3">
      <w:pPr>
        <w:spacing w:line="360" w:lineRule="auto"/>
        <w:ind w:left="0" w:hanging="2"/>
        <w:jc w:val="both"/>
        <w:rPr>
          <w:sz w:val="24"/>
          <w:szCs w:val="24"/>
          <w:highlight w:val="yellow"/>
        </w:rPr>
      </w:pPr>
    </w:p>
    <w:p w14:paraId="6CF10E64" w14:textId="77777777" w:rsidR="00B94EC3" w:rsidRDefault="00000000">
      <w:pPr>
        <w:spacing w:line="360" w:lineRule="auto"/>
        <w:ind w:left="0" w:hanging="2"/>
        <w:jc w:val="both"/>
        <w:rPr>
          <w:sz w:val="24"/>
          <w:szCs w:val="24"/>
          <w:highlight w:val="white"/>
        </w:rPr>
      </w:pPr>
      <w:r>
        <w:rPr>
          <w:b/>
          <w:sz w:val="24"/>
          <w:szCs w:val="24"/>
          <w:highlight w:val="white"/>
        </w:rPr>
        <w:t>2</w:t>
      </w:r>
      <w:r>
        <w:rPr>
          <w:b/>
          <w:sz w:val="24"/>
          <w:szCs w:val="24"/>
          <w:highlight w:val="white"/>
        </w:rPr>
        <w:tab/>
        <w:t>ESTADO, QUESTÃO RACIAL E POLÍTICAS DE MITIGAÇÃO DE RISCO</w:t>
      </w:r>
    </w:p>
    <w:p w14:paraId="76C208F0" w14:textId="77777777" w:rsidR="00B94EC3" w:rsidRDefault="00B94EC3">
      <w:pPr>
        <w:spacing w:line="360" w:lineRule="auto"/>
        <w:ind w:left="0" w:hanging="2"/>
        <w:jc w:val="both"/>
        <w:rPr>
          <w:sz w:val="24"/>
          <w:szCs w:val="24"/>
          <w:highlight w:val="white"/>
        </w:rPr>
      </w:pPr>
    </w:p>
    <w:p w14:paraId="0CDDCDB6" w14:textId="77777777" w:rsidR="00B94EC3" w:rsidRDefault="00000000">
      <w:pPr>
        <w:spacing w:line="360" w:lineRule="auto"/>
        <w:ind w:left="0" w:hanging="2"/>
        <w:jc w:val="both"/>
        <w:rPr>
          <w:b/>
          <w:sz w:val="24"/>
          <w:szCs w:val="24"/>
          <w:highlight w:val="white"/>
        </w:rPr>
      </w:pPr>
      <w:r>
        <w:rPr>
          <w:b/>
          <w:sz w:val="24"/>
          <w:szCs w:val="24"/>
          <w:highlight w:val="white"/>
        </w:rPr>
        <w:t>2.1</w:t>
      </w:r>
      <w:r>
        <w:rPr>
          <w:b/>
          <w:sz w:val="24"/>
          <w:szCs w:val="24"/>
          <w:highlight w:val="white"/>
        </w:rPr>
        <w:tab/>
        <w:t>O Estado e a questão racial</w:t>
      </w:r>
    </w:p>
    <w:p w14:paraId="34296F99" w14:textId="77777777" w:rsidR="00B94EC3" w:rsidRDefault="00B94EC3">
      <w:pPr>
        <w:spacing w:line="360" w:lineRule="auto"/>
        <w:ind w:left="0" w:hanging="2"/>
        <w:jc w:val="both"/>
        <w:rPr>
          <w:sz w:val="24"/>
          <w:szCs w:val="24"/>
          <w:highlight w:val="white"/>
        </w:rPr>
      </w:pPr>
    </w:p>
    <w:p w14:paraId="34AB0811" w14:textId="77777777" w:rsidR="00B94EC3" w:rsidRDefault="00000000">
      <w:pPr>
        <w:spacing w:line="360" w:lineRule="auto"/>
        <w:ind w:left="0" w:hanging="2"/>
        <w:jc w:val="both"/>
        <w:rPr>
          <w:sz w:val="24"/>
          <w:szCs w:val="24"/>
        </w:rPr>
      </w:pPr>
      <w:r>
        <w:rPr>
          <w:sz w:val="24"/>
          <w:szCs w:val="24"/>
        </w:rPr>
        <w:t xml:space="preserve">Ao analisar a questão histórica das enchentes em Recife e perceber a interseção entre raça, pobreza e desastres causados por eventos naturais nas pessoas mais atingidas, parte-se da hipótese de que o Estado, por meio de suas ações, contribui para a </w:t>
      </w:r>
      <w:r>
        <w:rPr>
          <w:sz w:val="24"/>
          <w:szCs w:val="24"/>
        </w:rPr>
        <w:lastRenderedPageBreak/>
        <w:t xml:space="preserve">perpetuação da “divisão racial do espaço” (Gonzalez; </w:t>
      </w:r>
      <w:proofErr w:type="spellStart"/>
      <w:r>
        <w:rPr>
          <w:sz w:val="24"/>
          <w:szCs w:val="24"/>
        </w:rPr>
        <w:t>Hasenbalg</w:t>
      </w:r>
      <w:proofErr w:type="spellEnd"/>
      <w:r>
        <w:rPr>
          <w:sz w:val="24"/>
          <w:szCs w:val="24"/>
        </w:rPr>
        <w:t>, 1982), criando um ciclo de vulnerabilidade e exclusão social.</w:t>
      </w:r>
    </w:p>
    <w:p w14:paraId="20613298" w14:textId="77777777" w:rsidR="00B94EC3" w:rsidRDefault="00000000">
      <w:pPr>
        <w:spacing w:line="360" w:lineRule="auto"/>
        <w:ind w:left="0" w:hanging="2"/>
        <w:jc w:val="both"/>
        <w:rPr>
          <w:sz w:val="24"/>
          <w:szCs w:val="24"/>
        </w:rPr>
      </w:pPr>
      <w:r>
        <w:rPr>
          <w:sz w:val="24"/>
          <w:szCs w:val="24"/>
        </w:rPr>
        <w:t>Marx via o Estado como uma instituição emergente das relações de produção, atuando como aparato que protege e perpetua os interesses da classe dominante. A dinâmica de acumulação de capital gera contradições internas no sistema capitalista, como superprodução, crises cíclicas e desigualdades sociais. O Estado, ao mediar essas contradições, orienta-se pelos interesses do mercado, gerando políticas que favorecem o lucro das grandes empresas em detrimento do bem viver da população. Também é pressionado por movimentos sociais a adotar medidas que atendam às demandas populares, resultando em políticas ambíguas ou contraditórias. A exemplo tem-se a Constituição Federal de 1988 que, embora tenha sido pioneira em diretrizes para o desenvolvimento territorial e gestão urbana (Fernandes, 2008), não efetivou uma reforma agrária justa.</w:t>
      </w:r>
    </w:p>
    <w:p w14:paraId="4BDEB075" w14:textId="77777777" w:rsidR="00B94EC3" w:rsidRDefault="00000000">
      <w:pPr>
        <w:spacing w:line="360" w:lineRule="auto"/>
        <w:ind w:left="0" w:hanging="2"/>
        <w:jc w:val="both"/>
        <w:rPr>
          <w:sz w:val="24"/>
          <w:szCs w:val="24"/>
        </w:rPr>
      </w:pPr>
      <w:r>
        <w:rPr>
          <w:sz w:val="24"/>
          <w:szCs w:val="24"/>
        </w:rPr>
        <w:t xml:space="preserve">A crítica ao Estado, neste estudo, refere-se ao Estado burguês e não implica a defesa de sua ausência, como prega o neoliberalismo, que restringe severamente os investimentos em direitos sociais. Reivindica-se, ao contrário, um Estado forte, estruturado, eficiente e socialmente responsável. As políticas devem enfrentar os efeitos das mudanças climáticas e do planejamento urbano precário, bem como corrigir desigualdades históricas que mantêm a vulnerabilidade de grupos marginalizados. Um Estado alinhado com a classe trabalhadora deve promover um espaço urbano equitativo, combatendo os privilégios da classe burguesa e as divisões raciais e socioeconômicas. </w:t>
      </w:r>
    </w:p>
    <w:p w14:paraId="39245E08" w14:textId="77777777" w:rsidR="00B94EC3" w:rsidRDefault="00000000">
      <w:pPr>
        <w:spacing w:line="360" w:lineRule="auto"/>
        <w:ind w:left="0" w:hanging="2"/>
        <w:jc w:val="both"/>
        <w:rPr>
          <w:sz w:val="24"/>
          <w:szCs w:val="24"/>
        </w:rPr>
      </w:pPr>
      <w:r>
        <w:rPr>
          <w:sz w:val="24"/>
          <w:szCs w:val="24"/>
        </w:rPr>
        <w:t xml:space="preserve">Com base na Teoria Social de Marx, e considerando a materialidade e a historicidade do objeto, é necessário avaliar o impacto da formação social brasileira – um país que escravizou pessoas negras por cerca de dois terços de sua história – na atuação estatal. Para fundamentar essa hipótese, utilizam-se os conceitos de </w:t>
      </w:r>
      <w:proofErr w:type="spellStart"/>
      <w:r>
        <w:rPr>
          <w:sz w:val="24"/>
          <w:szCs w:val="24"/>
        </w:rPr>
        <w:t>racialismo</w:t>
      </w:r>
      <w:proofErr w:type="spellEnd"/>
      <w:r>
        <w:rPr>
          <w:sz w:val="24"/>
          <w:szCs w:val="24"/>
        </w:rPr>
        <w:t xml:space="preserve"> e branquidade discutidos por </w:t>
      </w:r>
      <w:proofErr w:type="spellStart"/>
      <w:r>
        <w:rPr>
          <w:sz w:val="24"/>
          <w:szCs w:val="24"/>
        </w:rPr>
        <w:t>Paterniani</w:t>
      </w:r>
      <w:proofErr w:type="spellEnd"/>
      <w:r>
        <w:rPr>
          <w:sz w:val="24"/>
          <w:szCs w:val="24"/>
        </w:rPr>
        <w:t xml:space="preserve"> (2016). O </w:t>
      </w:r>
      <w:proofErr w:type="spellStart"/>
      <w:r>
        <w:rPr>
          <w:sz w:val="24"/>
          <w:szCs w:val="24"/>
        </w:rPr>
        <w:t>racialismo</w:t>
      </w:r>
      <w:proofErr w:type="spellEnd"/>
      <w:r>
        <w:rPr>
          <w:sz w:val="24"/>
          <w:szCs w:val="24"/>
        </w:rPr>
        <w:t xml:space="preserve"> é entendido como o reconhecimento da existência de raças (em sentido sociológico), que, ao definir diferenças, gera desigualdades por meio do racismo. A branquidade define o branco </w:t>
      </w:r>
      <w:r>
        <w:rPr>
          <w:sz w:val="24"/>
          <w:szCs w:val="24"/>
        </w:rPr>
        <w:lastRenderedPageBreak/>
        <w:t xml:space="preserve">como padrão e </w:t>
      </w:r>
      <w:proofErr w:type="spellStart"/>
      <w:r>
        <w:rPr>
          <w:sz w:val="24"/>
          <w:szCs w:val="24"/>
        </w:rPr>
        <w:t>desracializa</w:t>
      </w:r>
      <w:proofErr w:type="spellEnd"/>
      <w:r>
        <w:rPr>
          <w:sz w:val="24"/>
          <w:szCs w:val="24"/>
        </w:rPr>
        <w:t xml:space="preserve"> essa identidade, transferindo às pessoas não brancas o peso da racialização, negando-lhes humanidade e reconhecimento. Para </w:t>
      </w:r>
      <w:proofErr w:type="spellStart"/>
      <w:r>
        <w:rPr>
          <w:sz w:val="24"/>
          <w:szCs w:val="24"/>
        </w:rPr>
        <w:t>Paterniani</w:t>
      </w:r>
      <w:proofErr w:type="spellEnd"/>
      <w:r>
        <w:rPr>
          <w:sz w:val="24"/>
          <w:szCs w:val="24"/>
        </w:rPr>
        <w:t>, o Estado age com intencionalidade para impedir a existência do não branco, seja pela omissão (</w:t>
      </w:r>
      <w:proofErr w:type="spellStart"/>
      <w:r>
        <w:rPr>
          <w:sz w:val="24"/>
          <w:szCs w:val="24"/>
        </w:rPr>
        <w:t>antirracialismo</w:t>
      </w:r>
      <w:proofErr w:type="spellEnd"/>
      <w:r>
        <w:rPr>
          <w:sz w:val="24"/>
          <w:szCs w:val="24"/>
        </w:rPr>
        <w:t>), seja por políticas abertamente racistas:</w:t>
      </w:r>
    </w:p>
    <w:p w14:paraId="43383777" w14:textId="77777777" w:rsidR="00B94EC3" w:rsidRDefault="00000000">
      <w:pPr>
        <w:spacing w:after="200" w:line="240" w:lineRule="auto"/>
        <w:ind w:left="0" w:hanging="2"/>
        <w:jc w:val="both"/>
        <w:rPr>
          <w:sz w:val="20"/>
          <w:szCs w:val="20"/>
        </w:rPr>
      </w:pPr>
      <w:r>
        <w:rPr>
          <w:sz w:val="20"/>
          <w:szCs w:val="20"/>
        </w:rPr>
        <w:t xml:space="preserve">Mas, para classificá-las como não brancas, é preciso definir o que é o branco. Ora, para o Estado, o que é branco? É branco o próprio Estado, as políticas de Estado, a ocupação da cidade orientada pelas elites e pelo capital. É branca a norma, e é branco, também, subsumir as relações raciais às relações de classe. É branco não entender as relações sociais como </w:t>
      </w:r>
      <w:proofErr w:type="spellStart"/>
      <w:r>
        <w:rPr>
          <w:sz w:val="20"/>
          <w:szCs w:val="20"/>
        </w:rPr>
        <w:t>racializadas</w:t>
      </w:r>
      <w:proofErr w:type="spellEnd"/>
      <w:r>
        <w:rPr>
          <w:sz w:val="20"/>
          <w:szCs w:val="20"/>
        </w:rPr>
        <w:t>. As vidas que não se encaixam nos ideais da branquitude são vidas não brancas (</w:t>
      </w:r>
      <w:proofErr w:type="spellStart"/>
      <w:r>
        <w:rPr>
          <w:sz w:val="20"/>
          <w:szCs w:val="20"/>
        </w:rPr>
        <w:t>Paterniani</w:t>
      </w:r>
      <w:proofErr w:type="spellEnd"/>
      <w:r>
        <w:rPr>
          <w:sz w:val="20"/>
          <w:szCs w:val="20"/>
        </w:rPr>
        <w:t>, 2016, p. 10).</w:t>
      </w:r>
    </w:p>
    <w:p w14:paraId="5EB4B2E9" w14:textId="77777777" w:rsidR="00B94EC3" w:rsidRDefault="00000000">
      <w:pPr>
        <w:spacing w:line="360" w:lineRule="auto"/>
        <w:ind w:left="0" w:hanging="2"/>
        <w:jc w:val="both"/>
        <w:rPr>
          <w:sz w:val="24"/>
          <w:szCs w:val="24"/>
        </w:rPr>
      </w:pPr>
      <w:r>
        <w:rPr>
          <w:sz w:val="24"/>
          <w:szCs w:val="24"/>
        </w:rPr>
        <w:tab/>
        <w:t xml:space="preserve">Desde a fundação do Estado brasileiro, essa branquidade se manifesta em políticas </w:t>
      </w:r>
      <w:proofErr w:type="spellStart"/>
      <w:r>
        <w:rPr>
          <w:sz w:val="24"/>
          <w:szCs w:val="24"/>
        </w:rPr>
        <w:t>antirracialistas</w:t>
      </w:r>
      <w:proofErr w:type="spellEnd"/>
      <w:r>
        <w:rPr>
          <w:sz w:val="24"/>
          <w:szCs w:val="24"/>
        </w:rPr>
        <w:t xml:space="preserve"> ou abertamente racistas. Com a proclamação da independência em 1822, o Brasil se tornou uma nação soberana, mantendo a escravidão até 1888, sendo possível afirmar, por meio das ações e políticas públicas, que o Estado brasileiro é racista desde sua concepção. A primeira Constituição, de 1824, foi </w:t>
      </w:r>
      <w:proofErr w:type="spellStart"/>
      <w:r>
        <w:rPr>
          <w:sz w:val="24"/>
          <w:szCs w:val="24"/>
        </w:rPr>
        <w:t>antirracialista</w:t>
      </w:r>
      <w:proofErr w:type="spellEnd"/>
      <w:r>
        <w:rPr>
          <w:sz w:val="24"/>
          <w:szCs w:val="24"/>
        </w:rPr>
        <w:t xml:space="preserve"> ao não mencionar termos como raça ou escravidão, mas manter o regime escravocrata </w:t>
      </w:r>
      <w:proofErr w:type="spellStart"/>
      <w:r>
        <w:rPr>
          <w:sz w:val="24"/>
          <w:szCs w:val="24"/>
        </w:rPr>
        <w:t>implicito</w:t>
      </w:r>
      <w:proofErr w:type="spellEnd"/>
      <w:r>
        <w:rPr>
          <w:sz w:val="24"/>
          <w:szCs w:val="24"/>
        </w:rPr>
        <w:t xml:space="preserve"> no direito à propriedade privada (art. 179). A Lei Feijó de 1831, que tornou ilegal o tráfico transatlântico foi amplamente </w:t>
      </w:r>
      <w:proofErr w:type="gramStart"/>
      <w:r>
        <w:rPr>
          <w:sz w:val="24"/>
          <w:szCs w:val="24"/>
        </w:rPr>
        <w:t>descumprida</w:t>
      </w:r>
      <w:proofErr w:type="gramEnd"/>
      <w:r>
        <w:rPr>
          <w:sz w:val="24"/>
          <w:szCs w:val="24"/>
        </w:rPr>
        <w:t>: “entre 1831 e 1850, cerca de 785 mil africanos escravizados desembarcaram de maneira ilícita no Brasil” (Santos, 2022, p. 136), o que indica que não só o Estado fingiu não ter percebido a ilegalidade, como também se reorganizou para permitir tais transações comerciais ilícitas.</w:t>
      </w:r>
    </w:p>
    <w:p w14:paraId="554076F3" w14:textId="77777777" w:rsidR="00B94EC3" w:rsidRDefault="00000000">
      <w:pPr>
        <w:spacing w:line="360" w:lineRule="auto"/>
        <w:ind w:left="0" w:hanging="2"/>
        <w:jc w:val="both"/>
        <w:rPr>
          <w:sz w:val="24"/>
          <w:szCs w:val="24"/>
        </w:rPr>
      </w:pPr>
      <w:r>
        <w:rPr>
          <w:sz w:val="24"/>
          <w:szCs w:val="24"/>
        </w:rPr>
        <w:t>Passando para a era do Brasil República, para Santos (2022):</w:t>
      </w:r>
    </w:p>
    <w:p w14:paraId="25202E1B" w14:textId="77777777" w:rsidR="00B94EC3" w:rsidRDefault="00000000">
      <w:pPr>
        <w:spacing w:after="200" w:line="240" w:lineRule="auto"/>
        <w:ind w:left="0" w:hanging="2"/>
        <w:jc w:val="both"/>
        <w:rPr>
          <w:sz w:val="20"/>
          <w:szCs w:val="20"/>
        </w:rPr>
      </w:pPr>
      <w:r>
        <w:rPr>
          <w:sz w:val="20"/>
          <w:szCs w:val="20"/>
        </w:rPr>
        <w:t>Os homens que comandaram a Primeira República eram herdeiros daqueles que exerceram o poder no Império do Brasil. E eles deixaram bem nítido que o fim da escravidão não seria a extinção da marginalização econômica, social e política da maior parte da população. Se a república trouxe uma série de mudanças na organização do Estado brasileiro, a raça continuou sendo justificativa da segregação e da discriminação. Outros mecanismos de exclusão foram criados (p. 185).</w:t>
      </w:r>
    </w:p>
    <w:p w14:paraId="5E9595E0" w14:textId="77777777" w:rsidR="00B94EC3" w:rsidRDefault="00000000">
      <w:pPr>
        <w:spacing w:line="360" w:lineRule="auto"/>
        <w:ind w:left="0" w:hanging="2"/>
        <w:jc w:val="both"/>
        <w:rPr>
          <w:sz w:val="24"/>
          <w:szCs w:val="24"/>
        </w:rPr>
      </w:pPr>
      <w:r>
        <w:rPr>
          <w:sz w:val="24"/>
          <w:szCs w:val="24"/>
        </w:rPr>
        <w:t xml:space="preserve">A Proclamação da República, em 1889, ocorreu apenas um ano após a abolição da escravatura. Um exemplo claro da postura </w:t>
      </w:r>
      <w:proofErr w:type="spellStart"/>
      <w:r>
        <w:rPr>
          <w:sz w:val="24"/>
          <w:szCs w:val="24"/>
        </w:rPr>
        <w:t>antirracialista</w:t>
      </w:r>
      <w:proofErr w:type="spellEnd"/>
      <w:r>
        <w:rPr>
          <w:sz w:val="24"/>
          <w:szCs w:val="24"/>
        </w:rPr>
        <w:t xml:space="preserve"> do Estado nesse período foi a ausência de políticas compensatórias para a população negra recém-liberta. Medidas como a distribuição de terras (reforma agrária) e o acesso a direitos básicos – saúde, educação, emprego, etc. – poderiam ter promovido sua integração social. No </w:t>
      </w:r>
      <w:r>
        <w:rPr>
          <w:sz w:val="24"/>
          <w:szCs w:val="24"/>
        </w:rPr>
        <w:lastRenderedPageBreak/>
        <w:t xml:space="preserve">entanto, o que se adotou foi o Código Penal de 1890, que, em um capítulo inteiro, criminaliza os chamados ‘vadios e capoeiras’, prevendo prisão para quem não tivesse profissão, meios de subsistência, moradia ou praticasse a capoeira, prática central na resistência negra. </w:t>
      </w:r>
    </w:p>
    <w:p w14:paraId="2BA3AAF0" w14:textId="77777777" w:rsidR="00B94EC3" w:rsidRDefault="00000000">
      <w:pPr>
        <w:spacing w:line="360" w:lineRule="auto"/>
        <w:ind w:left="0" w:hanging="2"/>
        <w:jc w:val="both"/>
        <w:rPr>
          <w:sz w:val="24"/>
          <w:szCs w:val="24"/>
        </w:rPr>
      </w:pPr>
      <w:r>
        <w:rPr>
          <w:sz w:val="24"/>
          <w:szCs w:val="24"/>
        </w:rPr>
        <w:t xml:space="preserve">Um exemplo de política racista foi a eugênica, que permaneceu ao longo da República. Defendia o branqueamento da população por meio da miscigenação, com o objetivo de apagar os traços negros e indígenas considerados inferiores. Estimava-se que, após quatro gerações, não haveria mais negros no país (Santos, 2022). Essa política foi acompanhada pelo incentivo à imigração europeia, especialmente de italianos, portugueses e espanhóis. De 1887 a 1930, cerca de 3,8 milhões de imigrantes se beneficiaram dessas ações estatais (Santos, 2022). </w:t>
      </w:r>
    </w:p>
    <w:p w14:paraId="40E176A1" w14:textId="77777777" w:rsidR="00B94EC3" w:rsidRDefault="00000000">
      <w:pPr>
        <w:spacing w:line="360" w:lineRule="auto"/>
        <w:ind w:left="0" w:hanging="2"/>
        <w:jc w:val="both"/>
        <w:rPr>
          <w:sz w:val="24"/>
          <w:szCs w:val="24"/>
        </w:rPr>
      </w:pPr>
      <w:r>
        <w:rPr>
          <w:sz w:val="24"/>
          <w:szCs w:val="24"/>
        </w:rPr>
        <w:t xml:space="preserve">A política eugênica se materializou na legislação, como no art. 138 da Constituição de 1934, que previa “à União, aos Estados e aos Municípios [...] estimular a educação eugênica” (Brasil, 1934), e no Decreto-Lei nº. 7.967/1945, que em seu segundo artigo estipulava: “atender-se-á, na admissão dos imigrantes, à necessidade de preservar e desenvolver, na composição étnica da população, as características mais convenientes da sua ascendência </w:t>
      </w:r>
      <w:proofErr w:type="spellStart"/>
      <w:r>
        <w:rPr>
          <w:sz w:val="24"/>
          <w:szCs w:val="24"/>
        </w:rPr>
        <w:t>européia</w:t>
      </w:r>
      <w:proofErr w:type="spellEnd"/>
      <w:r>
        <w:rPr>
          <w:sz w:val="24"/>
          <w:szCs w:val="24"/>
        </w:rPr>
        <w:t>, assim como a defesa do trabalhador nacional” (Brasil, 1945).</w:t>
      </w:r>
    </w:p>
    <w:p w14:paraId="2490D63B" w14:textId="77777777" w:rsidR="00B94EC3" w:rsidRDefault="00000000">
      <w:pPr>
        <w:spacing w:line="360" w:lineRule="auto"/>
        <w:ind w:left="0" w:hanging="2"/>
        <w:jc w:val="both"/>
        <w:rPr>
          <w:sz w:val="20"/>
          <w:szCs w:val="20"/>
          <w:highlight w:val="white"/>
        </w:rPr>
      </w:pPr>
      <w:r>
        <w:rPr>
          <w:sz w:val="24"/>
          <w:szCs w:val="24"/>
          <w:highlight w:val="white"/>
        </w:rPr>
        <w:t xml:space="preserve">Os pensamentos e políticas públicas eugenistas, embora contraditórios, conviveram, a partir da década de 1930, com a ideologia da democracia racial, baseada na obra </w:t>
      </w:r>
      <w:r>
        <w:rPr>
          <w:i/>
          <w:sz w:val="24"/>
          <w:szCs w:val="24"/>
          <w:highlight w:val="white"/>
        </w:rPr>
        <w:t xml:space="preserve">Casa-Grande &amp; Senzala, </w:t>
      </w:r>
      <w:r>
        <w:rPr>
          <w:sz w:val="24"/>
          <w:szCs w:val="24"/>
          <w:highlight w:val="white"/>
        </w:rPr>
        <w:t>de Gilberto Freyre. Essa ideologia exaltava a miscigenação entre brancos, negros e indígenas e pregava harmonia entre as raças, sendo utilizada para negar a existência do racismo e consolidar a ideia de um ‘povo brasileiro’ durante o governo Vargas.</w:t>
      </w:r>
    </w:p>
    <w:p w14:paraId="637763CF" w14:textId="77777777" w:rsidR="00B94EC3" w:rsidRDefault="00000000">
      <w:pPr>
        <w:spacing w:line="360" w:lineRule="auto"/>
        <w:ind w:left="0" w:hanging="2"/>
        <w:jc w:val="both"/>
        <w:rPr>
          <w:sz w:val="24"/>
          <w:szCs w:val="24"/>
          <w:highlight w:val="white"/>
        </w:rPr>
      </w:pPr>
      <w:r>
        <w:rPr>
          <w:sz w:val="24"/>
          <w:szCs w:val="24"/>
          <w:highlight w:val="white"/>
        </w:rPr>
        <w:t xml:space="preserve">Contudo, como a história é marcada por contradições e disputas, e o Estado também é um campo de lutas sociais e pressões da classe trabalhadora e de grupos historicamente </w:t>
      </w:r>
      <w:proofErr w:type="spellStart"/>
      <w:r>
        <w:rPr>
          <w:sz w:val="24"/>
          <w:szCs w:val="24"/>
          <w:highlight w:val="white"/>
        </w:rPr>
        <w:t>minorizados</w:t>
      </w:r>
      <w:proofErr w:type="spellEnd"/>
      <w:r>
        <w:rPr>
          <w:sz w:val="24"/>
          <w:szCs w:val="24"/>
          <w:highlight w:val="white"/>
        </w:rPr>
        <w:t xml:space="preserve">, é necessário reconhecer ações estatais em favor da população negra. Segundo levantamento do </w:t>
      </w:r>
      <w:r>
        <w:rPr>
          <w:sz w:val="24"/>
          <w:szCs w:val="24"/>
        </w:rPr>
        <w:t>Grupo de Estudos Multidisciplinar da Ação Afirmativa (GEMAA)</w:t>
      </w:r>
      <w:r>
        <w:rPr>
          <w:sz w:val="24"/>
          <w:szCs w:val="24"/>
          <w:highlight w:val="white"/>
        </w:rPr>
        <w:t xml:space="preserve"> da Universidade do Estado do Rio de Janeiro (UERJ), </w:t>
      </w:r>
      <w:r>
        <w:rPr>
          <w:sz w:val="24"/>
          <w:szCs w:val="24"/>
          <w:highlight w:val="white"/>
        </w:rPr>
        <w:lastRenderedPageBreak/>
        <w:t>destacam-se legislações como: a Lei 2.889/1956, que trata sobre crime de genocídio e tipifica “como homicídio qualificado os casos em que haja intenção de matar grupo nacional, étnico, racial ou religioso”; a Constituição Federal de 1988 que tem como um dos objetivos fundamentais da República (art. 3) “IV - promover o bem de todos, sem preconceitos de origem, raça, sexo, cor, idade e quaisquer outras formas de discriminação” e a Lei 7.716/1989 que trata sobre os crimes resultantes de preconceito de raça ou de cor.</w:t>
      </w:r>
    </w:p>
    <w:p w14:paraId="763CD5E3" w14:textId="77777777" w:rsidR="00B94EC3" w:rsidRDefault="00000000">
      <w:pPr>
        <w:spacing w:line="360" w:lineRule="auto"/>
        <w:ind w:left="0" w:hanging="2"/>
        <w:jc w:val="both"/>
        <w:rPr>
          <w:sz w:val="24"/>
          <w:szCs w:val="24"/>
          <w:highlight w:val="white"/>
        </w:rPr>
      </w:pPr>
      <w:r>
        <w:rPr>
          <w:sz w:val="24"/>
          <w:szCs w:val="24"/>
          <w:highlight w:val="white"/>
        </w:rPr>
        <w:t xml:space="preserve">Também merece destaque a política de ações afirmativas, com a Lei 12.711/2012, que reserva vagas em universidades federais para pessoas pretas, pardas e indígenas, ampliando o acesso ao ensino superior e à produção de conhecimento por esses grupos. </w:t>
      </w:r>
    </w:p>
    <w:p w14:paraId="16E64F91" w14:textId="77777777" w:rsidR="00B94EC3" w:rsidRDefault="00000000">
      <w:pPr>
        <w:spacing w:line="360" w:lineRule="auto"/>
        <w:ind w:left="0" w:hanging="2"/>
        <w:jc w:val="both"/>
        <w:rPr>
          <w:sz w:val="24"/>
          <w:szCs w:val="24"/>
        </w:rPr>
      </w:pPr>
      <w:r>
        <w:rPr>
          <w:sz w:val="24"/>
          <w:szCs w:val="24"/>
          <w:highlight w:val="white"/>
        </w:rPr>
        <w:t xml:space="preserve">Apesar disso, a implementação dessas políticas revela fragilidades. </w:t>
      </w:r>
      <w:r>
        <w:rPr>
          <w:sz w:val="24"/>
          <w:szCs w:val="24"/>
        </w:rPr>
        <w:t>Segundo o relatório ‘Desigualdades Sociais por Cor ou Raça no Brasil’ divulgado pelo Instituto Brasileiro de Geografia e Estatística (IBGE) em 2019, a população negra é maior quantidade em diversos indicativos, como em número de desocupados (64,2%) e subutilizados (66,1%) no mercado de trabalho, entre os 10% menores rendimentos (75,2%), na taxa de homicídios entre jovens de 15 a 29 anos (98,5 contra 34 em jovens brancos), e em piores condições de moradia, como habitações sem coleta de lixo (12,5%, contra 6,0% da população branca) e sem esgotamento sanitário por rede coletora ou pluvial (42,8%, contra 26,5% da população branca).</w:t>
      </w:r>
    </w:p>
    <w:p w14:paraId="1C8728F2" w14:textId="77777777" w:rsidR="00B94EC3" w:rsidRDefault="00B94EC3">
      <w:pPr>
        <w:spacing w:line="360" w:lineRule="auto"/>
        <w:ind w:left="0" w:hanging="2"/>
        <w:jc w:val="both"/>
        <w:rPr>
          <w:sz w:val="24"/>
          <w:szCs w:val="24"/>
          <w:highlight w:val="white"/>
        </w:rPr>
      </w:pPr>
    </w:p>
    <w:p w14:paraId="083A9965" w14:textId="77777777" w:rsidR="00B94EC3" w:rsidRDefault="00000000">
      <w:pPr>
        <w:pStyle w:val="Ttulo1"/>
        <w:spacing w:before="0" w:after="0" w:line="360" w:lineRule="auto"/>
        <w:ind w:left="0" w:hanging="2"/>
        <w:jc w:val="both"/>
        <w:rPr>
          <w:sz w:val="24"/>
          <w:szCs w:val="24"/>
        </w:rPr>
      </w:pPr>
      <w:bookmarkStart w:id="3" w:name="_heading=h.neuf7cj6oh65" w:colFirst="0" w:colLast="0"/>
      <w:bookmarkEnd w:id="3"/>
      <w:r>
        <w:rPr>
          <w:sz w:val="24"/>
          <w:szCs w:val="24"/>
          <w:highlight w:val="white"/>
        </w:rPr>
        <w:t>2.2</w:t>
      </w:r>
      <w:r>
        <w:rPr>
          <w:sz w:val="24"/>
          <w:szCs w:val="24"/>
          <w:highlight w:val="white"/>
        </w:rPr>
        <w:tab/>
      </w:r>
      <w:r>
        <w:rPr>
          <w:sz w:val="24"/>
          <w:szCs w:val="24"/>
        </w:rPr>
        <w:t>Ações do Estado nas políticas de mitigação de riscos: o caso Recife</w:t>
      </w:r>
    </w:p>
    <w:p w14:paraId="4B1B6420" w14:textId="77777777" w:rsidR="00B94EC3" w:rsidRDefault="00B94EC3">
      <w:pPr>
        <w:spacing w:line="360" w:lineRule="auto"/>
        <w:ind w:left="0" w:hanging="2"/>
        <w:jc w:val="both"/>
        <w:rPr>
          <w:sz w:val="24"/>
          <w:szCs w:val="24"/>
        </w:rPr>
      </w:pPr>
    </w:p>
    <w:p w14:paraId="74DCEE72" w14:textId="77777777" w:rsidR="00B94EC3" w:rsidRDefault="00000000">
      <w:pPr>
        <w:spacing w:line="360" w:lineRule="auto"/>
        <w:ind w:left="0" w:hanging="2"/>
        <w:jc w:val="both"/>
        <w:rPr>
          <w:sz w:val="24"/>
          <w:szCs w:val="24"/>
        </w:rPr>
      </w:pPr>
      <w:r>
        <w:rPr>
          <w:sz w:val="24"/>
          <w:szCs w:val="24"/>
        </w:rPr>
        <w:t xml:space="preserve">A cidade do Recife, marcada por áreas de morro e alagamentos, enfrenta desafios históricos relacionados a riscos naturais, sobretudo em decorrência das chuvas. A partir da Constituição Federal de 1988, que atribuiu aos municípios a responsabilidade sobre gestão de riscos e políticas habitacionais (art. 182), esperava-se um avanço na proteção das populações vulneráveis. No entanto, essa descentralização não abordou </w:t>
      </w:r>
      <w:r>
        <w:rPr>
          <w:sz w:val="24"/>
          <w:szCs w:val="24"/>
        </w:rPr>
        <w:lastRenderedPageBreak/>
        <w:t xml:space="preserve">as profundas desigualdades estruturais que perpetuam a marginalização das comunidades mais afetadas. </w:t>
      </w:r>
    </w:p>
    <w:p w14:paraId="5AB48EE9" w14:textId="77777777" w:rsidR="00B94EC3" w:rsidRDefault="00000000">
      <w:pPr>
        <w:spacing w:line="360" w:lineRule="auto"/>
        <w:ind w:left="0" w:hanging="2"/>
        <w:jc w:val="both"/>
        <w:rPr>
          <w:sz w:val="24"/>
          <w:szCs w:val="24"/>
        </w:rPr>
      </w:pPr>
      <w:r>
        <w:rPr>
          <w:sz w:val="24"/>
          <w:szCs w:val="24"/>
        </w:rPr>
        <w:t xml:space="preserve">Dentre os marcos recentes, destaca-se a instituição da Lei Municipal 18.863/2021, que institui a Política Municipal de Habitação de Interesse Social e os elementos para a elaboração do Plano Local de Habitação de Interesse Social (PLHIS). O art. 2°, inciso I, reafirma “direito à moradia enquanto um direito humano, individual e coletivo, previsto na Declaração Universal dos Direitos Humanos e na Constituição Brasileira de 1988”. Nesse contexto de Recife </w:t>
      </w:r>
      <w:proofErr w:type="gramStart"/>
      <w:r>
        <w:rPr>
          <w:sz w:val="24"/>
          <w:szCs w:val="24"/>
        </w:rPr>
        <w:t>–  onde</w:t>
      </w:r>
      <w:proofErr w:type="gramEnd"/>
      <w:r>
        <w:rPr>
          <w:sz w:val="24"/>
          <w:szCs w:val="24"/>
        </w:rPr>
        <w:t xml:space="preserve"> as enchentes se somam a desigualdades sociais e raciais — essa luta pelo direito à cidade é ainda mais urgente. Apesar da base legal, as políticas públicas têm falhado em responder às necessidades reais da população negra e das comunidades marginalizadas. </w:t>
      </w:r>
    </w:p>
    <w:p w14:paraId="5BDB7874" w14:textId="77777777" w:rsidR="00B94EC3" w:rsidRDefault="00000000">
      <w:pPr>
        <w:spacing w:line="360" w:lineRule="auto"/>
        <w:ind w:left="0" w:hanging="2"/>
        <w:jc w:val="both"/>
        <w:rPr>
          <w:sz w:val="24"/>
          <w:szCs w:val="24"/>
        </w:rPr>
      </w:pPr>
      <w:r>
        <w:rPr>
          <w:sz w:val="24"/>
          <w:szCs w:val="24"/>
        </w:rPr>
        <w:t xml:space="preserve">Desde a década de 1970, enchentes devastadoras expuseram a degradação das ocupações irregulares e a carência de intervenções no sistema hídrico. Em 1973, a Companhia de Desenvolvimento de Pernambuco (CONDEPE) propôs um planejamento macro voltado ao combate à pobreza e à oferta de serviços essenciais. Essa década também foi marcada por mudanças políticas, com a eleição direta do prefeito do Recife após o regime militar, mas a alternância de governos comprometeu a continuidade das ações. Diante das cheias, surgiram mutirões comunitários para reconstrução das moradias, revelando a ausência de respostas estatais efetivas. </w:t>
      </w:r>
    </w:p>
    <w:p w14:paraId="0DA8E4FE" w14:textId="77777777" w:rsidR="00B94EC3" w:rsidRDefault="00000000">
      <w:pPr>
        <w:spacing w:line="360" w:lineRule="auto"/>
        <w:ind w:left="0" w:hanging="2"/>
        <w:jc w:val="both"/>
        <w:rPr>
          <w:sz w:val="24"/>
          <w:szCs w:val="24"/>
        </w:rPr>
      </w:pPr>
      <w:r>
        <w:rPr>
          <w:sz w:val="24"/>
          <w:szCs w:val="24"/>
        </w:rPr>
        <w:t>O Relatório Técnico de Mapeamento de Risco das Encostas Ocupadas do Recife, elaborado em 1993, destacou áreas críticas para deslizamentos nos morros do Recife (Macário, 2011, p. 2). No entanto, apesar da importância desse mapeamento, as informações não se traduziram em ações efetivas.</w:t>
      </w:r>
    </w:p>
    <w:p w14:paraId="23659880" w14:textId="77777777" w:rsidR="00B94EC3" w:rsidRDefault="00000000">
      <w:pPr>
        <w:spacing w:line="360" w:lineRule="auto"/>
        <w:ind w:left="0" w:hanging="2"/>
        <w:jc w:val="both"/>
        <w:rPr>
          <w:sz w:val="24"/>
          <w:szCs w:val="24"/>
        </w:rPr>
      </w:pPr>
      <w:r>
        <w:rPr>
          <w:sz w:val="24"/>
          <w:szCs w:val="24"/>
        </w:rPr>
        <w:t xml:space="preserve">O Programa Parceria nos Morros, iniciado em 1994, pretendia estabelecer uma colaboração entre a Prefeitura e as comunidades, oferecendo material e suporte técnico para contenções de encostas (Carvalho e Machado, 2024, p. 34). Contudo, essa participação comunitária é limitada, já que as decisões sobre infraestrutura e segurança são tomadas em esferas distantes da realidade local, além de significar a desresponsabilização do Estado na realização dos serviços. Tal mudança na lógica </w:t>
      </w:r>
      <w:r>
        <w:rPr>
          <w:sz w:val="24"/>
          <w:szCs w:val="24"/>
        </w:rPr>
        <w:lastRenderedPageBreak/>
        <w:t>administrativa transfere responsabilidades excessivas aos moradores sem garantir os recursos necessários para efetivar soluções duradouras, perpetuando a sensação de alienação e desconfiança entre eles.</w:t>
      </w:r>
    </w:p>
    <w:p w14:paraId="0B983122" w14:textId="77777777" w:rsidR="00B94EC3" w:rsidRDefault="00000000">
      <w:pPr>
        <w:spacing w:line="360" w:lineRule="auto"/>
        <w:ind w:left="0" w:hanging="2"/>
        <w:jc w:val="both"/>
        <w:rPr>
          <w:sz w:val="24"/>
          <w:szCs w:val="24"/>
        </w:rPr>
      </w:pPr>
      <w:r>
        <w:rPr>
          <w:sz w:val="24"/>
          <w:szCs w:val="24"/>
        </w:rPr>
        <w:t>Outro exemplo que pode ser dado é o Decreto Municipal 25.549, de 2010, que autorizou a concessão de benefícios a famílias afetadas, priorizando o apoio a mulheres em situação de vulnerabilidade, que, além de ser uma política focalizada direcionada para poucas pessoas e não para a totalidade de afetados, não oferece medidas adequadas para a realidade. Tais ações com frequência se mostram insuficientes diante da magnitude dos problemas enfrentados.</w:t>
      </w:r>
    </w:p>
    <w:p w14:paraId="68A19587" w14:textId="77777777" w:rsidR="00B94EC3" w:rsidRDefault="00000000">
      <w:pPr>
        <w:spacing w:line="360" w:lineRule="auto"/>
        <w:ind w:left="0" w:hanging="2"/>
        <w:jc w:val="both"/>
        <w:rPr>
          <w:sz w:val="24"/>
          <w:szCs w:val="24"/>
        </w:rPr>
      </w:pPr>
      <w:r>
        <w:rPr>
          <w:sz w:val="24"/>
          <w:szCs w:val="24"/>
        </w:rPr>
        <w:t>A reestruturação da Coordenação de Defesa Civil do Recife (CODECIR) em 2011 representou um marco; no entanto, as dificuldades persistiram e não alteraram significativamente o cotidiano e a realidade das comunidades afetadas. O Programa Guarda-Chuva, também iniciado neste ano, propunha uma abordagem multidisciplinar que incluía controle urbano preventivo e a participação popular (Macário, 2011, p. 2).</w:t>
      </w:r>
    </w:p>
    <w:p w14:paraId="19F25461" w14:textId="77777777" w:rsidR="00B94EC3" w:rsidRDefault="00000000">
      <w:pPr>
        <w:spacing w:line="360" w:lineRule="auto"/>
        <w:ind w:left="0" w:hanging="2"/>
        <w:jc w:val="both"/>
        <w:rPr>
          <w:sz w:val="24"/>
          <w:szCs w:val="24"/>
        </w:rPr>
      </w:pPr>
      <w:r>
        <w:rPr>
          <w:sz w:val="24"/>
          <w:szCs w:val="24"/>
        </w:rPr>
        <w:t>Programas como o Mais Vida nos Morros, de 2016, e o Programa de Encostas, de 2022 — este último especificamente lançado um mês antes da tragédia das enchentes de maio de 2022 — visam à busca por melhorias urbanas, porém, são continuamente ativados apenas em momentos de crise, refletindo uma gestão reativa em vez de proativa. Uma das medidas previstas pelo Programa de Encostas é “[...] substituir lonas plásticas por muros de arrimos e telas argamassadas” (Carvalho; Machado, 2024), entretanto, a dependência de consultorias externas e a complexidade na implementação de políticas desviam a atenção das necessidades concretas da população, dificultando um diálogo efetivo entre governo e comunidade. Para além disso, as ações de macrodrenagem, necessárias para mitigar os riscos de inundações, requerem altos investimentos e podem gerar sérias consequências, como a gentrificação e a remoção de comunidades que já enfrentam condições desiguais.</w:t>
      </w:r>
    </w:p>
    <w:p w14:paraId="009BDC24" w14:textId="77777777" w:rsidR="00B94EC3" w:rsidRDefault="00000000">
      <w:pPr>
        <w:spacing w:line="360" w:lineRule="auto"/>
        <w:ind w:left="0" w:hanging="2"/>
        <w:jc w:val="both"/>
        <w:rPr>
          <w:sz w:val="24"/>
          <w:szCs w:val="24"/>
        </w:rPr>
      </w:pPr>
      <w:r>
        <w:rPr>
          <w:sz w:val="24"/>
          <w:szCs w:val="24"/>
        </w:rPr>
        <w:t xml:space="preserve">A história das enchentes em Recife — desde a tragédia de 1975 até os eventos mais recentes, como a catástrofe de 2022 — revela uma tendência preocupante: o governo municipal frequentemente responde às crises com medidas emergenciais e </w:t>
      </w:r>
      <w:r>
        <w:rPr>
          <w:sz w:val="24"/>
          <w:szCs w:val="24"/>
        </w:rPr>
        <w:lastRenderedPageBreak/>
        <w:t xml:space="preserve">amenizadoras, como por exemplo, a construção de barragens de retenção. Embora iniciativas como a construção das barragens sejam consideradas políticas de mitigação importantes após grandes cheias, elas acabam sendo paliativas e não consideram as complexidades sociais envolvidas. </w:t>
      </w:r>
    </w:p>
    <w:p w14:paraId="76590ED1" w14:textId="77777777" w:rsidR="00B94EC3" w:rsidRDefault="00000000">
      <w:pPr>
        <w:spacing w:line="360" w:lineRule="auto"/>
        <w:ind w:left="0" w:hanging="2"/>
        <w:jc w:val="both"/>
        <w:rPr>
          <w:sz w:val="24"/>
          <w:szCs w:val="24"/>
        </w:rPr>
      </w:pPr>
      <w:r>
        <w:rPr>
          <w:sz w:val="24"/>
          <w:szCs w:val="24"/>
        </w:rPr>
        <w:t>Além disso, observa-se que muitas das políticas implementadas parecem ser mais políticas de governo do que políticas efetivas de Estado. Essa distinção é crucial porque gera descontinuidades nas ações ao longo dos anos além da falta de transparência e acesso à informação; mudanças administrativas resultam em interrupções ou alterações significativas nas iniciativas anteriores.</w:t>
      </w:r>
    </w:p>
    <w:p w14:paraId="519A5B8A" w14:textId="77777777" w:rsidR="00B94EC3" w:rsidRDefault="00000000">
      <w:pPr>
        <w:spacing w:line="360" w:lineRule="auto"/>
        <w:ind w:left="0" w:hanging="2"/>
        <w:jc w:val="both"/>
        <w:rPr>
          <w:sz w:val="24"/>
          <w:szCs w:val="24"/>
        </w:rPr>
      </w:pPr>
      <w:r>
        <w:rPr>
          <w:sz w:val="24"/>
          <w:szCs w:val="24"/>
        </w:rPr>
        <w:t xml:space="preserve">A Lei Municipal 18.958, aprovada em 2022, para benefícios eventuais no âmbito da política municipal de assistência social durante estados emergenciais ou calamidade pública, apresenta critérios restritivos — como renda per capita limitada — que não atendem adequadamente às necessidades das famílias afetadas por desastres naturais. </w:t>
      </w:r>
    </w:p>
    <w:p w14:paraId="29B6AD01" w14:textId="77777777" w:rsidR="00B94EC3" w:rsidRDefault="00000000">
      <w:pPr>
        <w:spacing w:line="360" w:lineRule="auto"/>
        <w:ind w:left="0" w:hanging="2"/>
        <w:jc w:val="both"/>
        <w:rPr>
          <w:sz w:val="24"/>
          <w:szCs w:val="24"/>
        </w:rPr>
      </w:pPr>
      <w:r>
        <w:rPr>
          <w:sz w:val="24"/>
          <w:szCs w:val="24"/>
        </w:rPr>
        <w:t xml:space="preserve">Embora haja um arcabouço legislativo que reconheça os direitos à moradia e à assistência social em situações emergenciais, as ações implementadas revelam-se insuficientes diante da magnitude dos problemas enfrentados pelas comunidades mais vulneráveis no Recife. As políticas públicas precisam ser reavaliadas não apenas em termos técnicos ou financeiros, mas também sob uma perspectiva crítica que reconheça as desigualdades raciais e sociais existentes na cidade, afinal, ao exercer “[...] seu caráter </w:t>
      </w:r>
      <w:proofErr w:type="spellStart"/>
      <w:r>
        <w:rPr>
          <w:sz w:val="24"/>
          <w:szCs w:val="24"/>
        </w:rPr>
        <w:t>proclamadamente</w:t>
      </w:r>
      <w:proofErr w:type="spellEnd"/>
      <w:r>
        <w:rPr>
          <w:sz w:val="24"/>
          <w:szCs w:val="24"/>
        </w:rPr>
        <w:t xml:space="preserve"> </w:t>
      </w:r>
      <w:proofErr w:type="spellStart"/>
      <w:r>
        <w:rPr>
          <w:sz w:val="24"/>
          <w:szCs w:val="24"/>
        </w:rPr>
        <w:t>antirracialista</w:t>
      </w:r>
      <w:proofErr w:type="spellEnd"/>
      <w:r>
        <w:rPr>
          <w:sz w:val="24"/>
          <w:szCs w:val="24"/>
        </w:rPr>
        <w:t>: ao não reconhecer a raça como um operador de desigualdade social, esse modo de funcionamento estatal perpetua, justamente, o racismo e a branquidade do Estado” (</w:t>
      </w:r>
      <w:proofErr w:type="spellStart"/>
      <w:r>
        <w:rPr>
          <w:sz w:val="24"/>
          <w:szCs w:val="24"/>
        </w:rPr>
        <w:t>Paterniani</w:t>
      </w:r>
      <w:proofErr w:type="spellEnd"/>
      <w:r>
        <w:rPr>
          <w:sz w:val="24"/>
          <w:szCs w:val="24"/>
        </w:rPr>
        <w:t>, 2016, p. 10).</w:t>
      </w:r>
    </w:p>
    <w:p w14:paraId="6017BA1B" w14:textId="77777777" w:rsidR="00B94EC3" w:rsidRDefault="00000000">
      <w:pPr>
        <w:spacing w:line="360" w:lineRule="auto"/>
        <w:ind w:left="0" w:hanging="2"/>
        <w:jc w:val="both"/>
        <w:rPr>
          <w:sz w:val="24"/>
          <w:szCs w:val="24"/>
        </w:rPr>
      </w:pPr>
      <w:r>
        <w:rPr>
          <w:sz w:val="24"/>
          <w:szCs w:val="24"/>
        </w:rPr>
        <w:t xml:space="preserve">As intervenções urbanas no município tendem a ser reativas, focando em soluções imediatas sem considerar um planejamento sustentável que envolva ativamente os moradores na </w:t>
      </w:r>
      <w:proofErr w:type="spellStart"/>
      <w:r>
        <w:rPr>
          <w:sz w:val="24"/>
          <w:szCs w:val="24"/>
        </w:rPr>
        <w:t>co-criação</w:t>
      </w:r>
      <w:proofErr w:type="spellEnd"/>
      <w:r>
        <w:rPr>
          <w:sz w:val="24"/>
          <w:szCs w:val="24"/>
        </w:rPr>
        <w:t xml:space="preserve"> dessas soluções necessárias para suas vidas cotidianas. </w:t>
      </w:r>
    </w:p>
    <w:p w14:paraId="094B873D" w14:textId="77777777" w:rsidR="00B94EC3" w:rsidRDefault="00B94EC3">
      <w:pPr>
        <w:spacing w:line="360" w:lineRule="auto"/>
        <w:ind w:left="0" w:hanging="2"/>
        <w:jc w:val="both"/>
        <w:rPr>
          <w:sz w:val="24"/>
          <w:szCs w:val="24"/>
          <w:highlight w:val="white"/>
        </w:rPr>
      </w:pPr>
    </w:p>
    <w:p w14:paraId="318FD214" w14:textId="77777777" w:rsidR="00B94EC3" w:rsidRDefault="00000000">
      <w:pPr>
        <w:spacing w:line="360" w:lineRule="auto"/>
        <w:ind w:left="0" w:hanging="2"/>
        <w:jc w:val="both"/>
        <w:rPr>
          <w:sz w:val="24"/>
          <w:szCs w:val="24"/>
          <w:highlight w:val="white"/>
        </w:rPr>
      </w:pPr>
      <w:r>
        <w:rPr>
          <w:b/>
          <w:sz w:val="24"/>
          <w:szCs w:val="24"/>
          <w:highlight w:val="white"/>
        </w:rPr>
        <w:t>3</w:t>
      </w:r>
      <w:r>
        <w:rPr>
          <w:b/>
          <w:sz w:val="24"/>
          <w:szCs w:val="24"/>
          <w:highlight w:val="white"/>
        </w:rPr>
        <w:tab/>
        <w:t>CONCLUSÃO</w:t>
      </w:r>
    </w:p>
    <w:p w14:paraId="757B1577" w14:textId="77777777" w:rsidR="00B94EC3" w:rsidRDefault="00B94EC3">
      <w:pPr>
        <w:spacing w:line="360" w:lineRule="auto"/>
        <w:ind w:left="0" w:hanging="2"/>
        <w:rPr>
          <w:sz w:val="24"/>
          <w:szCs w:val="24"/>
          <w:highlight w:val="yellow"/>
        </w:rPr>
      </w:pPr>
    </w:p>
    <w:p w14:paraId="0DF36C05" w14:textId="77777777" w:rsidR="00B94EC3" w:rsidRDefault="00000000">
      <w:pPr>
        <w:spacing w:line="360" w:lineRule="auto"/>
        <w:ind w:left="0" w:hanging="2"/>
        <w:jc w:val="both"/>
        <w:rPr>
          <w:sz w:val="24"/>
          <w:szCs w:val="24"/>
        </w:rPr>
      </w:pPr>
      <w:r>
        <w:rPr>
          <w:sz w:val="24"/>
          <w:szCs w:val="24"/>
        </w:rPr>
        <w:lastRenderedPageBreak/>
        <w:t xml:space="preserve">Tendo em vista todos os dados e argumentos apresentados, fica evidente a formação histórica de um Estado racista, onde a produção de políticas públicas para os grupos </w:t>
      </w:r>
      <w:proofErr w:type="spellStart"/>
      <w:r>
        <w:rPr>
          <w:sz w:val="24"/>
          <w:szCs w:val="24"/>
        </w:rPr>
        <w:t>minorizados</w:t>
      </w:r>
      <w:proofErr w:type="spellEnd"/>
      <w:r>
        <w:rPr>
          <w:sz w:val="24"/>
          <w:szCs w:val="24"/>
        </w:rPr>
        <w:t xml:space="preserve"> é realizada sob muitos tensionamentos dos movimentos sociais organizados e a população civil. É notória a responsabilidade do Estado na continuidade e preservação de políticas racistas, quando ele não opta por um enfrentamento eficaz da </w:t>
      </w:r>
      <w:proofErr w:type="gramStart"/>
      <w:r>
        <w:rPr>
          <w:sz w:val="24"/>
          <w:szCs w:val="24"/>
        </w:rPr>
        <w:t>descriminação</w:t>
      </w:r>
      <w:proofErr w:type="gramEnd"/>
      <w:r>
        <w:rPr>
          <w:sz w:val="24"/>
          <w:szCs w:val="24"/>
        </w:rPr>
        <w:t xml:space="preserve"> racial.</w:t>
      </w:r>
    </w:p>
    <w:p w14:paraId="4E83C3F9" w14:textId="77777777" w:rsidR="00B94EC3" w:rsidRDefault="00000000">
      <w:pPr>
        <w:spacing w:line="360" w:lineRule="auto"/>
        <w:ind w:left="0" w:hanging="2"/>
        <w:jc w:val="both"/>
        <w:rPr>
          <w:sz w:val="24"/>
          <w:szCs w:val="24"/>
          <w:highlight w:val="yellow"/>
        </w:rPr>
      </w:pPr>
      <w:r>
        <w:rPr>
          <w:sz w:val="24"/>
          <w:szCs w:val="24"/>
        </w:rPr>
        <w:t>As ações do Estado nas políticas de mitigação de riscos em Recife, desde a promulgação da Constituição de 1988, revelam um quadro alarmante de ineficácia e descompasso entre a legislação e sua aplicação prática. A crítica à lógica administrativa vigente é pertinente: ao transferir responsabilidades às comunidades sem garantir os recursos necessários, o Estado não apenas ignora as especificidades locais, mas também deslegitima a participação popular. Essa desconexão entre as políticas públicas e as realidades enfrentadas pelos cidadãos evidencia a necessidade urgente de um novo paradigma. A implementação de políticas que considerem as complexidades sociais e históricas do Recife é essencial para garantir que espaços como as áreas de risco sejam transformados adequadamente para que seus habitantes possam viver plenamente suas vidas urbanas, usufruindo dos direitos fundamentais que lhes são garantidos por lei. Assim, é imperativo que as políticas de mitigação de riscos sejam pensadas como políticas de Estado e não de governos, para haver uma atuação efetiva sobre as desigualdades que permeiam a cidade e perpetuam a branquidade do Estado em suas políticas.</w:t>
      </w:r>
    </w:p>
    <w:p w14:paraId="3001FE3A" w14:textId="77777777" w:rsidR="00B94EC3" w:rsidRDefault="00B94EC3">
      <w:pPr>
        <w:spacing w:line="360" w:lineRule="auto"/>
        <w:ind w:left="0" w:hanging="2"/>
        <w:jc w:val="center"/>
        <w:rPr>
          <w:sz w:val="24"/>
          <w:szCs w:val="24"/>
          <w:highlight w:val="yellow"/>
        </w:rPr>
      </w:pPr>
    </w:p>
    <w:p w14:paraId="5782B795" w14:textId="77777777" w:rsidR="00B94EC3" w:rsidRDefault="00000000">
      <w:pPr>
        <w:spacing w:line="360" w:lineRule="auto"/>
        <w:ind w:left="0" w:hanging="2"/>
        <w:jc w:val="center"/>
        <w:rPr>
          <w:sz w:val="24"/>
          <w:szCs w:val="24"/>
          <w:highlight w:val="white"/>
        </w:rPr>
      </w:pPr>
      <w:r>
        <w:rPr>
          <w:b/>
          <w:sz w:val="24"/>
          <w:szCs w:val="24"/>
          <w:highlight w:val="white"/>
        </w:rPr>
        <w:t xml:space="preserve">REFERÊNCIAS </w:t>
      </w:r>
    </w:p>
    <w:p w14:paraId="4CC9B807" w14:textId="77777777" w:rsidR="00B94EC3" w:rsidRDefault="00000000">
      <w:pPr>
        <w:spacing w:line="240" w:lineRule="auto"/>
        <w:ind w:left="0" w:hanging="2"/>
        <w:rPr>
          <w:sz w:val="24"/>
          <w:szCs w:val="24"/>
          <w:highlight w:val="white"/>
        </w:rPr>
      </w:pPr>
      <w:r>
        <w:rPr>
          <w:sz w:val="24"/>
          <w:szCs w:val="24"/>
          <w:highlight w:val="white"/>
        </w:rPr>
        <w:t xml:space="preserve">ALEPE – Assembleia Legislativa do Estado de Pernambuco. </w:t>
      </w:r>
      <w:r>
        <w:rPr>
          <w:b/>
          <w:sz w:val="24"/>
          <w:szCs w:val="24"/>
          <w:highlight w:val="white"/>
        </w:rPr>
        <w:t>Dossiê alerta para risco de novas tragédias climáticas em Pernambuco</w:t>
      </w:r>
      <w:r>
        <w:rPr>
          <w:sz w:val="24"/>
          <w:szCs w:val="24"/>
          <w:highlight w:val="white"/>
        </w:rPr>
        <w:t xml:space="preserve">. 2022. Disponível em: </w:t>
      </w:r>
      <w:hyperlink r:id="rId7">
        <w:r>
          <w:rPr>
            <w:color w:val="1155CC"/>
            <w:sz w:val="24"/>
            <w:szCs w:val="24"/>
            <w:highlight w:val="white"/>
            <w:u w:val="single"/>
          </w:rPr>
          <w:t>https://www.alepe.pe.gov.br/2022/12/06/dossie-alerta-para-risco-de-novas-tragedias-climaticas-em-pernambuco/.</w:t>
        </w:r>
      </w:hyperlink>
      <w:r>
        <w:rPr>
          <w:sz w:val="24"/>
          <w:szCs w:val="24"/>
          <w:highlight w:val="white"/>
        </w:rPr>
        <w:t xml:space="preserve"> Acesso em: 27 jun. 2025.</w:t>
      </w:r>
    </w:p>
    <w:p w14:paraId="71A5C9C5" w14:textId="77777777" w:rsidR="00B94EC3" w:rsidRDefault="00B94EC3">
      <w:pPr>
        <w:spacing w:line="240" w:lineRule="auto"/>
        <w:ind w:left="0" w:hanging="2"/>
        <w:rPr>
          <w:sz w:val="24"/>
          <w:szCs w:val="24"/>
          <w:highlight w:val="white"/>
        </w:rPr>
      </w:pPr>
    </w:p>
    <w:p w14:paraId="003A739F" w14:textId="77777777" w:rsidR="00B94EC3" w:rsidRDefault="00000000">
      <w:pPr>
        <w:spacing w:line="240" w:lineRule="auto"/>
        <w:ind w:left="0" w:hanging="2"/>
        <w:rPr>
          <w:sz w:val="24"/>
          <w:szCs w:val="24"/>
          <w:highlight w:val="white"/>
        </w:rPr>
      </w:pPr>
      <w:r>
        <w:rPr>
          <w:sz w:val="24"/>
          <w:szCs w:val="24"/>
          <w:highlight w:val="white"/>
        </w:rPr>
        <w:t xml:space="preserve">BRASIL. Constituição (1934). </w:t>
      </w:r>
      <w:r>
        <w:rPr>
          <w:b/>
          <w:sz w:val="24"/>
          <w:szCs w:val="24"/>
          <w:highlight w:val="white"/>
        </w:rPr>
        <w:t xml:space="preserve">Constituição da República dos Estados Unidos do Brasil. </w:t>
      </w:r>
      <w:r>
        <w:rPr>
          <w:sz w:val="24"/>
          <w:szCs w:val="24"/>
          <w:highlight w:val="white"/>
        </w:rPr>
        <w:t xml:space="preserve">Rio de Janeiro, 1934. Disponível em: </w:t>
      </w:r>
      <w:hyperlink r:id="rId8">
        <w:r>
          <w:rPr>
            <w:color w:val="1155CC"/>
            <w:sz w:val="24"/>
            <w:szCs w:val="24"/>
            <w:highlight w:val="white"/>
            <w:u w:val="single"/>
          </w:rPr>
          <w:t>http://www.planalto.gov.br/ccivil_03/constituicao/constituicao34.htm.</w:t>
        </w:r>
      </w:hyperlink>
      <w:r>
        <w:rPr>
          <w:sz w:val="24"/>
          <w:szCs w:val="24"/>
          <w:highlight w:val="white"/>
        </w:rPr>
        <w:t xml:space="preserve"> Acesso em: 01 out. 2024.</w:t>
      </w:r>
    </w:p>
    <w:p w14:paraId="5D724159" w14:textId="77777777" w:rsidR="00B94EC3" w:rsidRDefault="00B94EC3">
      <w:pPr>
        <w:spacing w:line="240" w:lineRule="auto"/>
        <w:ind w:left="0" w:hanging="2"/>
        <w:rPr>
          <w:sz w:val="24"/>
          <w:szCs w:val="24"/>
          <w:highlight w:val="white"/>
        </w:rPr>
      </w:pPr>
    </w:p>
    <w:p w14:paraId="0341E215" w14:textId="77777777" w:rsidR="00B94EC3" w:rsidRDefault="00000000">
      <w:pPr>
        <w:spacing w:line="240" w:lineRule="auto"/>
        <w:ind w:left="0" w:hanging="2"/>
        <w:rPr>
          <w:sz w:val="24"/>
          <w:szCs w:val="24"/>
          <w:highlight w:val="white"/>
        </w:rPr>
      </w:pPr>
      <w:r>
        <w:rPr>
          <w:sz w:val="24"/>
          <w:szCs w:val="24"/>
          <w:highlight w:val="white"/>
        </w:rPr>
        <w:t xml:space="preserve">BRASIL. </w:t>
      </w:r>
      <w:r>
        <w:rPr>
          <w:b/>
          <w:sz w:val="24"/>
          <w:szCs w:val="24"/>
          <w:highlight w:val="white"/>
        </w:rPr>
        <w:t>Decreto-lei nº 7.967, de 18 de setembro de 1945.</w:t>
      </w:r>
      <w:r>
        <w:rPr>
          <w:sz w:val="24"/>
          <w:szCs w:val="24"/>
          <w:highlight w:val="white"/>
        </w:rPr>
        <w:t xml:space="preserve"> Dispõe sobre a Imigração e Colonização, e dá outras providências. Disponível em: </w:t>
      </w:r>
      <w:hyperlink r:id="rId9">
        <w:r>
          <w:rPr>
            <w:color w:val="1155CC"/>
            <w:sz w:val="24"/>
            <w:szCs w:val="24"/>
            <w:highlight w:val="white"/>
            <w:u w:val="single"/>
          </w:rPr>
          <w:t>http://www.planalto.gov.br/ccivil_03/decreto-lei/1937-1946/Del7967.htm.</w:t>
        </w:r>
      </w:hyperlink>
      <w:r>
        <w:rPr>
          <w:sz w:val="24"/>
          <w:szCs w:val="24"/>
          <w:highlight w:val="white"/>
        </w:rPr>
        <w:t xml:space="preserve"> Acesso em: 01 out. 2024.</w:t>
      </w:r>
    </w:p>
    <w:p w14:paraId="118AECF7" w14:textId="77777777" w:rsidR="00B94EC3" w:rsidRDefault="00B94EC3">
      <w:pPr>
        <w:spacing w:line="240" w:lineRule="auto"/>
        <w:ind w:left="0" w:hanging="2"/>
        <w:rPr>
          <w:sz w:val="24"/>
          <w:szCs w:val="24"/>
          <w:highlight w:val="white"/>
        </w:rPr>
      </w:pPr>
    </w:p>
    <w:p w14:paraId="19B16F17" w14:textId="77777777" w:rsidR="00B94EC3" w:rsidRDefault="00000000">
      <w:pPr>
        <w:spacing w:line="240" w:lineRule="auto"/>
        <w:ind w:left="0" w:hanging="2"/>
        <w:rPr>
          <w:sz w:val="24"/>
          <w:szCs w:val="24"/>
          <w:highlight w:val="white"/>
        </w:rPr>
      </w:pPr>
      <w:r>
        <w:rPr>
          <w:sz w:val="24"/>
          <w:szCs w:val="24"/>
          <w:highlight w:val="white"/>
        </w:rPr>
        <w:t xml:space="preserve">CARVALHO, T. K. S.; MACHADO, M. R. I. M. O fantasma da cheia de 1975 desliza em 2022: Políticas públicas para a gestão de riscos socioambientais em Recife. </w:t>
      </w:r>
      <w:r>
        <w:rPr>
          <w:b/>
          <w:sz w:val="24"/>
          <w:szCs w:val="24"/>
          <w:highlight w:val="white"/>
        </w:rPr>
        <w:t>Revista Rural &amp; Urbano</w:t>
      </w:r>
      <w:r>
        <w:rPr>
          <w:sz w:val="24"/>
          <w:szCs w:val="24"/>
          <w:highlight w:val="white"/>
        </w:rPr>
        <w:t xml:space="preserve">, v. 9, n. 1, 2024. Disponível em: </w:t>
      </w:r>
      <w:hyperlink r:id="rId10">
        <w:r>
          <w:rPr>
            <w:color w:val="1155CC"/>
            <w:sz w:val="24"/>
            <w:szCs w:val="24"/>
            <w:highlight w:val="white"/>
            <w:u w:val="single"/>
          </w:rPr>
          <w:t>https://doi.org/10.51359/2525-6092.2024.262026.</w:t>
        </w:r>
      </w:hyperlink>
      <w:r>
        <w:rPr>
          <w:sz w:val="24"/>
          <w:szCs w:val="24"/>
          <w:highlight w:val="white"/>
        </w:rPr>
        <w:t xml:space="preserve"> Acesso em: 07 out. 2024.</w:t>
      </w:r>
    </w:p>
    <w:p w14:paraId="46FF880B" w14:textId="77777777" w:rsidR="00B94EC3" w:rsidRDefault="00B94EC3">
      <w:pPr>
        <w:spacing w:line="240" w:lineRule="auto"/>
        <w:ind w:left="0" w:hanging="2"/>
        <w:rPr>
          <w:sz w:val="24"/>
          <w:szCs w:val="24"/>
          <w:highlight w:val="white"/>
        </w:rPr>
      </w:pPr>
    </w:p>
    <w:p w14:paraId="5412DACC" w14:textId="77777777" w:rsidR="00B94EC3" w:rsidRDefault="00000000">
      <w:pPr>
        <w:spacing w:line="240" w:lineRule="auto"/>
        <w:ind w:left="0" w:hanging="2"/>
        <w:rPr>
          <w:sz w:val="24"/>
          <w:szCs w:val="24"/>
          <w:highlight w:val="white"/>
        </w:rPr>
      </w:pPr>
      <w:r>
        <w:rPr>
          <w:sz w:val="24"/>
          <w:szCs w:val="24"/>
          <w:highlight w:val="white"/>
        </w:rPr>
        <w:t xml:space="preserve">FERNANDES, E. Política urbana na Constituição Federal de 1988 e além: implementando a agenda da reforma urbana no Brasil. </w:t>
      </w:r>
      <w:r>
        <w:rPr>
          <w:b/>
          <w:sz w:val="24"/>
          <w:szCs w:val="24"/>
          <w:highlight w:val="white"/>
        </w:rPr>
        <w:t>Fórum de Direito Urbano e Ambiental</w:t>
      </w:r>
      <w:r>
        <w:rPr>
          <w:sz w:val="24"/>
          <w:szCs w:val="24"/>
          <w:highlight w:val="white"/>
        </w:rPr>
        <w:t xml:space="preserve">, Belo Horizonte, v. 7, n. 42, nov. 2008. Disponível em: </w:t>
      </w:r>
      <w:hyperlink r:id="rId11">
        <w:r>
          <w:rPr>
            <w:color w:val="1155CC"/>
            <w:sz w:val="24"/>
            <w:szCs w:val="24"/>
            <w:highlight w:val="white"/>
            <w:u w:val="single"/>
          </w:rPr>
          <w:t>https://www12.senado.leg.br/publicacoes/estudos-legislativos/tipos-de-estudos/outras-publicacoes/volume-iv-constituicao-de-1988-o-brasil-20-anos-depois.-estado-e-economia-em-vinte-anos-de-mudancas/politica-urbana-agricola-e-fundiaria-politica-urbana-na-constituicao-federal-de-1988-e-alem-implementando-a-agenda-da-reforma-urbana-no-brasil.</w:t>
        </w:r>
      </w:hyperlink>
      <w:r>
        <w:rPr>
          <w:sz w:val="24"/>
          <w:szCs w:val="24"/>
          <w:highlight w:val="white"/>
        </w:rPr>
        <w:t xml:space="preserve"> Acesso em: 16 ago. 2024.</w:t>
      </w:r>
    </w:p>
    <w:p w14:paraId="7260A4EA" w14:textId="77777777" w:rsidR="00B94EC3" w:rsidRDefault="00B94EC3">
      <w:pPr>
        <w:spacing w:line="240" w:lineRule="auto"/>
        <w:ind w:left="0" w:hanging="2"/>
        <w:rPr>
          <w:sz w:val="24"/>
          <w:szCs w:val="24"/>
          <w:highlight w:val="white"/>
        </w:rPr>
      </w:pPr>
    </w:p>
    <w:p w14:paraId="00A398ED" w14:textId="77777777" w:rsidR="00B94EC3" w:rsidRDefault="00000000">
      <w:pPr>
        <w:spacing w:line="240" w:lineRule="auto"/>
        <w:ind w:left="0" w:hanging="2"/>
        <w:rPr>
          <w:sz w:val="24"/>
          <w:szCs w:val="24"/>
          <w:highlight w:val="white"/>
        </w:rPr>
      </w:pPr>
      <w:r>
        <w:rPr>
          <w:sz w:val="24"/>
          <w:szCs w:val="24"/>
          <w:highlight w:val="white"/>
        </w:rPr>
        <w:t xml:space="preserve">GEMAA/IESP-UERJ. </w:t>
      </w:r>
      <w:r>
        <w:rPr>
          <w:b/>
          <w:sz w:val="24"/>
          <w:szCs w:val="24"/>
          <w:highlight w:val="white"/>
        </w:rPr>
        <w:t>Legislação antirracista.</w:t>
      </w:r>
      <w:r>
        <w:rPr>
          <w:sz w:val="24"/>
          <w:szCs w:val="24"/>
          <w:highlight w:val="white"/>
        </w:rPr>
        <w:t xml:space="preserve"> Rio de Janeiro. Disponível em: </w:t>
      </w:r>
      <w:hyperlink r:id="rId12" w:anchor=":~:text=A%20lei%20n%C2%BA%209.459%2C%20de,etnia%2C%20religi%C3%A3o%20ou%20proced%C3%AAncia%20nacional">
        <w:r>
          <w:rPr>
            <w:color w:val="1155CC"/>
            <w:sz w:val="24"/>
            <w:szCs w:val="24"/>
            <w:highlight w:val="white"/>
            <w:u w:val="single"/>
          </w:rPr>
          <w:t>https://gemaa.iesp.uerj.br/legislacao-anti-racista/#:~:text=A%20lei%20n%C2%BA%209.459%2C%20de,etnia%2C%20religi%C3%A3o%20ou%20proced%C3%AAncia%20nacional.</w:t>
        </w:r>
      </w:hyperlink>
      <w:r>
        <w:rPr>
          <w:sz w:val="24"/>
          <w:szCs w:val="24"/>
          <w:highlight w:val="white"/>
        </w:rPr>
        <w:t xml:space="preserve"> Acesso em: 21 out. 2024.</w:t>
      </w:r>
    </w:p>
    <w:p w14:paraId="1F2E6F93" w14:textId="77777777" w:rsidR="00B94EC3" w:rsidRDefault="00B94EC3">
      <w:pPr>
        <w:spacing w:line="240" w:lineRule="auto"/>
        <w:ind w:left="0" w:hanging="2"/>
        <w:rPr>
          <w:sz w:val="24"/>
          <w:szCs w:val="24"/>
          <w:highlight w:val="white"/>
        </w:rPr>
      </w:pPr>
    </w:p>
    <w:p w14:paraId="537B2C13" w14:textId="77777777" w:rsidR="00B94EC3" w:rsidRDefault="00000000">
      <w:pPr>
        <w:spacing w:line="240" w:lineRule="auto"/>
        <w:ind w:left="0" w:hanging="2"/>
        <w:rPr>
          <w:sz w:val="24"/>
          <w:szCs w:val="24"/>
          <w:highlight w:val="white"/>
        </w:rPr>
      </w:pPr>
      <w:r>
        <w:rPr>
          <w:sz w:val="24"/>
          <w:szCs w:val="24"/>
          <w:highlight w:val="white"/>
        </w:rPr>
        <w:t xml:space="preserve">GONZALEZ, L.; HASENBALG, C. </w:t>
      </w:r>
      <w:r>
        <w:rPr>
          <w:b/>
          <w:sz w:val="24"/>
          <w:szCs w:val="24"/>
          <w:highlight w:val="white"/>
        </w:rPr>
        <w:t>Lugar de negro.</w:t>
      </w:r>
      <w:r>
        <w:rPr>
          <w:sz w:val="24"/>
          <w:szCs w:val="24"/>
          <w:highlight w:val="white"/>
        </w:rPr>
        <w:t xml:space="preserve"> Rio de Janeiro: Marco Zero, 1982.</w:t>
      </w:r>
    </w:p>
    <w:p w14:paraId="3756B9CB" w14:textId="77777777" w:rsidR="00B94EC3" w:rsidRDefault="00B94EC3">
      <w:pPr>
        <w:spacing w:line="240" w:lineRule="auto"/>
        <w:ind w:left="0" w:hanging="2"/>
        <w:rPr>
          <w:sz w:val="24"/>
          <w:szCs w:val="24"/>
          <w:highlight w:val="white"/>
        </w:rPr>
      </w:pPr>
    </w:p>
    <w:p w14:paraId="15227DA9" w14:textId="77777777" w:rsidR="00B94EC3" w:rsidRDefault="00000000">
      <w:pPr>
        <w:spacing w:line="240" w:lineRule="auto"/>
        <w:ind w:left="0" w:hanging="2"/>
        <w:rPr>
          <w:sz w:val="24"/>
          <w:szCs w:val="24"/>
          <w:highlight w:val="white"/>
        </w:rPr>
      </w:pPr>
      <w:r>
        <w:rPr>
          <w:sz w:val="24"/>
          <w:szCs w:val="24"/>
          <w:highlight w:val="white"/>
        </w:rPr>
        <w:t xml:space="preserve">IBGE – Instituto Brasileiro de Geografia e Estatística. </w:t>
      </w:r>
      <w:r>
        <w:rPr>
          <w:b/>
          <w:sz w:val="24"/>
          <w:szCs w:val="24"/>
          <w:highlight w:val="white"/>
        </w:rPr>
        <w:t>Desigualdades sociais por cor ou raça no Brasil.</w:t>
      </w:r>
      <w:r>
        <w:rPr>
          <w:sz w:val="24"/>
          <w:szCs w:val="24"/>
          <w:highlight w:val="white"/>
        </w:rPr>
        <w:t xml:space="preserve"> Estudos e Pesquisas. Informação Demográfica e Socioeconômica, n. 41, 2019. Disponível em: </w:t>
      </w:r>
      <w:hyperlink r:id="rId13">
        <w:r>
          <w:rPr>
            <w:color w:val="1155CC"/>
            <w:sz w:val="24"/>
            <w:szCs w:val="24"/>
            <w:highlight w:val="white"/>
            <w:u w:val="single"/>
          </w:rPr>
          <w:t>https://biblioteca.ibge.gov.br/index.php/biblioteca-catalogo?view=detalhes&amp;id=2101681.</w:t>
        </w:r>
      </w:hyperlink>
      <w:r>
        <w:rPr>
          <w:sz w:val="24"/>
          <w:szCs w:val="24"/>
          <w:highlight w:val="white"/>
        </w:rPr>
        <w:t xml:space="preserve"> Acesso em: 17 out. 2024.</w:t>
      </w:r>
    </w:p>
    <w:p w14:paraId="673B78DC" w14:textId="77777777" w:rsidR="00B94EC3" w:rsidRDefault="00B94EC3">
      <w:pPr>
        <w:spacing w:line="240" w:lineRule="auto"/>
        <w:ind w:left="0" w:hanging="2"/>
        <w:rPr>
          <w:sz w:val="24"/>
          <w:szCs w:val="24"/>
          <w:highlight w:val="white"/>
        </w:rPr>
      </w:pPr>
    </w:p>
    <w:p w14:paraId="6F988029" w14:textId="77777777" w:rsidR="00B94EC3" w:rsidRDefault="00000000">
      <w:pPr>
        <w:spacing w:line="240" w:lineRule="auto"/>
        <w:ind w:left="0" w:hanging="2"/>
        <w:rPr>
          <w:sz w:val="24"/>
          <w:szCs w:val="24"/>
          <w:highlight w:val="white"/>
        </w:rPr>
      </w:pPr>
      <w:r>
        <w:rPr>
          <w:sz w:val="24"/>
          <w:szCs w:val="24"/>
          <w:highlight w:val="white"/>
        </w:rPr>
        <w:t xml:space="preserve">MACÁRIO, N. </w:t>
      </w:r>
      <w:r>
        <w:rPr>
          <w:b/>
          <w:sz w:val="24"/>
          <w:szCs w:val="24"/>
          <w:highlight w:val="white"/>
        </w:rPr>
        <w:t>Experiência da Cidade do Recife na Gestão de Risco de Deslizamentos de Encostas através da Coordenadoria de Defesa Civil - Programa Guarda Chuva.</w:t>
      </w:r>
      <w:r>
        <w:rPr>
          <w:sz w:val="24"/>
          <w:szCs w:val="24"/>
          <w:highlight w:val="white"/>
        </w:rPr>
        <w:t xml:space="preserve"> Recife: Ministério do Desenvolvimento Regional, 2011. Disponível em: </w:t>
      </w:r>
      <w:hyperlink r:id="rId14">
        <w:r>
          <w:rPr>
            <w:color w:val="1155CC"/>
            <w:sz w:val="24"/>
            <w:szCs w:val="24"/>
            <w:highlight w:val="white"/>
            <w:u w:val="single"/>
          </w:rPr>
          <w:t>https://antigo.mdr.gov.br/images/stories/ArquivosSNPU/Biblioteca/PrevencaoErradicacao/Gest_Risco.</w:t>
        </w:r>
      </w:hyperlink>
      <w:r>
        <w:rPr>
          <w:sz w:val="24"/>
          <w:szCs w:val="24"/>
          <w:highlight w:val="white"/>
        </w:rPr>
        <w:t xml:space="preserve"> Acesso em: 07 out. 2024.</w:t>
      </w:r>
    </w:p>
    <w:p w14:paraId="4879A8D8" w14:textId="77777777" w:rsidR="00B94EC3" w:rsidRDefault="00B94EC3">
      <w:pPr>
        <w:spacing w:line="240" w:lineRule="auto"/>
        <w:ind w:left="0" w:hanging="2"/>
        <w:rPr>
          <w:sz w:val="24"/>
          <w:szCs w:val="24"/>
          <w:highlight w:val="white"/>
        </w:rPr>
      </w:pPr>
    </w:p>
    <w:p w14:paraId="7E4F3B5C" w14:textId="77777777" w:rsidR="00B94EC3" w:rsidRDefault="00000000">
      <w:pPr>
        <w:spacing w:line="240" w:lineRule="auto"/>
        <w:ind w:left="0" w:hanging="2"/>
        <w:rPr>
          <w:sz w:val="24"/>
          <w:szCs w:val="24"/>
          <w:highlight w:val="white"/>
        </w:rPr>
      </w:pPr>
      <w:r>
        <w:rPr>
          <w:sz w:val="24"/>
          <w:szCs w:val="24"/>
          <w:highlight w:val="white"/>
        </w:rPr>
        <w:lastRenderedPageBreak/>
        <w:t>PATERNIANI, S. Z. Da branquidade do Estado na ocupação da cidade.</w:t>
      </w:r>
      <w:r>
        <w:rPr>
          <w:b/>
          <w:sz w:val="24"/>
          <w:szCs w:val="24"/>
          <w:highlight w:val="white"/>
        </w:rPr>
        <w:t xml:space="preserve"> Revista Brasileira de Ciências Sociais</w:t>
      </w:r>
      <w:r>
        <w:rPr>
          <w:sz w:val="24"/>
          <w:szCs w:val="24"/>
          <w:highlight w:val="white"/>
        </w:rPr>
        <w:t xml:space="preserve">, São Paulo, v. 31, n. 91, p. 1-18, 2016. Disponível em: </w:t>
      </w:r>
      <w:hyperlink r:id="rId15">
        <w:r>
          <w:rPr>
            <w:color w:val="1155CC"/>
            <w:sz w:val="24"/>
            <w:szCs w:val="24"/>
            <w:highlight w:val="white"/>
            <w:u w:val="single"/>
          </w:rPr>
          <w:t>https://doi.org/10.17666/319109/2016.</w:t>
        </w:r>
      </w:hyperlink>
      <w:r>
        <w:rPr>
          <w:sz w:val="24"/>
          <w:szCs w:val="24"/>
          <w:highlight w:val="white"/>
        </w:rPr>
        <w:t xml:space="preserve"> Acesso em: 30 set. 2024.</w:t>
      </w:r>
    </w:p>
    <w:p w14:paraId="40A530E8" w14:textId="77777777" w:rsidR="00B94EC3" w:rsidRDefault="00B94EC3">
      <w:pPr>
        <w:spacing w:line="240" w:lineRule="auto"/>
        <w:ind w:left="0" w:hanging="2"/>
        <w:rPr>
          <w:sz w:val="24"/>
          <w:szCs w:val="24"/>
          <w:highlight w:val="white"/>
        </w:rPr>
      </w:pPr>
    </w:p>
    <w:p w14:paraId="1C52111F" w14:textId="77777777" w:rsidR="00B94EC3" w:rsidRDefault="00000000">
      <w:pPr>
        <w:spacing w:line="240" w:lineRule="auto"/>
        <w:ind w:left="0" w:hanging="2"/>
        <w:rPr>
          <w:sz w:val="24"/>
          <w:szCs w:val="24"/>
          <w:highlight w:val="white"/>
        </w:rPr>
      </w:pPr>
      <w:r>
        <w:rPr>
          <w:sz w:val="24"/>
          <w:szCs w:val="24"/>
          <w:highlight w:val="white"/>
        </w:rPr>
        <w:t xml:space="preserve">RECIFE. </w:t>
      </w:r>
      <w:r>
        <w:rPr>
          <w:b/>
          <w:sz w:val="24"/>
          <w:szCs w:val="24"/>
          <w:highlight w:val="white"/>
        </w:rPr>
        <w:t xml:space="preserve">Decreto nº 25.549, de 22 de novembro de 2010. </w:t>
      </w:r>
      <w:r>
        <w:rPr>
          <w:sz w:val="24"/>
          <w:szCs w:val="24"/>
          <w:highlight w:val="white"/>
        </w:rPr>
        <w:t>Autoriza a concessão de benefício eventual às famílias em situação de vulnerabilidade temporária, decorrente de danos em virtude das chuvas que prejudicaram suas habitações. Leis Municipais, Recife. Disponível em:</w:t>
      </w:r>
      <w:hyperlink r:id="rId16">
        <w:r>
          <w:rPr>
            <w:color w:val="1155CC"/>
            <w:sz w:val="24"/>
            <w:szCs w:val="24"/>
            <w:highlight w:val="white"/>
            <w:u w:val="single"/>
          </w:rPr>
          <w:t xml:space="preserve"> http://leismunicipa.is/apjuf.</w:t>
        </w:r>
      </w:hyperlink>
      <w:r>
        <w:rPr>
          <w:sz w:val="24"/>
          <w:szCs w:val="24"/>
          <w:highlight w:val="white"/>
        </w:rPr>
        <w:t xml:space="preserve"> Acesso em: 07 out. 2024.</w:t>
      </w:r>
    </w:p>
    <w:p w14:paraId="136787C3" w14:textId="77777777" w:rsidR="00B94EC3" w:rsidRDefault="00000000">
      <w:pPr>
        <w:spacing w:before="240" w:after="240" w:line="240" w:lineRule="auto"/>
        <w:ind w:left="0" w:hanging="2"/>
        <w:rPr>
          <w:sz w:val="24"/>
          <w:szCs w:val="24"/>
          <w:highlight w:val="white"/>
        </w:rPr>
      </w:pPr>
      <w:r>
        <w:rPr>
          <w:sz w:val="24"/>
          <w:szCs w:val="24"/>
          <w:highlight w:val="white"/>
        </w:rPr>
        <w:t xml:space="preserve">RECIFE. </w:t>
      </w:r>
      <w:r>
        <w:rPr>
          <w:b/>
          <w:sz w:val="24"/>
          <w:szCs w:val="24"/>
          <w:highlight w:val="white"/>
        </w:rPr>
        <w:t>Lei Municipal nº 18.863, de 29 de novembro de 2021</w:t>
      </w:r>
      <w:r>
        <w:rPr>
          <w:sz w:val="24"/>
          <w:szCs w:val="24"/>
          <w:highlight w:val="white"/>
        </w:rPr>
        <w:t xml:space="preserve">. Institui a Política Municipal de Habitação de Interesse </w:t>
      </w:r>
      <w:proofErr w:type="gramStart"/>
      <w:r>
        <w:rPr>
          <w:sz w:val="24"/>
          <w:szCs w:val="24"/>
          <w:highlight w:val="white"/>
        </w:rPr>
        <w:t>Socia,,</w:t>
      </w:r>
      <w:proofErr w:type="gramEnd"/>
      <w:r>
        <w:rPr>
          <w:sz w:val="24"/>
          <w:szCs w:val="24"/>
          <w:highlight w:val="white"/>
        </w:rPr>
        <w:t xml:space="preserve"> dispõe sobre o Sistema Municipal de Habitação de Interesse Social, e institui elementos para elaboração do Plano Local de Habitação de Interesse Social do Município do Recife. Disponível em: </w:t>
      </w:r>
      <w:hyperlink r:id="rId17" w:anchor=":~:text=Disp%C3%B5e%20sobre%20normas%20de%20veicula%C3%A7%C3%A3o,2006%20e%20n%C2%BA%2017.521%2F2008">
        <w:r>
          <w:rPr>
            <w:color w:val="1155CC"/>
            <w:sz w:val="24"/>
            <w:szCs w:val="24"/>
            <w:highlight w:val="white"/>
            <w:u w:val="single"/>
          </w:rPr>
          <w:t xml:space="preserve">https://www.legisweb.com.br/legislacao/?id=425539#:~:text=Disp%C3%B5e%20sobre%20normas%20de%20veicula%C3%A7%C3%A3o,2006%20e%20n%C2%BA%2017.521%2F2008. </w:t>
        </w:r>
      </w:hyperlink>
      <w:r>
        <w:rPr>
          <w:sz w:val="24"/>
          <w:szCs w:val="24"/>
          <w:highlight w:val="white"/>
        </w:rPr>
        <w:t>Acesso em: 07 out. 2024.</w:t>
      </w:r>
    </w:p>
    <w:p w14:paraId="05D011D8" w14:textId="77777777" w:rsidR="00B94EC3" w:rsidRDefault="00000000">
      <w:pPr>
        <w:spacing w:line="240" w:lineRule="auto"/>
        <w:ind w:left="0" w:hanging="2"/>
        <w:rPr>
          <w:sz w:val="24"/>
          <w:szCs w:val="24"/>
          <w:highlight w:val="white"/>
        </w:rPr>
      </w:pPr>
      <w:r>
        <w:rPr>
          <w:sz w:val="24"/>
          <w:szCs w:val="24"/>
          <w:highlight w:val="white"/>
        </w:rPr>
        <w:t xml:space="preserve">RECIFE. </w:t>
      </w:r>
      <w:r>
        <w:rPr>
          <w:b/>
          <w:sz w:val="24"/>
          <w:szCs w:val="24"/>
          <w:highlight w:val="white"/>
        </w:rPr>
        <w:t>Lei Municipal nº 18.958, de 08 de julho de 2022.</w:t>
      </w:r>
      <w:r>
        <w:rPr>
          <w:sz w:val="24"/>
          <w:szCs w:val="24"/>
          <w:highlight w:val="white"/>
        </w:rPr>
        <w:t xml:space="preserve"> Dispõe sobre os benefícios eventuais no âmbito da política municipal de assistência social do Município do Recife. Disponível em: </w:t>
      </w:r>
      <w:hyperlink r:id="rId18">
        <w:r>
          <w:rPr>
            <w:color w:val="1155CC"/>
            <w:sz w:val="24"/>
            <w:szCs w:val="24"/>
            <w:highlight w:val="white"/>
            <w:u w:val="single"/>
          </w:rPr>
          <w:t>https://leismunicipais.com.br/a/pe/r/recife/lei-ordinaria/2022/1896/18958/lei-ordinaria-n-18958-2022-dispoe-sobre-os-beneficios-eventuais-no-ambito-da-politica-municipal-de-assistencia-social-do-municipio-do-recife</w:t>
        </w:r>
      </w:hyperlink>
      <w:r>
        <w:rPr>
          <w:sz w:val="24"/>
          <w:szCs w:val="24"/>
          <w:highlight w:val="white"/>
        </w:rPr>
        <w:t>. Acesso em: 07 out. 2024.</w:t>
      </w:r>
    </w:p>
    <w:p w14:paraId="1A494252" w14:textId="77777777" w:rsidR="00B94EC3" w:rsidRDefault="00B94EC3">
      <w:pPr>
        <w:spacing w:line="240" w:lineRule="auto"/>
        <w:ind w:left="0" w:hanging="2"/>
        <w:rPr>
          <w:sz w:val="24"/>
          <w:szCs w:val="24"/>
          <w:highlight w:val="white"/>
        </w:rPr>
      </w:pPr>
    </w:p>
    <w:p w14:paraId="0781F5C5" w14:textId="77777777" w:rsidR="00B94EC3" w:rsidRDefault="00000000">
      <w:pPr>
        <w:spacing w:line="240" w:lineRule="auto"/>
        <w:ind w:left="0" w:hanging="2"/>
        <w:rPr>
          <w:sz w:val="24"/>
          <w:szCs w:val="24"/>
          <w:highlight w:val="white"/>
        </w:rPr>
      </w:pPr>
      <w:r>
        <w:rPr>
          <w:sz w:val="24"/>
          <w:szCs w:val="24"/>
          <w:highlight w:val="white"/>
        </w:rPr>
        <w:t xml:space="preserve">SANTOS, Y. L. </w:t>
      </w:r>
      <w:r>
        <w:rPr>
          <w:b/>
          <w:sz w:val="24"/>
          <w:szCs w:val="24"/>
          <w:highlight w:val="white"/>
        </w:rPr>
        <w:t>Racismo brasileiro</w:t>
      </w:r>
      <w:r>
        <w:rPr>
          <w:sz w:val="24"/>
          <w:szCs w:val="24"/>
          <w:highlight w:val="white"/>
        </w:rPr>
        <w:t>: uma história da formação do país. São Paulo:</w:t>
      </w:r>
    </w:p>
    <w:p w14:paraId="1FBE3FF7" w14:textId="77777777" w:rsidR="00B94EC3" w:rsidRDefault="00000000">
      <w:pPr>
        <w:spacing w:line="240" w:lineRule="auto"/>
        <w:ind w:left="0" w:hanging="2"/>
        <w:rPr>
          <w:sz w:val="24"/>
          <w:szCs w:val="24"/>
          <w:highlight w:val="white"/>
        </w:rPr>
      </w:pPr>
      <w:r>
        <w:rPr>
          <w:sz w:val="24"/>
          <w:szCs w:val="24"/>
          <w:highlight w:val="white"/>
        </w:rPr>
        <w:t>Todavia, 2022.</w:t>
      </w:r>
    </w:p>
    <w:sectPr w:rsidR="00B94EC3" w:rsidSect="00130141">
      <w:headerReference w:type="default" r:id="rId19"/>
      <w:pgSz w:w="11909" w:h="16834"/>
      <w:pgMar w:top="1701" w:right="1134" w:bottom="1134" w:left="1701" w:header="340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EB63B" w14:textId="77777777" w:rsidR="00F20E2E" w:rsidRDefault="00F20E2E">
      <w:pPr>
        <w:spacing w:line="240" w:lineRule="auto"/>
        <w:ind w:left="0" w:hanging="2"/>
      </w:pPr>
      <w:r>
        <w:separator/>
      </w:r>
    </w:p>
  </w:endnote>
  <w:endnote w:type="continuationSeparator" w:id="0">
    <w:p w14:paraId="1178683D" w14:textId="77777777" w:rsidR="00F20E2E" w:rsidRDefault="00F20E2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AD796" w14:textId="77777777" w:rsidR="00F20E2E" w:rsidRDefault="00F20E2E">
      <w:pPr>
        <w:spacing w:line="240" w:lineRule="auto"/>
        <w:ind w:left="0" w:hanging="2"/>
      </w:pPr>
      <w:r>
        <w:separator/>
      </w:r>
    </w:p>
  </w:footnote>
  <w:footnote w:type="continuationSeparator" w:id="0">
    <w:p w14:paraId="2BF89AF9" w14:textId="77777777" w:rsidR="00F20E2E" w:rsidRDefault="00F20E2E">
      <w:pPr>
        <w:spacing w:line="240" w:lineRule="auto"/>
        <w:ind w:left="0" w:hanging="2"/>
      </w:pPr>
      <w:r>
        <w:continuationSeparator/>
      </w:r>
    </w:p>
  </w:footnote>
  <w:footnote w:id="1">
    <w:p w14:paraId="43B0213B" w14:textId="77777777" w:rsidR="00B94EC3" w:rsidRDefault="00000000">
      <w:pPr>
        <w:spacing w:line="240" w:lineRule="auto"/>
        <w:ind w:left="0" w:hanging="2"/>
        <w:rPr>
          <w:sz w:val="20"/>
          <w:szCs w:val="20"/>
        </w:rPr>
      </w:pPr>
      <w:r>
        <w:rPr>
          <w:vertAlign w:val="superscript"/>
        </w:rPr>
        <w:footnoteRef/>
      </w:r>
      <w:r>
        <w:rPr>
          <w:sz w:val="20"/>
          <w:szCs w:val="20"/>
        </w:rPr>
        <w:t xml:space="preserve"> Estudante da Graduação de Serviço Social/UFPE. (amalia.godoyxavier@ufpe.br)</w:t>
      </w:r>
    </w:p>
    <w:p w14:paraId="56F7B983" w14:textId="77777777" w:rsidR="00B94EC3" w:rsidRDefault="00000000">
      <w:pPr>
        <w:spacing w:line="240" w:lineRule="auto"/>
        <w:ind w:left="0" w:hanging="2"/>
        <w:rPr>
          <w:sz w:val="20"/>
          <w:szCs w:val="20"/>
        </w:rPr>
      </w:pPr>
      <w:r>
        <w:rPr>
          <w:sz w:val="20"/>
          <w:szCs w:val="20"/>
        </w:rPr>
        <w:t>² Estudante da Graduação de Serviço Social/UFPE. (christian.carvalho@ufpe.br)</w:t>
      </w:r>
    </w:p>
    <w:p w14:paraId="7894B1B3" w14:textId="77777777" w:rsidR="00B94EC3" w:rsidRDefault="00000000">
      <w:pPr>
        <w:spacing w:line="240" w:lineRule="auto"/>
        <w:ind w:left="0" w:hanging="2"/>
        <w:rPr>
          <w:sz w:val="20"/>
          <w:szCs w:val="20"/>
        </w:rPr>
      </w:pPr>
      <w:r>
        <w:rPr>
          <w:sz w:val="20"/>
          <w:szCs w:val="20"/>
        </w:rPr>
        <w:t>³ Estudante da Graduação de Serviço Social/UFPE. (drielly.barros@ufpe.br)</w:t>
      </w:r>
    </w:p>
    <w:p w14:paraId="7B721B6E" w14:textId="77777777" w:rsidR="00B94EC3" w:rsidRDefault="00000000">
      <w:pPr>
        <w:ind w:left="0" w:hanging="2"/>
        <w:rPr>
          <w:sz w:val="16"/>
          <w:szCs w:val="16"/>
        </w:rPr>
      </w:pPr>
      <w:r>
        <w:rPr>
          <w:sz w:val="20"/>
          <w:szCs w:val="20"/>
        </w:rPr>
        <w:t>⁴ Estudante da Graduação de Serviço Social/UFPE. (raquel.srodrigues@ufpe.br)</w:t>
      </w:r>
    </w:p>
    <w:p w14:paraId="63935175" w14:textId="77777777" w:rsidR="00B94EC3" w:rsidRDefault="00B94EC3">
      <w:pPr>
        <w:spacing w:line="240" w:lineRule="auto"/>
        <w:ind w:left="0" w:hanging="2"/>
        <w:rPr>
          <w:sz w:val="20"/>
          <w:szCs w:val="20"/>
        </w:rPr>
      </w:pPr>
    </w:p>
    <w:p w14:paraId="25A8D125" w14:textId="77777777" w:rsidR="00B94EC3" w:rsidRDefault="00B94EC3">
      <w:pPr>
        <w:spacing w:line="240" w:lineRule="auto"/>
        <w:ind w:left="0" w:hanging="2"/>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23EE2" w14:textId="77777777" w:rsidR="00B94EC3" w:rsidRDefault="00000000">
    <w:pPr>
      <w:ind w:left="0" w:hanging="2"/>
    </w:pPr>
    <w:r>
      <w:rPr>
        <w:noProof/>
      </w:rPr>
      <w:drawing>
        <wp:anchor distT="0" distB="0" distL="0" distR="0" simplePos="0" relativeHeight="251658240" behindDoc="1" locked="0" layoutInCell="1" hidden="0" allowOverlap="1" wp14:anchorId="7AD90E7B" wp14:editId="740D778C">
          <wp:simplePos x="0" y="0"/>
          <wp:positionH relativeFrom="page">
            <wp:posOffset>0</wp:posOffset>
          </wp:positionH>
          <wp:positionV relativeFrom="page">
            <wp:posOffset>6985</wp:posOffset>
          </wp:positionV>
          <wp:extent cx="7563485" cy="10727690"/>
          <wp:effectExtent l="0" t="0" r="0" b="0"/>
          <wp:wrapNone/>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EC3"/>
    <w:rsid w:val="00130141"/>
    <w:rsid w:val="00B94EC3"/>
    <w:rsid w:val="00F20E2E"/>
    <w:rsid w:val="00FE33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58D2F"/>
  <w15:docId w15:val="{890D9EA7-00B1-44E8-840A-F7E533898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keepLines/>
      <w:spacing w:before="400" w:after="12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pacing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pacing w:line="240" w:lineRule="auto"/>
    </w:pPr>
  </w:style>
  <w:style w:type="character" w:customStyle="1" w:styleId="RodapChar">
    <w:name w:val="Rodapé Char"/>
    <w:basedOn w:val="Fontepargpadro"/>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planalto.gov.br/ccivil_03/constituicao/constituicao34.htm" TargetMode="External"/><Relationship Id="rId13" Type="http://schemas.openxmlformats.org/officeDocument/2006/relationships/hyperlink" Target="https://biblioteca.ibge.gov.br/index.php/biblioteca-catalogo?view=detalhes&amp;id=2101681" TargetMode="External"/><Relationship Id="rId18" Type="http://schemas.openxmlformats.org/officeDocument/2006/relationships/hyperlink" Target="https://leismunicipais.com.br/a/pe/r/recife/lei-ordinaria/2022/1896/18958/lei-ordinaria-n-18958-2022-dispoe-sobre-os-beneficios-eventuais-no-ambito-da-politica-municipal-de-assistencia-social-do-municipio-do-recif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biblioteca.ibge.gov.br/index.php/biblioteca-catalogo?view=detalhes&amp;id=2101681" TargetMode="External"/><Relationship Id="rId12" Type="http://schemas.openxmlformats.org/officeDocument/2006/relationships/hyperlink" Target="https://gemaa.iesp.uerj.br/legislacao-anti-racista/" TargetMode="External"/><Relationship Id="rId17" Type="http://schemas.openxmlformats.org/officeDocument/2006/relationships/hyperlink" Target="https://www.legisweb.com.br/legislacao/?id=425539" TargetMode="External"/><Relationship Id="rId2" Type="http://schemas.openxmlformats.org/officeDocument/2006/relationships/styles" Target="styles.xml"/><Relationship Id="rId16" Type="http://schemas.openxmlformats.org/officeDocument/2006/relationships/hyperlink" Target="http://leismunicipa.is/apju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12.senado.leg.br/publicacoes/estudos-legislativos/tipos-de-estudos/outras-publicacoes/volume-iv-constituicao-de-1988-o-brasil-20-anos-depois.-estado-e-economia-em-vinte-anos-de-mudancas/politica-urbana-agricola-e-fundiaria-politica-urbana-na-constituicao-federal-de-1988-e-alem-implementando-a-agenda-da-reforma-urbana-no-brasil" TargetMode="External"/><Relationship Id="rId5" Type="http://schemas.openxmlformats.org/officeDocument/2006/relationships/footnotes" Target="footnotes.xml"/><Relationship Id="rId15" Type="http://schemas.openxmlformats.org/officeDocument/2006/relationships/hyperlink" Target="https://doi.org/10.17666/319109/2016" TargetMode="External"/><Relationship Id="rId10" Type="http://schemas.openxmlformats.org/officeDocument/2006/relationships/hyperlink" Target="https://doi.org/10.51359/2525-6092.2024.262026"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nalto.gov.br/ccivil_03/decreto-lei/1937-1946/Del7967.htm" TargetMode="External"/><Relationship Id="rId14" Type="http://schemas.openxmlformats.org/officeDocument/2006/relationships/hyperlink" Target="https://antigo.mdr.gov.br/images/stories/ArquivosSNPU/Biblioteca/PrevencaoErradicacao/Gest_Ris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P/wZ1UvqmLciuRl9mtIzDLo7ig==">CgMxLjAyDmguZGJidnJnZDR3ZDAxMg5oLjh6aGJ6Y2dteG5kODIOaC5xMndrN3Y5aHBwbnAyDmgubmV1ZjdjajZvaDY1OAByITFEcDJVN0p3bzYxMDdfeGNqTVh3Y1k1dFJEZGQ0ZkVWZg==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4203</Words>
  <Characters>22697</Characters>
  <Application>Microsoft Office Word</Application>
  <DocSecurity>0</DocSecurity>
  <Lines>189</Lines>
  <Paragraphs>53</Paragraphs>
  <ScaleCrop>false</ScaleCrop>
  <Company/>
  <LinksUpToDate>false</LinksUpToDate>
  <CharactersWithSpaces>26847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Drielly Evangelista</cp:lastModifiedBy>
  <cp:revision>2</cp:revision>
  <dcterms:created xsi:type="dcterms:W3CDTF">2025-06-29T12:37:00Z</dcterms:created>
  <dcterms:modified xsi:type="dcterms:W3CDTF">2025-06-29T12:37:00Z</dcterms:modified>
</cp:coreProperties>
</file>