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971AF" w14:textId="77777777" w:rsidR="008914C1" w:rsidRDefault="00A07BD6">
      <w:pPr>
        <w:spacing w:line="360" w:lineRule="auto"/>
        <w:ind w:hanging="2"/>
        <w:jc w:val="center"/>
        <w:rPr>
          <w:color w:val="000000"/>
          <w:sz w:val="24"/>
          <w:szCs w:val="24"/>
        </w:rPr>
      </w:pPr>
      <w:r>
        <w:rPr>
          <w:b/>
          <w:color w:val="000000"/>
          <w:sz w:val="24"/>
          <w:szCs w:val="24"/>
        </w:rPr>
        <w:t xml:space="preserve">ESPAÇO URBANO, POLÍTICAS PÚBLICAS E REMANEJAMENTO: </w:t>
      </w:r>
      <w:r>
        <w:rPr>
          <w:color w:val="000000"/>
          <w:sz w:val="24"/>
          <w:szCs w:val="24"/>
        </w:rPr>
        <w:t>Uma análise do Programa de Saneamento da Bacia da Estrada Nova II na Região Metropolitana de Belém.</w:t>
      </w:r>
    </w:p>
    <w:p w14:paraId="1C9AF52F" w14:textId="30261628" w:rsidR="008914C1" w:rsidRDefault="00A07BD6">
      <w:pPr>
        <w:spacing w:line="360" w:lineRule="auto"/>
        <w:ind w:hanging="2"/>
        <w:jc w:val="right"/>
        <w:rPr>
          <w:b/>
          <w:sz w:val="24"/>
          <w:szCs w:val="24"/>
        </w:rPr>
      </w:pPr>
      <w:r>
        <w:rPr>
          <w:b/>
          <w:sz w:val="24"/>
          <w:szCs w:val="24"/>
        </w:rPr>
        <w:t>Alice Estefani Nascimento dos Santos</w:t>
      </w:r>
      <w:r w:rsidR="00267F52">
        <w:rPr>
          <w:rStyle w:val="Refdenotaderodap"/>
          <w:b/>
          <w:sz w:val="24"/>
          <w:szCs w:val="24"/>
        </w:rPr>
        <w:footnoteReference w:id="1"/>
      </w:r>
    </w:p>
    <w:p w14:paraId="7FBCBECC" w14:textId="7A5ECFCF" w:rsidR="008914C1" w:rsidRDefault="00A07BD6">
      <w:pPr>
        <w:spacing w:line="360" w:lineRule="auto"/>
        <w:ind w:hanging="2"/>
        <w:jc w:val="right"/>
        <w:rPr>
          <w:b/>
          <w:sz w:val="24"/>
          <w:szCs w:val="24"/>
        </w:rPr>
      </w:pPr>
      <w:r>
        <w:rPr>
          <w:b/>
          <w:sz w:val="24"/>
          <w:szCs w:val="24"/>
        </w:rPr>
        <w:t>Letícia Vitoria dos Santos Miranda</w:t>
      </w:r>
      <w:r w:rsidR="00267F52">
        <w:rPr>
          <w:rStyle w:val="Refdenotaderodap"/>
          <w:b/>
          <w:sz w:val="24"/>
          <w:szCs w:val="24"/>
        </w:rPr>
        <w:footnoteReference w:id="2"/>
      </w:r>
    </w:p>
    <w:p w14:paraId="06F0A594" w14:textId="0293615D" w:rsidR="008914C1" w:rsidRDefault="00A07BD6">
      <w:pPr>
        <w:spacing w:line="360" w:lineRule="auto"/>
        <w:ind w:hanging="2"/>
        <w:jc w:val="right"/>
        <w:rPr>
          <w:b/>
          <w:sz w:val="20"/>
          <w:szCs w:val="20"/>
        </w:rPr>
      </w:pPr>
      <w:proofErr w:type="spellStart"/>
      <w:r>
        <w:rPr>
          <w:b/>
          <w:sz w:val="24"/>
          <w:szCs w:val="24"/>
        </w:rPr>
        <w:t>Roselene</w:t>
      </w:r>
      <w:proofErr w:type="spellEnd"/>
      <w:r>
        <w:rPr>
          <w:b/>
          <w:sz w:val="24"/>
          <w:szCs w:val="24"/>
        </w:rPr>
        <w:t xml:space="preserve"> de Souza Portela</w:t>
      </w:r>
      <w:r w:rsidR="00267F52">
        <w:rPr>
          <w:rStyle w:val="Refdenotaderodap"/>
          <w:b/>
          <w:sz w:val="24"/>
          <w:szCs w:val="24"/>
        </w:rPr>
        <w:footnoteReference w:id="3"/>
      </w:r>
    </w:p>
    <w:p w14:paraId="590CCFD8" w14:textId="77777777" w:rsidR="008914C1" w:rsidRDefault="00A07BD6">
      <w:pPr>
        <w:spacing w:line="240" w:lineRule="auto"/>
        <w:ind w:left="2835"/>
        <w:jc w:val="both"/>
        <w:rPr>
          <w:b/>
          <w:sz w:val="20"/>
          <w:szCs w:val="20"/>
        </w:rPr>
      </w:pPr>
      <w:r>
        <w:rPr>
          <w:b/>
          <w:sz w:val="20"/>
          <w:szCs w:val="20"/>
        </w:rPr>
        <w:t>Resumo</w:t>
      </w:r>
    </w:p>
    <w:p w14:paraId="5B8E6A55" w14:textId="77777777" w:rsidR="008914C1" w:rsidRDefault="00A07BD6">
      <w:pPr>
        <w:spacing w:line="240" w:lineRule="auto"/>
        <w:ind w:left="2835"/>
        <w:jc w:val="both"/>
        <w:rPr>
          <w:sz w:val="20"/>
          <w:szCs w:val="20"/>
        </w:rPr>
      </w:pPr>
      <w:r>
        <w:rPr>
          <w:sz w:val="20"/>
          <w:szCs w:val="20"/>
        </w:rPr>
        <w:t>Este trabalho analisa as transformações no espaço urbano e os impactos sociais das políticas públicas de saneamento, com foco no Programa de Saneamento da Bacia da Estrada Nova II (PROMABEN II), na Região Metropolitana de Belém (PA). A pesquisa busca compreender como o remanejamento de famílias, promovido pelas obras de urbanização, afeta a organização territorial e as condições de moradia da população atingida. Adota-se uma abordagem qualitativa, com base em revisão bibliográfica de artigos científicos, revistas especializadas, sites institucionais e legislações federais e municipais. Conclui-se que, embora o PROMABEN II represente um avanço em infraestrutura urbana, sua forma de implementação apresenta fragilidades no diálogo com os moradores afetados, revelando a necessidade de estratégias mais inclusivas, transparentes e socialmente sensíveis.</w:t>
      </w:r>
    </w:p>
    <w:p w14:paraId="487A81F5" w14:textId="77777777" w:rsidR="00455201" w:rsidRDefault="00455201">
      <w:pPr>
        <w:spacing w:line="240" w:lineRule="auto"/>
        <w:ind w:left="2835"/>
        <w:jc w:val="both"/>
        <w:rPr>
          <w:b/>
          <w:sz w:val="20"/>
          <w:szCs w:val="20"/>
        </w:rPr>
      </w:pPr>
    </w:p>
    <w:p w14:paraId="0192290E" w14:textId="23D051AB" w:rsidR="008914C1" w:rsidRPr="00EC15BB" w:rsidRDefault="00A07BD6">
      <w:pPr>
        <w:spacing w:line="240" w:lineRule="auto"/>
        <w:ind w:left="2835"/>
        <w:jc w:val="both"/>
        <w:rPr>
          <w:sz w:val="20"/>
          <w:szCs w:val="20"/>
          <w:lang w:val="en-US"/>
        </w:rPr>
      </w:pPr>
      <w:r>
        <w:rPr>
          <w:b/>
          <w:sz w:val="20"/>
          <w:szCs w:val="20"/>
        </w:rPr>
        <w:t>Palavras-chave</w:t>
      </w:r>
      <w:r>
        <w:rPr>
          <w:sz w:val="20"/>
          <w:szCs w:val="20"/>
        </w:rPr>
        <w:t>: Políticas Públicas. Re</w:t>
      </w:r>
      <w:r w:rsidR="0077750C">
        <w:rPr>
          <w:sz w:val="20"/>
          <w:szCs w:val="20"/>
        </w:rPr>
        <w:t>manejamento</w:t>
      </w:r>
      <w:r>
        <w:rPr>
          <w:sz w:val="20"/>
          <w:szCs w:val="20"/>
        </w:rPr>
        <w:t xml:space="preserve">. </w:t>
      </w:r>
      <w:r w:rsidRPr="00EC15BB">
        <w:rPr>
          <w:sz w:val="20"/>
          <w:szCs w:val="20"/>
          <w:lang w:val="en-US"/>
        </w:rPr>
        <w:t>PROMABEN II.</w:t>
      </w:r>
    </w:p>
    <w:p w14:paraId="5F3DC052" w14:textId="77777777" w:rsidR="008914C1" w:rsidRPr="00EC15BB" w:rsidRDefault="008914C1">
      <w:pPr>
        <w:spacing w:line="240" w:lineRule="auto"/>
        <w:ind w:left="2835"/>
        <w:jc w:val="both"/>
        <w:rPr>
          <w:sz w:val="20"/>
          <w:szCs w:val="20"/>
          <w:lang w:val="en-US"/>
        </w:rPr>
      </w:pPr>
    </w:p>
    <w:p w14:paraId="5F07F982" w14:textId="77777777" w:rsidR="008914C1" w:rsidRPr="00142376" w:rsidRDefault="00A07BD6">
      <w:pPr>
        <w:spacing w:line="240" w:lineRule="auto"/>
        <w:ind w:left="2835"/>
        <w:jc w:val="both"/>
        <w:rPr>
          <w:b/>
          <w:sz w:val="20"/>
          <w:szCs w:val="20"/>
          <w:lang w:val="en-US"/>
        </w:rPr>
      </w:pPr>
      <w:r w:rsidRPr="00142376">
        <w:rPr>
          <w:b/>
          <w:sz w:val="20"/>
          <w:szCs w:val="20"/>
          <w:lang w:val="en-US"/>
        </w:rPr>
        <w:t>Abstract</w:t>
      </w:r>
    </w:p>
    <w:p w14:paraId="1FC3DA03" w14:textId="77777777" w:rsidR="00455201" w:rsidRPr="00BC0B7F" w:rsidRDefault="00455201" w:rsidP="00EC15BB">
      <w:pPr>
        <w:spacing w:line="240" w:lineRule="auto"/>
        <w:ind w:left="2835"/>
        <w:jc w:val="both"/>
        <w:rPr>
          <w:lang w:val="en-US"/>
        </w:rPr>
      </w:pPr>
      <w:r w:rsidRPr="00BC0B7F">
        <w:rPr>
          <w:sz w:val="20"/>
          <w:lang w:val="en-US"/>
        </w:rPr>
        <w:t xml:space="preserve">This study analyzes the transformations in urban space and the social impacts of public sanitation policies, focusing on the Sanitation Program of the Estrada Nova Basin II (PROMABEN II) in the Metropolitan Region of </w:t>
      </w:r>
      <w:proofErr w:type="spellStart"/>
      <w:r w:rsidRPr="00BC0B7F">
        <w:rPr>
          <w:sz w:val="20"/>
          <w:lang w:val="en-US"/>
        </w:rPr>
        <w:t>Belém</w:t>
      </w:r>
      <w:proofErr w:type="spellEnd"/>
      <w:r w:rsidRPr="00BC0B7F">
        <w:rPr>
          <w:sz w:val="20"/>
          <w:lang w:val="en-US"/>
        </w:rPr>
        <w:t xml:space="preserve"> (PA). The research seeks to understand how the relocation of families, promoted by urbanization projects, affects territorial organization and housing conditions for the affected population. A qualitative approach is adopted, based on a literature review of scientific articles, specialized journals, institutional websites, and federal and municipal legislation. The study concludes that, although PROMABEN II represents progress in urban infrastructure, its implementation reveals weaknesses in the dialogue with affected residents, highlighting the need for more inclusive, transparent, and socially sensitive strategies</w:t>
      </w:r>
    </w:p>
    <w:p w14:paraId="12119B2B" w14:textId="77777777" w:rsidR="00455201" w:rsidRPr="00BC0B7F" w:rsidRDefault="00455201" w:rsidP="00EC15BB">
      <w:pPr>
        <w:spacing w:line="240" w:lineRule="auto"/>
        <w:ind w:left="2835"/>
        <w:jc w:val="both"/>
        <w:rPr>
          <w:lang w:val="en-US"/>
        </w:rPr>
      </w:pPr>
    </w:p>
    <w:p w14:paraId="0A3BB793" w14:textId="378F5DE3" w:rsidR="008914C1" w:rsidRPr="00BC0B7F" w:rsidRDefault="00A07BD6" w:rsidP="00EC15BB">
      <w:pPr>
        <w:spacing w:line="240" w:lineRule="auto"/>
        <w:ind w:left="2835"/>
        <w:jc w:val="both"/>
        <w:rPr>
          <w:lang w:val="en-US"/>
        </w:rPr>
      </w:pPr>
      <w:r w:rsidRPr="00142376">
        <w:rPr>
          <w:b/>
          <w:sz w:val="20"/>
          <w:szCs w:val="20"/>
          <w:lang w:val="en-US"/>
        </w:rPr>
        <w:t>Keywords</w:t>
      </w:r>
      <w:r w:rsidRPr="00142376">
        <w:rPr>
          <w:sz w:val="20"/>
          <w:szCs w:val="20"/>
          <w:lang w:val="en-US"/>
        </w:rPr>
        <w:t xml:space="preserve">: Public Policies. </w:t>
      </w:r>
      <w:r w:rsidR="00EC15BB" w:rsidRPr="00046D69">
        <w:rPr>
          <w:sz w:val="20"/>
          <w:szCs w:val="20"/>
          <w:lang w:val="en"/>
        </w:rPr>
        <w:t>Relocation</w:t>
      </w:r>
      <w:r w:rsidRPr="00142376">
        <w:rPr>
          <w:sz w:val="20"/>
          <w:szCs w:val="20"/>
          <w:lang w:val="en-US"/>
        </w:rPr>
        <w:t>. PROMABEN II.</w:t>
      </w:r>
    </w:p>
    <w:p w14:paraId="46D84367" w14:textId="77777777" w:rsidR="00382E15" w:rsidRDefault="00382E15">
      <w:pPr>
        <w:spacing w:line="360" w:lineRule="auto"/>
        <w:rPr>
          <w:sz w:val="24"/>
          <w:szCs w:val="24"/>
          <w:lang w:val="en-US"/>
        </w:rPr>
      </w:pPr>
    </w:p>
    <w:p w14:paraId="4606F531" w14:textId="77777777" w:rsidR="008914C1" w:rsidRDefault="00A07BD6">
      <w:pPr>
        <w:spacing w:line="360" w:lineRule="auto"/>
        <w:rPr>
          <w:b/>
          <w:sz w:val="24"/>
          <w:szCs w:val="24"/>
        </w:rPr>
      </w:pPr>
      <w:r>
        <w:rPr>
          <w:b/>
          <w:sz w:val="24"/>
          <w:szCs w:val="24"/>
        </w:rPr>
        <w:lastRenderedPageBreak/>
        <w:t>1</w:t>
      </w:r>
      <w:r>
        <w:rPr>
          <w:b/>
          <w:sz w:val="24"/>
          <w:szCs w:val="24"/>
        </w:rPr>
        <w:tab/>
        <w:t>INTRODUÇÃO</w:t>
      </w:r>
    </w:p>
    <w:p w14:paraId="13F93CC2" w14:textId="77777777" w:rsidR="008914C1" w:rsidRDefault="008914C1">
      <w:pPr>
        <w:spacing w:line="360" w:lineRule="auto"/>
        <w:jc w:val="both"/>
        <w:rPr>
          <w:sz w:val="24"/>
          <w:szCs w:val="24"/>
        </w:rPr>
      </w:pPr>
    </w:p>
    <w:p w14:paraId="5B9C9DCA" w14:textId="77777777" w:rsidR="008914C1" w:rsidRDefault="00A07BD6">
      <w:pPr>
        <w:spacing w:line="360" w:lineRule="auto"/>
        <w:ind w:firstLine="720"/>
        <w:jc w:val="both"/>
        <w:rPr>
          <w:color w:val="000000"/>
          <w:sz w:val="24"/>
          <w:szCs w:val="24"/>
        </w:rPr>
      </w:pPr>
      <w:r>
        <w:rPr>
          <w:color w:val="000000"/>
          <w:sz w:val="24"/>
          <w:szCs w:val="24"/>
        </w:rPr>
        <w:t xml:space="preserve">O presente artigo tem por objetivo analisar as transformações no espaço urbano no Município de Belém </w:t>
      </w:r>
      <w:r>
        <w:rPr>
          <w:sz w:val="24"/>
          <w:szCs w:val="24"/>
        </w:rPr>
        <w:t xml:space="preserve">e os </w:t>
      </w:r>
      <w:r>
        <w:rPr>
          <w:color w:val="000000"/>
          <w:sz w:val="24"/>
          <w:szCs w:val="24"/>
        </w:rPr>
        <w:t>impactos sociais decorrentes das políticas públicas de saneamento, buscando compreender</w:t>
      </w:r>
      <w:r>
        <w:rPr>
          <w:sz w:val="24"/>
          <w:szCs w:val="24"/>
        </w:rPr>
        <w:t xml:space="preserve"> as formas que o </w:t>
      </w:r>
      <w:r>
        <w:rPr>
          <w:color w:val="000000"/>
          <w:sz w:val="24"/>
          <w:szCs w:val="24"/>
        </w:rPr>
        <w:t>remanejamento de famílias afeta a organização territorial e as condições de moradia da população atingida, tendo como foco como se dá o trabalho realizado pelo Programa de Saneamento da Bacia da Estrada Nova – PROMABEN II (PROMABEN II), executado pela Prefeitura de Belé</w:t>
      </w:r>
      <w:r>
        <w:rPr>
          <w:sz w:val="24"/>
          <w:szCs w:val="24"/>
        </w:rPr>
        <w:t>m.</w:t>
      </w:r>
    </w:p>
    <w:p w14:paraId="37783567" w14:textId="79B6D479" w:rsidR="008914C1" w:rsidRDefault="00A07BD6" w:rsidP="00137B10">
      <w:pPr>
        <w:spacing w:line="360" w:lineRule="auto"/>
        <w:ind w:firstLine="720"/>
        <w:jc w:val="both"/>
        <w:rPr>
          <w:color w:val="000000"/>
          <w:sz w:val="24"/>
          <w:szCs w:val="24"/>
        </w:rPr>
      </w:pPr>
      <w:bookmarkStart w:id="0" w:name="_4bq9y73pi5rm" w:colFirst="0" w:colLast="0"/>
      <w:bookmarkEnd w:id="0"/>
      <w:r>
        <w:rPr>
          <w:color w:val="000000"/>
          <w:sz w:val="24"/>
          <w:szCs w:val="24"/>
        </w:rPr>
        <w:t>A pesquisa parte da análise histórica e institucional das políticas habitacionais no Brasil, destacando a criação do Ministério das Cidades, em 2003</w:t>
      </w:r>
      <w:r w:rsidR="00137B10">
        <w:rPr>
          <w:color w:val="000000"/>
          <w:sz w:val="24"/>
          <w:szCs w:val="24"/>
        </w:rPr>
        <w:t>, seguido da</w:t>
      </w:r>
      <w:r>
        <w:rPr>
          <w:color w:val="000000"/>
          <w:sz w:val="24"/>
          <w:szCs w:val="24"/>
        </w:rPr>
        <w:t xml:space="preserve"> aprovação da Política Nacional de Habitação (PNH) em 2004, </w:t>
      </w:r>
      <w:r w:rsidR="00137B10">
        <w:rPr>
          <w:color w:val="000000"/>
          <w:sz w:val="24"/>
          <w:szCs w:val="24"/>
        </w:rPr>
        <w:t>a</w:t>
      </w:r>
      <w:r>
        <w:rPr>
          <w:color w:val="000000"/>
          <w:sz w:val="24"/>
          <w:szCs w:val="24"/>
        </w:rPr>
        <w:t xml:space="preserve"> publicação do Plano Nacional de Habitação (</w:t>
      </w:r>
      <w:proofErr w:type="spellStart"/>
      <w:r>
        <w:rPr>
          <w:color w:val="000000"/>
          <w:sz w:val="24"/>
          <w:szCs w:val="24"/>
        </w:rPr>
        <w:t>PlanHab</w:t>
      </w:r>
      <w:proofErr w:type="spellEnd"/>
      <w:r>
        <w:rPr>
          <w:color w:val="000000"/>
          <w:sz w:val="24"/>
          <w:szCs w:val="24"/>
        </w:rPr>
        <w:t xml:space="preserve">) em 2009, representou um esforço nacional para garantir o direito à moradia, especialmente às populações de baixa renda que se encontram em situação de vulnerabilidade social. </w:t>
      </w:r>
      <w:r w:rsidR="00137B10">
        <w:rPr>
          <w:color w:val="000000"/>
          <w:sz w:val="24"/>
          <w:szCs w:val="24"/>
        </w:rPr>
        <w:t>De</w:t>
      </w:r>
      <w:r>
        <w:rPr>
          <w:color w:val="000000"/>
          <w:sz w:val="24"/>
          <w:szCs w:val="24"/>
        </w:rPr>
        <w:t>staca</w:t>
      </w:r>
      <w:r w:rsidR="00137B10">
        <w:rPr>
          <w:color w:val="000000"/>
          <w:sz w:val="24"/>
          <w:szCs w:val="24"/>
        </w:rPr>
        <w:t>n</w:t>
      </w:r>
      <w:r>
        <w:rPr>
          <w:color w:val="000000"/>
          <w:sz w:val="24"/>
          <w:szCs w:val="24"/>
        </w:rPr>
        <w:t>do ao longo da pesquisa, a promulgação do Plano Diretor do Município de Belém reforça, nos artigos 26 a 29, a Política Municipal de Habitação, com foco na universalização do acesso à moradia com condições adequadas de habitabilidade.</w:t>
      </w:r>
    </w:p>
    <w:p w14:paraId="19A58F34" w14:textId="77777777" w:rsidR="008914C1" w:rsidRDefault="00A07BD6">
      <w:pPr>
        <w:spacing w:line="360" w:lineRule="auto"/>
        <w:ind w:firstLine="720"/>
        <w:jc w:val="both"/>
        <w:rPr>
          <w:color w:val="000000"/>
          <w:sz w:val="24"/>
          <w:szCs w:val="24"/>
        </w:rPr>
      </w:pPr>
      <w:bookmarkStart w:id="1" w:name="_ddyxwhid5p7u" w:colFirst="0" w:colLast="0"/>
      <w:bookmarkEnd w:id="1"/>
      <w:r>
        <w:rPr>
          <w:color w:val="000000"/>
          <w:sz w:val="24"/>
          <w:szCs w:val="24"/>
        </w:rPr>
        <w:t xml:space="preserve">A metodologia utilizada para elaboração deste artigo foi baseada em uma abordagem de cunho qualitativa, com o objetivo de compreender os impactos sociais e territoriais que envolvem as políticas públicas de habitação e de saneamento. </w:t>
      </w:r>
    </w:p>
    <w:p w14:paraId="7F738F1C" w14:textId="77777777" w:rsidR="008914C1" w:rsidRDefault="00A07BD6">
      <w:pPr>
        <w:spacing w:line="360" w:lineRule="auto"/>
        <w:ind w:firstLine="720"/>
        <w:jc w:val="both"/>
        <w:rPr>
          <w:sz w:val="24"/>
          <w:szCs w:val="24"/>
        </w:rPr>
      </w:pPr>
      <w:r>
        <w:rPr>
          <w:color w:val="000000"/>
          <w:sz w:val="24"/>
          <w:szCs w:val="24"/>
        </w:rPr>
        <w:t xml:space="preserve">Neste sentido, foi realizada uma revisão bibliográfica sistematizada, abrangendo artigos científicos </w:t>
      </w:r>
      <w:r>
        <w:rPr>
          <w:sz w:val="24"/>
          <w:szCs w:val="24"/>
        </w:rPr>
        <w:t>publicados em revistas</w:t>
      </w:r>
      <w:r>
        <w:rPr>
          <w:color w:val="4EA72E"/>
          <w:sz w:val="24"/>
          <w:szCs w:val="24"/>
        </w:rPr>
        <w:t xml:space="preserve"> </w:t>
      </w:r>
      <w:r>
        <w:rPr>
          <w:color w:val="000000"/>
          <w:sz w:val="24"/>
          <w:szCs w:val="24"/>
        </w:rPr>
        <w:t xml:space="preserve">acadêmicas, sites institucionais oficiais, além de legislações federais e municipais. Essa estratégia permitiu a análise crítica do marco legal e institucional das políticas habitacionais no Brasil e em </w:t>
      </w:r>
      <w:r>
        <w:rPr>
          <w:sz w:val="24"/>
          <w:szCs w:val="24"/>
        </w:rPr>
        <w:t>Belém - PA,</w:t>
      </w:r>
      <w:r>
        <w:rPr>
          <w:color w:val="000000"/>
          <w:sz w:val="24"/>
          <w:szCs w:val="24"/>
        </w:rPr>
        <w:t xml:space="preserve"> bem como a identificação dos efeitos do Programa de Saneamento da Bacia da Estrada Nova II (PROMABEN II) sobre as populações afetadas.</w:t>
      </w:r>
    </w:p>
    <w:p w14:paraId="6F5156F8" w14:textId="77777777" w:rsidR="00AC3127" w:rsidRPr="00AC3127" w:rsidRDefault="00A07BD6" w:rsidP="00AC3127">
      <w:pPr>
        <w:spacing w:line="360" w:lineRule="auto"/>
        <w:ind w:firstLine="720"/>
        <w:jc w:val="both"/>
        <w:rPr>
          <w:color w:val="000000"/>
          <w:sz w:val="24"/>
          <w:szCs w:val="24"/>
        </w:rPr>
      </w:pPr>
      <w:r>
        <w:rPr>
          <w:color w:val="000000"/>
          <w:sz w:val="24"/>
          <w:szCs w:val="24"/>
        </w:rPr>
        <w:t xml:space="preserve">A fundamentação teórica deste artigo se baseia em estudos acerca do direito à cidade, planejamento e produção do espaço urbano, a partir de autores clássicos como Henri </w:t>
      </w:r>
      <w:r>
        <w:rPr>
          <w:sz w:val="24"/>
          <w:szCs w:val="24"/>
        </w:rPr>
        <w:t>Lefebvre</w:t>
      </w:r>
      <w:r>
        <w:rPr>
          <w:color w:val="000000"/>
          <w:sz w:val="24"/>
          <w:szCs w:val="24"/>
        </w:rPr>
        <w:t xml:space="preserve"> (2001), David Harvey (2012) e Raquel </w:t>
      </w:r>
      <w:proofErr w:type="spellStart"/>
      <w:r w:rsidR="00137B10">
        <w:rPr>
          <w:color w:val="000000"/>
          <w:sz w:val="24"/>
          <w:szCs w:val="24"/>
        </w:rPr>
        <w:t>Rolnick</w:t>
      </w:r>
      <w:proofErr w:type="spellEnd"/>
      <w:r>
        <w:rPr>
          <w:color w:val="000000"/>
          <w:sz w:val="24"/>
          <w:szCs w:val="24"/>
        </w:rPr>
        <w:t xml:space="preserve"> (2015) e autores </w:t>
      </w:r>
      <w:r>
        <w:rPr>
          <w:color w:val="000000"/>
          <w:sz w:val="24"/>
          <w:szCs w:val="24"/>
        </w:rPr>
        <w:lastRenderedPageBreak/>
        <w:t>contemporâneos e locais que também abordam as questões dos impactos das intervenções urbanas sobre populações vulneráveis em Belém,</w:t>
      </w:r>
      <w:r>
        <w:rPr>
          <w:sz w:val="24"/>
          <w:szCs w:val="24"/>
        </w:rPr>
        <w:t xml:space="preserve"> </w:t>
      </w:r>
      <w:r>
        <w:rPr>
          <w:color w:val="000000"/>
          <w:sz w:val="24"/>
          <w:szCs w:val="24"/>
        </w:rPr>
        <w:t xml:space="preserve">permitindo uma leitura crítica </w:t>
      </w:r>
      <w:r w:rsidRPr="00AC3127">
        <w:rPr>
          <w:color w:val="000000"/>
          <w:sz w:val="24"/>
          <w:szCs w:val="24"/>
        </w:rPr>
        <w:t>aos processos desenvolvidos pelo remanejamento e seus reflexos na dinâmica urbana e social.</w:t>
      </w:r>
      <w:r w:rsidR="00AC3127" w:rsidRPr="00AC3127">
        <w:rPr>
          <w:color w:val="000000"/>
          <w:sz w:val="24"/>
          <w:szCs w:val="24"/>
        </w:rPr>
        <w:t xml:space="preserve"> </w:t>
      </w:r>
    </w:p>
    <w:p w14:paraId="79D522CD" w14:textId="6B106721" w:rsidR="008914C1" w:rsidRPr="00AC3127" w:rsidRDefault="00AC3127" w:rsidP="00AC3127">
      <w:pPr>
        <w:spacing w:line="360" w:lineRule="auto"/>
        <w:ind w:firstLine="720"/>
        <w:jc w:val="both"/>
        <w:rPr>
          <w:color w:val="000000"/>
          <w:sz w:val="24"/>
          <w:szCs w:val="24"/>
        </w:rPr>
      </w:pPr>
      <w:r w:rsidRPr="00AC3127">
        <w:rPr>
          <w:rFonts w:eastAsia="Times New Roman"/>
          <w:color w:val="000000"/>
          <w:sz w:val="24"/>
          <w:szCs w:val="24"/>
        </w:rPr>
        <w:t>A estrutura do trabalho está organizada em dois eixos temáticos: o primeiro aborda as contradições do Estado mediante a Política Nacional de Habitação; o segundo trata das Políticas Urbanas e Habitacionais na Região Metropolitana de Belém trazendo uma análise acerca do PROMABEN II, apresentando dados quantitativos, resultados e discussões, seguidos pela conclusão, que sintetiza os principais achados e reflexões do estudo.</w:t>
      </w:r>
    </w:p>
    <w:p w14:paraId="00A515D3" w14:textId="77777777" w:rsidR="008914C1" w:rsidRDefault="008914C1">
      <w:pPr>
        <w:pBdr>
          <w:top w:val="nil"/>
          <w:left w:val="nil"/>
          <w:bottom w:val="nil"/>
          <w:right w:val="nil"/>
          <w:between w:val="nil"/>
        </w:pBdr>
        <w:spacing w:line="360" w:lineRule="auto"/>
        <w:ind w:left="720"/>
        <w:jc w:val="both"/>
        <w:rPr>
          <w:color w:val="000000"/>
          <w:sz w:val="24"/>
          <w:szCs w:val="24"/>
          <w:u w:val="single"/>
        </w:rPr>
      </w:pPr>
    </w:p>
    <w:p w14:paraId="58430329" w14:textId="04E689E4" w:rsidR="008914C1" w:rsidRDefault="00A07BD6">
      <w:pPr>
        <w:spacing w:line="360" w:lineRule="auto"/>
        <w:jc w:val="both"/>
        <w:rPr>
          <w:b/>
          <w:sz w:val="24"/>
          <w:szCs w:val="24"/>
        </w:rPr>
      </w:pPr>
      <w:r>
        <w:rPr>
          <w:b/>
          <w:sz w:val="24"/>
          <w:szCs w:val="24"/>
        </w:rPr>
        <w:t>2</w:t>
      </w:r>
      <w:r>
        <w:rPr>
          <w:b/>
          <w:sz w:val="24"/>
          <w:szCs w:val="24"/>
        </w:rPr>
        <w:tab/>
        <w:t>AS CONTRADIÇÕES DO ESTADO E A P</w:t>
      </w:r>
      <w:r w:rsidR="005251D4">
        <w:rPr>
          <w:b/>
          <w:sz w:val="24"/>
          <w:szCs w:val="24"/>
        </w:rPr>
        <w:t>OLÍTICA DE HABITAÇÃO NO BRASIL.</w:t>
      </w:r>
    </w:p>
    <w:p w14:paraId="3B1DE4FD" w14:textId="77777777" w:rsidR="005251D4" w:rsidRDefault="005251D4">
      <w:pPr>
        <w:spacing w:line="360" w:lineRule="auto"/>
        <w:jc w:val="both"/>
        <w:rPr>
          <w:sz w:val="24"/>
          <w:szCs w:val="24"/>
        </w:rPr>
      </w:pPr>
    </w:p>
    <w:p w14:paraId="1DDD2EFD" w14:textId="77777777" w:rsidR="008914C1" w:rsidRDefault="00A07BD6">
      <w:pPr>
        <w:spacing w:line="360" w:lineRule="auto"/>
        <w:ind w:left="-2" w:firstLine="720"/>
        <w:jc w:val="both"/>
        <w:rPr>
          <w:sz w:val="24"/>
          <w:szCs w:val="24"/>
        </w:rPr>
      </w:pPr>
      <w:r>
        <w:rPr>
          <w:sz w:val="24"/>
          <w:szCs w:val="24"/>
        </w:rPr>
        <w:t>Segundo Lefebvre (2001), a cidade mantém o caráter de comunidade advindo da aldeia e traduzido na organização corporativa, este que nada impede as lutas de classes, grupos e facções, expressando os contrastes entre riqueza e pobreza, que de todo modo, não impede o apego a mesma, pelo contrário, reforça o sentimento de pertencimento mediante as lutas no contexto urbano.</w:t>
      </w:r>
    </w:p>
    <w:p w14:paraId="49605EDA" w14:textId="3493FCC3" w:rsidR="008914C1" w:rsidRDefault="00A07BD6">
      <w:pPr>
        <w:spacing w:line="360" w:lineRule="auto"/>
        <w:ind w:left="-2" w:firstLine="720"/>
        <w:jc w:val="both"/>
        <w:rPr>
          <w:sz w:val="24"/>
          <w:szCs w:val="24"/>
          <w:highlight w:val="cyan"/>
        </w:rPr>
      </w:pPr>
      <w:r>
        <w:rPr>
          <w:sz w:val="24"/>
          <w:szCs w:val="24"/>
        </w:rPr>
        <w:t xml:space="preserve"> Não obstante, o autor reitera que as necessidades sociais possuem fundamento antropológico, com isso, o d</w:t>
      </w:r>
      <w:r>
        <w:rPr>
          <w:i/>
          <w:sz w:val="24"/>
          <w:szCs w:val="24"/>
        </w:rPr>
        <w:t>ireito à cidade</w:t>
      </w:r>
      <w:r>
        <w:rPr>
          <w:sz w:val="24"/>
          <w:szCs w:val="24"/>
        </w:rPr>
        <w:t xml:space="preserve"> está para além dos direitos concretos como saúde, instrução, trabalho, educação, repouso, cultura e até à habitação, mas sim que </w:t>
      </w:r>
      <w:r w:rsidR="00137B10">
        <w:rPr>
          <w:sz w:val="24"/>
          <w:szCs w:val="24"/>
        </w:rPr>
        <w:t>este vem</w:t>
      </w:r>
      <w:r>
        <w:rPr>
          <w:sz w:val="24"/>
          <w:szCs w:val="24"/>
        </w:rPr>
        <w:t xml:space="preserve"> para complementar os direitos abstratos do homem como cidadão, direitos estes ligados aos simbolismos, momentos e </w:t>
      </w:r>
      <w:r w:rsidRPr="00137B10">
        <w:rPr>
          <w:sz w:val="24"/>
          <w:szCs w:val="24"/>
        </w:rPr>
        <w:t>a n</w:t>
      </w:r>
      <w:r>
        <w:rPr>
          <w:sz w:val="24"/>
          <w:szCs w:val="24"/>
        </w:rPr>
        <w:t>ostalgia. Logo, para reconhecê-los a pressão da classe operária foi e continua sendo necessária.</w:t>
      </w:r>
      <w:r>
        <w:rPr>
          <w:sz w:val="24"/>
          <w:szCs w:val="24"/>
          <w:highlight w:val="cyan"/>
        </w:rPr>
        <w:t xml:space="preserve"> </w:t>
      </w:r>
    </w:p>
    <w:p w14:paraId="11239ADA" w14:textId="77777777" w:rsidR="008914C1" w:rsidRDefault="00A07BD6">
      <w:pPr>
        <w:spacing w:line="360" w:lineRule="auto"/>
        <w:ind w:left="-2" w:firstLine="720"/>
        <w:jc w:val="both"/>
        <w:rPr>
          <w:sz w:val="24"/>
          <w:szCs w:val="24"/>
        </w:rPr>
      </w:pPr>
      <w:r>
        <w:rPr>
          <w:sz w:val="24"/>
          <w:szCs w:val="24"/>
        </w:rPr>
        <w:t xml:space="preserve">Segundo Portela (2018), o Estado age como agente principal das contradições, seguindo as diretrizes do capital e as pressões sociais, pois ao mesmo tempo em que intervém no espaço urbano para renovação e abertura de novos espaços que geram o lucro pela valorização do solo, o mesmo intensifica a segregação socioespacial. Famílias residentes de áreas centrais são persuadidas pelo capital imobiliário a vender seus imóveis; utilizando o valor para sobrevivência e não para melhorias em sua qualidade de vida. </w:t>
      </w:r>
    </w:p>
    <w:p w14:paraId="1DF865E1" w14:textId="77777777" w:rsidR="008914C1" w:rsidRDefault="00A07BD6">
      <w:pPr>
        <w:spacing w:line="360" w:lineRule="auto"/>
        <w:ind w:left="-2" w:firstLine="720"/>
        <w:jc w:val="both"/>
        <w:rPr>
          <w:sz w:val="24"/>
          <w:szCs w:val="24"/>
        </w:rPr>
      </w:pPr>
      <w:r>
        <w:rPr>
          <w:sz w:val="24"/>
          <w:szCs w:val="24"/>
        </w:rPr>
        <w:t xml:space="preserve">Nesse sentido, essas contradições tornam-se cada vez mais evidentes ao se analisar as mudanças na dinâmica capitalista, em que os espaços são explorados para a inserção de infraestrutura e a abertura de novos mercados que favoreçam o capital. </w:t>
      </w:r>
    </w:p>
    <w:p w14:paraId="5D69238E" w14:textId="77777777" w:rsidR="008914C1" w:rsidRDefault="00A07BD6">
      <w:pPr>
        <w:spacing w:line="360" w:lineRule="auto"/>
        <w:ind w:left="-2" w:firstLine="720"/>
        <w:jc w:val="both"/>
        <w:rPr>
          <w:sz w:val="24"/>
          <w:szCs w:val="24"/>
        </w:rPr>
      </w:pPr>
      <w:r>
        <w:rPr>
          <w:sz w:val="24"/>
          <w:szCs w:val="24"/>
        </w:rPr>
        <w:lastRenderedPageBreak/>
        <w:t>A autora reitera que a cidade é o resultado destas intervenções no espaço urbano, sejam estas públicas ou privadas, registrando os interesses de poder e de classe, instituindo estratégias sociais e políticas. Logo, de acordo com Portela (2018, p. 285), "[...] pode-se dizer que o urbano se constitui em espaço de reprodução do capital e também em espaço de reprodução de classes sociais, por meio de confrontos sociopolíticos decorrentes da divergência de seus interesses”. Com isso, nota-se que a participação popular se faz imprescindível para a busca do direito à cidade e para a diminuição das desigualdades e o acesso à cidadania.</w:t>
      </w:r>
    </w:p>
    <w:p w14:paraId="2585EEFB" w14:textId="77777777" w:rsidR="008914C1" w:rsidRDefault="00A07BD6">
      <w:pPr>
        <w:spacing w:line="360" w:lineRule="auto"/>
        <w:ind w:left="-2" w:firstLine="720"/>
        <w:jc w:val="both"/>
        <w:rPr>
          <w:sz w:val="24"/>
          <w:szCs w:val="24"/>
        </w:rPr>
      </w:pPr>
      <w:r>
        <w:rPr>
          <w:sz w:val="24"/>
          <w:szCs w:val="24"/>
        </w:rPr>
        <w:t xml:space="preserve">Não obstante, a Constituição Federal de 1988, assegura desde o seu preâmbulo o exercício dos direitos sociais e individuais, o desenvolvimento, a igualdade, o bem-estar entre outros valores, partindo do princípio da união entre Estados e Municípios. </w:t>
      </w:r>
    </w:p>
    <w:p w14:paraId="1E2DD858" w14:textId="77777777" w:rsidR="008914C1" w:rsidRDefault="00A07BD6">
      <w:pPr>
        <w:spacing w:line="360" w:lineRule="auto"/>
        <w:ind w:left="-2" w:firstLine="720"/>
        <w:jc w:val="both"/>
        <w:rPr>
          <w:sz w:val="24"/>
          <w:szCs w:val="24"/>
        </w:rPr>
      </w:pPr>
      <w:r>
        <w:rPr>
          <w:sz w:val="24"/>
          <w:szCs w:val="24"/>
        </w:rPr>
        <w:t xml:space="preserve">Nesta perspectiva, a criação do Ministério das Cidades no Brasil, no ano de 2003, objetivava garantir o acesso à moradia digna, água potável, mobilidade urbana segura entre outros fatores, representando o reconhecimento do presidente da época, Luiz Inácio Lula da Silva, de que os desafios urbanos da vigentes naquele momento possuíam a necessidade de serem encarados como política de Estado. </w:t>
      </w:r>
    </w:p>
    <w:p w14:paraId="5FD1748B" w14:textId="77777777" w:rsidR="008914C1" w:rsidRDefault="00A07BD6">
      <w:pPr>
        <w:spacing w:line="360" w:lineRule="auto"/>
        <w:ind w:left="-2" w:firstLine="720"/>
        <w:jc w:val="both"/>
        <w:rPr>
          <w:sz w:val="24"/>
          <w:szCs w:val="24"/>
        </w:rPr>
      </w:pPr>
      <w:r>
        <w:rPr>
          <w:sz w:val="24"/>
          <w:szCs w:val="24"/>
        </w:rPr>
        <w:t>Desse modo, iniciou-se a ampliação imediata dos investimentos nos setores de habitação e saneamento ambiental. Com isso, os programas existentes foram se adequando às particularidades do déficit habitacional e infraestrutura urbana sendo mais expressa em relação à população de baixa renda (MCIDADES, 2004).</w:t>
      </w:r>
    </w:p>
    <w:p w14:paraId="63EB14C0" w14:textId="52301DB2" w:rsidR="008914C1" w:rsidRDefault="00A07BD6" w:rsidP="005251D4">
      <w:pPr>
        <w:spacing w:line="360" w:lineRule="auto"/>
        <w:ind w:left="-2" w:firstLine="720"/>
        <w:jc w:val="both"/>
        <w:rPr>
          <w:sz w:val="24"/>
          <w:szCs w:val="24"/>
        </w:rPr>
      </w:pPr>
      <w:r>
        <w:rPr>
          <w:sz w:val="24"/>
          <w:szCs w:val="24"/>
        </w:rPr>
        <w:t>Baseando-se na Constituição de 1988, a Política Nacional de Habitação - PNH, aprovada em 2004 pelo Conselho das Cidades, tem por objetivo contribuir para a inclusão social por meio do acesso à moradia digna para todos os segmentos da população, primordialmente de baixa renda (MCIDADES, 2004). Consequentemente,</w:t>
      </w:r>
    </w:p>
    <w:p w14:paraId="4C8808C1" w14:textId="77777777" w:rsidR="008914C1" w:rsidRDefault="00A07BD6">
      <w:pPr>
        <w:spacing w:line="240" w:lineRule="auto"/>
        <w:ind w:left="2268"/>
        <w:jc w:val="both"/>
        <w:rPr>
          <w:sz w:val="20"/>
          <w:szCs w:val="20"/>
        </w:rPr>
      </w:pPr>
      <w:r>
        <w:rPr>
          <w:sz w:val="20"/>
          <w:szCs w:val="20"/>
        </w:rPr>
        <w:t>A Política Nacional da Habitação tem como componentes principais: Integração Urbana de Assentamentos Precários, a urbanização, regularização fundiária e inserção de assentamentos precários, a provisão da habitação e a integração da política de habitação à política de desenvolvimento urbano, que definem as linhas mestras de sua atuação. (MCIDADES, 2004, p.29).</w:t>
      </w:r>
    </w:p>
    <w:p w14:paraId="19C4B4D9" w14:textId="77777777" w:rsidR="008914C1" w:rsidRDefault="008914C1">
      <w:pPr>
        <w:spacing w:line="360" w:lineRule="auto"/>
        <w:ind w:left="2882" w:hanging="1"/>
        <w:jc w:val="both"/>
        <w:rPr>
          <w:sz w:val="24"/>
          <w:szCs w:val="24"/>
        </w:rPr>
      </w:pPr>
    </w:p>
    <w:p w14:paraId="2A5AAF6B" w14:textId="77777777" w:rsidR="008914C1" w:rsidRDefault="00A07BD6">
      <w:pPr>
        <w:spacing w:line="360" w:lineRule="auto"/>
        <w:ind w:left="-2" w:firstLine="720"/>
        <w:jc w:val="both"/>
        <w:rPr>
          <w:sz w:val="24"/>
          <w:szCs w:val="24"/>
        </w:rPr>
      </w:pPr>
      <w:r>
        <w:rPr>
          <w:sz w:val="24"/>
          <w:szCs w:val="24"/>
        </w:rPr>
        <w:lastRenderedPageBreak/>
        <w:t>Tendo em vista que a elaboração e implementação desta política segue princípios e diretrizes que enfatizam a integração entre política habitacional e a política nacional de desenvolvimento urbano como fatores fundamentais para o alcance de seus objetivos. Logo, a PNH constitui-se no principal instrumento de orientação das estratégias e das ações a serem implementadas pelo Governo Federal (MCIDADES, 2009).</w:t>
      </w:r>
    </w:p>
    <w:p w14:paraId="74085364" w14:textId="77777777" w:rsidR="008914C1" w:rsidRDefault="00A07BD6">
      <w:pPr>
        <w:spacing w:line="360" w:lineRule="auto"/>
        <w:ind w:left="-2" w:firstLine="720"/>
        <w:jc w:val="both"/>
        <w:rPr>
          <w:sz w:val="24"/>
          <w:szCs w:val="24"/>
        </w:rPr>
      </w:pPr>
      <w:r>
        <w:rPr>
          <w:sz w:val="24"/>
          <w:szCs w:val="24"/>
        </w:rPr>
        <w:t>Santos (2016) em sua análise acerca do Estado, destaca que este surge como uma exigência do desenvolvimento da própria sociedade, está dividida em classes, demanda a constituição de um poder para apascentar os interesses conflitantes e irreconciliáveis das classes sociais. Em vista disso, o Estado fez-se fundamental para manter esta sociedade produzindo e se desenvolvendo.</w:t>
      </w:r>
    </w:p>
    <w:p w14:paraId="7E741404" w14:textId="77777777" w:rsidR="008914C1" w:rsidRDefault="00A07BD6">
      <w:pPr>
        <w:spacing w:line="360" w:lineRule="auto"/>
        <w:ind w:left="-2" w:firstLine="720"/>
        <w:jc w:val="both"/>
        <w:rPr>
          <w:sz w:val="24"/>
          <w:szCs w:val="24"/>
        </w:rPr>
      </w:pPr>
      <w:r>
        <w:rPr>
          <w:sz w:val="24"/>
          <w:szCs w:val="24"/>
        </w:rPr>
        <w:t xml:space="preserve">Em 2009, o Ministério das Cidades publicou o Plano Nacional de Habitação – </w:t>
      </w:r>
      <w:proofErr w:type="spellStart"/>
      <w:r>
        <w:rPr>
          <w:sz w:val="24"/>
          <w:szCs w:val="24"/>
        </w:rPr>
        <w:t>PlanHab</w:t>
      </w:r>
      <w:proofErr w:type="spellEnd"/>
      <w:r>
        <w:rPr>
          <w:sz w:val="24"/>
          <w:szCs w:val="24"/>
        </w:rPr>
        <w:t xml:space="preserve">, Pacto Nacional pela Moradia Digna, sendo este um instrumento imprescindível para a implementação da nova PNH, esta que tem como principal objetivo o acesso universal à moradia digna para os cidadãos brasileiros (MCIDADES, 2009). </w:t>
      </w:r>
    </w:p>
    <w:p w14:paraId="4630E4D9" w14:textId="3976002A" w:rsidR="008914C1" w:rsidRDefault="00A07BD6">
      <w:pPr>
        <w:spacing w:line="360" w:lineRule="auto"/>
        <w:ind w:left="-2" w:firstLine="720"/>
        <w:jc w:val="both"/>
        <w:rPr>
          <w:color w:val="EE0000"/>
          <w:sz w:val="24"/>
          <w:szCs w:val="24"/>
        </w:rPr>
      </w:pPr>
      <w:r>
        <w:rPr>
          <w:sz w:val="24"/>
          <w:szCs w:val="24"/>
        </w:rPr>
        <w:t xml:space="preserve">O </w:t>
      </w:r>
      <w:proofErr w:type="spellStart"/>
      <w:r>
        <w:rPr>
          <w:sz w:val="24"/>
          <w:szCs w:val="24"/>
        </w:rPr>
        <w:t>PlanHab</w:t>
      </w:r>
      <w:proofErr w:type="spellEnd"/>
      <w:r>
        <w:rPr>
          <w:sz w:val="24"/>
          <w:szCs w:val="24"/>
        </w:rPr>
        <w:t xml:space="preserve"> foi previsto na Lei 11.124/05, e o Ministério das Cidades reitera que "O </w:t>
      </w:r>
      <w:proofErr w:type="spellStart"/>
      <w:r>
        <w:rPr>
          <w:sz w:val="24"/>
          <w:szCs w:val="24"/>
        </w:rPr>
        <w:t>PlanHab</w:t>
      </w:r>
      <w:proofErr w:type="spellEnd"/>
      <w:r>
        <w:rPr>
          <w:sz w:val="24"/>
          <w:szCs w:val="24"/>
        </w:rPr>
        <w:t xml:space="preserve"> é, portanto, um instrumento da PNH por meio do qual se estabelece a retomada do processo de planejamento habitacional no país, a partir da formulação de estratégias para o enfrentamento das necessidades </w:t>
      </w:r>
      <w:r w:rsidR="005251D4">
        <w:rPr>
          <w:sz w:val="24"/>
          <w:szCs w:val="24"/>
        </w:rPr>
        <w:t>habitacionais. ”</w:t>
      </w:r>
      <w:r>
        <w:rPr>
          <w:sz w:val="24"/>
          <w:szCs w:val="24"/>
        </w:rPr>
        <w:t xml:space="preserve"> (MCIDADES, 2009, p.12).</w:t>
      </w:r>
      <w:r>
        <w:rPr>
          <w:color w:val="EE0000"/>
          <w:sz w:val="24"/>
          <w:szCs w:val="24"/>
        </w:rPr>
        <w:t xml:space="preserve"> </w:t>
      </w:r>
    </w:p>
    <w:p w14:paraId="5CC83B5C" w14:textId="77777777" w:rsidR="008914C1" w:rsidRDefault="00A07BD6">
      <w:pPr>
        <w:spacing w:line="360" w:lineRule="auto"/>
        <w:ind w:left="-2" w:firstLine="720"/>
        <w:jc w:val="both"/>
        <w:rPr>
          <w:sz w:val="24"/>
          <w:szCs w:val="24"/>
        </w:rPr>
      </w:pPr>
      <w:r>
        <w:rPr>
          <w:sz w:val="24"/>
          <w:szCs w:val="24"/>
        </w:rPr>
        <w:t xml:space="preserve">Em abril de 2009, não só o lançamento do Programa Minha Casa Minha Vida – PMCMV, como também os investimentos previstos no Programa de Aceleração do Crescimento – PAC que, desde janeiro de 2007 estão sendo direcionados para o setor de infraestrutura social e urbana, colocou em curso um conjunto de diretrizes e ações previstas no </w:t>
      </w:r>
      <w:proofErr w:type="spellStart"/>
      <w:r>
        <w:rPr>
          <w:sz w:val="24"/>
          <w:szCs w:val="24"/>
        </w:rPr>
        <w:t>PlanHab</w:t>
      </w:r>
      <w:proofErr w:type="spellEnd"/>
      <w:r>
        <w:rPr>
          <w:sz w:val="24"/>
          <w:szCs w:val="24"/>
        </w:rPr>
        <w:t xml:space="preserve">, representado pelos novos patamares de investimentos públicos no setor habitacional. </w:t>
      </w:r>
    </w:p>
    <w:p w14:paraId="089A3328" w14:textId="4243A4C6" w:rsidR="008914C1" w:rsidRDefault="00A07BD6">
      <w:pPr>
        <w:spacing w:line="360" w:lineRule="auto"/>
        <w:ind w:left="-2" w:firstLine="720"/>
        <w:jc w:val="both"/>
        <w:rPr>
          <w:sz w:val="24"/>
          <w:szCs w:val="24"/>
        </w:rPr>
      </w:pPr>
      <w:r>
        <w:rPr>
          <w:sz w:val="24"/>
          <w:szCs w:val="24"/>
        </w:rPr>
        <w:t xml:space="preserve">Portanto, a PNH a partir do Sistema Nacional de Habitação (SNH), estrutura institucionalmente as ações no campo da habitação, identifica os agentes que atuarão </w:t>
      </w:r>
      <w:r>
        <w:rPr>
          <w:sz w:val="24"/>
          <w:szCs w:val="24"/>
        </w:rPr>
        <w:lastRenderedPageBreak/>
        <w:t>na implementação da política, estabelece o arcabouço conceitual e as linhas de ação que direcionam os recursos e financiamentos habitacionais (MCIDADES, 2009).</w:t>
      </w:r>
    </w:p>
    <w:p w14:paraId="1EA94D3D" w14:textId="77777777" w:rsidR="008914C1" w:rsidRDefault="008914C1">
      <w:pPr>
        <w:spacing w:line="360" w:lineRule="auto"/>
        <w:ind w:left="-2" w:firstLine="2"/>
        <w:jc w:val="both"/>
        <w:rPr>
          <w:b/>
          <w:sz w:val="24"/>
          <w:szCs w:val="24"/>
        </w:rPr>
      </w:pPr>
    </w:p>
    <w:p w14:paraId="6004F07B" w14:textId="4B9BF977" w:rsidR="008914C1" w:rsidRDefault="00455201">
      <w:pPr>
        <w:spacing w:line="360" w:lineRule="auto"/>
        <w:ind w:hanging="2"/>
        <w:jc w:val="both"/>
        <w:rPr>
          <w:b/>
          <w:sz w:val="24"/>
          <w:szCs w:val="24"/>
        </w:rPr>
      </w:pPr>
      <w:r>
        <w:rPr>
          <w:b/>
          <w:sz w:val="24"/>
          <w:szCs w:val="24"/>
        </w:rPr>
        <w:t>3</w:t>
      </w:r>
      <w:r>
        <w:rPr>
          <w:b/>
          <w:sz w:val="24"/>
          <w:szCs w:val="24"/>
        </w:rPr>
        <w:tab/>
      </w:r>
      <w:r w:rsidR="00A07BD6">
        <w:rPr>
          <w:b/>
          <w:sz w:val="24"/>
          <w:szCs w:val="24"/>
        </w:rPr>
        <w:t xml:space="preserve"> POLÍTICAS URBANAS E HABITACIONAIS NA REGIÃO METROPOLITANA DE BELÉM E O PROGRAMA DE SANEAMENTO DA BACIA DA ESTRADA NOVA (PROMABEN)</w:t>
      </w:r>
    </w:p>
    <w:p w14:paraId="6B590C0C" w14:textId="77777777" w:rsidR="005251D4" w:rsidRDefault="005251D4">
      <w:pPr>
        <w:spacing w:line="360" w:lineRule="auto"/>
        <w:ind w:hanging="2"/>
        <w:jc w:val="both"/>
        <w:rPr>
          <w:b/>
          <w:sz w:val="24"/>
          <w:szCs w:val="24"/>
        </w:rPr>
      </w:pPr>
    </w:p>
    <w:p w14:paraId="388A77ED" w14:textId="77777777" w:rsidR="008914C1" w:rsidRDefault="00A07BD6">
      <w:pPr>
        <w:spacing w:line="360" w:lineRule="auto"/>
        <w:ind w:left="-2" w:firstLine="720"/>
        <w:jc w:val="both"/>
        <w:rPr>
          <w:sz w:val="24"/>
          <w:szCs w:val="24"/>
        </w:rPr>
      </w:pPr>
      <w:r>
        <w:rPr>
          <w:sz w:val="24"/>
          <w:szCs w:val="24"/>
        </w:rPr>
        <w:t xml:space="preserve">Sancionada pela Câmara Municipal de Belém, a Lei Nº 8.655, de 30 de Julho de 2008, dispõe sobre o Plano Diretor do Município de Belém, este que na Seção VI do Art. 26 ao 29, reitera acerca da Política Municipal de Habitação visando a universalização do acesso à moradia com condições adequadas de habitabilidade, tendo como objetivos a diminuição do déficit habitacional do Município, priorizar a permanência das famílias em área objeto de intervenções urbanas ou em áreas próximas às mesma, integrar a política habitacional às outras políticas públicas municipais, compatibilizando-a às políticas públicas estadual e federal, promover a requalificação urbanística assentamentos precários existentes, entre outras. </w:t>
      </w:r>
    </w:p>
    <w:p w14:paraId="0D4ECCF6" w14:textId="7EF10B9E" w:rsidR="008914C1" w:rsidRDefault="00A07BD6" w:rsidP="005251D4">
      <w:pPr>
        <w:spacing w:line="360" w:lineRule="auto"/>
        <w:ind w:left="-2" w:firstLine="720"/>
        <w:jc w:val="both"/>
        <w:rPr>
          <w:sz w:val="24"/>
          <w:szCs w:val="24"/>
        </w:rPr>
      </w:pPr>
      <w:r>
        <w:rPr>
          <w:sz w:val="24"/>
          <w:szCs w:val="24"/>
        </w:rPr>
        <w:t>Desse modo, destacam-se também algumas diretrizes para esta política como subsidiar a definição de normas urbanísticas adequadas às condições socioeconômicas da população, promovendo o acesso à habitação de interesse social, realizar ações de regularização fundiária com subsídios à população de baixa renda (Belém, 2008).</w:t>
      </w:r>
    </w:p>
    <w:p w14:paraId="2319C499" w14:textId="77777777" w:rsidR="008914C1" w:rsidRDefault="00A07BD6">
      <w:pPr>
        <w:spacing w:line="240" w:lineRule="auto"/>
        <w:ind w:left="2268"/>
        <w:jc w:val="both"/>
        <w:rPr>
          <w:sz w:val="20"/>
          <w:szCs w:val="20"/>
        </w:rPr>
      </w:pPr>
      <w:r>
        <w:rPr>
          <w:sz w:val="20"/>
          <w:szCs w:val="20"/>
        </w:rPr>
        <w:t>É importante destacar que o crescimento da cidade de Belém, e das demais capitais amazônicas, expressa, por um lado, a criação de novas atividades urbanas pelo Estado e pelas empresas privadas e, por outro, a profunda decadência e transformação das atividades agropecuárias e extrativistas, que passam a desencadear correntes migratórias no sentido rural-urbano, definindo formas marcantes de apropriação do espaço da cidade e de constituição de sua paisagem, como por exemplo, a produção de favelas. (Portela, 2018, p. 288)</w:t>
      </w:r>
    </w:p>
    <w:p w14:paraId="2E97E325" w14:textId="77777777" w:rsidR="008914C1" w:rsidRDefault="008914C1">
      <w:pPr>
        <w:spacing w:line="360" w:lineRule="auto"/>
        <w:ind w:hanging="2"/>
        <w:jc w:val="both"/>
        <w:rPr>
          <w:sz w:val="24"/>
          <w:szCs w:val="24"/>
        </w:rPr>
      </w:pPr>
    </w:p>
    <w:p w14:paraId="13F1D9D0" w14:textId="77777777" w:rsidR="008914C1" w:rsidRDefault="00A07BD6">
      <w:pPr>
        <w:spacing w:line="360" w:lineRule="auto"/>
        <w:ind w:left="-2" w:firstLine="720"/>
        <w:jc w:val="both"/>
        <w:rPr>
          <w:sz w:val="24"/>
          <w:szCs w:val="24"/>
        </w:rPr>
      </w:pPr>
      <w:r>
        <w:rPr>
          <w:sz w:val="24"/>
          <w:szCs w:val="24"/>
        </w:rPr>
        <w:t xml:space="preserve">Não obstante, dados fornecidos pelo Panorama do Censo Demográfico de 2022 destacam que cerca de 745.140 de pessoas viviam em favelas no Município de Belém, segundo o IBGE (2024), Belém é um dos municípios mais populosos do país, estando no 11° lugar do ranking atingindo uma população de 1.398.531 habitantes no ano de 2024. </w:t>
      </w:r>
    </w:p>
    <w:p w14:paraId="403DAC19" w14:textId="77777777" w:rsidR="008914C1" w:rsidRDefault="00A07BD6">
      <w:pPr>
        <w:spacing w:line="360" w:lineRule="auto"/>
        <w:ind w:left="-2" w:firstLine="720"/>
        <w:jc w:val="both"/>
        <w:rPr>
          <w:sz w:val="24"/>
          <w:szCs w:val="24"/>
        </w:rPr>
      </w:pPr>
      <w:r>
        <w:rPr>
          <w:sz w:val="24"/>
          <w:szCs w:val="24"/>
        </w:rPr>
        <w:t>Neste ínterim, como já mencionado anteriormente, na trajetória da política urbana habitacional de Belém foram desenvolvidas diversas intervenções urbanísticas de cunho sanitarista, a exemplo disso, o Programa de Saneamento da Bacia da Estrada Nova – PROMABEN II, que é um programa de saneamento realizado pela Prefeitura de Belém, em parceria com o Banco Interamericano de Desenvolvimento (BID), para a realização de obras de saneamento e urbanização e de ações sociais que beneficiarão 300 mil moradores dos bairros de São Brás, Cremação, Condor, Guamá, Jurunas e Cidade Velha, tais bairros se encontram localizados na denominada bacias hidrográficas da Estrada Nova e do Una. (PROMABEN, 2022).</w:t>
      </w:r>
    </w:p>
    <w:p w14:paraId="4C77DC17" w14:textId="77777777" w:rsidR="00455201" w:rsidRDefault="00A07BD6" w:rsidP="00455201">
      <w:pPr>
        <w:spacing w:line="360" w:lineRule="auto"/>
        <w:ind w:left="-2" w:firstLine="720"/>
        <w:jc w:val="both"/>
        <w:rPr>
          <w:sz w:val="24"/>
          <w:szCs w:val="24"/>
        </w:rPr>
      </w:pPr>
      <w:r>
        <w:rPr>
          <w:sz w:val="24"/>
          <w:szCs w:val="24"/>
        </w:rPr>
        <w:t>Considerando o Plano específico de Reassentamento - PER, os objetivos principais do programa se dirigem a promover obras abrangendo as ações de saneamento nas áreas residenciais às margens dos cursos d’água que compõem a BHEN, baseado em quatro componentes básicos: Drenagem da bacia, Saneamento básico, Habitação e Urbanismo, Revitalização urbano-ambiental (BELÉM, 2007).</w:t>
      </w:r>
    </w:p>
    <w:p w14:paraId="3971EB71" w14:textId="2D434D67" w:rsidR="00455201" w:rsidRDefault="00A07BD6" w:rsidP="00455201">
      <w:pPr>
        <w:spacing w:line="360" w:lineRule="auto"/>
        <w:ind w:left="-2" w:firstLine="720"/>
        <w:jc w:val="both"/>
        <w:rPr>
          <w:sz w:val="24"/>
          <w:szCs w:val="24"/>
        </w:rPr>
      </w:pPr>
      <w:r>
        <w:rPr>
          <w:sz w:val="24"/>
          <w:szCs w:val="24"/>
        </w:rPr>
        <w:t xml:space="preserve">O processo histórico de ocupação espontânea na Bacia da Estrada Nova, está profundamente enraizado nas contradições do modelo capitalista de urbanização, a escassez de políticas públicas eficazes de habitação e planejamento urbano, que levou populações de baixa renda a ocuparem áreas alagadiças e de várzea, tradicionalmente desvalorizadas pelo mercado imobiliário. </w:t>
      </w:r>
    </w:p>
    <w:p w14:paraId="4F3DA530" w14:textId="77777777" w:rsidR="00455201" w:rsidRDefault="00A07BD6" w:rsidP="00455201">
      <w:pPr>
        <w:spacing w:line="360" w:lineRule="auto"/>
        <w:ind w:left="-2" w:firstLine="720"/>
        <w:jc w:val="both"/>
        <w:rPr>
          <w:sz w:val="24"/>
          <w:szCs w:val="24"/>
        </w:rPr>
      </w:pPr>
      <w:r>
        <w:rPr>
          <w:sz w:val="24"/>
          <w:szCs w:val="24"/>
        </w:rPr>
        <w:t xml:space="preserve">Os bairros da bacia da Estrada Nova estão localizados próximos ao centro urbano da cidade, mais especificamente em sua região sul, são bairros populosos, com alta densidade demográfica, com destaque para os bairros Guamá, 94.610 (38,58%), </w:t>
      </w:r>
      <w:r w:rsidR="00137B10">
        <w:rPr>
          <w:sz w:val="24"/>
          <w:szCs w:val="24"/>
        </w:rPr>
        <w:t>Jurunas</w:t>
      </w:r>
      <w:r>
        <w:rPr>
          <w:sz w:val="24"/>
          <w:szCs w:val="24"/>
        </w:rPr>
        <w:t>, 64.478 (26,29%) e Condor, 42.758 (17,44%), que apresentam um grande adensamento populacional (PER, 2022).</w:t>
      </w:r>
    </w:p>
    <w:p w14:paraId="0EE3A9D2" w14:textId="77777777" w:rsidR="00455201" w:rsidRDefault="00A07BD6" w:rsidP="00455201">
      <w:pPr>
        <w:spacing w:line="360" w:lineRule="auto"/>
        <w:ind w:left="-2" w:firstLine="720"/>
        <w:jc w:val="both"/>
        <w:rPr>
          <w:sz w:val="24"/>
          <w:szCs w:val="24"/>
        </w:rPr>
      </w:pPr>
      <w:r>
        <w:rPr>
          <w:sz w:val="24"/>
          <w:szCs w:val="24"/>
        </w:rPr>
        <w:t xml:space="preserve">Dessa forma, o Programa atua com 4 grandes obras no município de Belém, como a Duplicação da </w:t>
      </w:r>
      <w:proofErr w:type="spellStart"/>
      <w:r>
        <w:rPr>
          <w:sz w:val="24"/>
          <w:szCs w:val="24"/>
        </w:rPr>
        <w:t>Av</w:t>
      </w:r>
      <w:proofErr w:type="spellEnd"/>
      <w:r>
        <w:rPr>
          <w:sz w:val="24"/>
          <w:szCs w:val="24"/>
        </w:rPr>
        <w:t xml:space="preserve">, Bernardo </w:t>
      </w:r>
      <w:proofErr w:type="spellStart"/>
      <w:r>
        <w:rPr>
          <w:sz w:val="24"/>
          <w:szCs w:val="24"/>
        </w:rPr>
        <w:t>Sayão</w:t>
      </w:r>
      <w:proofErr w:type="spellEnd"/>
      <w:r>
        <w:rPr>
          <w:sz w:val="24"/>
          <w:szCs w:val="24"/>
        </w:rPr>
        <w:t xml:space="preserve">, dividida em duas fases, a construção de 02 (dois) conjuntos habitacionais e 01 (um) centro comercial para as famílias que tiveram seu </w:t>
      </w:r>
      <w:r w:rsidR="001F0970">
        <w:rPr>
          <w:sz w:val="24"/>
          <w:szCs w:val="24"/>
        </w:rPr>
        <w:t>imóvel</w:t>
      </w:r>
      <w:r>
        <w:rPr>
          <w:sz w:val="24"/>
          <w:szCs w:val="24"/>
        </w:rPr>
        <w:t xml:space="preserve"> afetados pela linha de </w:t>
      </w:r>
      <w:r>
        <w:rPr>
          <w:i/>
          <w:sz w:val="24"/>
          <w:szCs w:val="24"/>
        </w:rPr>
        <w:t xml:space="preserve">off set </w:t>
      </w:r>
      <w:r>
        <w:rPr>
          <w:sz w:val="24"/>
          <w:szCs w:val="24"/>
        </w:rPr>
        <w:t>e que atendem aos critérios de soluções indicados no Plano Específico de Reassentamento. (</w:t>
      </w:r>
      <w:proofErr w:type="spellStart"/>
      <w:r w:rsidR="001F0970">
        <w:rPr>
          <w:sz w:val="24"/>
          <w:szCs w:val="24"/>
        </w:rPr>
        <w:t>Subcoordenadoria</w:t>
      </w:r>
      <w:proofErr w:type="spellEnd"/>
      <w:r>
        <w:rPr>
          <w:sz w:val="24"/>
          <w:szCs w:val="24"/>
        </w:rPr>
        <w:t xml:space="preserve"> social do Programa, 2024). </w:t>
      </w:r>
    </w:p>
    <w:p w14:paraId="58FFC5CC" w14:textId="76AFC3FA" w:rsidR="00BC0B7F" w:rsidRDefault="00A07BD6" w:rsidP="00B326B9">
      <w:pPr>
        <w:spacing w:line="360" w:lineRule="auto"/>
        <w:ind w:left="-2" w:firstLine="720"/>
        <w:jc w:val="both"/>
        <w:rPr>
          <w:sz w:val="24"/>
          <w:szCs w:val="24"/>
        </w:rPr>
      </w:pPr>
      <w:r>
        <w:rPr>
          <w:sz w:val="24"/>
          <w:szCs w:val="24"/>
        </w:rPr>
        <w:t xml:space="preserve">O Programa trabalha com </w:t>
      </w:r>
      <w:r>
        <w:rPr>
          <w:b/>
          <w:sz w:val="24"/>
          <w:szCs w:val="24"/>
        </w:rPr>
        <w:t xml:space="preserve">21 soluções </w:t>
      </w:r>
      <w:r>
        <w:rPr>
          <w:sz w:val="24"/>
          <w:szCs w:val="24"/>
        </w:rPr>
        <w:t xml:space="preserve">para compensação da população afetada diretamente e indiretamente com as obras, considerando dados da </w:t>
      </w:r>
      <w:proofErr w:type="spellStart"/>
      <w:r>
        <w:rPr>
          <w:sz w:val="24"/>
          <w:szCs w:val="24"/>
        </w:rPr>
        <w:t>Subcoordenadoria</w:t>
      </w:r>
      <w:proofErr w:type="spellEnd"/>
      <w:r>
        <w:rPr>
          <w:sz w:val="24"/>
          <w:szCs w:val="24"/>
        </w:rPr>
        <w:t xml:space="preserve"> Social do Programa, são 633 famílias cadastradas dentro dos 4 trechos de obras, conforme indicado abaixo:</w:t>
      </w:r>
    </w:p>
    <w:p w14:paraId="2C8D1949" w14:textId="0B733D2B" w:rsidR="00BC0B7F" w:rsidRPr="00BC0B7F" w:rsidRDefault="00BC0B7F" w:rsidP="00BC0B7F">
      <w:pPr>
        <w:jc w:val="center"/>
        <w:rPr>
          <w:sz w:val="20"/>
          <w:szCs w:val="20"/>
        </w:rPr>
      </w:pPr>
      <w:r w:rsidRPr="00BC0B7F">
        <w:rPr>
          <w:b/>
          <w:bCs/>
          <w:sz w:val="20"/>
          <w:szCs w:val="20"/>
        </w:rPr>
        <w:t>Tabela 01:</w:t>
      </w:r>
      <w:r w:rsidRPr="00BC0B7F">
        <w:rPr>
          <w:sz w:val="20"/>
          <w:szCs w:val="20"/>
        </w:rPr>
        <w:t xml:space="preserve"> n° de famílias afetadas pelo programa, dívidas por trechos de obra.</w:t>
      </w:r>
    </w:p>
    <w:tbl>
      <w:tblPr>
        <w:tblStyle w:val="a"/>
        <w:tblpPr w:leftFromText="141" w:rightFromText="141" w:vertAnchor="text" w:horzAnchor="margin" w:tblpX="-162" w:tblpY="495"/>
        <w:tblW w:w="88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29"/>
        <w:gridCol w:w="2481"/>
      </w:tblGrid>
      <w:tr w:rsidR="00BC0B7F" w14:paraId="444F235B" w14:textId="77777777" w:rsidTr="00BC0B7F">
        <w:trPr>
          <w:trHeight w:val="485"/>
        </w:trPr>
        <w:tc>
          <w:tcPr>
            <w:tcW w:w="6329" w:type="dxa"/>
            <w:shd w:val="clear" w:color="auto" w:fill="999999"/>
            <w:tcMar>
              <w:top w:w="100" w:type="dxa"/>
              <w:left w:w="100" w:type="dxa"/>
              <w:bottom w:w="100" w:type="dxa"/>
              <w:right w:w="100" w:type="dxa"/>
            </w:tcMar>
          </w:tcPr>
          <w:p w14:paraId="53994A3E" w14:textId="77777777" w:rsidR="00BC0B7F" w:rsidRDefault="00BC0B7F" w:rsidP="00BC0B7F">
            <w:pPr>
              <w:widowControl w:val="0"/>
              <w:pBdr>
                <w:top w:val="nil"/>
                <w:left w:val="nil"/>
                <w:bottom w:val="nil"/>
                <w:right w:val="nil"/>
                <w:between w:val="nil"/>
              </w:pBdr>
              <w:spacing w:line="240" w:lineRule="auto"/>
              <w:ind w:hanging="2"/>
              <w:jc w:val="center"/>
              <w:rPr>
                <w:b/>
                <w:sz w:val="24"/>
                <w:szCs w:val="24"/>
              </w:rPr>
            </w:pPr>
            <w:r>
              <w:rPr>
                <w:b/>
                <w:sz w:val="24"/>
                <w:szCs w:val="24"/>
              </w:rPr>
              <w:t>TRECHO DE OBRA</w:t>
            </w:r>
          </w:p>
        </w:tc>
        <w:tc>
          <w:tcPr>
            <w:tcW w:w="2481" w:type="dxa"/>
            <w:shd w:val="clear" w:color="auto" w:fill="999999"/>
            <w:tcMar>
              <w:top w:w="100" w:type="dxa"/>
              <w:left w:w="100" w:type="dxa"/>
              <w:bottom w:w="100" w:type="dxa"/>
              <w:right w:w="100" w:type="dxa"/>
            </w:tcMar>
          </w:tcPr>
          <w:p w14:paraId="3AC21FEA" w14:textId="77777777" w:rsidR="00BC0B7F" w:rsidRDefault="00BC0B7F" w:rsidP="00BC0B7F">
            <w:pPr>
              <w:widowControl w:val="0"/>
              <w:pBdr>
                <w:top w:val="nil"/>
                <w:left w:val="nil"/>
                <w:bottom w:val="nil"/>
                <w:right w:val="nil"/>
                <w:between w:val="nil"/>
              </w:pBdr>
              <w:spacing w:line="240" w:lineRule="auto"/>
              <w:ind w:hanging="2"/>
              <w:jc w:val="center"/>
              <w:rPr>
                <w:b/>
                <w:sz w:val="24"/>
                <w:szCs w:val="24"/>
              </w:rPr>
            </w:pPr>
            <w:r>
              <w:rPr>
                <w:b/>
                <w:sz w:val="24"/>
                <w:szCs w:val="24"/>
              </w:rPr>
              <w:t>N° DE FAMÍLIAS CADASTRADAS</w:t>
            </w:r>
          </w:p>
        </w:tc>
      </w:tr>
      <w:tr w:rsidR="00BC0B7F" w14:paraId="2FA9CC74" w14:textId="77777777" w:rsidTr="00BC0B7F">
        <w:trPr>
          <w:trHeight w:val="479"/>
        </w:trPr>
        <w:tc>
          <w:tcPr>
            <w:tcW w:w="6329" w:type="dxa"/>
            <w:shd w:val="clear" w:color="auto" w:fill="CCCCCC"/>
            <w:tcMar>
              <w:top w:w="100" w:type="dxa"/>
              <w:left w:w="100" w:type="dxa"/>
              <w:bottom w:w="100" w:type="dxa"/>
              <w:right w:w="100" w:type="dxa"/>
            </w:tcMar>
          </w:tcPr>
          <w:p w14:paraId="2B0C419C"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 xml:space="preserve">Trecho I - AV. Bernardo </w:t>
            </w:r>
            <w:proofErr w:type="spellStart"/>
            <w:r>
              <w:rPr>
                <w:sz w:val="24"/>
                <w:szCs w:val="24"/>
              </w:rPr>
              <w:t>Sayão</w:t>
            </w:r>
            <w:proofErr w:type="spellEnd"/>
            <w:r>
              <w:rPr>
                <w:sz w:val="24"/>
                <w:szCs w:val="24"/>
              </w:rPr>
              <w:t xml:space="preserve">, entre Mundurucus e Av. Fernando </w:t>
            </w:r>
            <w:proofErr w:type="spellStart"/>
            <w:r>
              <w:rPr>
                <w:sz w:val="24"/>
                <w:szCs w:val="24"/>
              </w:rPr>
              <w:t>Guilhon</w:t>
            </w:r>
            <w:proofErr w:type="spellEnd"/>
          </w:p>
        </w:tc>
        <w:tc>
          <w:tcPr>
            <w:tcW w:w="2481" w:type="dxa"/>
            <w:shd w:val="clear" w:color="auto" w:fill="CCCCCC"/>
            <w:tcMar>
              <w:top w:w="100" w:type="dxa"/>
              <w:left w:w="100" w:type="dxa"/>
              <w:bottom w:w="100" w:type="dxa"/>
              <w:right w:w="100" w:type="dxa"/>
            </w:tcMar>
          </w:tcPr>
          <w:p w14:paraId="103DD890"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72</w:t>
            </w:r>
          </w:p>
        </w:tc>
      </w:tr>
      <w:tr w:rsidR="00BC0B7F" w14:paraId="1B32BCD1" w14:textId="77777777" w:rsidTr="00BC0B7F">
        <w:trPr>
          <w:trHeight w:val="479"/>
        </w:trPr>
        <w:tc>
          <w:tcPr>
            <w:tcW w:w="6329" w:type="dxa"/>
            <w:shd w:val="clear" w:color="auto" w:fill="auto"/>
            <w:tcMar>
              <w:top w:w="100" w:type="dxa"/>
              <w:left w:w="100" w:type="dxa"/>
              <w:bottom w:w="100" w:type="dxa"/>
              <w:right w:w="100" w:type="dxa"/>
            </w:tcMar>
          </w:tcPr>
          <w:p w14:paraId="20154433"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 xml:space="preserve">Trecho II - Av. Bernardo </w:t>
            </w:r>
            <w:proofErr w:type="spellStart"/>
            <w:r>
              <w:rPr>
                <w:sz w:val="24"/>
                <w:szCs w:val="24"/>
              </w:rPr>
              <w:t>Sayão</w:t>
            </w:r>
            <w:proofErr w:type="spellEnd"/>
            <w:r>
              <w:rPr>
                <w:sz w:val="24"/>
                <w:szCs w:val="24"/>
              </w:rPr>
              <w:t xml:space="preserve">, entre Av. Fernando </w:t>
            </w:r>
            <w:proofErr w:type="spellStart"/>
            <w:r>
              <w:rPr>
                <w:sz w:val="24"/>
                <w:szCs w:val="24"/>
              </w:rPr>
              <w:t>Guilhon</w:t>
            </w:r>
            <w:proofErr w:type="spellEnd"/>
            <w:r>
              <w:rPr>
                <w:sz w:val="24"/>
                <w:szCs w:val="24"/>
              </w:rPr>
              <w:t xml:space="preserve"> e Travessa Quintino Bocaiúva </w:t>
            </w:r>
          </w:p>
        </w:tc>
        <w:tc>
          <w:tcPr>
            <w:tcW w:w="2481" w:type="dxa"/>
            <w:shd w:val="clear" w:color="auto" w:fill="auto"/>
            <w:tcMar>
              <w:top w:w="100" w:type="dxa"/>
              <w:left w:w="100" w:type="dxa"/>
              <w:bottom w:w="100" w:type="dxa"/>
              <w:right w:w="100" w:type="dxa"/>
            </w:tcMar>
          </w:tcPr>
          <w:p w14:paraId="6AE62BFF"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208</w:t>
            </w:r>
          </w:p>
        </w:tc>
      </w:tr>
      <w:tr w:rsidR="00BC0B7F" w14:paraId="0A2626F8" w14:textId="77777777" w:rsidTr="00BC0B7F">
        <w:trPr>
          <w:trHeight w:val="232"/>
        </w:trPr>
        <w:tc>
          <w:tcPr>
            <w:tcW w:w="6329" w:type="dxa"/>
            <w:shd w:val="clear" w:color="auto" w:fill="B7B7B7"/>
            <w:tcMar>
              <w:top w:w="100" w:type="dxa"/>
              <w:left w:w="100" w:type="dxa"/>
              <w:bottom w:w="100" w:type="dxa"/>
              <w:right w:w="100" w:type="dxa"/>
            </w:tcMar>
          </w:tcPr>
          <w:p w14:paraId="0482560D"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Trecho III - Ilha Bela</w:t>
            </w:r>
          </w:p>
        </w:tc>
        <w:tc>
          <w:tcPr>
            <w:tcW w:w="2481" w:type="dxa"/>
            <w:shd w:val="clear" w:color="auto" w:fill="B7B7B7"/>
            <w:tcMar>
              <w:top w:w="100" w:type="dxa"/>
              <w:left w:w="100" w:type="dxa"/>
              <w:bottom w:w="100" w:type="dxa"/>
              <w:right w:w="100" w:type="dxa"/>
            </w:tcMar>
          </w:tcPr>
          <w:p w14:paraId="172BE613"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143</w:t>
            </w:r>
          </w:p>
        </w:tc>
      </w:tr>
      <w:tr w:rsidR="00BC0B7F" w14:paraId="418F29A2" w14:textId="77777777" w:rsidTr="00BC0B7F">
        <w:trPr>
          <w:trHeight w:val="232"/>
        </w:trPr>
        <w:tc>
          <w:tcPr>
            <w:tcW w:w="6329" w:type="dxa"/>
            <w:shd w:val="clear" w:color="auto" w:fill="auto"/>
            <w:tcMar>
              <w:top w:w="100" w:type="dxa"/>
              <w:left w:w="100" w:type="dxa"/>
              <w:bottom w:w="100" w:type="dxa"/>
              <w:right w:w="100" w:type="dxa"/>
            </w:tcMar>
          </w:tcPr>
          <w:p w14:paraId="74B1B72E"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Trecho IV - Miolo do Jurunas</w:t>
            </w:r>
          </w:p>
        </w:tc>
        <w:tc>
          <w:tcPr>
            <w:tcW w:w="2481" w:type="dxa"/>
            <w:shd w:val="clear" w:color="auto" w:fill="auto"/>
            <w:tcMar>
              <w:top w:w="100" w:type="dxa"/>
              <w:left w:w="100" w:type="dxa"/>
              <w:bottom w:w="100" w:type="dxa"/>
              <w:right w:w="100" w:type="dxa"/>
            </w:tcMar>
          </w:tcPr>
          <w:p w14:paraId="60CD5DAA" w14:textId="77777777" w:rsidR="00BC0B7F" w:rsidRDefault="00BC0B7F" w:rsidP="00BC0B7F">
            <w:pPr>
              <w:widowControl w:val="0"/>
              <w:pBdr>
                <w:top w:val="nil"/>
                <w:left w:val="nil"/>
                <w:bottom w:val="nil"/>
                <w:right w:val="nil"/>
                <w:between w:val="nil"/>
              </w:pBdr>
              <w:spacing w:line="240" w:lineRule="auto"/>
              <w:ind w:hanging="2"/>
              <w:jc w:val="center"/>
              <w:rPr>
                <w:sz w:val="24"/>
                <w:szCs w:val="24"/>
              </w:rPr>
            </w:pPr>
            <w:r>
              <w:rPr>
                <w:sz w:val="24"/>
                <w:szCs w:val="24"/>
              </w:rPr>
              <w:t>210</w:t>
            </w:r>
          </w:p>
        </w:tc>
      </w:tr>
      <w:tr w:rsidR="00BC0B7F" w:rsidRPr="00BC0B7F" w14:paraId="6849D5DE" w14:textId="77777777" w:rsidTr="00BC0B7F">
        <w:trPr>
          <w:trHeight w:val="158"/>
        </w:trPr>
        <w:tc>
          <w:tcPr>
            <w:tcW w:w="6329" w:type="dxa"/>
            <w:shd w:val="clear" w:color="auto" w:fill="B7B7B7"/>
            <w:tcMar>
              <w:top w:w="100" w:type="dxa"/>
              <w:left w:w="100" w:type="dxa"/>
              <w:bottom w:w="100" w:type="dxa"/>
              <w:right w:w="100" w:type="dxa"/>
            </w:tcMar>
          </w:tcPr>
          <w:p w14:paraId="2C3D14C1" w14:textId="77777777" w:rsidR="00BC0B7F" w:rsidRPr="00BC0B7F" w:rsidRDefault="00BC0B7F" w:rsidP="00BC0B7F">
            <w:pPr>
              <w:widowControl w:val="0"/>
              <w:pBdr>
                <w:top w:val="nil"/>
                <w:left w:val="nil"/>
                <w:bottom w:val="nil"/>
                <w:right w:val="nil"/>
                <w:between w:val="nil"/>
              </w:pBdr>
              <w:spacing w:line="240" w:lineRule="auto"/>
              <w:ind w:hanging="2"/>
              <w:jc w:val="center"/>
              <w:rPr>
                <w:sz w:val="24"/>
                <w:szCs w:val="24"/>
              </w:rPr>
            </w:pPr>
            <w:r w:rsidRPr="00BC0B7F">
              <w:rPr>
                <w:sz w:val="24"/>
                <w:szCs w:val="24"/>
              </w:rPr>
              <w:t>TOTAL</w:t>
            </w:r>
          </w:p>
        </w:tc>
        <w:tc>
          <w:tcPr>
            <w:tcW w:w="2481" w:type="dxa"/>
            <w:shd w:val="clear" w:color="auto" w:fill="B7B7B7"/>
            <w:tcMar>
              <w:top w:w="100" w:type="dxa"/>
              <w:left w:w="100" w:type="dxa"/>
              <w:bottom w:w="100" w:type="dxa"/>
              <w:right w:w="100" w:type="dxa"/>
            </w:tcMar>
          </w:tcPr>
          <w:p w14:paraId="3E51EEFB" w14:textId="77777777" w:rsidR="00BC0B7F" w:rsidRPr="00BC0B7F" w:rsidRDefault="00BC0B7F" w:rsidP="00BC0B7F">
            <w:pPr>
              <w:widowControl w:val="0"/>
              <w:pBdr>
                <w:top w:val="nil"/>
                <w:left w:val="nil"/>
                <w:bottom w:val="nil"/>
                <w:right w:val="nil"/>
                <w:between w:val="nil"/>
              </w:pBdr>
              <w:spacing w:line="240" w:lineRule="auto"/>
              <w:ind w:hanging="2"/>
              <w:jc w:val="center"/>
              <w:rPr>
                <w:sz w:val="24"/>
                <w:szCs w:val="24"/>
              </w:rPr>
            </w:pPr>
            <w:r w:rsidRPr="00BC0B7F">
              <w:rPr>
                <w:sz w:val="24"/>
                <w:szCs w:val="24"/>
              </w:rPr>
              <w:t>633</w:t>
            </w:r>
          </w:p>
        </w:tc>
      </w:tr>
    </w:tbl>
    <w:p w14:paraId="5AB101A7" w14:textId="0FD2D985" w:rsidR="00BC0B7F" w:rsidRPr="00BC0B7F" w:rsidRDefault="00BC0B7F" w:rsidP="00BC0B7F">
      <w:pPr>
        <w:spacing w:before="240" w:after="240" w:line="360" w:lineRule="auto"/>
        <w:rPr>
          <w:sz w:val="20"/>
          <w:szCs w:val="20"/>
        </w:rPr>
      </w:pPr>
    </w:p>
    <w:p w14:paraId="29969BCC" w14:textId="739E98CF" w:rsidR="008914C1" w:rsidRPr="00BC0B7F" w:rsidRDefault="00A07BD6" w:rsidP="00BC0B7F">
      <w:pPr>
        <w:spacing w:after="240" w:line="360" w:lineRule="auto"/>
        <w:rPr>
          <w:sz w:val="20"/>
          <w:szCs w:val="20"/>
        </w:rPr>
      </w:pPr>
      <w:r w:rsidRPr="00BC0B7F">
        <w:rPr>
          <w:b/>
          <w:sz w:val="20"/>
          <w:szCs w:val="20"/>
        </w:rPr>
        <w:t xml:space="preserve">Fonte: </w:t>
      </w:r>
      <w:r w:rsidRPr="00BC0B7F">
        <w:rPr>
          <w:sz w:val="20"/>
          <w:szCs w:val="20"/>
        </w:rPr>
        <w:t>SCS (2025).</w:t>
      </w:r>
    </w:p>
    <w:p w14:paraId="11E3A66C" w14:textId="77777777" w:rsidR="008914C1" w:rsidRDefault="00A07BD6">
      <w:pPr>
        <w:spacing w:before="240" w:after="240" w:line="360" w:lineRule="auto"/>
        <w:ind w:left="-2" w:firstLine="720"/>
        <w:jc w:val="both"/>
        <w:rPr>
          <w:sz w:val="24"/>
          <w:szCs w:val="24"/>
        </w:rPr>
      </w:pPr>
      <w:r>
        <w:rPr>
          <w:sz w:val="24"/>
          <w:szCs w:val="24"/>
        </w:rPr>
        <w:t xml:space="preserve">Como discurso oficial, o PROMABEN II visa requalificar a Bacia da Estrada Nova, implementando melhorias na drenagem, infraestrutura viária e sanitária, além de promover a sustentabilidade social. O Programa propaga adoção de ações guiadas pela Política Operativa – 710 do BID, que discorre sobre o remanejamento involuntário, nesta política ficam estabelecidos as diretrizes e orientações para a realização de qualquer deslocamento físico involuntário resultante de projetos financiados pelo Banco. Desta forma, o objetivo dessa política de reassentamento involuntário é: </w:t>
      </w:r>
    </w:p>
    <w:p w14:paraId="65743162" w14:textId="3FE4F3EF" w:rsidR="008914C1" w:rsidRDefault="00A07BD6">
      <w:pPr>
        <w:spacing w:before="240" w:after="240" w:line="240" w:lineRule="auto"/>
        <w:ind w:left="1438"/>
        <w:jc w:val="both"/>
        <w:rPr>
          <w:sz w:val="24"/>
          <w:szCs w:val="24"/>
        </w:rPr>
      </w:pPr>
      <w:r>
        <w:rPr>
          <w:sz w:val="20"/>
          <w:szCs w:val="20"/>
        </w:rPr>
        <w:t>Minimizar a perturbação do meio em que vivem as pessoas na área de influência do projeto, evitando ou minimizando a necessidade de deslocamento físico, assegurando que, quando as pessoas forem deslocadas, sejam tratadas equitativamente e, sempre que possível possam compartilhar dos benefícios do projeto que requer o seu reassentamento. (</w:t>
      </w:r>
      <w:r w:rsidR="00137B10">
        <w:rPr>
          <w:sz w:val="20"/>
          <w:szCs w:val="20"/>
        </w:rPr>
        <w:t>BID,</w:t>
      </w:r>
      <w:r>
        <w:rPr>
          <w:sz w:val="20"/>
          <w:szCs w:val="20"/>
        </w:rPr>
        <w:t xml:space="preserve"> 1998, p.01).</w:t>
      </w:r>
    </w:p>
    <w:p w14:paraId="727A6F45" w14:textId="11108266" w:rsidR="00455201" w:rsidRDefault="00A07BD6" w:rsidP="00455201">
      <w:pPr>
        <w:spacing w:before="240" w:line="360" w:lineRule="auto"/>
        <w:ind w:left="-2" w:firstLine="720"/>
        <w:jc w:val="both"/>
        <w:rPr>
          <w:sz w:val="24"/>
          <w:szCs w:val="24"/>
        </w:rPr>
      </w:pPr>
      <w:r>
        <w:rPr>
          <w:sz w:val="24"/>
          <w:szCs w:val="24"/>
        </w:rPr>
        <w:t>Nesse contexto, é importante ressaltar que a política urbana e habitacional também se configura num campo de “[...] disputa de projetos, concepções e recursos no cotidiano das gestões públicas e dos programas habitacionais, permeado pelas contradições presentes na sociedade e nas políticas públicas” (PAZ E DINIZ, 2020, p. 35). Assim, é necessário analisar os impactos diretos do Programa à questões como deslocamento da população, desapropriação e  remanejamento, estas ações são necessárias dentro da lógica do “desenvolvimento capitalista”, o remanejamento</w:t>
      </w:r>
      <w:r w:rsidR="00BC0B7F">
        <w:rPr>
          <w:sz w:val="24"/>
          <w:szCs w:val="24"/>
        </w:rPr>
        <w:t>].</w:t>
      </w:r>
      <w:r>
        <w:rPr>
          <w:sz w:val="24"/>
          <w:szCs w:val="24"/>
        </w:rPr>
        <w:t>esse processo se faz necessário para possibilitar a requalificação de canais, ampliação e melhorias da drenagem urbana, a literatura considera que o remanejamento embora necessário em muitos projetos urbanos, frequentemente provoca rupturas significativas, especialmente quando é realizado sem planejamento detalhado, participação social e sensibil</w:t>
      </w:r>
      <w:r w:rsidR="00455201">
        <w:rPr>
          <w:sz w:val="24"/>
          <w:szCs w:val="24"/>
        </w:rPr>
        <w:t>idade às especificidades locais.</w:t>
      </w:r>
    </w:p>
    <w:p w14:paraId="5D0A4F78" w14:textId="77777777" w:rsidR="00455201" w:rsidRDefault="00A07BD6" w:rsidP="00455201">
      <w:pPr>
        <w:spacing w:line="360" w:lineRule="auto"/>
        <w:ind w:left="-2" w:firstLine="720"/>
        <w:jc w:val="both"/>
        <w:rPr>
          <w:sz w:val="24"/>
          <w:szCs w:val="24"/>
        </w:rPr>
      </w:pPr>
      <w:r>
        <w:rPr>
          <w:sz w:val="24"/>
          <w:szCs w:val="24"/>
        </w:rPr>
        <w:t xml:space="preserve">Neste </w:t>
      </w:r>
      <w:r w:rsidR="00142376">
        <w:rPr>
          <w:sz w:val="24"/>
          <w:szCs w:val="24"/>
        </w:rPr>
        <w:t>ínterim, autores</w:t>
      </w:r>
      <w:r>
        <w:rPr>
          <w:sz w:val="24"/>
          <w:szCs w:val="24"/>
        </w:rPr>
        <w:t xml:space="preserve"> como Lefebvre (2001) e Harvey (2012), apontam que existe um conflito entre a lógica da modernização urbana e o direito à cidade, o remanejamento implica a ruptura de laços comunitários, perda de referências territoriais e inseguranças relacionadas à posse e ao uso da nova moradia. As famílias remanejadas, em sua maioria, enfrentam a falta de acesso à informação sobre seus processos, baixa participação nas decisões, indefinição sobre a titularidade das novas moradias, a precarização dos vínculos sociais e econômicos, além disso, o instrumental técnico do planejamento urbano, muitas vezes, não leva em consideração os saberes populares e o cotidiano dos sujeitos impactados. </w:t>
      </w:r>
    </w:p>
    <w:p w14:paraId="3EB07FD4" w14:textId="77777777" w:rsidR="005251D4" w:rsidRDefault="00A07BD6" w:rsidP="005251D4">
      <w:pPr>
        <w:spacing w:line="360" w:lineRule="auto"/>
        <w:ind w:left="-2" w:firstLine="720"/>
        <w:jc w:val="both"/>
        <w:rPr>
          <w:sz w:val="24"/>
          <w:szCs w:val="24"/>
        </w:rPr>
      </w:pPr>
      <w:r>
        <w:rPr>
          <w:sz w:val="24"/>
          <w:szCs w:val="24"/>
        </w:rPr>
        <w:t xml:space="preserve">Como aponta Raquel </w:t>
      </w:r>
      <w:proofErr w:type="spellStart"/>
      <w:r w:rsidR="00137B10">
        <w:rPr>
          <w:sz w:val="24"/>
          <w:szCs w:val="24"/>
        </w:rPr>
        <w:t>Rolnick</w:t>
      </w:r>
      <w:proofErr w:type="spellEnd"/>
      <w:r>
        <w:rPr>
          <w:sz w:val="24"/>
          <w:szCs w:val="24"/>
        </w:rPr>
        <w:t xml:space="preserve"> (2015), o Estado, ao atuar de forma tecnocrática e centralizada, pode tornar-se um agente reprodutor das desigualdades estruturais. O processo de remanejamento, nesse sentido, passa a ser um mecanismo de adequação dos corpos ao capital, legitimando a remoção em nome do "interesse público", que frequentemente se confunde com o interesse do mercado.</w:t>
      </w:r>
    </w:p>
    <w:p w14:paraId="7AFF0FA7" w14:textId="7C02DCEA" w:rsidR="008914C1" w:rsidRPr="005251D4" w:rsidRDefault="005251D4" w:rsidP="005251D4">
      <w:pPr>
        <w:spacing w:line="360" w:lineRule="auto"/>
        <w:ind w:left="-2" w:firstLine="720"/>
        <w:jc w:val="both"/>
        <w:rPr>
          <w:sz w:val="24"/>
          <w:szCs w:val="24"/>
        </w:rPr>
      </w:pPr>
      <w:r>
        <w:rPr>
          <w:b/>
          <w:sz w:val="24"/>
          <w:szCs w:val="24"/>
        </w:rPr>
        <w:t>4</w:t>
      </w:r>
      <w:r>
        <w:rPr>
          <w:b/>
          <w:sz w:val="24"/>
          <w:szCs w:val="24"/>
        </w:rPr>
        <w:tab/>
        <w:t>CONCLUSÃ</w:t>
      </w:r>
      <w:r w:rsidR="00A07BD6">
        <w:rPr>
          <w:b/>
          <w:sz w:val="24"/>
          <w:szCs w:val="24"/>
        </w:rPr>
        <w:t>O</w:t>
      </w:r>
    </w:p>
    <w:p w14:paraId="26086B7C" w14:textId="77777777" w:rsidR="008914C1" w:rsidRDefault="00A07BD6" w:rsidP="00A05915">
      <w:pPr>
        <w:spacing w:before="240" w:line="360" w:lineRule="auto"/>
        <w:ind w:left="-2" w:firstLine="720"/>
        <w:jc w:val="both"/>
        <w:rPr>
          <w:sz w:val="24"/>
          <w:szCs w:val="24"/>
        </w:rPr>
      </w:pPr>
      <w:r>
        <w:rPr>
          <w:sz w:val="24"/>
          <w:szCs w:val="24"/>
        </w:rPr>
        <w:t>Desde o ano de 2003 com a criação das Cidades no Brasil, teve-se a ampliação imediata dos investimentos nos setores de habitação e saneamento ambiental, logo, os programas existentes foram se adequando às particularidades do déficit habitacional e infraestrutura urbana sendo mais expressa em relação à população de baixa renda.</w:t>
      </w:r>
    </w:p>
    <w:p w14:paraId="2C104A97" w14:textId="77777777" w:rsidR="008914C1" w:rsidRDefault="00A07BD6" w:rsidP="00455201">
      <w:pPr>
        <w:spacing w:line="360" w:lineRule="auto"/>
        <w:ind w:left="-2" w:firstLine="720"/>
        <w:jc w:val="both"/>
        <w:rPr>
          <w:sz w:val="24"/>
          <w:szCs w:val="24"/>
        </w:rPr>
      </w:pPr>
      <w:r>
        <w:rPr>
          <w:sz w:val="24"/>
          <w:szCs w:val="24"/>
        </w:rPr>
        <w:t>Portanto, o Programa de Saneamento da Bacia da Estrada Nova II (</w:t>
      </w:r>
      <w:proofErr w:type="spellStart"/>
      <w:r>
        <w:rPr>
          <w:sz w:val="24"/>
          <w:szCs w:val="24"/>
        </w:rPr>
        <w:t>Promaben</w:t>
      </w:r>
      <w:proofErr w:type="spellEnd"/>
      <w:r>
        <w:rPr>
          <w:sz w:val="24"/>
          <w:szCs w:val="24"/>
        </w:rPr>
        <w:t xml:space="preserve"> II) representa uma tentativa significativa de requalificação urbana na região metropolitana de Belém, com o objetivo de melhorar as condições de vida de aproximadamente 300 mil habitantes por meio de obras de drenagem, saneamento básico, infraestrutura viária e ações de urbanização. No entanto, a implementação do programa tem gerado desafios significativos, especialmente no que diz respeito ao remanejamento de famílias e à regularização fundiária.</w:t>
      </w:r>
    </w:p>
    <w:p w14:paraId="080A54D5" w14:textId="77777777" w:rsidR="008914C1" w:rsidRDefault="00A07BD6" w:rsidP="00455201">
      <w:pPr>
        <w:spacing w:line="360" w:lineRule="auto"/>
        <w:ind w:left="-2" w:firstLine="720"/>
        <w:jc w:val="both"/>
        <w:rPr>
          <w:sz w:val="24"/>
          <w:szCs w:val="24"/>
        </w:rPr>
      </w:pPr>
      <w:r>
        <w:rPr>
          <w:sz w:val="24"/>
          <w:szCs w:val="24"/>
        </w:rPr>
        <w:t>Além disso, a ausência de um planejamento urbano que considere as dinâmicas locais tem levado à perpetuação de desigualdades estruturais, evidenciando a continuidade de políticas higienistas que desconsideram as necessidades e estratégias de sobrevivência das populações afetadas.</w:t>
      </w:r>
    </w:p>
    <w:p w14:paraId="4F71A7D8" w14:textId="1E369C3A" w:rsidR="00142376" w:rsidRPr="00142376" w:rsidRDefault="00A07BD6" w:rsidP="00455201">
      <w:pPr>
        <w:spacing w:line="360" w:lineRule="auto"/>
        <w:ind w:left="-2" w:firstLine="720"/>
        <w:jc w:val="both"/>
        <w:rPr>
          <w:sz w:val="24"/>
          <w:szCs w:val="24"/>
        </w:rPr>
      </w:pPr>
      <w:r>
        <w:rPr>
          <w:sz w:val="24"/>
          <w:szCs w:val="24"/>
        </w:rPr>
        <w:t>Portanto, é imperativo que o PROMABEN II deve ser compreendido como parte de uma estratégia maior de requalificação urbana, mas que precisa ser constantemente monitorada sob a ótica dos direitos humanos e da justiça espacial. Apenas com participação efetiva da população, garantias legais e planejamento intersetorial será possível mitigar os impactos negativos e potencializar os benefícios esperados pela intervenção.</w:t>
      </w:r>
    </w:p>
    <w:p w14:paraId="4E415D69" w14:textId="77777777" w:rsidR="00455201" w:rsidRDefault="00455201" w:rsidP="00142376">
      <w:pPr>
        <w:spacing w:line="360" w:lineRule="auto"/>
        <w:rPr>
          <w:b/>
          <w:sz w:val="24"/>
          <w:szCs w:val="24"/>
        </w:rPr>
      </w:pPr>
    </w:p>
    <w:p w14:paraId="3453501D" w14:textId="5640FBE2" w:rsidR="008914C1" w:rsidRPr="00142376" w:rsidRDefault="00A07BD6" w:rsidP="00455201">
      <w:pPr>
        <w:spacing w:line="360" w:lineRule="auto"/>
        <w:ind w:firstLine="718"/>
        <w:rPr>
          <w:sz w:val="24"/>
          <w:szCs w:val="24"/>
        </w:rPr>
      </w:pPr>
      <w:r w:rsidRPr="00142376">
        <w:rPr>
          <w:b/>
          <w:sz w:val="24"/>
          <w:szCs w:val="24"/>
        </w:rPr>
        <w:t xml:space="preserve">REFERÊNCIAS </w:t>
      </w:r>
    </w:p>
    <w:p w14:paraId="7B3535C8" w14:textId="77777777" w:rsidR="008914C1" w:rsidRPr="00137B10" w:rsidRDefault="008914C1">
      <w:pPr>
        <w:spacing w:line="240" w:lineRule="auto"/>
        <w:jc w:val="both"/>
        <w:rPr>
          <w:color w:val="EE0000"/>
          <w:sz w:val="24"/>
          <w:szCs w:val="24"/>
        </w:rPr>
      </w:pPr>
    </w:p>
    <w:p w14:paraId="6C110CC4" w14:textId="3C6530E0" w:rsidR="008914C1" w:rsidRDefault="00A07BD6" w:rsidP="00137B10">
      <w:pPr>
        <w:spacing w:line="360" w:lineRule="auto"/>
        <w:ind w:hanging="2"/>
        <w:jc w:val="both"/>
        <w:rPr>
          <w:sz w:val="24"/>
          <w:szCs w:val="24"/>
        </w:rPr>
      </w:pPr>
      <w:r w:rsidRPr="00137B10">
        <w:rPr>
          <w:sz w:val="24"/>
          <w:szCs w:val="24"/>
        </w:rPr>
        <w:t xml:space="preserve">BANCO INTERAMERICANO DE DESENVOLVIMENTO (BID). </w:t>
      </w:r>
      <w:r w:rsidRPr="00137B10">
        <w:rPr>
          <w:b/>
          <w:i/>
          <w:sz w:val="24"/>
          <w:szCs w:val="24"/>
        </w:rPr>
        <w:t>Política operacional OP-710: reassentamento involuntário</w:t>
      </w:r>
      <w:r w:rsidRPr="00137B10">
        <w:rPr>
          <w:b/>
          <w:sz w:val="24"/>
          <w:szCs w:val="24"/>
        </w:rPr>
        <w:t>.</w:t>
      </w:r>
      <w:r w:rsidRPr="00137B10">
        <w:rPr>
          <w:sz w:val="24"/>
          <w:szCs w:val="24"/>
        </w:rPr>
        <w:t xml:space="preserve"> Washington, D.C., 1998. Disponível em:</w:t>
      </w:r>
      <w:hyperlink r:id="rId7">
        <w:r w:rsidR="008914C1" w:rsidRPr="00137B10">
          <w:rPr>
            <w:sz w:val="24"/>
            <w:szCs w:val="24"/>
          </w:rPr>
          <w:t xml:space="preserve"> </w:t>
        </w:r>
      </w:hyperlink>
      <w:r w:rsidR="00CB611F">
        <w:t xml:space="preserve">&lt; </w:t>
      </w:r>
      <w:hyperlink r:id="rId8" w:history="1">
        <w:r w:rsidR="00CB611F" w:rsidRPr="008221B4">
          <w:rPr>
            <w:rStyle w:val="Hyperlink"/>
            <w:sz w:val="24"/>
            <w:szCs w:val="24"/>
          </w:rPr>
          <w:t>https://www.iadb.org</w:t>
        </w:r>
      </w:hyperlink>
      <w:r w:rsidR="00CB611F">
        <w:rPr>
          <w:sz w:val="24"/>
          <w:szCs w:val="24"/>
          <w:u w:val="single"/>
        </w:rPr>
        <w:t xml:space="preserve"> &gt;</w:t>
      </w:r>
      <w:r w:rsidRPr="00137B10">
        <w:rPr>
          <w:sz w:val="24"/>
          <w:szCs w:val="24"/>
        </w:rPr>
        <w:t>. Acesso em: 2 jun. 2025.</w:t>
      </w:r>
    </w:p>
    <w:p w14:paraId="46A7363B" w14:textId="77777777" w:rsidR="00DC597D" w:rsidRDefault="006249DD" w:rsidP="000F5776">
      <w:pPr>
        <w:spacing w:line="360" w:lineRule="auto"/>
        <w:ind w:hanging="2"/>
        <w:jc w:val="both"/>
        <w:rPr>
          <w:sz w:val="24"/>
          <w:szCs w:val="24"/>
        </w:rPr>
      </w:pPr>
      <w:r w:rsidRPr="006249DD">
        <w:rPr>
          <w:sz w:val="24"/>
          <w:szCs w:val="24"/>
        </w:rPr>
        <w:t>BEL</w:t>
      </w:r>
      <w:r w:rsidRPr="006249DD">
        <w:rPr>
          <w:rFonts w:hint="eastAsia"/>
          <w:sz w:val="24"/>
          <w:szCs w:val="24"/>
        </w:rPr>
        <w:t>É</w:t>
      </w:r>
      <w:r w:rsidRPr="006249DD">
        <w:rPr>
          <w:sz w:val="24"/>
          <w:szCs w:val="24"/>
        </w:rPr>
        <w:t xml:space="preserve">M. </w:t>
      </w:r>
      <w:r w:rsidRPr="006249DD">
        <w:rPr>
          <w:b/>
          <w:bCs/>
          <w:sz w:val="24"/>
          <w:szCs w:val="24"/>
        </w:rPr>
        <w:t>Lei N</w:t>
      </w:r>
      <w:r w:rsidRPr="006249DD">
        <w:rPr>
          <w:rFonts w:hint="eastAsia"/>
          <w:b/>
          <w:bCs/>
          <w:sz w:val="24"/>
          <w:szCs w:val="24"/>
        </w:rPr>
        <w:t>º</w:t>
      </w:r>
      <w:r w:rsidRPr="006249DD">
        <w:rPr>
          <w:b/>
          <w:bCs/>
          <w:sz w:val="24"/>
          <w:szCs w:val="24"/>
        </w:rPr>
        <w:t xml:space="preserve"> 8.655, de 30 de julho de 2008.</w:t>
      </w:r>
      <w:r w:rsidRPr="006249DD">
        <w:rPr>
          <w:sz w:val="24"/>
          <w:szCs w:val="24"/>
        </w:rPr>
        <w:t xml:space="preserve"> Prefeitura Municipal de Bel</w:t>
      </w:r>
      <w:r w:rsidRPr="006249DD">
        <w:rPr>
          <w:rFonts w:hint="eastAsia"/>
          <w:sz w:val="24"/>
          <w:szCs w:val="24"/>
        </w:rPr>
        <w:t>é</w:t>
      </w:r>
      <w:r w:rsidRPr="006249DD">
        <w:rPr>
          <w:sz w:val="24"/>
          <w:szCs w:val="24"/>
        </w:rPr>
        <w:t>m: Plano Diretor do Munic</w:t>
      </w:r>
      <w:r w:rsidRPr="006249DD">
        <w:rPr>
          <w:rFonts w:hint="eastAsia"/>
          <w:sz w:val="24"/>
          <w:szCs w:val="24"/>
        </w:rPr>
        <w:t>í</w:t>
      </w:r>
      <w:r w:rsidRPr="006249DD">
        <w:rPr>
          <w:sz w:val="24"/>
          <w:szCs w:val="24"/>
        </w:rPr>
        <w:t>pio de Bel</w:t>
      </w:r>
      <w:r w:rsidRPr="006249DD">
        <w:rPr>
          <w:rFonts w:hint="eastAsia"/>
          <w:sz w:val="24"/>
          <w:szCs w:val="24"/>
        </w:rPr>
        <w:t>é</w:t>
      </w:r>
      <w:r w:rsidRPr="006249DD">
        <w:rPr>
          <w:sz w:val="24"/>
          <w:szCs w:val="24"/>
        </w:rPr>
        <w:t>m, 2008.</w:t>
      </w:r>
    </w:p>
    <w:p w14:paraId="326FA1AA" w14:textId="5EB3F5A1" w:rsidR="000F5776" w:rsidRDefault="00094EBD" w:rsidP="00DC597D">
      <w:pPr>
        <w:spacing w:line="360" w:lineRule="auto"/>
        <w:ind w:hanging="2"/>
        <w:jc w:val="both"/>
        <w:rPr>
          <w:sz w:val="24"/>
          <w:szCs w:val="24"/>
        </w:rPr>
      </w:pPr>
      <w:r>
        <w:rPr>
          <w:sz w:val="24"/>
          <w:szCs w:val="24"/>
        </w:rPr>
        <w:t>BRASIL</w:t>
      </w:r>
      <w:r w:rsidRPr="00137B10">
        <w:rPr>
          <w:b/>
          <w:sz w:val="24"/>
          <w:szCs w:val="24"/>
        </w:rPr>
        <w:t>.</w:t>
      </w:r>
      <w:r w:rsidR="004B30C7">
        <w:rPr>
          <w:b/>
          <w:sz w:val="24"/>
          <w:szCs w:val="24"/>
        </w:rPr>
        <w:t xml:space="preserve"> </w:t>
      </w:r>
      <w:r w:rsidR="004B30C7">
        <w:rPr>
          <w:bCs/>
          <w:sz w:val="24"/>
          <w:szCs w:val="24"/>
        </w:rPr>
        <w:t>[Constituição(1988)]</w:t>
      </w:r>
      <w:r w:rsidR="00F96B90">
        <w:rPr>
          <w:bCs/>
          <w:sz w:val="24"/>
          <w:szCs w:val="24"/>
        </w:rPr>
        <w:t>.</w:t>
      </w:r>
      <w:r>
        <w:rPr>
          <w:b/>
          <w:sz w:val="24"/>
          <w:szCs w:val="24"/>
        </w:rPr>
        <w:t xml:space="preserve"> </w:t>
      </w:r>
      <w:r w:rsidRPr="00137B10">
        <w:rPr>
          <w:b/>
          <w:sz w:val="24"/>
          <w:szCs w:val="24"/>
        </w:rPr>
        <w:t>Constituição da República Federativa do Brasil</w:t>
      </w:r>
      <w:r w:rsidR="0089250D">
        <w:rPr>
          <w:b/>
          <w:sz w:val="24"/>
          <w:szCs w:val="24"/>
        </w:rPr>
        <w:t xml:space="preserve"> de 1988</w:t>
      </w:r>
      <w:r w:rsidRPr="00137B10">
        <w:rPr>
          <w:b/>
          <w:sz w:val="24"/>
          <w:szCs w:val="24"/>
        </w:rPr>
        <w:t>.</w:t>
      </w:r>
      <w:r w:rsidR="00782C37">
        <w:rPr>
          <w:b/>
          <w:sz w:val="24"/>
          <w:szCs w:val="24"/>
        </w:rPr>
        <w:t xml:space="preserve"> </w:t>
      </w:r>
      <w:r w:rsidR="00782C37">
        <w:rPr>
          <w:bCs/>
          <w:sz w:val="24"/>
          <w:szCs w:val="24"/>
        </w:rPr>
        <w:t>Brasília</w:t>
      </w:r>
      <w:r w:rsidR="003F7AAC">
        <w:rPr>
          <w:b/>
          <w:sz w:val="24"/>
          <w:szCs w:val="24"/>
        </w:rPr>
        <w:t>,</w:t>
      </w:r>
      <w:r w:rsidR="003F7AAC">
        <w:rPr>
          <w:bCs/>
          <w:sz w:val="24"/>
          <w:szCs w:val="24"/>
        </w:rPr>
        <w:t xml:space="preserve"> DF:</w:t>
      </w:r>
      <w:r w:rsidR="00E614B9">
        <w:rPr>
          <w:bCs/>
          <w:sz w:val="24"/>
          <w:szCs w:val="24"/>
        </w:rPr>
        <w:t xml:space="preserve"> Presidência da República</w:t>
      </w:r>
      <w:r w:rsidR="003F7AAC">
        <w:rPr>
          <w:bCs/>
          <w:sz w:val="24"/>
          <w:szCs w:val="24"/>
        </w:rPr>
        <w:t>,</w:t>
      </w:r>
      <w:r w:rsidR="00127997">
        <w:rPr>
          <w:bCs/>
          <w:sz w:val="24"/>
          <w:szCs w:val="24"/>
        </w:rPr>
        <w:t xml:space="preserve"> </w:t>
      </w:r>
      <w:r w:rsidR="00AF4D96">
        <w:rPr>
          <w:bCs/>
          <w:sz w:val="24"/>
          <w:szCs w:val="24"/>
        </w:rPr>
        <w:t>[</w:t>
      </w:r>
      <w:r w:rsidR="00127997">
        <w:rPr>
          <w:bCs/>
          <w:sz w:val="24"/>
          <w:szCs w:val="24"/>
        </w:rPr>
        <w:t>202</w:t>
      </w:r>
      <w:r w:rsidR="00AF4D96">
        <w:rPr>
          <w:bCs/>
          <w:sz w:val="24"/>
          <w:szCs w:val="24"/>
        </w:rPr>
        <w:t>3]</w:t>
      </w:r>
      <w:r w:rsidR="006E482E">
        <w:rPr>
          <w:bCs/>
          <w:sz w:val="24"/>
          <w:szCs w:val="24"/>
        </w:rPr>
        <w:t>. Disponível</w:t>
      </w:r>
      <w:r w:rsidR="006E482E">
        <w:rPr>
          <w:b/>
          <w:sz w:val="24"/>
          <w:szCs w:val="24"/>
        </w:rPr>
        <w:t xml:space="preserve"> </w:t>
      </w:r>
      <w:r w:rsidR="006E482E">
        <w:rPr>
          <w:bCs/>
          <w:sz w:val="24"/>
          <w:szCs w:val="24"/>
        </w:rPr>
        <w:t>em:</w:t>
      </w:r>
      <w:r w:rsidRPr="00137B10">
        <w:rPr>
          <w:sz w:val="24"/>
          <w:szCs w:val="24"/>
        </w:rPr>
        <w:t>&lt;</w:t>
      </w:r>
      <w:r w:rsidR="00FC4CD9">
        <w:rPr>
          <w:sz w:val="24"/>
          <w:szCs w:val="24"/>
        </w:rPr>
        <w:t xml:space="preserve"> </w:t>
      </w:r>
      <w:hyperlink r:id="rId9" w:history="1">
        <w:r w:rsidR="00FC4CD9" w:rsidRPr="00693E47">
          <w:rPr>
            <w:rStyle w:val="Hyperlink"/>
            <w:sz w:val="24"/>
            <w:szCs w:val="24"/>
          </w:rPr>
          <w:t>https://www.planalto.gov.br/ccivil_03/constituicao/constituicao.htm</w:t>
        </w:r>
      </w:hyperlink>
      <w:r w:rsidR="00FC4CD9">
        <w:rPr>
          <w:sz w:val="24"/>
          <w:szCs w:val="24"/>
          <w:u w:val="single"/>
        </w:rPr>
        <w:t xml:space="preserve"> </w:t>
      </w:r>
      <w:r w:rsidRPr="00137B10">
        <w:rPr>
          <w:sz w:val="24"/>
          <w:szCs w:val="24"/>
        </w:rPr>
        <w:t>&gt; Acesso em 25 de abril de 2025.</w:t>
      </w:r>
    </w:p>
    <w:p w14:paraId="0B0DBD07" w14:textId="77777777" w:rsidR="00A7204F" w:rsidRDefault="00A7204F" w:rsidP="005F528A">
      <w:pPr>
        <w:spacing w:line="360" w:lineRule="auto"/>
        <w:ind w:hanging="2"/>
        <w:jc w:val="both"/>
        <w:rPr>
          <w:sz w:val="24"/>
          <w:szCs w:val="24"/>
        </w:rPr>
      </w:pPr>
      <w:r>
        <w:rPr>
          <w:sz w:val="24"/>
          <w:szCs w:val="24"/>
        </w:rPr>
        <w:t>BRASIL</w:t>
      </w:r>
      <w:r w:rsidRPr="00137B10">
        <w:rPr>
          <w:sz w:val="24"/>
          <w:szCs w:val="24"/>
        </w:rPr>
        <w:t xml:space="preserve">. </w:t>
      </w:r>
      <w:r w:rsidRPr="00137B10">
        <w:rPr>
          <w:b/>
          <w:sz w:val="24"/>
          <w:szCs w:val="24"/>
        </w:rPr>
        <w:t>Plano Nacional de Habitação</w:t>
      </w:r>
      <w:r>
        <w:rPr>
          <w:sz w:val="24"/>
          <w:szCs w:val="24"/>
        </w:rPr>
        <w:t xml:space="preserve">. Brasília, DF: Ministério das Cidades/ Secretaria Nacional de Habitação, </w:t>
      </w:r>
      <w:r w:rsidRPr="00137B10">
        <w:rPr>
          <w:sz w:val="24"/>
          <w:szCs w:val="24"/>
        </w:rPr>
        <w:t>2009.</w:t>
      </w:r>
    </w:p>
    <w:p w14:paraId="243E74A6" w14:textId="1873B4D0" w:rsidR="00A7204F" w:rsidRPr="00A7204F" w:rsidRDefault="00A7204F" w:rsidP="00A7204F">
      <w:pPr>
        <w:spacing w:line="360" w:lineRule="auto"/>
        <w:ind w:hanging="2"/>
        <w:jc w:val="both"/>
        <w:rPr>
          <w:sz w:val="24"/>
          <w:szCs w:val="24"/>
        </w:rPr>
      </w:pPr>
      <w:r>
        <w:rPr>
          <w:sz w:val="24"/>
          <w:szCs w:val="24"/>
        </w:rPr>
        <w:t>BRASIL</w:t>
      </w:r>
      <w:r w:rsidRPr="00137B10">
        <w:rPr>
          <w:sz w:val="24"/>
          <w:szCs w:val="24"/>
        </w:rPr>
        <w:t xml:space="preserve">. </w:t>
      </w:r>
      <w:r w:rsidRPr="00137B10">
        <w:rPr>
          <w:b/>
          <w:sz w:val="24"/>
          <w:szCs w:val="24"/>
        </w:rPr>
        <w:t>Política</w:t>
      </w:r>
      <w:r w:rsidRPr="00137B10">
        <w:rPr>
          <w:sz w:val="24"/>
          <w:szCs w:val="24"/>
        </w:rPr>
        <w:t xml:space="preserve"> </w:t>
      </w:r>
      <w:r w:rsidRPr="00137B10">
        <w:rPr>
          <w:b/>
          <w:sz w:val="24"/>
          <w:szCs w:val="24"/>
        </w:rPr>
        <w:t>Nacional de Habitação.</w:t>
      </w:r>
      <w:r w:rsidRPr="00137B10">
        <w:rPr>
          <w:sz w:val="24"/>
          <w:szCs w:val="24"/>
        </w:rPr>
        <w:t xml:space="preserve"> Cadernos MCIDADES Habitação</w:t>
      </w:r>
      <w:r>
        <w:rPr>
          <w:sz w:val="24"/>
          <w:szCs w:val="24"/>
        </w:rPr>
        <w:t>: Ministério das Cidades</w:t>
      </w:r>
      <w:r w:rsidRPr="00137B10">
        <w:rPr>
          <w:sz w:val="24"/>
          <w:szCs w:val="24"/>
        </w:rPr>
        <w:t>, 2004.</w:t>
      </w:r>
    </w:p>
    <w:p w14:paraId="417764E7" w14:textId="77777777" w:rsidR="00D31759" w:rsidRDefault="00A07BD6" w:rsidP="00D31759">
      <w:pPr>
        <w:spacing w:line="360" w:lineRule="auto"/>
        <w:ind w:hanging="2"/>
        <w:jc w:val="both"/>
        <w:rPr>
          <w:sz w:val="24"/>
          <w:szCs w:val="24"/>
        </w:rPr>
      </w:pPr>
      <w:r w:rsidRPr="00137B10">
        <w:rPr>
          <w:sz w:val="24"/>
          <w:szCs w:val="24"/>
        </w:rPr>
        <w:t xml:space="preserve">CRUZ, S. H. R.; SILVA, I. S. SÁ, M. E. R. de </w:t>
      </w:r>
      <w:r w:rsidRPr="00137B10">
        <w:rPr>
          <w:b/>
          <w:sz w:val="24"/>
          <w:szCs w:val="24"/>
        </w:rPr>
        <w:t>Segregação social do trabalho e da moradia: “Portal da Amazônia” em Belém-PA.</w:t>
      </w:r>
      <w:r w:rsidRPr="00137B10">
        <w:rPr>
          <w:sz w:val="24"/>
          <w:szCs w:val="24"/>
        </w:rPr>
        <w:t xml:space="preserve"> </w:t>
      </w:r>
      <w:proofErr w:type="spellStart"/>
      <w:r w:rsidRPr="00137B10">
        <w:rPr>
          <w:sz w:val="24"/>
          <w:szCs w:val="24"/>
        </w:rPr>
        <w:t>Temporalis</w:t>
      </w:r>
      <w:proofErr w:type="spellEnd"/>
      <w:r w:rsidRPr="00137B10">
        <w:rPr>
          <w:sz w:val="24"/>
          <w:szCs w:val="24"/>
        </w:rPr>
        <w:t>, ano 15, n. 29, jan.-jun./2015.</w:t>
      </w:r>
    </w:p>
    <w:p w14:paraId="14B51485" w14:textId="4CDC7B6A" w:rsidR="00D31759" w:rsidRDefault="00D31759" w:rsidP="00D31759">
      <w:pPr>
        <w:spacing w:line="360" w:lineRule="auto"/>
        <w:ind w:hanging="2"/>
        <w:jc w:val="both"/>
        <w:rPr>
          <w:sz w:val="24"/>
          <w:szCs w:val="24"/>
        </w:rPr>
      </w:pPr>
      <w:r w:rsidRPr="00137B10">
        <w:rPr>
          <w:sz w:val="24"/>
          <w:szCs w:val="24"/>
        </w:rPr>
        <w:t>DINIZ, Tânia M. G. (</w:t>
      </w:r>
      <w:proofErr w:type="spellStart"/>
      <w:r w:rsidRPr="00137B10">
        <w:rPr>
          <w:sz w:val="24"/>
          <w:szCs w:val="24"/>
        </w:rPr>
        <w:t>Orgs</w:t>
      </w:r>
      <w:proofErr w:type="spellEnd"/>
      <w:r w:rsidRPr="00137B10">
        <w:rPr>
          <w:sz w:val="24"/>
          <w:szCs w:val="24"/>
        </w:rPr>
        <w:t xml:space="preserve">.) </w:t>
      </w:r>
      <w:r w:rsidRPr="00137B10">
        <w:rPr>
          <w:b/>
          <w:sz w:val="24"/>
          <w:szCs w:val="24"/>
        </w:rPr>
        <w:t>Serviço Social e trabalho social em habitação. Requisições conservadoras, resistências e proposições</w:t>
      </w:r>
      <w:r w:rsidRPr="00137B10">
        <w:rPr>
          <w:sz w:val="24"/>
          <w:szCs w:val="24"/>
        </w:rPr>
        <w:t>. Rio de Janeiro, Mórula, 2020.</w:t>
      </w:r>
    </w:p>
    <w:p w14:paraId="28014153" w14:textId="77777777" w:rsidR="00D31759" w:rsidRDefault="00A07BD6" w:rsidP="00D31759">
      <w:pPr>
        <w:spacing w:line="360" w:lineRule="auto"/>
        <w:ind w:hanging="2"/>
        <w:jc w:val="both"/>
        <w:rPr>
          <w:sz w:val="24"/>
          <w:szCs w:val="24"/>
        </w:rPr>
      </w:pPr>
      <w:r w:rsidRPr="00137B10">
        <w:rPr>
          <w:sz w:val="24"/>
          <w:szCs w:val="24"/>
        </w:rPr>
        <w:t xml:space="preserve">HARVEY, David. </w:t>
      </w:r>
      <w:r w:rsidRPr="00137B10">
        <w:rPr>
          <w:b/>
          <w:i/>
          <w:sz w:val="24"/>
          <w:szCs w:val="24"/>
        </w:rPr>
        <w:t>Cidades Rebeldes: do direito à cidade à revolução urbana</w:t>
      </w:r>
      <w:r w:rsidRPr="00137B10">
        <w:rPr>
          <w:b/>
          <w:sz w:val="24"/>
          <w:szCs w:val="24"/>
        </w:rPr>
        <w:t>.</w:t>
      </w:r>
      <w:r w:rsidRPr="00137B10">
        <w:rPr>
          <w:sz w:val="24"/>
          <w:szCs w:val="24"/>
        </w:rPr>
        <w:t xml:space="preserve"> São Paulo: Martins Fontes, 2012</w:t>
      </w:r>
      <w:r w:rsidRPr="00137B10">
        <w:rPr>
          <w:color w:val="EE0000"/>
          <w:sz w:val="24"/>
          <w:szCs w:val="24"/>
        </w:rPr>
        <w:t>.</w:t>
      </w:r>
    </w:p>
    <w:p w14:paraId="05E6BEF9" w14:textId="1BDEFCFB" w:rsidR="00137B10" w:rsidRPr="00137B10" w:rsidRDefault="00A07BD6" w:rsidP="00856793">
      <w:pPr>
        <w:spacing w:line="360" w:lineRule="auto"/>
        <w:ind w:hanging="2"/>
        <w:jc w:val="both"/>
        <w:rPr>
          <w:sz w:val="24"/>
          <w:szCs w:val="24"/>
        </w:rPr>
      </w:pPr>
      <w:r w:rsidRPr="00137B10">
        <w:rPr>
          <w:sz w:val="24"/>
          <w:szCs w:val="24"/>
        </w:rPr>
        <w:t xml:space="preserve">LEFEBVRE, Henri. </w:t>
      </w:r>
      <w:r w:rsidRPr="00137B10">
        <w:rPr>
          <w:b/>
          <w:sz w:val="24"/>
          <w:szCs w:val="24"/>
        </w:rPr>
        <w:t>O direito à cidade.</w:t>
      </w:r>
      <w:r w:rsidRPr="00137B10">
        <w:rPr>
          <w:sz w:val="24"/>
          <w:szCs w:val="24"/>
        </w:rPr>
        <w:t xml:space="preserve"> São Paulo: Centauro, 2001.</w:t>
      </w:r>
    </w:p>
    <w:p w14:paraId="69AD8715" w14:textId="3F346BBB" w:rsidR="008914C1" w:rsidRPr="000F5776" w:rsidRDefault="00A07BD6" w:rsidP="000F5776">
      <w:pPr>
        <w:spacing w:line="360" w:lineRule="auto"/>
        <w:ind w:hanging="2"/>
        <w:jc w:val="both"/>
        <w:rPr>
          <w:sz w:val="24"/>
          <w:szCs w:val="24"/>
        </w:rPr>
      </w:pPr>
      <w:r w:rsidRPr="00137B10">
        <w:rPr>
          <w:sz w:val="24"/>
          <w:szCs w:val="24"/>
        </w:rPr>
        <w:t xml:space="preserve">PORTELA, </w:t>
      </w:r>
      <w:proofErr w:type="spellStart"/>
      <w:r w:rsidRPr="00137B10">
        <w:rPr>
          <w:sz w:val="24"/>
          <w:szCs w:val="24"/>
        </w:rPr>
        <w:t>Roselene</w:t>
      </w:r>
      <w:proofErr w:type="spellEnd"/>
      <w:r w:rsidRPr="00137B10">
        <w:rPr>
          <w:sz w:val="24"/>
          <w:szCs w:val="24"/>
        </w:rPr>
        <w:t xml:space="preserve">. </w:t>
      </w:r>
      <w:r w:rsidRPr="00137B10">
        <w:rPr>
          <w:b/>
          <w:sz w:val="24"/>
          <w:szCs w:val="24"/>
        </w:rPr>
        <w:t xml:space="preserve">Lutas sociais e produção do espaço urbano na cidade de Belém-Pará. </w:t>
      </w:r>
      <w:r w:rsidRPr="00137B10">
        <w:rPr>
          <w:sz w:val="24"/>
          <w:szCs w:val="24"/>
        </w:rPr>
        <w:t>Emancipação. Ponta Grossa, v.18, n.2, p. 281-300, jul./dez., 2018.</w:t>
      </w:r>
    </w:p>
    <w:p w14:paraId="412420B9" w14:textId="77777777" w:rsidR="008914C1" w:rsidRPr="00137B10" w:rsidRDefault="00A07BD6" w:rsidP="00137B10">
      <w:pPr>
        <w:spacing w:line="360" w:lineRule="auto"/>
        <w:ind w:hanging="2"/>
        <w:jc w:val="both"/>
        <w:rPr>
          <w:sz w:val="24"/>
          <w:szCs w:val="24"/>
        </w:rPr>
      </w:pPr>
      <w:r w:rsidRPr="00137B10">
        <w:rPr>
          <w:sz w:val="24"/>
          <w:szCs w:val="24"/>
        </w:rPr>
        <w:t xml:space="preserve">Plano Específico de Reassentamento – PER (Sub - Bacia 01 – Trecho 1). </w:t>
      </w:r>
      <w:r w:rsidRPr="00137B10">
        <w:rPr>
          <w:b/>
          <w:sz w:val="24"/>
          <w:szCs w:val="24"/>
        </w:rPr>
        <w:t xml:space="preserve">Programa de Saneamento da Bacia da Estrada Nova. </w:t>
      </w:r>
      <w:r w:rsidRPr="00137B10">
        <w:rPr>
          <w:sz w:val="24"/>
          <w:szCs w:val="24"/>
        </w:rPr>
        <w:t>PROMABEN. 2011.</w:t>
      </w:r>
    </w:p>
    <w:p w14:paraId="29639D3A" w14:textId="77777777" w:rsidR="00137B10" w:rsidRDefault="00A07BD6" w:rsidP="00137B10">
      <w:pPr>
        <w:spacing w:line="360" w:lineRule="auto"/>
        <w:ind w:hanging="2"/>
        <w:jc w:val="both"/>
        <w:rPr>
          <w:sz w:val="24"/>
          <w:szCs w:val="24"/>
        </w:rPr>
      </w:pPr>
      <w:r w:rsidRPr="00137B10">
        <w:rPr>
          <w:sz w:val="24"/>
          <w:szCs w:val="24"/>
        </w:rPr>
        <w:t xml:space="preserve">Plano Específico de Reassentamento – PER. </w:t>
      </w:r>
      <w:r w:rsidRPr="00137B10">
        <w:rPr>
          <w:b/>
          <w:sz w:val="24"/>
          <w:szCs w:val="24"/>
        </w:rPr>
        <w:t xml:space="preserve">Programa de Saneamento da Bacia da Estrada Nova. </w:t>
      </w:r>
      <w:r w:rsidRPr="00137B10">
        <w:rPr>
          <w:sz w:val="24"/>
          <w:szCs w:val="24"/>
        </w:rPr>
        <w:t>PROMABEN II. 2022.</w:t>
      </w:r>
    </w:p>
    <w:p w14:paraId="25801819" w14:textId="77777777" w:rsidR="00D31759" w:rsidRDefault="00142376" w:rsidP="00D31759">
      <w:pPr>
        <w:spacing w:line="360" w:lineRule="auto"/>
        <w:ind w:hanging="2"/>
        <w:jc w:val="both"/>
        <w:rPr>
          <w:sz w:val="24"/>
          <w:szCs w:val="24"/>
        </w:rPr>
      </w:pPr>
      <w:r w:rsidRPr="00137B10">
        <w:rPr>
          <w:sz w:val="24"/>
          <w:szCs w:val="24"/>
        </w:rPr>
        <w:t xml:space="preserve">PAZ, Rosangela D.O. da e DINIZ, Tânia M. G. </w:t>
      </w:r>
      <w:r w:rsidRPr="00137B10">
        <w:rPr>
          <w:b/>
          <w:sz w:val="24"/>
          <w:szCs w:val="24"/>
        </w:rPr>
        <w:t>Trabalho social em Habitação: contradições, convocações e redefinições políticas.</w:t>
      </w:r>
      <w:r w:rsidRPr="00137B10">
        <w:rPr>
          <w:sz w:val="24"/>
          <w:szCs w:val="24"/>
        </w:rPr>
        <w:t xml:space="preserve"> In: PAZ, Rosangela D. O. ROLNIK, Raquel. </w:t>
      </w:r>
      <w:r w:rsidRPr="00137B10">
        <w:rPr>
          <w:b/>
          <w:i/>
          <w:sz w:val="24"/>
          <w:szCs w:val="24"/>
        </w:rPr>
        <w:t>Guerra dos Lugares: a colonização da terra e da moradia na era das finanças</w:t>
      </w:r>
      <w:r w:rsidRPr="00137B10">
        <w:rPr>
          <w:b/>
          <w:sz w:val="24"/>
          <w:szCs w:val="24"/>
        </w:rPr>
        <w:t xml:space="preserve">. </w:t>
      </w:r>
      <w:r w:rsidRPr="00137B10">
        <w:rPr>
          <w:sz w:val="24"/>
          <w:szCs w:val="24"/>
        </w:rPr>
        <w:t xml:space="preserve">São Paulo: </w:t>
      </w:r>
      <w:proofErr w:type="spellStart"/>
      <w:r w:rsidRPr="00137B10">
        <w:rPr>
          <w:sz w:val="24"/>
          <w:szCs w:val="24"/>
        </w:rPr>
        <w:t>Boitempo</w:t>
      </w:r>
      <w:proofErr w:type="spellEnd"/>
      <w:r w:rsidRPr="00137B10">
        <w:rPr>
          <w:sz w:val="24"/>
          <w:szCs w:val="24"/>
        </w:rPr>
        <w:t>, 2015.</w:t>
      </w:r>
    </w:p>
    <w:p w14:paraId="4A90FF42" w14:textId="57E273C4" w:rsidR="008914C1" w:rsidRPr="00137B10" w:rsidRDefault="00A07BD6" w:rsidP="00D31759">
      <w:pPr>
        <w:spacing w:line="360" w:lineRule="auto"/>
        <w:ind w:hanging="2"/>
        <w:jc w:val="both"/>
        <w:rPr>
          <w:sz w:val="24"/>
          <w:szCs w:val="24"/>
        </w:rPr>
      </w:pPr>
      <w:r w:rsidRPr="00137B10">
        <w:rPr>
          <w:sz w:val="24"/>
          <w:szCs w:val="24"/>
        </w:rPr>
        <w:t>SANTOS, Milena.</w:t>
      </w:r>
      <w:r w:rsidRPr="00137B10">
        <w:rPr>
          <w:b/>
          <w:sz w:val="24"/>
          <w:szCs w:val="24"/>
        </w:rPr>
        <w:t xml:space="preserve"> Estado, política social e controle do capital</w:t>
      </w:r>
      <w:r w:rsidRPr="00137B10">
        <w:rPr>
          <w:sz w:val="24"/>
          <w:szCs w:val="24"/>
        </w:rPr>
        <w:t xml:space="preserve">. – [2.ed.]. – </w:t>
      </w:r>
      <w:r w:rsidR="005B283E" w:rsidRPr="00137B10">
        <w:rPr>
          <w:sz w:val="24"/>
          <w:szCs w:val="24"/>
        </w:rPr>
        <w:t>Maceió:</w:t>
      </w:r>
      <w:r w:rsidRPr="00137B10">
        <w:rPr>
          <w:sz w:val="24"/>
          <w:szCs w:val="24"/>
        </w:rPr>
        <w:t xml:space="preserve"> Coletivo Veredas, 2021.</w:t>
      </w:r>
    </w:p>
    <w:sectPr w:rsidR="008914C1" w:rsidRPr="00137B10" w:rsidSect="00A05915">
      <w:headerReference w:type="even" r:id="rId10"/>
      <w:headerReference w:type="default" r:id="rId11"/>
      <w:footerReference w:type="even" r:id="rId12"/>
      <w:footerReference w:type="default" r:id="rId13"/>
      <w:headerReference w:type="first" r:id="rId14"/>
      <w:footerReference w:type="first" r:id="rId15"/>
      <w:pgSz w:w="11909" w:h="16834"/>
      <w:pgMar w:top="1701" w:right="1134" w:bottom="1134" w:left="1701" w:header="3061"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144BA" w14:textId="77777777" w:rsidR="00C3127B" w:rsidRDefault="00C3127B">
      <w:pPr>
        <w:spacing w:line="240" w:lineRule="auto"/>
      </w:pPr>
      <w:r>
        <w:separator/>
      </w:r>
    </w:p>
  </w:endnote>
  <w:endnote w:type="continuationSeparator" w:id="0">
    <w:p w14:paraId="29FD8303" w14:textId="77777777" w:rsidR="00C3127B" w:rsidRDefault="00C31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E7E42" w14:textId="77777777" w:rsidR="008914C1" w:rsidRDefault="008914C1">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4382" w14:textId="77777777" w:rsidR="008914C1" w:rsidRDefault="008914C1">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CFA3" w14:textId="77777777" w:rsidR="008914C1" w:rsidRDefault="008914C1">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C1F27" w14:textId="77777777" w:rsidR="00C3127B" w:rsidRDefault="00C3127B">
      <w:pPr>
        <w:spacing w:line="240" w:lineRule="auto"/>
      </w:pPr>
      <w:r>
        <w:separator/>
      </w:r>
    </w:p>
  </w:footnote>
  <w:footnote w:type="continuationSeparator" w:id="0">
    <w:p w14:paraId="02D64E04" w14:textId="77777777" w:rsidR="00C3127B" w:rsidRDefault="00C3127B">
      <w:pPr>
        <w:spacing w:line="240" w:lineRule="auto"/>
      </w:pPr>
      <w:r>
        <w:continuationSeparator/>
      </w:r>
    </w:p>
  </w:footnote>
  <w:footnote w:id="1">
    <w:p w14:paraId="402CCC55" w14:textId="1ED87CD5" w:rsidR="00267F52" w:rsidRPr="00455201" w:rsidRDefault="00267F52" w:rsidP="005B283E">
      <w:pPr>
        <w:pStyle w:val="Textodenotaderodap"/>
        <w:jc w:val="both"/>
        <w:rPr>
          <w:sz w:val="18"/>
        </w:rPr>
      </w:pPr>
      <w:r w:rsidRPr="00455201">
        <w:rPr>
          <w:rStyle w:val="Refdenotaderodap"/>
          <w:sz w:val="18"/>
        </w:rPr>
        <w:footnoteRef/>
      </w:r>
      <w:r w:rsidR="00455201">
        <w:rPr>
          <w:sz w:val="18"/>
        </w:rPr>
        <w:t xml:space="preserve"> </w:t>
      </w:r>
      <w:r w:rsidRPr="00455201">
        <w:rPr>
          <w:sz w:val="18"/>
        </w:rPr>
        <w:t xml:space="preserve">Universidade Federal do Pará - UFPA, graduanda de bacharelado em Serviço Social, bolsista </w:t>
      </w:r>
      <w:r w:rsidR="001169AE" w:rsidRPr="00455201">
        <w:rPr>
          <w:sz w:val="18"/>
        </w:rPr>
        <w:t xml:space="preserve">voluntária </w:t>
      </w:r>
      <w:r w:rsidRPr="00455201">
        <w:rPr>
          <w:sz w:val="18"/>
        </w:rPr>
        <w:t>do Programa de Apoio à Reforma Urbana – PARU, aliiiceestefanisantos@gmail.com.</w:t>
      </w:r>
    </w:p>
  </w:footnote>
  <w:footnote w:id="2">
    <w:p w14:paraId="2257297E" w14:textId="7239AF46" w:rsidR="00267F52" w:rsidRPr="00455201" w:rsidRDefault="00267F52" w:rsidP="005B283E">
      <w:pPr>
        <w:pStyle w:val="Textodenotaderodap"/>
        <w:jc w:val="both"/>
        <w:rPr>
          <w:sz w:val="18"/>
        </w:rPr>
      </w:pPr>
      <w:r w:rsidRPr="00455201">
        <w:rPr>
          <w:rStyle w:val="Refdenotaderodap"/>
          <w:sz w:val="18"/>
        </w:rPr>
        <w:footnoteRef/>
      </w:r>
      <w:r w:rsidR="00455201">
        <w:rPr>
          <w:sz w:val="18"/>
        </w:rPr>
        <w:t xml:space="preserve"> </w:t>
      </w:r>
      <w:r w:rsidRPr="00455201">
        <w:rPr>
          <w:sz w:val="18"/>
        </w:rPr>
        <w:t xml:space="preserve">Universidade Federal do Pará - UFPA, graduanda de bacharelado em Serviço Social, bolsista </w:t>
      </w:r>
      <w:r w:rsidR="001169AE" w:rsidRPr="00455201">
        <w:rPr>
          <w:sz w:val="18"/>
        </w:rPr>
        <w:t xml:space="preserve">voluntária </w:t>
      </w:r>
      <w:r w:rsidRPr="00455201">
        <w:rPr>
          <w:sz w:val="18"/>
        </w:rPr>
        <w:t>do Programa de Apoio à Reforma Urbana – PARU, letdesantosmiranda@gmail.com.</w:t>
      </w:r>
    </w:p>
  </w:footnote>
  <w:footnote w:id="3">
    <w:p w14:paraId="6B0ACDFA" w14:textId="2A05FD9A" w:rsidR="00267F52" w:rsidRPr="00455201" w:rsidRDefault="00267F52" w:rsidP="005B283E">
      <w:pPr>
        <w:pStyle w:val="Textodenotaderodap"/>
        <w:jc w:val="both"/>
        <w:rPr>
          <w:sz w:val="18"/>
        </w:rPr>
      </w:pPr>
      <w:r w:rsidRPr="00455201">
        <w:rPr>
          <w:rStyle w:val="Refdenotaderodap"/>
          <w:sz w:val="18"/>
        </w:rPr>
        <w:footnoteRef/>
      </w:r>
      <w:r w:rsidR="00455201">
        <w:rPr>
          <w:sz w:val="18"/>
        </w:rPr>
        <w:t xml:space="preserve"> </w:t>
      </w:r>
      <w:r w:rsidR="005B283E" w:rsidRPr="00455201">
        <w:rPr>
          <w:sz w:val="18"/>
        </w:rPr>
        <w:t>Universidade Federal do Pará; Assistente Social; Doutora em Ciências Socioambientais pelo Núcleo de Altos Estudos Amazônicos - NAEA/UFPA, roselene@ufpa</w:t>
      </w:r>
      <w:r w:rsidR="007546B8" w:rsidRPr="00455201">
        <w:rPr>
          <w:sz w:val="18"/>
        </w:rPr>
        <w:t>.</w:t>
      </w:r>
      <w:r w:rsidR="005B283E" w:rsidRPr="00455201">
        <w:rPr>
          <w:sz w:val="18"/>
        </w:rPr>
        <w:t>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6B3B" w14:textId="77777777" w:rsidR="008914C1" w:rsidRDefault="008914C1">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9EF33" w14:textId="77777777" w:rsidR="008914C1" w:rsidRDefault="00A07BD6">
    <w:r>
      <w:rPr>
        <w:noProof/>
      </w:rPr>
      <w:drawing>
        <wp:anchor distT="0" distB="0" distL="0" distR="0" simplePos="0" relativeHeight="251658240" behindDoc="1" locked="0" layoutInCell="1" hidden="0" allowOverlap="1" wp14:anchorId="547368BD" wp14:editId="35EAA2F7">
          <wp:simplePos x="0" y="0"/>
          <wp:positionH relativeFrom="page">
            <wp:posOffset>0</wp:posOffset>
          </wp:positionH>
          <wp:positionV relativeFrom="page">
            <wp:posOffset>10758</wp:posOffset>
          </wp:positionV>
          <wp:extent cx="7541111" cy="10929769"/>
          <wp:effectExtent l="0" t="0" r="3175" b="508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1550" cy="10959393"/>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18D11" w14:textId="77777777" w:rsidR="008914C1" w:rsidRDefault="008914C1">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4C1"/>
    <w:rsid w:val="00046D69"/>
    <w:rsid w:val="00053C83"/>
    <w:rsid w:val="00094EBD"/>
    <w:rsid w:val="000A4066"/>
    <w:rsid w:val="000B4AD5"/>
    <w:rsid w:val="000E2CF9"/>
    <w:rsid w:val="000F5776"/>
    <w:rsid w:val="0011272A"/>
    <w:rsid w:val="001169AE"/>
    <w:rsid w:val="00127997"/>
    <w:rsid w:val="00137B10"/>
    <w:rsid w:val="00142376"/>
    <w:rsid w:val="0014531D"/>
    <w:rsid w:val="001F0970"/>
    <w:rsid w:val="00267F52"/>
    <w:rsid w:val="00352591"/>
    <w:rsid w:val="00372548"/>
    <w:rsid w:val="00382E15"/>
    <w:rsid w:val="003C5EDE"/>
    <w:rsid w:val="003F7AAC"/>
    <w:rsid w:val="00414A96"/>
    <w:rsid w:val="00421861"/>
    <w:rsid w:val="00431049"/>
    <w:rsid w:val="00440968"/>
    <w:rsid w:val="00455201"/>
    <w:rsid w:val="004B30C7"/>
    <w:rsid w:val="004D02A7"/>
    <w:rsid w:val="005251D4"/>
    <w:rsid w:val="005423D1"/>
    <w:rsid w:val="00565706"/>
    <w:rsid w:val="005B0223"/>
    <w:rsid w:val="005B283E"/>
    <w:rsid w:val="005D60EB"/>
    <w:rsid w:val="006249DD"/>
    <w:rsid w:val="006A114B"/>
    <w:rsid w:val="006C296B"/>
    <w:rsid w:val="006D3961"/>
    <w:rsid w:val="006E482E"/>
    <w:rsid w:val="006E73C9"/>
    <w:rsid w:val="007323CF"/>
    <w:rsid w:val="007546B8"/>
    <w:rsid w:val="0077750C"/>
    <w:rsid w:val="00782C37"/>
    <w:rsid w:val="00803C5C"/>
    <w:rsid w:val="00856793"/>
    <w:rsid w:val="008914C1"/>
    <w:rsid w:val="0089250D"/>
    <w:rsid w:val="00905F4D"/>
    <w:rsid w:val="00937A29"/>
    <w:rsid w:val="0096790C"/>
    <w:rsid w:val="009E24CE"/>
    <w:rsid w:val="009E3868"/>
    <w:rsid w:val="00A05915"/>
    <w:rsid w:val="00A07BD6"/>
    <w:rsid w:val="00A2201C"/>
    <w:rsid w:val="00A7204F"/>
    <w:rsid w:val="00A80C51"/>
    <w:rsid w:val="00A91D1E"/>
    <w:rsid w:val="00AC3127"/>
    <w:rsid w:val="00AF4D96"/>
    <w:rsid w:val="00B0060A"/>
    <w:rsid w:val="00B24BB2"/>
    <w:rsid w:val="00B326B9"/>
    <w:rsid w:val="00BC0B7F"/>
    <w:rsid w:val="00C3127B"/>
    <w:rsid w:val="00C35D6F"/>
    <w:rsid w:val="00C51A4A"/>
    <w:rsid w:val="00C561D7"/>
    <w:rsid w:val="00C63DF8"/>
    <w:rsid w:val="00C84EAB"/>
    <w:rsid w:val="00C91325"/>
    <w:rsid w:val="00CB611F"/>
    <w:rsid w:val="00D0557D"/>
    <w:rsid w:val="00D31759"/>
    <w:rsid w:val="00DC4E9D"/>
    <w:rsid w:val="00DC597D"/>
    <w:rsid w:val="00DF3CFA"/>
    <w:rsid w:val="00E06664"/>
    <w:rsid w:val="00E2543D"/>
    <w:rsid w:val="00E614B9"/>
    <w:rsid w:val="00E625A3"/>
    <w:rsid w:val="00E6455B"/>
    <w:rsid w:val="00E8388B"/>
    <w:rsid w:val="00EA58F9"/>
    <w:rsid w:val="00EB74E3"/>
    <w:rsid w:val="00EC15BB"/>
    <w:rsid w:val="00F57398"/>
    <w:rsid w:val="00F604B5"/>
    <w:rsid w:val="00F94707"/>
    <w:rsid w:val="00F96B90"/>
    <w:rsid w:val="00FB3F42"/>
    <w:rsid w:val="00FC4C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524B7"/>
  <w15:docId w15:val="{8FFD08DE-17CF-4758-9ABE-7469673F5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notaderodap">
    <w:name w:val="footnote text"/>
    <w:basedOn w:val="Normal"/>
    <w:link w:val="TextodenotaderodapChar"/>
    <w:uiPriority w:val="99"/>
    <w:semiHidden/>
    <w:unhideWhenUsed/>
    <w:rsid w:val="00267F52"/>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67F52"/>
    <w:rPr>
      <w:sz w:val="20"/>
      <w:szCs w:val="20"/>
    </w:rPr>
  </w:style>
  <w:style w:type="character" w:styleId="Refdenotaderodap">
    <w:name w:val="footnote reference"/>
    <w:basedOn w:val="Fontepargpadro"/>
    <w:uiPriority w:val="99"/>
    <w:semiHidden/>
    <w:unhideWhenUsed/>
    <w:rsid w:val="00267F52"/>
    <w:rPr>
      <w:vertAlign w:val="superscript"/>
    </w:rPr>
  </w:style>
  <w:style w:type="paragraph" w:styleId="Pr-formataoHTML">
    <w:name w:val="HTML Preformatted"/>
    <w:basedOn w:val="Normal"/>
    <w:link w:val="Pr-formataoHTMLChar"/>
    <w:uiPriority w:val="99"/>
    <w:semiHidden/>
    <w:unhideWhenUsed/>
    <w:rsid w:val="00EC15BB"/>
    <w:pPr>
      <w:spacing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EC15BB"/>
    <w:rPr>
      <w:rFonts w:ascii="Consolas" w:hAnsi="Consolas"/>
      <w:sz w:val="20"/>
      <w:szCs w:val="20"/>
    </w:rPr>
  </w:style>
  <w:style w:type="character" w:styleId="Hyperlink">
    <w:name w:val="Hyperlink"/>
    <w:basedOn w:val="Fontepargpadro"/>
    <w:uiPriority w:val="99"/>
    <w:unhideWhenUsed/>
    <w:rsid w:val="00FC4CD9"/>
    <w:rPr>
      <w:color w:val="0000FF" w:themeColor="hyperlink"/>
      <w:u w:val="single"/>
    </w:rPr>
  </w:style>
  <w:style w:type="character" w:customStyle="1" w:styleId="MenoPendente1">
    <w:name w:val="Menção Pendente1"/>
    <w:basedOn w:val="Fontepargpadro"/>
    <w:uiPriority w:val="99"/>
    <w:semiHidden/>
    <w:unhideWhenUsed/>
    <w:rsid w:val="00FC4CD9"/>
    <w:rPr>
      <w:color w:val="605E5C"/>
      <w:shd w:val="clear" w:color="auto" w:fill="E1DFDD"/>
    </w:rPr>
  </w:style>
  <w:style w:type="paragraph" w:styleId="SemEspaamento">
    <w:name w:val="No Spacing"/>
    <w:uiPriority w:val="1"/>
    <w:qFormat/>
    <w:rsid w:val="00BC0B7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859212">
      <w:bodyDiv w:val="1"/>
      <w:marLeft w:val="0"/>
      <w:marRight w:val="0"/>
      <w:marTop w:val="0"/>
      <w:marBottom w:val="0"/>
      <w:divBdr>
        <w:top w:val="none" w:sz="0" w:space="0" w:color="auto"/>
        <w:left w:val="none" w:sz="0" w:space="0" w:color="auto"/>
        <w:bottom w:val="none" w:sz="0" w:space="0" w:color="auto"/>
        <w:right w:val="none" w:sz="0" w:space="0" w:color="auto"/>
      </w:divBdr>
    </w:div>
    <w:div w:id="1866868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adb.org" TargetMode="External"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hyperlink" Target="https://www.iadb.org" TargetMode="External"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hyperlink" Target="https://www.planalto.gov.br/ccivil_03/constituicao/constituicao.htm" TargetMode="External" /><Relationship Id="rId14" Type="http://schemas.openxmlformats.org/officeDocument/2006/relationships/header" Target="header3.xm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E302F-2800-4BCB-B490-FA836E0F26F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3539</Words>
  <Characters>19113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alicesantos0202@gmail.com</cp:lastModifiedBy>
  <cp:revision>2</cp:revision>
  <dcterms:created xsi:type="dcterms:W3CDTF">2025-07-01T02:17:00Z</dcterms:created>
  <dcterms:modified xsi:type="dcterms:W3CDTF">2025-07-01T02:17:00Z</dcterms:modified>
</cp:coreProperties>
</file>