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D819D" w14:textId="36F9CD0F" w:rsidR="0082449E" w:rsidRPr="006001DA" w:rsidRDefault="00000000">
      <w:pPr>
        <w:jc w:val="center"/>
        <w:rPr>
          <w:sz w:val="24"/>
          <w:szCs w:val="24"/>
        </w:rPr>
      </w:pPr>
      <w:r w:rsidRPr="006001DA">
        <w:rPr>
          <w:b/>
          <w:sz w:val="24"/>
          <w:szCs w:val="24"/>
        </w:rPr>
        <w:t xml:space="preserve">O CONTROLE SOCIAL DOS RECURSOS DA EDUCAÇÃO: </w:t>
      </w:r>
      <w:r w:rsidRPr="006001DA">
        <w:rPr>
          <w:sz w:val="24"/>
          <w:szCs w:val="24"/>
        </w:rPr>
        <w:t>limites e potencialidades do Siope</w:t>
      </w:r>
      <w:r w:rsidR="00DC6A13" w:rsidRPr="006001DA">
        <w:rPr>
          <w:rStyle w:val="Refdenotaderodap"/>
          <w:sz w:val="24"/>
          <w:szCs w:val="24"/>
        </w:rPr>
        <w:footnoteReference w:id="1"/>
      </w:r>
    </w:p>
    <w:p w14:paraId="5C2535E2" w14:textId="77777777" w:rsidR="00C249A0" w:rsidRPr="006001DA" w:rsidRDefault="00C249A0">
      <w:pPr>
        <w:jc w:val="center"/>
        <w:rPr>
          <w:sz w:val="24"/>
          <w:szCs w:val="24"/>
        </w:rPr>
      </w:pPr>
    </w:p>
    <w:p w14:paraId="48AAB034" w14:textId="493DB5DD" w:rsidR="00C249A0" w:rsidRPr="006001DA" w:rsidRDefault="006237B7" w:rsidP="00C249A0">
      <w:pPr>
        <w:jc w:val="right"/>
      </w:pPr>
      <w:r w:rsidRPr="006001DA">
        <w:t>Gabrielle Alves Alencar</w:t>
      </w:r>
      <w:r w:rsidR="009865BB" w:rsidRPr="006001DA">
        <w:rPr>
          <w:rStyle w:val="Refdenotaderodap"/>
        </w:rPr>
        <w:footnoteReference w:id="2"/>
      </w:r>
    </w:p>
    <w:p w14:paraId="65E762CB" w14:textId="5B2A2762" w:rsidR="006237B7" w:rsidRPr="006001DA" w:rsidRDefault="002C6851" w:rsidP="007376BA">
      <w:pPr>
        <w:jc w:val="right"/>
      </w:pPr>
      <w:r w:rsidRPr="006001DA">
        <w:t>José Victor Almeida de Sousa</w:t>
      </w:r>
      <w:r w:rsidRPr="006001DA">
        <w:rPr>
          <w:rStyle w:val="Refdenotaderodap"/>
          <w:vertAlign w:val="baseline"/>
        </w:rPr>
        <w:t xml:space="preserve"> </w:t>
      </w:r>
      <w:r w:rsidR="00B9276F" w:rsidRPr="006001DA">
        <w:rPr>
          <w:rStyle w:val="Refdenotaderodap"/>
        </w:rPr>
        <w:footnoteReference w:id="3"/>
      </w:r>
    </w:p>
    <w:p w14:paraId="4A0190DD" w14:textId="2395393E" w:rsidR="006237B7" w:rsidRPr="006001DA" w:rsidRDefault="006237B7" w:rsidP="00C249A0">
      <w:pPr>
        <w:jc w:val="right"/>
      </w:pPr>
      <w:r w:rsidRPr="006001DA">
        <w:t>Rosana Evangelista da Cruz</w:t>
      </w:r>
      <w:r w:rsidR="00ED5088" w:rsidRPr="006001DA">
        <w:rPr>
          <w:rStyle w:val="Refdenotaderodap"/>
        </w:rPr>
        <w:footnoteReference w:id="4"/>
      </w:r>
    </w:p>
    <w:p w14:paraId="281FDDDF" w14:textId="53A82575" w:rsidR="006237B7" w:rsidRPr="006001DA" w:rsidRDefault="009865BB" w:rsidP="00C249A0">
      <w:pPr>
        <w:jc w:val="right"/>
      </w:pPr>
      <w:r w:rsidRPr="006001DA">
        <w:t>Rosivaldo dos Santos Souza</w:t>
      </w:r>
      <w:r w:rsidR="00237C50" w:rsidRPr="006001DA">
        <w:rPr>
          <w:rStyle w:val="Refdenotaderodap"/>
        </w:rPr>
        <w:footnoteReference w:id="5"/>
      </w:r>
    </w:p>
    <w:p w14:paraId="17622D78" w14:textId="37B59271" w:rsidR="0082449E" w:rsidRPr="006001DA" w:rsidRDefault="009711D4" w:rsidP="009711D4">
      <w:pPr>
        <w:spacing w:line="240" w:lineRule="auto"/>
        <w:ind w:left="2835"/>
        <w:jc w:val="right"/>
        <w:rPr>
          <w:b/>
          <w:sz w:val="20"/>
          <w:szCs w:val="20"/>
        </w:rPr>
      </w:pPr>
      <w:r w:rsidRPr="006001DA">
        <w:t>Teodoro de Sousa Sampaio</w:t>
      </w:r>
      <w:r w:rsidR="007376BA" w:rsidRPr="006001DA">
        <w:rPr>
          <w:rStyle w:val="Refdenotaderodap"/>
        </w:rPr>
        <w:footnoteReference w:id="6"/>
      </w:r>
    </w:p>
    <w:p w14:paraId="2C77085F" w14:textId="77777777" w:rsidR="0082449E" w:rsidRPr="006001DA" w:rsidRDefault="0082449E">
      <w:pPr>
        <w:spacing w:line="240" w:lineRule="auto"/>
        <w:ind w:left="2835"/>
        <w:jc w:val="both"/>
        <w:rPr>
          <w:b/>
          <w:sz w:val="20"/>
          <w:szCs w:val="20"/>
        </w:rPr>
      </w:pPr>
    </w:p>
    <w:p w14:paraId="6D88EBB1" w14:textId="77777777" w:rsidR="0082449E" w:rsidRPr="006001DA" w:rsidRDefault="00000000">
      <w:pPr>
        <w:spacing w:line="240" w:lineRule="auto"/>
        <w:ind w:left="2835"/>
        <w:jc w:val="both"/>
        <w:rPr>
          <w:b/>
          <w:sz w:val="20"/>
          <w:szCs w:val="20"/>
        </w:rPr>
      </w:pPr>
      <w:r w:rsidRPr="006001DA">
        <w:rPr>
          <w:b/>
          <w:sz w:val="20"/>
          <w:szCs w:val="20"/>
        </w:rPr>
        <w:t>Resumo</w:t>
      </w:r>
    </w:p>
    <w:p w14:paraId="38C6D492" w14:textId="77777777" w:rsidR="0082449E" w:rsidRPr="006001DA" w:rsidRDefault="00000000">
      <w:pPr>
        <w:spacing w:line="240" w:lineRule="auto"/>
        <w:ind w:left="2832"/>
        <w:jc w:val="both"/>
        <w:rPr>
          <w:sz w:val="20"/>
          <w:szCs w:val="20"/>
        </w:rPr>
      </w:pPr>
      <w:r w:rsidRPr="006001DA">
        <w:rPr>
          <w:sz w:val="20"/>
          <w:szCs w:val="20"/>
        </w:rPr>
        <w:t>O presente artigo tem por objetivo analisar o Sistema de Informações sobre Orçamentos Públicos em Educação (Siope) em sua função de publicizar informações de qualidade sobre o orçamento público educacional, em apoio à gestão pública, à pesquisa e ao controle da sociedade. A pesquisa, de abordagem teórico-metodológica crítica dialética, consistiu em estudo documental que implicou o desenvolvimento de instrumentos próprios de sistematização das informações do Siope sobre receitas e despesas da educação pública no Estado do Piauí, especificamente o Relatório Resumido de Execução Orçamentária (RREO). Foram verificadas falhas documentais que comprometem a integridade dos dados e, consequentemente, a possibilidade de fiscalização por parte dos conselhos e da sociedade civil, uma vez que as informações podem não refletir a realidade orçamentária dos entes, sendo necessários ajustes que contribuam para maior fidedignidade dos dados do Siope visando a adequada transparência e o controle social dos recursos que financiam a educação.</w:t>
      </w:r>
    </w:p>
    <w:p w14:paraId="3ED5B4D7" w14:textId="77777777" w:rsidR="0082449E" w:rsidRPr="006001DA" w:rsidRDefault="00000000">
      <w:pPr>
        <w:spacing w:line="360" w:lineRule="auto"/>
        <w:ind w:left="2832"/>
      </w:pPr>
      <w:r w:rsidRPr="006001DA">
        <w:rPr>
          <w:b/>
          <w:sz w:val="20"/>
          <w:szCs w:val="20"/>
        </w:rPr>
        <w:t xml:space="preserve">Palavras-chave: </w:t>
      </w:r>
      <w:r w:rsidRPr="006001DA">
        <w:rPr>
          <w:sz w:val="20"/>
          <w:szCs w:val="20"/>
        </w:rPr>
        <w:t>financiamento da educação; controle social; Siope.</w:t>
      </w:r>
    </w:p>
    <w:p w14:paraId="278760BE" w14:textId="77777777" w:rsidR="0082449E" w:rsidRPr="006001DA" w:rsidRDefault="0082449E">
      <w:pPr>
        <w:spacing w:line="240" w:lineRule="auto"/>
        <w:ind w:left="2835"/>
        <w:jc w:val="both"/>
        <w:rPr>
          <w:sz w:val="20"/>
          <w:szCs w:val="20"/>
        </w:rPr>
      </w:pPr>
    </w:p>
    <w:p w14:paraId="0F971B30" w14:textId="77777777" w:rsidR="0082449E" w:rsidRPr="006001DA" w:rsidRDefault="00000000">
      <w:pPr>
        <w:spacing w:line="240" w:lineRule="auto"/>
        <w:ind w:left="2835"/>
        <w:jc w:val="both"/>
        <w:rPr>
          <w:b/>
          <w:sz w:val="20"/>
          <w:szCs w:val="20"/>
        </w:rPr>
      </w:pPr>
      <w:r w:rsidRPr="006001DA">
        <w:rPr>
          <w:b/>
          <w:sz w:val="20"/>
          <w:szCs w:val="20"/>
        </w:rPr>
        <w:t>Abstract</w:t>
      </w:r>
    </w:p>
    <w:p w14:paraId="32FAC2D3" w14:textId="77777777" w:rsidR="0082449E" w:rsidRPr="006001DA" w:rsidRDefault="00000000">
      <w:pPr>
        <w:spacing w:line="240" w:lineRule="auto"/>
        <w:ind w:left="2832"/>
        <w:jc w:val="both"/>
        <w:rPr>
          <w:sz w:val="20"/>
          <w:szCs w:val="20"/>
        </w:rPr>
      </w:pPr>
      <w:proofErr w:type="spellStart"/>
      <w:r w:rsidRPr="006001DA">
        <w:rPr>
          <w:sz w:val="20"/>
          <w:szCs w:val="20"/>
        </w:rPr>
        <w:t>This</w:t>
      </w:r>
      <w:proofErr w:type="spellEnd"/>
      <w:r w:rsidRPr="006001DA">
        <w:rPr>
          <w:sz w:val="20"/>
          <w:szCs w:val="20"/>
        </w:rPr>
        <w:t xml:space="preserve"> </w:t>
      </w:r>
      <w:proofErr w:type="spellStart"/>
      <w:r w:rsidRPr="006001DA">
        <w:rPr>
          <w:sz w:val="20"/>
          <w:szCs w:val="20"/>
        </w:rPr>
        <w:t>article</w:t>
      </w:r>
      <w:proofErr w:type="spellEnd"/>
      <w:r w:rsidRPr="006001DA">
        <w:rPr>
          <w:sz w:val="20"/>
          <w:szCs w:val="20"/>
        </w:rPr>
        <w:t xml:space="preserve"> </w:t>
      </w:r>
      <w:proofErr w:type="spellStart"/>
      <w:r w:rsidRPr="006001DA">
        <w:rPr>
          <w:sz w:val="20"/>
          <w:szCs w:val="20"/>
        </w:rPr>
        <w:t>aims</w:t>
      </w:r>
      <w:proofErr w:type="spellEnd"/>
      <w:r w:rsidRPr="006001DA">
        <w:rPr>
          <w:sz w:val="20"/>
          <w:szCs w:val="20"/>
        </w:rPr>
        <w:t xml:space="preserve"> </w:t>
      </w:r>
      <w:proofErr w:type="spellStart"/>
      <w:r w:rsidRPr="006001DA">
        <w:rPr>
          <w:sz w:val="20"/>
          <w:szCs w:val="20"/>
        </w:rPr>
        <w:t>to</w:t>
      </w:r>
      <w:proofErr w:type="spellEnd"/>
      <w:r w:rsidRPr="006001DA">
        <w:rPr>
          <w:sz w:val="20"/>
          <w:szCs w:val="20"/>
        </w:rPr>
        <w:t xml:space="preserve"> </w:t>
      </w:r>
      <w:proofErr w:type="spellStart"/>
      <w:r w:rsidRPr="006001DA">
        <w:rPr>
          <w:sz w:val="20"/>
          <w:szCs w:val="20"/>
        </w:rPr>
        <w:t>analyze</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Information</w:t>
      </w:r>
      <w:proofErr w:type="spellEnd"/>
      <w:r w:rsidRPr="006001DA">
        <w:rPr>
          <w:sz w:val="20"/>
          <w:szCs w:val="20"/>
        </w:rPr>
        <w:t xml:space="preserve"> System </w:t>
      </w:r>
      <w:proofErr w:type="spellStart"/>
      <w:r w:rsidRPr="006001DA">
        <w:rPr>
          <w:sz w:val="20"/>
          <w:szCs w:val="20"/>
        </w:rPr>
        <w:t>on</w:t>
      </w:r>
      <w:proofErr w:type="spellEnd"/>
      <w:r w:rsidRPr="006001DA">
        <w:rPr>
          <w:sz w:val="20"/>
          <w:szCs w:val="20"/>
        </w:rPr>
        <w:t xml:space="preserve"> </w:t>
      </w:r>
      <w:proofErr w:type="spellStart"/>
      <w:r w:rsidRPr="006001DA">
        <w:rPr>
          <w:sz w:val="20"/>
          <w:szCs w:val="20"/>
        </w:rPr>
        <w:t>Public</w:t>
      </w:r>
      <w:proofErr w:type="spellEnd"/>
      <w:r w:rsidRPr="006001DA">
        <w:rPr>
          <w:sz w:val="20"/>
          <w:szCs w:val="20"/>
        </w:rPr>
        <w:t xml:space="preserve"> </w:t>
      </w:r>
      <w:proofErr w:type="spellStart"/>
      <w:r w:rsidRPr="006001DA">
        <w:rPr>
          <w:sz w:val="20"/>
          <w:szCs w:val="20"/>
        </w:rPr>
        <w:t>Education</w:t>
      </w:r>
      <w:proofErr w:type="spellEnd"/>
      <w:r w:rsidRPr="006001DA">
        <w:rPr>
          <w:sz w:val="20"/>
          <w:szCs w:val="20"/>
        </w:rPr>
        <w:t xml:space="preserve"> Budgets (Siope) in its role </w:t>
      </w:r>
      <w:proofErr w:type="spellStart"/>
      <w:r w:rsidRPr="006001DA">
        <w:rPr>
          <w:sz w:val="20"/>
          <w:szCs w:val="20"/>
        </w:rPr>
        <w:t>of</w:t>
      </w:r>
      <w:proofErr w:type="spellEnd"/>
      <w:r w:rsidRPr="006001DA">
        <w:rPr>
          <w:sz w:val="20"/>
          <w:szCs w:val="20"/>
        </w:rPr>
        <w:t xml:space="preserve"> </w:t>
      </w:r>
      <w:proofErr w:type="spellStart"/>
      <w:r w:rsidRPr="006001DA">
        <w:rPr>
          <w:sz w:val="20"/>
          <w:szCs w:val="20"/>
        </w:rPr>
        <w:t>disseminating</w:t>
      </w:r>
      <w:proofErr w:type="spellEnd"/>
      <w:r w:rsidRPr="006001DA">
        <w:rPr>
          <w:sz w:val="20"/>
          <w:szCs w:val="20"/>
        </w:rPr>
        <w:t xml:space="preserve"> high-</w:t>
      </w:r>
      <w:proofErr w:type="spellStart"/>
      <w:r w:rsidRPr="006001DA">
        <w:rPr>
          <w:sz w:val="20"/>
          <w:szCs w:val="20"/>
        </w:rPr>
        <w:t>quality</w:t>
      </w:r>
      <w:proofErr w:type="spellEnd"/>
      <w:r w:rsidRPr="006001DA">
        <w:rPr>
          <w:sz w:val="20"/>
          <w:szCs w:val="20"/>
        </w:rPr>
        <w:t xml:space="preserve"> </w:t>
      </w:r>
      <w:proofErr w:type="spellStart"/>
      <w:r w:rsidRPr="006001DA">
        <w:rPr>
          <w:sz w:val="20"/>
          <w:szCs w:val="20"/>
        </w:rPr>
        <w:t>information</w:t>
      </w:r>
      <w:proofErr w:type="spellEnd"/>
      <w:r w:rsidRPr="006001DA">
        <w:rPr>
          <w:sz w:val="20"/>
          <w:szCs w:val="20"/>
        </w:rPr>
        <w:t xml:space="preserve"> </w:t>
      </w:r>
      <w:proofErr w:type="spellStart"/>
      <w:r w:rsidRPr="006001DA">
        <w:rPr>
          <w:sz w:val="20"/>
          <w:szCs w:val="20"/>
        </w:rPr>
        <w:t>on</w:t>
      </w:r>
      <w:proofErr w:type="spellEnd"/>
      <w:r w:rsidRPr="006001DA">
        <w:rPr>
          <w:sz w:val="20"/>
          <w:szCs w:val="20"/>
        </w:rPr>
        <w:t xml:space="preserve"> </w:t>
      </w:r>
      <w:proofErr w:type="spellStart"/>
      <w:r w:rsidRPr="006001DA">
        <w:rPr>
          <w:sz w:val="20"/>
          <w:szCs w:val="20"/>
        </w:rPr>
        <w:t>educational</w:t>
      </w:r>
      <w:proofErr w:type="spellEnd"/>
      <w:r w:rsidRPr="006001DA">
        <w:rPr>
          <w:sz w:val="20"/>
          <w:szCs w:val="20"/>
        </w:rPr>
        <w:t xml:space="preserve"> </w:t>
      </w:r>
      <w:proofErr w:type="spellStart"/>
      <w:r w:rsidRPr="006001DA">
        <w:rPr>
          <w:sz w:val="20"/>
          <w:szCs w:val="20"/>
        </w:rPr>
        <w:t>public</w:t>
      </w:r>
      <w:proofErr w:type="spellEnd"/>
      <w:r w:rsidRPr="006001DA">
        <w:rPr>
          <w:sz w:val="20"/>
          <w:szCs w:val="20"/>
        </w:rPr>
        <w:t xml:space="preserve"> budgets </w:t>
      </w:r>
      <w:proofErr w:type="spellStart"/>
      <w:r w:rsidRPr="006001DA">
        <w:rPr>
          <w:sz w:val="20"/>
          <w:szCs w:val="20"/>
        </w:rPr>
        <w:t>to</w:t>
      </w:r>
      <w:proofErr w:type="spellEnd"/>
      <w:r w:rsidRPr="006001DA">
        <w:rPr>
          <w:sz w:val="20"/>
          <w:szCs w:val="20"/>
        </w:rPr>
        <w:t xml:space="preserve"> </w:t>
      </w:r>
      <w:proofErr w:type="spellStart"/>
      <w:r w:rsidRPr="006001DA">
        <w:rPr>
          <w:sz w:val="20"/>
          <w:szCs w:val="20"/>
        </w:rPr>
        <w:t>support</w:t>
      </w:r>
      <w:proofErr w:type="spellEnd"/>
      <w:r w:rsidRPr="006001DA">
        <w:rPr>
          <w:sz w:val="20"/>
          <w:szCs w:val="20"/>
        </w:rPr>
        <w:t xml:space="preserve"> </w:t>
      </w:r>
      <w:proofErr w:type="spellStart"/>
      <w:r w:rsidRPr="006001DA">
        <w:rPr>
          <w:sz w:val="20"/>
          <w:szCs w:val="20"/>
        </w:rPr>
        <w:t>public</w:t>
      </w:r>
      <w:proofErr w:type="spellEnd"/>
      <w:r w:rsidRPr="006001DA">
        <w:rPr>
          <w:sz w:val="20"/>
          <w:szCs w:val="20"/>
        </w:rPr>
        <w:t xml:space="preserve"> management, </w:t>
      </w:r>
      <w:proofErr w:type="spellStart"/>
      <w:r w:rsidRPr="006001DA">
        <w:rPr>
          <w:sz w:val="20"/>
          <w:szCs w:val="20"/>
        </w:rPr>
        <w:t>academic</w:t>
      </w:r>
      <w:proofErr w:type="spellEnd"/>
      <w:r w:rsidRPr="006001DA">
        <w:rPr>
          <w:sz w:val="20"/>
          <w:szCs w:val="20"/>
        </w:rPr>
        <w:t xml:space="preserve"> </w:t>
      </w:r>
      <w:proofErr w:type="spellStart"/>
      <w:r w:rsidRPr="006001DA">
        <w:rPr>
          <w:sz w:val="20"/>
          <w:szCs w:val="20"/>
        </w:rPr>
        <w:t>research</w:t>
      </w:r>
      <w:proofErr w:type="spellEnd"/>
      <w:r w:rsidRPr="006001DA">
        <w:rPr>
          <w:sz w:val="20"/>
          <w:szCs w:val="20"/>
        </w:rPr>
        <w:t xml:space="preserve">, </w:t>
      </w:r>
      <w:proofErr w:type="spellStart"/>
      <w:r w:rsidRPr="006001DA">
        <w:rPr>
          <w:sz w:val="20"/>
          <w:szCs w:val="20"/>
        </w:rPr>
        <w:t>and</w:t>
      </w:r>
      <w:proofErr w:type="spellEnd"/>
      <w:r w:rsidRPr="006001DA">
        <w:rPr>
          <w:sz w:val="20"/>
          <w:szCs w:val="20"/>
        </w:rPr>
        <w:t xml:space="preserve"> social </w:t>
      </w:r>
      <w:proofErr w:type="spellStart"/>
      <w:r w:rsidRPr="006001DA">
        <w:rPr>
          <w:sz w:val="20"/>
          <w:szCs w:val="20"/>
        </w:rPr>
        <w:t>oversight</w:t>
      </w:r>
      <w:proofErr w:type="spellEnd"/>
      <w:r w:rsidRPr="006001DA">
        <w:rPr>
          <w:sz w:val="20"/>
          <w:szCs w:val="20"/>
        </w:rPr>
        <w:t xml:space="preserve">. The </w:t>
      </w:r>
      <w:proofErr w:type="spellStart"/>
      <w:r w:rsidRPr="006001DA">
        <w:rPr>
          <w:sz w:val="20"/>
          <w:szCs w:val="20"/>
        </w:rPr>
        <w:t>study</w:t>
      </w:r>
      <w:proofErr w:type="spellEnd"/>
      <w:r w:rsidRPr="006001DA">
        <w:rPr>
          <w:sz w:val="20"/>
          <w:szCs w:val="20"/>
        </w:rPr>
        <w:t xml:space="preserve"> </w:t>
      </w:r>
      <w:proofErr w:type="spellStart"/>
      <w:r w:rsidRPr="006001DA">
        <w:rPr>
          <w:sz w:val="20"/>
          <w:szCs w:val="20"/>
        </w:rPr>
        <w:t>adopts</w:t>
      </w:r>
      <w:proofErr w:type="spellEnd"/>
      <w:r w:rsidRPr="006001DA">
        <w:rPr>
          <w:sz w:val="20"/>
          <w:szCs w:val="20"/>
        </w:rPr>
        <w:t xml:space="preserve"> a </w:t>
      </w:r>
      <w:proofErr w:type="spellStart"/>
      <w:r w:rsidRPr="006001DA">
        <w:rPr>
          <w:sz w:val="20"/>
          <w:szCs w:val="20"/>
        </w:rPr>
        <w:t>critical-dialectical</w:t>
      </w:r>
      <w:proofErr w:type="spellEnd"/>
      <w:r w:rsidRPr="006001DA">
        <w:rPr>
          <w:sz w:val="20"/>
          <w:szCs w:val="20"/>
        </w:rPr>
        <w:t xml:space="preserve"> </w:t>
      </w:r>
      <w:proofErr w:type="spellStart"/>
      <w:r w:rsidRPr="006001DA">
        <w:rPr>
          <w:sz w:val="20"/>
          <w:szCs w:val="20"/>
        </w:rPr>
        <w:t>theoretical</w:t>
      </w:r>
      <w:proofErr w:type="spellEnd"/>
      <w:r w:rsidRPr="006001DA">
        <w:rPr>
          <w:sz w:val="20"/>
          <w:szCs w:val="20"/>
        </w:rPr>
        <w:t xml:space="preserve"> </w:t>
      </w:r>
      <w:proofErr w:type="spellStart"/>
      <w:r w:rsidRPr="006001DA">
        <w:rPr>
          <w:sz w:val="20"/>
          <w:szCs w:val="20"/>
        </w:rPr>
        <w:t>and</w:t>
      </w:r>
      <w:proofErr w:type="spellEnd"/>
      <w:r w:rsidRPr="006001DA">
        <w:rPr>
          <w:sz w:val="20"/>
          <w:szCs w:val="20"/>
        </w:rPr>
        <w:t xml:space="preserve"> </w:t>
      </w:r>
      <w:proofErr w:type="spellStart"/>
      <w:r w:rsidRPr="006001DA">
        <w:rPr>
          <w:sz w:val="20"/>
          <w:szCs w:val="20"/>
        </w:rPr>
        <w:t>methodological</w:t>
      </w:r>
      <w:proofErr w:type="spellEnd"/>
      <w:r w:rsidRPr="006001DA">
        <w:rPr>
          <w:sz w:val="20"/>
          <w:szCs w:val="20"/>
        </w:rPr>
        <w:t xml:space="preserve"> approach </w:t>
      </w:r>
      <w:proofErr w:type="spellStart"/>
      <w:r w:rsidRPr="006001DA">
        <w:rPr>
          <w:sz w:val="20"/>
          <w:szCs w:val="20"/>
        </w:rPr>
        <w:t>and</w:t>
      </w:r>
      <w:proofErr w:type="spellEnd"/>
      <w:r w:rsidRPr="006001DA">
        <w:rPr>
          <w:sz w:val="20"/>
          <w:szCs w:val="20"/>
        </w:rPr>
        <w:t xml:space="preserve"> </w:t>
      </w:r>
      <w:proofErr w:type="spellStart"/>
      <w:r w:rsidRPr="006001DA">
        <w:rPr>
          <w:sz w:val="20"/>
          <w:szCs w:val="20"/>
        </w:rPr>
        <w:t>is</w:t>
      </w:r>
      <w:proofErr w:type="spellEnd"/>
      <w:r w:rsidRPr="006001DA">
        <w:rPr>
          <w:sz w:val="20"/>
          <w:szCs w:val="20"/>
        </w:rPr>
        <w:t xml:space="preserve"> </w:t>
      </w:r>
      <w:proofErr w:type="spellStart"/>
      <w:r w:rsidRPr="006001DA">
        <w:rPr>
          <w:sz w:val="20"/>
          <w:szCs w:val="20"/>
        </w:rPr>
        <w:t>based</w:t>
      </w:r>
      <w:proofErr w:type="spellEnd"/>
      <w:r w:rsidRPr="006001DA">
        <w:rPr>
          <w:sz w:val="20"/>
          <w:szCs w:val="20"/>
        </w:rPr>
        <w:t xml:space="preserve"> </w:t>
      </w:r>
      <w:proofErr w:type="spellStart"/>
      <w:r w:rsidRPr="006001DA">
        <w:rPr>
          <w:sz w:val="20"/>
          <w:szCs w:val="20"/>
        </w:rPr>
        <w:t>on</w:t>
      </w:r>
      <w:proofErr w:type="spellEnd"/>
      <w:r w:rsidRPr="006001DA">
        <w:rPr>
          <w:sz w:val="20"/>
          <w:szCs w:val="20"/>
        </w:rPr>
        <w:t xml:space="preserve"> </w:t>
      </w:r>
      <w:proofErr w:type="spellStart"/>
      <w:r w:rsidRPr="006001DA">
        <w:rPr>
          <w:sz w:val="20"/>
          <w:szCs w:val="20"/>
        </w:rPr>
        <w:t>documentary</w:t>
      </w:r>
      <w:proofErr w:type="spellEnd"/>
      <w:r w:rsidRPr="006001DA">
        <w:rPr>
          <w:sz w:val="20"/>
          <w:szCs w:val="20"/>
        </w:rPr>
        <w:t xml:space="preserve"> </w:t>
      </w:r>
      <w:proofErr w:type="spellStart"/>
      <w:r w:rsidRPr="006001DA">
        <w:rPr>
          <w:sz w:val="20"/>
          <w:szCs w:val="20"/>
        </w:rPr>
        <w:t>research</w:t>
      </w:r>
      <w:proofErr w:type="spellEnd"/>
      <w:r w:rsidRPr="006001DA">
        <w:rPr>
          <w:sz w:val="20"/>
          <w:szCs w:val="20"/>
        </w:rPr>
        <w:t xml:space="preserve">, </w:t>
      </w:r>
      <w:proofErr w:type="spellStart"/>
      <w:r w:rsidRPr="006001DA">
        <w:rPr>
          <w:sz w:val="20"/>
          <w:szCs w:val="20"/>
        </w:rPr>
        <w:t>which</w:t>
      </w:r>
      <w:proofErr w:type="spellEnd"/>
      <w:r w:rsidRPr="006001DA">
        <w:rPr>
          <w:sz w:val="20"/>
          <w:szCs w:val="20"/>
        </w:rPr>
        <w:t xml:space="preserve"> </w:t>
      </w:r>
      <w:proofErr w:type="spellStart"/>
      <w:r w:rsidRPr="006001DA">
        <w:rPr>
          <w:sz w:val="20"/>
          <w:szCs w:val="20"/>
        </w:rPr>
        <w:t>involved</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development</w:t>
      </w:r>
      <w:proofErr w:type="spellEnd"/>
      <w:r w:rsidRPr="006001DA">
        <w:rPr>
          <w:sz w:val="20"/>
          <w:szCs w:val="20"/>
        </w:rPr>
        <w:t xml:space="preserve"> </w:t>
      </w:r>
      <w:proofErr w:type="spellStart"/>
      <w:r w:rsidRPr="006001DA">
        <w:rPr>
          <w:sz w:val="20"/>
          <w:szCs w:val="20"/>
        </w:rPr>
        <w:t>of</w:t>
      </w:r>
      <w:proofErr w:type="spellEnd"/>
      <w:r w:rsidRPr="006001DA">
        <w:rPr>
          <w:sz w:val="20"/>
          <w:szCs w:val="20"/>
        </w:rPr>
        <w:t xml:space="preserve"> </w:t>
      </w:r>
      <w:proofErr w:type="spellStart"/>
      <w:r w:rsidRPr="006001DA">
        <w:rPr>
          <w:sz w:val="20"/>
          <w:szCs w:val="20"/>
        </w:rPr>
        <w:t>specific</w:t>
      </w:r>
      <w:proofErr w:type="spellEnd"/>
      <w:r w:rsidRPr="006001DA">
        <w:rPr>
          <w:sz w:val="20"/>
          <w:szCs w:val="20"/>
        </w:rPr>
        <w:t xml:space="preserve"> tools </w:t>
      </w:r>
      <w:proofErr w:type="spellStart"/>
      <w:r w:rsidRPr="006001DA">
        <w:rPr>
          <w:sz w:val="20"/>
          <w:szCs w:val="20"/>
        </w:rPr>
        <w:t>to</w:t>
      </w:r>
      <w:proofErr w:type="spellEnd"/>
      <w:r w:rsidRPr="006001DA">
        <w:rPr>
          <w:sz w:val="20"/>
          <w:szCs w:val="20"/>
        </w:rPr>
        <w:t xml:space="preserve"> </w:t>
      </w:r>
      <w:proofErr w:type="spellStart"/>
      <w:r w:rsidRPr="006001DA">
        <w:rPr>
          <w:sz w:val="20"/>
          <w:szCs w:val="20"/>
        </w:rPr>
        <w:t>systematize</w:t>
      </w:r>
      <w:proofErr w:type="spellEnd"/>
      <w:r w:rsidRPr="006001DA">
        <w:rPr>
          <w:sz w:val="20"/>
          <w:szCs w:val="20"/>
        </w:rPr>
        <w:t xml:space="preserve"> Siope data </w:t>
      </w:r>
      <w:proofErr w:type="spellStart"/>
      <w:r w:rsidRPr="006001DA">
        <w:rPr>
          <w:sz w:val="20"/>
          <w:szCs w:val="20"/>
        </w:rPr>
        <w:t>on</w:t>
      </w:r>
      <w:proofErr w:type="spellEnd"/>
      <w:r w:rsidRPr="006001DA">
        <w:rPr>
          <w:sz w:val="20"/>
          <w:szCs w:val="20"/>
        </w:rPr>
        <w:t xml:space="preserve"> </w:t>
      </w:r>
      <w:proofErr w:type="spellStart"/>
      <w:r w:rsidRPr="006001DA">
        <w:rPr>
          <w:sz w:val="20"/>
          <w:szCs w:val="20"/>
        </w:rPr>
        <w:t>revenues</w:t>
      </w:r>
      <w:proofErr w:type="spellEnd"/>
      <w:r w:rsidRPr="006001DA">
        <w:rPr>
          <w:sz w:val="20"/>
          <w:szCs w:val="20"/>
        </w:rPr>
        <w:t xml:space="preserve"> </w:t>
      </w:r>
      <w:proofErr w:type="spellStart"/>
      <w:r w:rsidRPr="006001DA">
        <w:rPr>
          <w:sz w:val="20"/>
          <w:szCs w:val="20"/>
        </w:rPr>
        <w:t>and</w:t>
      </w:r>
      <w:proofErr w:type="spellEnd"/>
      <w:r w:rsidRPr="006001DA">
        <w:rPr>
          <w:sz w:val="20"/>
          <w:szCs w:val="20"/>
        </w:rPr>
        <w:t xml:space="preserve"> </w:t>
      </w:r>
      <w:proofErr w:type="spellStart"/>
      <w:r w:rsidRPr="006001DA">
        <w:rPr>
          <w:sz w:val="20"/>
          <w:szCs w:val="20"/>
        </w:rPr>
        <w:t>expenditures</w:t>
      </w:r>
      <w:proofErr w:type="spellEnd"/>
      <w:r w:rsidRPr="006001DA">
        <w:rPr>
          <w:sz w:val="20"/>
          <w:szCs w:val="20"/>
        </w:rPr>
        <w:t xml:space="preserve"> in </w:t>
      </w:r>
      <w:proofErr w:type="spellStart"/>
      <w:r w:rsidRPr="006001DA">
        <w:rPr>
          <w:sz w:val="20"/>
          <w:szCs w:val="20"/>
        </w:rPr>
        <w:t>public</w:t>
      </w:r>
      <w:proofErr w:type="spellEnd"/>
      <w:r w:rsidRPr="006001DA">
        <w:rPr>
          <w:sz w:val="20"/>
          <w:szCs w:val="20"/>
        </w:rPr>
        <w:t xml:space="preserve"> </w:t>
      </w:r>
      <w:proofErr w:type="spellStart"/>
      <w:r w:rsidRPr="006001DA">
        <w:rPr>
          <w:sz w:val="20"/>
          <w:szCs w:val="20"/>
        </w:rPr>
        <w:t>education</w:t>
      </w:r>
      <w:proofErr w:type="spellEnd"/>
      <w:r w:rsidRPr="006001DA">
        <w:rPr>
          <w:sz w:val="20"/>
          <w:szCs w:val="20"/>
        </w:rPr>
        <w:t xml:space="preserve"> in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state</w:t>
      </w:r>
      <w:proofErr w:type="spellEnd"/>
      <w:r w:rsidRPr="006001DA">
        <w:rPr>
          <w:sz w:val="20"/>
          <w:szCs w:val="20"/>
        </w:rPr>
        <w:t xml:space="preserve"> </w:t>
      </w:r>
      <w:proofErr w:type="spellStart"/>
      <w:r w:rsidRPr="006001DA">
        <w:rPr>
          <w:sz w:val="20"/>
          <w:szCs w:val="20"/>
        </w:rPr>
        <w:t>of</w:t>
      </w:r>
      <w:proofErr w:type="spellEnd"/>
      <w:r w:rsidRPr="006001DA">
        <w:rPr>
          <w:sz w:val="20"/>
          <w:szCs w:val="20"/>
        </w:rPr>
        <w:t xml:space="preserve"> Piauí, </w:t>
      </w:r>
      <w:proofErr w:type="spellStart"/>
      <w:r w:rsidRPr="006001DA">
        <w:rPr>
          <w:sz w:val="20"/>
          <w:szCs w:val="20"/>
        </w:rPr>
        <w:t>with</w:t>
      </w:r>
      <w:proofErr w:type="spellEnd"/>
      <w:r w:rsidRPr="006001DA">
        <w:rPr>
          <w:sz w:val="20"/>
          <w:szCs w:val="20"/>
        </w:rPr>
        <w:t xml:space="preserve"> a particular </w:t>
      </w:r>
      <w:proofErr w:type="spellStart"/>
      <w:r w:rsidRPr="006001DA">
        <w:rPr>
          <w:sz w:val="20"/>
          <w:szCs w:val="20"/>
        </w:rPr>
        <w:t>focus</w:t>
      </w:r>
      <w:proofErr w:type="spellEnd"/>
      <w:r w:rsidRPr="006001DA">
        <w:rPr>
          <w:sz w:val="20"/>
          <w:szCs w:val="20"/>
        </w:rPr>
        <w:t xml:space="preserve"> </w:t>
      </w:r>
      <w:proofErr w:type="spellStart"/>
      <w:r w:rsidRPr="006001DA">
        <w:rPr>
          <w:sz w:val="20"/>
          <w:szCs w:val="20"/>
        </w:rPr>
        <w:t>on</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Summary</w:t>
      </w:r>
      <w:proofErr w:type="spellEnd"/>
      <w:r w:rsidRPr="006001DA">
        <w:rPr>
          <w:sz w:val="20"/>
          <w:szCs w:val="20"/>
        </w:rPr>
        <w:t xml:space="preserve"> Report </w:t>
      </w:r>
      <w:proofErr w:type="spellStart"/>
      <w:r w:rsidRPr="006001DA">
        <w:rPr>
          <w:sz w:val="20"/>
          <w:szCs w:val="20"/>
        </w:rPr>
        <w:t>on</w:t>
      </w:r>
      <w:proofErr w:type="spellEnd"/>
      <w:r w:rsidRPr="006001DA">
        <w:rPr>
          <w:sz w:val="20"/>
          <w:szCs w:val="20"/>
        </w:rPr>
        <w:t xml:space="preserve"> Budget </w:t>
      </w:r>
      <w:proofErr w:type="spellStart"/>
      <w:r w:rsidRPr="006001DA">
        <w:rPr>
          <w:sz w:val="20"/>
          <w:szCs w:val="20"/>
        </w:rPr>
        <w:t>Execution</w:t>
      </w:r>
      <w:proofErr w:type="spellEnd"/>
      <w:r w:rsidRPr="006001DA">
        <w:rPr>
          <w:sz w:val="20"/>
          <w:szCs w:val="20"/>
        </w:rPr>
        <w:t xml:space="preserve"> (RREO). The </w:t>
      </w:r>
      <w:proofErr w:type="spellStart"/>
      <w:r w:rsidRPr="006001DA">
        <w:rPr>
          <w:sz w:val="20"/>
          <w:szCs w:val="20"/>
        </w:rPr>
        <w:t>analysis</w:t>
      </w:r>
      <w:proofErr w:type="spellEnd"/>
      <w:r w:rsidRPr="006001DA">
        <w:rPr>
          <w:sz w:val="20"/>
          <w:szCs w:val="20"/>
        </w:rPr>
        <w:t xml:space="preserve"> </w:t>
      </w:r>
      <w:proofErr w:type="spellStart"/>
      <w:r w:rsidRPr="006001DA">
        <w:rPr>
          <w:sz w:val="20"/>
          <w:szCs w:val="20"/>
        </w:rPr>
        <w:t>identified</w:t>
      </w:r>
      <w:proofErr w:type="spellEnd"/>
      <w:r w:rsidRPr="006001DA">
        <w:rPr>
          <w:sz w:val="20"/>
          <w:szCs w:val="20"/>
        </w:rPr>
        <w:t xml:space="preserve"> </w:t>
      </w:r>
      <w:proofErr w:type="spellStart"/>
      <w:r w:rsidRPr="006001DA">
        <w:rPr>
          <w:sz w:val="20"/>
          <w:szCs w:val="20"/>
        </w:rPr>
        <w:t>documentary</w:t>
      </w:r>
      <w:proofErr w:type="spellEnd"/>
      <w:r w:rsidRPr="006001DA">
        <w:rPr>
          <w:sz w:val="20"/>
          <w:szCs w:val="20"/>
        </w:rPr>
        <w:t xml:space="preserve"> </w:t>
      </w:r>
      <w:proofErr w:type="spellStart"/>
      <w:r w:rsidRPr="006001DA">
        <w:rPr>
          <w:sz w:val="20"/>
          <w:szCs w:val="20"/>
        </w:rPr>
        <w:t>shortcomings</w:t>
      </w:r>
      <w:proofErr w:type="spellEnd"/>
      <w:r w:rsidRPr="006001DA">
        <w:rPr>
          <w:sz w:val="20"/>
          <w:szCs w:val="20"/>
        </w:rPr>
        <w:t xml:space="preserve"> </w:t>
      </w:r>
      <w:proofErr w:type="spellStart"/>
      <w:r w:rsidRPr="006001DA">
        <w:rPr>
          <w:sz w:val="20"/>
          <w:szCs w:val="20"/>
        </w:rPr>
        <w:t>that</w:t>
      </w:r>
      <w:proofErr w:type="spellEnd"/>
      <w:r w:rsidRPr="006001DA">
        <w:rPr>
          <w:sz w:val="20"/>
          <w:szCs w:val="20"/>
        </w:rPr>
        <w:t xml:space="preserve"> </w:t>
      </w:r>
      <w:proofErr w:type="spellStart"/>
      <w:r w:rsidRPr="006001DA">
        <w:rPr>
          <w:sz w:val="20"/>
          <w:szCs w:val="20"/>
        </w:rPr>
        <w:t>compromise</w:t>
      </w:r>
      <w:proofErr w:type="spellEnd"/>
      <w:r w:rsidRPr="006001DA">
        <w:rPr>
          <w:sz w:val="20"/>
          <w:szCs w:val="20"/>
        </w:rPr>
        <w:t xml:space="preserve"> data </w:t>
      </w:r>
      <w:proofErr w:type="spellStart"/>
      <w:r w:rsidRPr="006001DA">
        <w:rPr>
          <w:sz w:val="20"/>
          <w:szCs w:val="20"/>
        </w:rPr>
        <w:t>integrity</w:t>
      </w:r>
      <w:proofErr w:type="spellEnd"/>
      <w:r w:rsidRPr="006001DA">
        <w:rPr>
          <w:sz w:val="20"/>
          <w:szCs w:val="20"/>
        </w:rPr>
        <w:t xml:space="preserve"> </w:t>
      </w:r>
      <w:proofErr w:type="spellStart"/>
      <w:r w:rsidRPr="006001DA">
        <w:rPr>
          <w:sz w:val="20"/>
          <w:szCs w:val="20"/>
        </w:rPr>
        <w:t>and</w:t>
      </w:r>
      <w:proofErr w:type="spellEnd"/>
      <w:r w:rsidRPr="006001DA">
        <w:rPr>
          <w:sz w:val="20"/>
          <w:szCs w:val="20"/>
        </w:rPr>
        <w:t xml:space="preserve">, </w:t>
      </w:r>
      <w:proofErr w:type="spellStart"/>
      <w:r w:rsidRPr="006001DA">
        <w:rPr>
          <w:sz w:val="20"/>
          <w:szCs w:val="20"/>
        </w:rPr>
        <w:t>consequently</w:t>
      </w:r>
      <w:proofErr w:type="spellEnd"/>
      <w:r w:rsidRPr="006001DA">
        <w:rPr>
          <w:sz w:val="20"/>
          <w:szCs w:val="20"/>
        </w:rPr>
        <w:t xml:space="preserve">, </w:t>
      </w:r>
      <w:proofErr w:type="spellStart"/>
      <w:r w:rsidRPr="006001DA">
        <w:rPr>
          <w:sz w:val="20"/>
          <w:szCs w:val="20"/>
        </w:rPr>
        <w:t>hinder</w:t>
      </w:r>
      <w:proofErr w:type="spellEnd"/>
      <w:r w:rsidRPr="006001DA">
        <w:rPr>
          <w:sz w:val="20"/>
          <w:szCs w:val="20"/>
        </w:rPr>
        <w:t xml:space="preserve"> </w:t>
      </w:r>
      <w:proofErr w:type="spellStart"/>
      <w:r w:rsidRPr="006001DA">
        <w:rPr>
          <w:sz w:val="20"/>
          <w:szCs w:val="20"/>
        </w:rPr>
        <w:t>effective</w:t>
      </w:r>
      <w:proofErr w:type="spellEnd"/>
      <w:r w:rsidRPr="006001DA">
        <w:rPr>
          <w:sz w:val="20"/>
          <w:szCs w:val="20"/>
        </w:rPr>
        <w:t xml:space="preserve"> </w:t>
      </w:r>
      <w:proofErr w:type="spellStart"/>
      <w:r w:rsidRPr="006001DA">
        <w:rPr>
          <w:sz w:val="20"/>
          <w:szCs w:val="20"/>
        </w:rPr>
        <w:t>monitoring</w:t>
      </w:r>
      <w:proofErr w:type="spellEnd"/>
      <w:r w:rsidRPr="006001DA">
        <w:rPr>
          <w:sz w:val="20"/>
          <w:szCs w:val="20"/>
        </w:rPr>
        <w:t xml:space="preserve"> </w:t>
      </w:r>
      <w:proofErr w:type="spellStart"/>
      <w:r w:rsidRPr="006001DA">
        <w:rPr>
          <w:sz w:val="20"/>
          <w:szCs w:val="20"/>
        </w:rPr>
        <w:t>by</w:t>
      </w:r>
      <w:proofErr w:type="spellEnd"/>
      <w:r w:rsidRPr="006001DA">
        <w:rPr>
          <w:sz w:val="20"/>
          <w:szCs w:val="20"/>
        </w:rPr>
        <w:t xml:space="preserve"> </w:t>
      </w:r>
      <w:proofErr w:type="spellStart"/>
      <w:r w:rsidRPr="006001DA">
        <w:rPr>
          <w:sz w:val="20"/>
          <w:szCs w:val="20"/>
        </w:rPr>
        <w:t>councils</w:t>
      </w:r>
      <w:proofErr w:type="spellEnd"/>
      <w:r w:rsidRPr="006001DA">
        <w:rPr>
          <w:sz w:val="20"/>
          <w:szCs w:val="20"/>
        </w:rPr>
        <w:t xml:space="preserve"> </w:t>
      </w:r>
      <w:proofErr w:type="spellStart"/>
      <w:r w:rsidRPr="006001DA">
        <w:rPr>
          <w:sz w:val="20"/>
          <w:szCs w:val="20"/>
        </w:rPr>
        <w:t>and</w:t>
      </w:r>
      <w:proofErr w:type="spellEnd"/>
      <w:r w:rsidRPr="006001DA">
        <w:rPr>
          <w:sz w:val="20"/>
          <w:szCs w:val="20"/>
        </w:rPr>
        <w:t xml:space="preserve"> civil </w:t>
      </w:r>
      <w:proofErr w:type="spellStart"/>
      <w:r w:rsidRPr="006001DA">
        <w:rPr>
          <w:sz w:val="20"/>
          <w:szCs w:val="20"/>
        </w:rPr>
        <w:t>society</w:t>
      </w:r>
      <w:proofErr w:type="spellEnd"/>
      <w:r w:rsidRPr="006001DA">
        <w:rPr>
          <w:sz w:val="20"/>
          <w:szCs w:val="20"/>
        </w:rPr>
        <w:t xml:space="preserve">. </w:t>
      </w:r>
      <w:proofErr w:type="spellStart"/>
      <w:r w:rsidRPr="006001DA">
        <w:rPr>
          <w:sz w:val="20"/>
          <w:szCs w:val="20"/>
        </w:rPr>
        <w:t>These</w:t>
      </w:r>
      <w:proofErr w:type="spellEnd"/>
      <w:r w:rsidRPr="006001DA">
        <w:rPr>
          <w:sz w:val="20"/>
          <w:szCs w:val="20"/>
        </w:rPr>
        <w:t xml:space="preserve"> </w:t>
      </w:r>
      <w:proofErr w:type="spellStart"/>
      <w:r w:rsidRPr="006001DA">
        <w:rPr>
          <w:sz w:val="20"/>
          <w:szCs w:val="20"/>
        </w:rPr>
        <w:t>inconsistencies</w:t>
      </w:r>
      <w:proofErr w:type="spellEnd"/>
      <w:r w:rsidRPr="006001DA">
        <w:rPr>
          <w:sz w:val="20"/>
          <w:szCs w:val="20"/>
        </w:rPr>
        <w:t xml:space="preserve"> </w:t>
      </w:r>
      <w:proofErr w:type="spellStart"/>
      <w:r w:rsidRPr="006001DA">
        <w:rPr>
          <w:sz w:val="20"/>
          <w:szCs w:val="20"/>
        </w:rPr>
        <w:t>may</w:t>
      </w:r>
      <w:proofErr w:type="spellEnd"/>
      <w:r w:rsidRPr="006001DA">
        <w:rPr>
          <w:sz w:val="20"/>
          <w:szCs w:val="20"/>
        </w:rPr>
        <w:t xml:space="preserve"> </w:t>
      </w:r>
      <w:proofErr w:type="spellStart"/>
      <w:r w:rsidRPr="006001DA">
        <w:rPr>
          <w:sz w:val="20"/>
          <w:szCs w:val="20"/>
        </w:rPr>
        <w:t>result</w:t>
      </w:r>
      <w:proofErr w:type="spellEnd"/>
      <w:r w:rsidRPr="006001DA">
        <w:rPr>
          <w:sz w:val="20"/>
          <w:szCs w:val="20"/>
        </w:rPr>
        <w:t xml:space="preserve"> in </w:t>
      </w:r>
      <w:proofErr w:type="spellStart"/>
      <w:r w:rsidRPr="006001DA">
        <w:rPr>
          <w:sz w:val="20"/>
          <w:szCs w:val="20"/>
        </w:rPr>
        <w:t>reported</w:t>
      </w:r>
      <w:proofErr w:type="spellEnd"/>
      <w:r w:rsidRPr="006001DA">
        <w:rPr>
          <w:sz w:val="20"/>
          <w:szCs w:val="20"/>
        </w:rPr>
        <w:t xml:space="preserve"> </w:t>
      </w:r>
      <w:proofErr w:type="spellStart"/>
      <w:r w:rsidRPr="006001DA">
        <w:rPr>
          <w:sz w:val="20"/>
          <w:szCs w:val="20"/>
        </w:rPr>
        <w:t>information</w:t>
      </w:r>
      <w:proofErr w:type="spellEnd"/>
      <w:r w:rsidRPr="006001DA">
        <w:rPr>
          <w:sz w:val="20"/>
          <w:szCs w:val="20"/>
        </w:rPr>
        <w:t xml:space="preserve"> </w:t>
      </w:r>
      <w:proofErr w:type="spellStart"/>
      <w:r w:rsidRPr="006001DA">
        <w:rPr>
          <w:sz w:val="20"/>
          <w:szCs w:val="20"/>
        </w:rPr>
        <w:t>failing</w:t>
      </w:r>
      <w:proofErr w:type="spellEnd"/>
      <w:r w:rsidRPr="006001DA">
        <w:rPr>
          <w:sz w:val="20"/>
          <w:szCs w:val="20"/>
        </w:rPr>
        <w:t xml:space="preserve"> </w:t>
      </w:r>
      <w:proofErr w:type="spellStart"/>
      <w:r w:rsidRPr="006001DA">
        <w:rPr>
          <w:sz w:val="20"/>
          <w:szCs w:val="20"/>
        </w:rPr>
        <w:t>to</w:t>
      </w:r>
      <w:proofErr w:type="spellEnd"/>
      <w:r w:rsidRPr="006001DA">
        <w:rPr>
          <w:sz w:val="20"/>
          <w:szCs w:val="20"/>
        </w:rPr>
        <w:t xml:space="preserve"> </w:t>
      </w:r>
      <w:proofErr w:type="spellStart"/>
      <w:r w:rsidRPr="006001DA">
        <w:rPr>
          <w:sz w:val="20"/>
          <w:szCs w:val="20"/>
        </w:rPr>
        <w:lastRenderedPageBreak/>
        <w:t>reflect</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actual</w:t>
      </w:r>
      <w:proofErr w:type="spellEnd"/>
      <w:r w:rsidRPr="006001DA">
        <w:rPr>
          <w:sz w:val="20"/>
          <w:szCs w:val="20"/>
        </w:rPr>
        <w:t xml:space="preserve"> </w:t>
      </w:r>
      <w:proofErr w:type="spellStart"/>
      <w:r w:rsidRPr="006001DA">
        <w:rPr>
          <w:sz w:val="20"/>
          <w:szCs w:val="20"/>
        </w:rPr>
        <w:t>budgetary</w:t>
      </w:r>
      <w:proofErr w:type="spellEnd"/>
      <w:r w:rsidRPr="006001DA">
        <w:rPr>
          <w:sz w:val="20"/>
          <w:szCs w:val="20"/>
        </w:rPr>
        <w:t xml:space="preserve"> </w:t>
      </w:r>
      <w:proofErr w:type="spellStart"/>
      <w:r w:rsidRPr="006001DA">
        <w:rPr>
          <w:sz w:val="20"/>
          <w:szCs w:val="20"/>
        </w:rPr>
        <w:t>situation</w:t>
      </w:r>
      <w:proofErr w:type="spellEnd"/>
      <w:r w:rsidRPr="006001DA">
        <w:rPr>
          <w:sz w:val="20"/>
          <w:szCs w:val="20"/>
        </w:rPr>
        <w:t xml:space="preserve"> </w:t>
      </w:r>
      <w:proofErr w:type="spellStart"/>
      <w:r w:rsidRPr="006001DA">
        <w:rPr>
          <w:sz w:val="20"/>
          <w:szCs w:val="20"/>
        </w:rPr>
        <w:t>of</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governmental</w:t>
      </w:r>
      <w:proofErr w:type="spellEnd"/>
      <w:r w:rsidRPr="006001DA">
        <w:rPr>
          <w:sz w:val="20"/>
          <w:szCs w:val="20"/>
        </w:rPr>
        <w:t xml:space="preserve"> </w:t>
      </w:r>
      <w:proofErr w:type="spellStart"/>
      <w:r w:rsidRPr="006001DA">
        <w:rPr>
          <w:sz w:val="20"/>
          <w:szCs w:val="20"/>
        </w:rPr>
        <w:t>entities</w:t>
      </w:r>
      <w:proofErr w:type="spellEnd"/>
      <w:r w:rsidRPr="006001DA">
        <w:rPr>
          <w:sz w:val="20"/>
          <w:szCs w:val="20"/>
        </w:rPr>
        <w:t xml:space="preserve">, </w:t>
      </w:r>
      <w:proofErr w:type="spellStart"/>
      <w:r w:rsidRPr="006001DA">
        <w:rPr>
          <w:sz w:val="20"/>
          <w:szCs w:val="20"/>
        </w:rPr>
        <w:t>indicating</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need</w:t>
      </w:r>
      <w:proofErr w:type="spellEnd"/>
      <w:r w:rsidRPr="006001DA">
        <w:rPr>
          <w:sz w:val="20"/>
          <w:szCs w:val="20"/>
        </w:rPr>
        <w:t xml:space="preserve"> for </w:t>
      </w:r>
      <w:proofErr w:type="spellStart"/>
      <w:r w:rsidRPr="006001DA">
        <w:rPr>
          <w:sz w:val="20"/>
          <w:szCs w:val="20"/>
        </w:rPr>
        <w:t>adjustments</w:t>
      </w:r>
      <w:proofErr w:type="spellEnd"/>
      <w:r w:rsidRPr="006001DA">
        <w:rPr>
          <w:sz w:val="20"/>
          <w:szCs w:val="20"/>
        </w:rPr>
        <w:t xml:space="preserve"> </w:t>
      </w:r>
      <w:proofErr w:type="spellStart"/>
      <w:r w:rsidRPr="006001DA">
        <w:rPr>
          <w:sz w:val="20"/>
          <w:szCs w:val="20"/>
        </w:rPr>
        <w:t>to</w:t>
      </w:r>
      <w:proofErr w:type="spellEnd"/>
      <w:r w:rsidRPr="006001DA">
        <w:rPr>
          <w:sz w:val="20"/>
          <w:szCs w:val="20"/>
        </w:rPr>
        <w:t xml:space="preserve"> </w:t>
      </w:r>
      <w:proofErr w:type="spellStart"/>
      <w:r w:rsidRPr="006001DA">
        <w:rPr>
          <w:sz w:val="20"/>
          <w:szCs w:val="20"/>
        </w:rPr>
        <w:t>enhance</w:t>
      </w:r>
      <w:proofErr w:type="spellEnd"/>
      <w:r w:rsidRPr="006001DA">
        <w:rPr>
          <w:sz w:val="20"/>
          <w:szCs w:val="20"/>
        </w:rPr>
        <w:t xml:space="preserve"> </w:t>
      </w:r>
      <w:proofErr w:type="spellStart"/>
      <w:r w:rsidRPr="006001DA">
        <w:rPr>
          <w:sz w:val="20"/>
          <w:szCs w:val="20"/>
        </w:rPr>
        <w:t>the</w:t>
      </w:r>
      <w:proofErr w:type="spellEnd"/>
      <w:r w:rsidRPr="006001DA">
        <w:rPr>
          <w:sz w:val="20"/>
          <w:szCs w:val="20"/>
        </w:rPr>
        <w:t xml:space="preserve"> </w:t>
      </w:r>
      <w:proofErr w:type="spellStart"/>
      <w:r w:rsidRPr="006001DA">
        <w:rPr>
          <w:sz w:val="20"/>
          <w:szCs w:val="20"/>
        </w:rPr>
        <w:t>reliability</w:t>
      </w:r>
      <w:proofErr w:type="spellEnd"/>
      <w:r w:rsidRPr="006001DA">
        <w:rPr>
          <w:sz w:val="20"/>
          <w:szCs w:val="20"/>
        </w:rPr>
        <w:t xml:space="preserve"> </w:t>
      </w:r>
      <w:proofErr w:type="spellStart"/>
      <w:r w:rsidRPr="006001DA">
        <w:rPr>
          <w:sz w:val="20"/>
          <w:szCs w:val="20"/>
        </w:rPr>
        <w:t>of</w:t>
      </w:r>
      <w:proofErr w:type="spellEnd"/>
      <w:r w:rsidRPr="006001DA">
        <w:rPr>
          <w:sz w:val="20"/>
          <w:szCs w:val="20"/>
        </w:rPr>
        <w:t xml:space="preserve"> Siope data, </w:t>
      </w:r>
      <w:proofErr w:type="spellStart"/>
      <w:r w:rsidRPr="006001DA">
        <w:rPr>
          <w:sz w:val="20"/>
          <w:szCs w:val="20"/>
        </w:rPr>
        <w:t>thereby</w:t>
      </w:r>
      <w:proofErr w:type="spellEnd"/>
      <w:r w:rsidRPr="006001DA">
        <w:rPr>
          <w:sz w:val="20"/>
          <w:szCs w:val="20"/>
        </w:rPr>
        <w:t xml:space="preserve"> promoting </w:t>
      </w:r>
      <w:proofErr w:type="spellStart"/>
      <w:r w:rsidRPr="006001DA">
        <w:rPr>
          <w:sz w:val="20"/>
          <w:szCs w:val="20"/>
        </w:rPr>
        <w:t>transparency</w:t>
      </w:r>
      <w:proofErr w:type="spellEnd"/>
      <w:r w:rsidRPr="006001DA">
        <w:rPr>
          <w:sz w:val="20"/>
          <w:szCs w:val="20"/>
        </w:rPr>
        <w:t xml:space="preserve"> </w:t>
      </w:r>
      <w:proofErr w:type="spellStart"/>
      <w:r w:rsidRPr="006001DA">
        <w:rPr>
          <w:sz w:val="20"/>
          <w:szCs w:val="20"/>
        </w:rPr>
        <w:t>and</w:t>
      </w:r>
      <w:proofErr w:type="spellEnd"/>
      <w:r w:rsidRPr="006001DA">
        <w:rPr>
          <w:sz w:val="20"/>
          <w:szCs w:val="20"/>
        </w:rPr>
        <w:t xml:space="preserve"> </w:t>
      </w:r>
      <w:proofErr w:type="spellStart"/>
      <w:r w:rsidRPr="006001DA">
        <w:rPr>
          <w:sz w:val="20"/>
          <w:szCs w:val="20"/>
        </w:rPr>
        <w:t>enabling</w:t>
      </w:r>
      <w:proofErr w:type="spellEnd"/>
      <w:r w:rsidRPr="006001DA">
        <w:rPr>
          <w:sz w:val="20"/>
          <w:szCs w:val="20"/>
        </w:rPr>
        <w:t xml:space="preserve"> </w:t>
      </w:r>
      <w:proofErr w:type="spellStart"/>
      <w:r w:rsidRPr="006001DA">
        <w:rPr>
          <w:sz w:val="20"/>
          <w:szCs w:val="20"/>
        </w:rPr>
        <w:t>effective</w:t>
      </w:r>
      <w:proofErr w:type="spellEnd"/>
      <w:r w:rsidRPr="006001DA">
        <w:rPr>
          <w:sz w:val="20"/>
          <w:szCs w:val="20"/>
        </w:rPr>
        <w:t xml:space="preserve"> social </w:t>
      </w:r>
      <w:proofErr w:type="spellStart"/>
      <w:r w:rsidRPr="006001DA">
        <w:rPr>
          <w:sz w:val="20"/>
          <w:szCs w:val="20"/>
        </w:rPr>
        <w:t>control</w:t>
      </w:r>
      <w:proofErr w:type="spellEnd"/>
      <w:r w:rsidRPr="006001DA">
        <w:rPr>
          <w:sz w:val="20"/>
          <w:szCs w:val="20"/>
        </w:rPr>
        <w:t xml:space="preserve"> over </w:t>
      </w:r>
      <w:proofErr w:type="spellStart"/>
      <w:r w:rsidRPr="006001DA">
        <w:rPr>
          <w:sz w:val="20"/>
          <w:szCs w:val="20"/>
        </w:rPr>
        <w:t>education</w:t>
      </w:r>
      <w:proofErr w:type="spellEnd"/>
      <w:r w:rsidRPr="006001DA">
        <w:rPr>
          <w:sz w:val="20"/>
          <w:szCs w:val="20"/>
        </w:rPr>
        <w:t xml:space="preserve"> </w:t>
      </w:r>
      <w:proofErr w:type="spellStart"/>
      <w:r w:rsidRPr="006001DA">
        <w:rPr>
          <w:sz w:val="20"/>
          <w:szCs w:val="20"/>
        </w:rPr>
        <w:t>funding</w:t>
      </w:r>
      <w:proofErr w:type="spellEnd"/>
      <w:r w:rsidRPr="006001DA">
        <w:rPr>
          <w:sz w:val="20"/>
          <w:szCs w:val="20"/>
        </w:rPr>
        <w:t>.</w:t>
      </w:r>
    </w:p>
    <w:p w14:paraId="5910EFF1" w14:textId="77777777" w:rsidR="0082449E" w:rsidRPr="006001DA" w:rsidRDefault="00000000">
      <w:pPr>
        <w:spacing w:line="240" w:lineRule="auto"/>
        <w:ind w:left="2832"/>
        <w:jc w:val="both"/>
        <w:rPr>
          <w:sz w:val="20"/>
          <w:szCs w:val="20"/>
        </w:rPr>
      </w:pPr>
      <w:r w:rsidRPr="006001DA">
        <w:rPr>
          <w:b/>
          <w:sz w:val="20"/>
          <w:szCs w:val="20"/>
        </w:rPr>
        <w:t>Keywords:</w:t>
      </w:r>
      <w:r w:rsidRPr="006001DA">
        <w:rPr>
          <w:sz w:val="20"/>
          <w:szCs w:val="20"/>
        </w:rPr>
        <w:t xml:space="preserve"> </w:t>
      </w:r>
      <w:proofErr w:type="spellStart"/>
      <w:r w:rsidRPr="006001DA">
        <w:rPr>
          <w:sz w:val="20"/>
          <w:szCs w:val="20"/>
        </w:rPr>
        <w:t>education</w:t>
      </w:r>
      <w:proofErr w:type="spellEnd"/>
      <w:r w:rsidRPr="006001DA">
        <w:rPr>
          <w:sz w:val="20"/>
          <w:szCs w:val="20"/>
        </w:rPr>
        <w:t xml:space="preserve"> </w:t>
      </w:r>
      <w:proofErr w:type="spellStart"/>
      <w:r w:rsidRPr="006001DA">
        <w:rPr>
          <w:sz w:val="20"/>
          <w:szCs w:val="20"/>
        </w:rPr>
        <w:t>funding</w:t>
      </w:r>
      <w:proofErr w:type="spellEnd"/>
      <w:r w:rsidRPr="006001DA">
        <w:rPr>
          <w:sz w:val="20"/>
          <w:szCs w:val="20"/>
        </w:rPr>
        <w:t xml:space="preserve">; social </w:t>
      </w:r>
      <w:proofErr w:type="spellStart"/>
      <w:r w:rsidRPr="006001DA">
        <w:rPr>
          <w:sz w:val="20"/>
          <w:szCs w:val="20"/>
        </w:rPr>
        <w:t>control</w:t>
      </w:r>
      <w:proofErr w:type="spellEnd"/>
      <w:r w:rsidRPr="006001DA">
        <w:rPr>
          <w:sz w:val="20"/>
          <w:szCs w:val="20"/>
        </w:rPr>
        <w:t>; Siope.</w:t>
      </w:r>
    </w:p>
    <w:p w14:paraId="01D4927C" w14:textId="77777777" w:rsidR="005E1C61" w:rsidRPr="006001DA" w:rsidRDefault="005E1C61" w:rsidP="005E1C61">
      <w:pPr>
        <w:spacing w:line="360" w:lineRule="auto"/>
        <w:jc w:val="both"/>
        <w:rPr>
          <w:b/>
          <w:sz w:val="24"/>
          <w:szCs w:val="24"/>
        </w:rPr>
      </w:pPr>
    </w:p>
    <w:p w14:paraId="653E0E9D" w14:textId="77777777" w:rsidR="005E1C61" w:rsidRPr="006001DA" w:rsidRDefault="005E1C61" w:rsidP="005E1C61">
      <w:pPr>
        <w:spacing w:line="360" w:lineRule="auto"/>
        <w:jc w:val="both"/>
        <w:rPr>
          <w:b/>
          <w:sz w:val="24"/>
          <w:szCs w:val="24"/>
        </w:rPr>
      </w:pPr>
    </w:p>
    <w:p w14:paraId="26213EE4" w14:textId="530440FD" w:rsidR="0082449E" w:rsidRPr="006001DA" w:rsidRDefault="00000000" w:rsidP="005E1C61">
      <w:pPr>
        <w:spacing w:line="360" w:lineRule="auto"/>
        <w:jc w:val="both"/>
        <w:rPr>
          <w:b/>
          <w:sz w:val="24"/>
          <w:szCs w:val="24"/>
        </w:rPr>
      </w:pPr>
      <w:r w:rsidRPr="006001DA">
        <w:rPr>
          <w:b/>
          <w:sz w:val="24"/>
          <w:szCs w:val="24"/>
        </w:rPr>
        <w:t>1</w:t>
      </w:r>
      <w:r w:rsidRPr="006001DA">
        <w:rPr>
          <w:b/>
          <w:sz w:val="24"/>
          <w:szCs w:val="24"/>
        </w:rPr>
        <w:tab/>
        <w:t>INTRODUÇÃO</w:t>
      </w:r>
    </w:p>
    <w:p w14:paraId="647682B9" w14:textId="77777777" w:rsidR="0082449E" w:rsidRPr="006001DA" w:rsidRDefault="0082449E">
      <w:pPr>
        <w:spacing w:line="360" w:lineRule="auto"/>
        <w:jc w:val="both"/>
        <w:rPr>
          <w:b/>
          <w:sz w:val="24"/>
          <w:szCs w:val="24"/>
        </w:rPr>
      </w:pPr>
    </w:p>
    <w:p w14:paraId="3181E181" w14:textId="7E4ADA45" w:rsidR="0082449E" w:rsidRPr="006001DA" w:rsidRDefault="00000000">
      <w:pPr>
        <w:spacing w:line="360" w:lineRule="auto"/>
        <w:ind w:firstLine="709"/>
        <w:jc w:val="both"/>
        <w:rPr>
          <w:sz w:val="24"/>
          <w:szCs w:val="24"/>
        </w:rPr>
      </w:pPr>
      <w:r w:rsidRPr="006001DA">
        <w:rPr>
          <w:sz w:val="24"/>
          <w:szCs w:val="24"/>
        </w:rPr>
        <w:t>As políticas educacionais são essenciais para a garantia do direito à educação, o qual é reconhecido na esfera nacional e internacional, como um direito humano inalienável, inclusive condição para o exercício de outros direitos de cidadania. Para assegurar a educação, são necessários recursos que financiem a sua oferta, o que está previsto na Constituição Federal de 1988 mediante a vinculação de recursos mínimos para a manutenção e o desenvolvimento do ensino.</w:t>
      </w:r>
    </w:p>
    <w:p w14:paraId="5EB4D3B9" w14:textId="77777777" w:rsidR="0082449E" w:rsidRPr="006001DA" w:rsidRDefault="00000000">
      <w:pPr>
        <w:spacing w:line="360" w:lineRule="auto"/>
        <w:ind w:firstLine="709"/>
        <w:jc w:val="both"/>
        <w:rPr>
          <w:sz w:val="24"/>
          <w:szCs w:val="24"/>
        </w:rPr>
      </w:pPr>
      <w:r w:rsidRPr="006001DA">
        <w:rPr>
          <w:sz w:val="24"/>
          <w:szCs w:val="24"/>
        </w:rPr>
        <w:t>Dessa forma, a atual carta Magna determina que a União aplicará nunca menos de 18% dos recursos provenientes de impostos na manutenção de desenvolvimento do ensino (MDE), assim como estados e municípios aplicarão, no mínimo, 25% dos referidos impostos, inclusive das transferências constitucionais desses impostos, em MDE (Brasil, 1988).</w:t>
      </w:r>
    </w:p>
    <w:p w14:paraId="5A2B5372" w14:textId="277921F4" w:rsidR="0082449E" w:rsidRPr="006001DA" w:rsidRDefault="00000000">
      <w:pPr>
        <w:spacing w:line="360" w:lineRule="auto"/>
        <w:ind w:firstLine="709"/>
        <w:jc w:val="both"/>
        <w:rPr>
          <w:sz w:val="24"/>
          <w:szCs w:val="24"/>
        </w:rPr>
      </w:pPr>
      <w:r w:rsidRPr="006001DA">
        <w:rPr>
          <w:sz w:val="24"/>
          <w:szCs w:val="24"/>
        </w:rPr>
        <w:t xml:space="preserve">No entanto, há uma discussão questionando se os recursos vinculados são ou não suficientes para garantir a oferta em condições de qualidade, visto que determinados setores e pares compreendem que a educação não precisa ampliar seus recursos, pelo contrário, poderia diminuí-los </w:t>
      </w:r>
      <w:r w:rsidR="0011326F" w:rsidRPr="006001DA">
        <w:rPr>
          <w:sz w:val="24"/>
          <w:szCs w:val="24"/>
        </w:rPr>
        <w:t>já</w:t>
      </w:r>
      <w:r w:rsidRPr="006001DA">
        <w:rPr>
          <w:sz w:val="24"/>
          <w:szCs w:val="24"/>
        </w:rPr>
        <w:t xml:space="preserve"> que a questão central, nesta perspectiva, é de gestão eficiente, criticando a vinculação constitucional por engessar “o orçamento, não permitindo ao governante, legitimamente eleito, executar livremente as prioridades políticas de seu governo”, como denunciado por Oliveira (2007, p. 93) ao analisar os embates no setor.</w:t>
      </w:r>
    </w:p>
    <w:p w14:paraId="4B2D2430" w14:textId="77777777" w:rsidR="0082449E" w:rsidRPr="006001DA" w:rsidRDefault="00000000">
      <w:pPr>
        <w:spacing w:line="360" w:lineRule="auto"/>
        <w:ind w:firstLine="709"/>
        <w:jc w:val="both"/>
        <w:rPr>
          <w:sz w:val="24"/>
          <w:szCs w:val="24"/>
        </w:rPr>
      </w:pPr>
      <w:r w:rsidRPr="006001DA">
        <w:rPr>
          <w:sz w:val="24"/>
          <w:szCs w:val="24"/>
        </w:rPr>
        <w:t xml:space="preserve">Essa visão de que a educação não precisa de mais recursos, mas sim de eficiência, vem sendo propagada, principalmente, desde os anos de 1990. Tais perspectivas defendem a minimização da ação estatal nas políticas públicas, com </w:t>
      </w:r>
      <w:r w:rsidRPr="006001DA">
        <w:rPr>
          <w:sz w:val="24"/>
          <w:szCs w:val="24"/>
        </w:rPr>
        <w:lastRenderedPageBreak/>
        <w:t xml:space="preserve">reforço de instituições do terceiro setor e de organismos internacionais (Banco Mundial, 2017), em um contexto de avanço neoliberal e de crescentes processos de privatização e mercantilização da educação (Adrião, 2018, 2022; </w:t>
      </w:r>
      <w:proofErr w:type="spellStart"/>
      <w:r w:rsidRPr="006001DA">
        <w:rPr>
          <w:sz w:val="24"/>
          <w:szCs w:val="24"/>
        </w:rPr>
        <w:t>Peroni</w:t>
      </w:r>
      <w:proofErr w:type="spellEnd"/>
      <w:r w:rsidRPr="006001DA">
        <w:rPr>
          <w:sz w:val="24"/>
          <w:szCs w:val="24"/>
        </w:rPr>
        <w:t>, Scheibe, 2017).</w:t>
      </w:r>
    </w:p>
    <w:p w14:paraId="2450F293" w14:textId="77777777" w:rsidR="0082449E" w:rsidRPr="006001DA" w:rsidRDefault="00000000">
      <w:pPr>
        <w:spacing w:line="360" w:lineRule="auto"/>
        <w:ind w:firstLine="709"/>
        <w:jc w:val="both"/>
        <w:rPr>
          <w:sz w:val="24"/>
          <w:szCs w:val="24"/>
        </w:rPr>
      </w:pPr>
      <w:r w:rsidRPr="006001DA">
        <w:rPr>
          <w:sz w:val="24"/>
          <w:szCs w:val="24"/>
        </w:rPr>
        <w:t>A relevância do direito à educação e os avanços legais decorrentes da luta dos movimentos sociais, especialmente após a Constituição de 1988, exigem a análise dos processos das políticas educacionais. Este artigo foca na transparência e no controle social do financiamento da educação. A própria Constituição Federal, resultado da incidência social em sua elaboração (Cunha, 1995; Martins, 2018), estabeleceu espaços de participação social e mecanismos de transparência, como os conselhos e as políticas de fundos (Fundef e, posteriormente, Fundeb e Fundeb Permanente), que impactaram significativamente a organização da oferta educacional e as relações intergovernamentais.</w:t>
      </w:r>
    </w:p>
    <w:p w14:paraId="75941B65" w14:textId="77777777" w:rsidR="0082449E" w:rsidRPr="006001DA" w:rsidRDefault="00000000">
      <w:pPr>
        <w:spacing w:line="360" w:lineRule="auto"/>
        <w:ind w:firstLine="709"/>
        <w:jc w:val="both"/>
        <w:rPr>
          <w:sz w:val="24"/>
          <w:szCs w:val="24"/>
        </w:rPr>
      </w:pPr>
      <w:r w:rsidRPr="006001DA">
        <w:rPr>
          <w:sz w:val="24"/>
          <w:szCs w:val="24"/>
        </w:rPr>
        <w:t>Este artigo se insere no projeto de pesquisa "Observatório da Política Educacional Piauiense: monitoramento da ação estatal e direito à educação", que busca analisar o financiamento da educação no Piauí. O objetivo central é problematizar a principal fonte de dados utilizada pelo Observatório: o Sistema de Informações sobre Orçamentos Públicos em Educação (Siope). Operacionalizado pelo Fundo Nacional de Desenvolvimento da Educação (FNDE), o Siope é um sistema informatizado que coleta e dissemina informações sobre os orçamentos de educação de todos os entes federados (Brasil, 2018, p.13).</w:t>
      </w:r>
    </w:p>
    <w:p w14:paraId="6E27A152" w14:textId="1C9B8422" w:rsidR="0082449E" w:rsidRPr="006001DA" w:rsidRDefault="00000000">
      <w:pPr>
        <w:spacing w:line="360" w:lineRule="auto"/>
        <w:ind w:firstLine="709"/>
        <w:jc w:val="both"/>
        <w:rPr>
          <w:sz w:val="24"/>
          <w:szCs w:val="24"/>
        </w:rPr>
      </w:pPr>
      <w:r w:rsidRPr="006001DA">
        <w:rPr>
          <w:sz w:val="24"/>
          <w:szCs w:val="24"/>
        </w:rPr>
        <w:t xml:space="preserve">A pesquisa foi guiada pela seguinte pergunta: quais os limites e potencialidades do Siope como ferramenta de transparência para o efetivo controle social da aplicação dos recursos públicos na educação? O objetivo é analisar o Siope em sua função de publicizar informações de qualidade para apoio à gestão, à pesquisa e ao controle social. </w:t>
      </w:r>
      <w:r w:rsidR="0011326F" w:rsidRPr="006001DA">
        <w:rPr>
          <w:sz w:val="24"/>
          <w:szCs w:val="24"/>
        </w:rPr>
        <w:t xml:space="preserve">De </w:t>
      </w:r>
      <w:r w:rsidRPr="006001DA">
        <w:rPr>
          <w:sz w:val="24"/>
          <w:szCs w:val="24"/>
        </w:rPr>
        <w:t xml:space="preserve">abordagem, crítico-dialética, </w:t>
      </w:r>
      <w:r w:rsidR="0011326F" w:rsidRPr="006001DA">
        <w:rPr>
          <w:sz w:val="24"/>
          <w:szCs w:val="24"/>
        </w:rPr>
        <w:t xml:space="preserve">a investigação </w:t>
      </w:r>
      <w:r w:rsidRPr="006001DA">
        <w:rPr>
          <w:sz w:val="24"/>
          <w:szCs w:val="24"/>
        </w:rPr>
        <w:t xml:space="preserve">consistiu em um estudo documental, sistematizando informações de receitas e despesas da educação no Piauí, especificamente do Relatório Resumido de Execução Orçamentária (RREO) do Siope. Foram extraídos 3.758 </w:t>
      </w:r>
      <w:proofErr w:type="spellStart"/>
      <w:r w:rsidRPr="006001DA">
        <w:rPr>
          <w:sz w:val="24"/>
          <w:szCs w:val="24"/>
        </w:rPr>
        <w:t>RREOs</w:t>
      </w:r>
      <w:proofErr w:type="spellEnd"/>
      <w:r w:rsidRPr="006001DA">
        <w:rPr>
          <w:sz w:val="24"/>
          <w:szCs w:val="24"/>
        </w:rPr>
        <w:t xml:space="preserve"> anuais, de 2007 a 2023, para compreender o </w:t>
      </w:r>
      <w:r w:rsidRPr="006001DA">
        <w:rPr>
          <w:sz w:val="24"/>
          <w:szCs w:val="24"/>
        </w:rPr>
        <w:lastRenderedPageBreak/>
        <w:t>financiamento da educação no contexto dos diferentes formatos do Fundeb, e os dados foram cotejados com a literatura pertinente.</w:t>
      </w:r>
    </w:p>
    <w:p w14:paraId="0164B370" w14:textId="77777777" w:rsidR="0082449E" w:rsidRPr="006001DA" w:rsidRDefault="0082449E">
      <w:pPr>
        <w:spacing w:line="360" w:lineRule="auto"/>
        <w:ind w:firstLine="709"/>
        <w:jc w:val="both"/>
        <w:rPr>
          <w:sz w:val="24"/>
          <w:szCs w:val="24"/>
        </w:rPr>
      </w:pPr>
    </w:p>
    <w:p w14:paraId="0F4491DA" w14:textId="77777777" w:rsidR="0082449E" w:rsidRPr="006001DA" w:rsidRDefault="00000000">
      <w:pPr>
        <w:spacing w:line="360" w:lineRule="auto"/>
        <w:jc w:val="both"/>
        <w:rPr>
          <w:b/>
          <w:sz w:val="24"/>
          <w:szCs w:val="24"/>
        </w:rPr>
      </w:pPr>
      <w:r w:rsidRPr="006001DA">
        <w:rPr>
          <w:b/>
          <w:sz w:val="24"/>
          <w:szCs w:val="24"/>
        </w:rPr>
        <w:t>2</w:t>
      </w:r>
      <w:r w:rsidRPr="006001DA">
        <w:rPr>
          <w:b/>
          <w:sz w:val="24"/>
          <w:szCs w:val="24"/>
        </w:rPr>
        <w:tab/>
        <w:t>O SIOPE E SUAS POTENCIALIDADES PARA O CONTROLE SOCIAL</w:t>
      </w:r>
    </w:p>
    <w:p w14:paraId="549C1A95" w14:textId="77777777" w:rsidR="0082449E" w:rsidRPr="006001DA" w:rsidRDefault="0082449E">
      <w:pPr>
        <w:spacing w:line="360" w:lineRule="auto"/>
        <w:jc w:val="both"/>
        <w:rPr>
          <w:b/>
          <w:sz w:val="24"/>
          <w:szCs w:val="24"/>
        </w:rPr>
      </w:pPr>
    </w:p>
    <w:p w14:paraId="03B4A8ED" w14:textId="79C63CB7" w:rsidR="0082449E" w:rsidRPr="006001DA" w:rsidRDefault="00000000">
      <w:pPr>
        <w:spacing w:line="360" w:lineRule="auto"/>
        <w:ind w:firstLine="709"/>
        <w:jc w:val="both"/>
        <w:rPr>
          <w:sz w:val="24"/>
          <w:szCs w:val="24"/>
        </w:rPr>
      </w:pPr>
      <w:r w:rsidRPr="006001DA">
        <w:rPr>
          <w:sz w:val="24"/>
          <w:szCs w:val="24"/>
        </w:rPr>
        <w:t>O Sistema de Informações sobre Orçamentos Públicos em Educação (S</w:t>
      </w:r>
      <w:r w:rsidR="007C3222" w:rsidRPr="006001DA">
        <w:rPr>
          <w:sz w:val="24"/>
          <w:szCs w:val="24"/>
        </w:rPr>
        <w:t>iope</w:t>
      </w:r>
      <w:r w:rsidRPr="006001DA">
        <w:rPr>
          <w:sz w:val="24"/>
          <w:szCs w:val="24"/>
        </w:rPr>
        <w:t xml:space="preserve">), como consta no portal eletrônico do Fundo Nacional de Desenvolvimento da Educação, foi criado para coletar e disseminar informações sobre os orçamentos de educação dos entes federados (Brasil, 2006). </w:t>
      </w:r>
    </w:p>
    <w:p w14:paraId="44C13F59" w14:textId="6886617C" w:rsidR="0082449E" w:rsidRPr="006001DA" w:rsidRDefault="00000000">
      <w:pPr>
        <w:spacing w:line="360" w:lineRule="auto"/>
        <w:ind w:firstLine="709"/>
        <w:jc w:val="both"/>
        <w:rPr>
          <w:sz w:val="24"/>
          <w:szCs w:val="24"/>
        </w:rPr>
      </w:pPr>
      <w:r w:rsidRPr="006001DA">
        <w:rPr>
          <w:sz w:val="24"/>
          <w:szCs w:val="24"/>
        </w:rPr>
        <w:t>Cada ente federado é obrigado a fazer a inserção e a atualização permanente de dados, sendo previstas penalidades àqueles entes que se negarem a disponibilizar as informações que</w:t>
      </w:r>
      <w:r w:rsidR="00EC0038" w:rsidRPr="006001DA">
        <w:rPr>
          <w:sz w:val="24"/>
          <w:szCs w:val="24"/>
        </w:rPr>
        <w:t>, rigorosamente</w:t>
      </w:r>
      <w:r w:rsidRPr="006001DA">
        <w:rPr>
          <w:sz w:val="24"/>
          <w:szCs w:val="24"/>
        </w:rPr>
        <w:t xml:space="preserve"> devem ser exatas e a fidedignas (Brasil, 2008), sendo que a Emenda Constitucional nº 108, que institui o Fundeb permanente, reitera, no art. 163-A, as obrigações dos entes no fornecimento e transparência dos dados relacionados à gestão dos recursos públicos, entre eles os da educação</w:t>
      </w:r>
      <w:r w:rsidR="00641D4A" w:rsidRPr="006001DA">
        <w:rPr>
          <w:sz w:val="24"/>
          <w:szCs w:val="24"/>
        </w:rPr>
        <w:t>.</w:t>
      </w:r>
    </w:p>
    <w:p w14:paraId="44A81C76" w14:textId="77777777" w:rsidR="0082449E" w:rsidRPr="006001DA" w:rsidRDefault="0082449E">
      <w:pPr>
        <w:spacing w:line="360" w:lineRule="auto"/>
        <w:ind w:firstLine="567"/>
        <w:jc w:val="both"/>
        <w:rPr>
          <w:sz w:val="24"/>
          <w:szCs w:val="24"/>
        </w:rPr>
      </w:pPr>
    </w:p>
    <w:p w14:paraId="0058C0A0" w14:textId="77777777" w:rsidR="0082449E" w:rsidRPr="006001DA" w:rsidRDefault="0082449E">
      <w:pPr>
        <w:spacing w:line="240" w:lineRule="auto"/>
        <w:ind w:left="2268"/>
        <w:jc w:val="both"/>
      </w:pPr>
      <w:hyperlink r:id="rId7" w:anchor="art163a">
        <w:r w:rsidRPr="006001DA">
          <w:rPr>
            <w:b/>
            <w:sz w:val="20"/>
            <w:szCs w:val="20"/>
          </w:rPr>
          <w:t>Art. 163-A</w:t>
        </w:r>
      </w:hyperlink>
      <w:r w:rsidRPr="006001DA">
        <w:rPr>
          <w:sz w:val="20"/>
          <w:szCs w:val="20"/>
        </w:rPr>
        <w:t xml:space="preserve">. A União, os Estados, o Distrito Federal e os Municípios disponibilizarão suas informações e dados contábeis, orçamentários e fiscais, conforme periodicidade, formato e sistema estabelecidos pelo órgão central de contabilidade da União, de forma a garantir a rastreabilidade, a comparabilidade e a publicidade dos dados coletados, os quais deverão ser divulgados em meio eletrônico de amplo acesso público (Brasil, 2020). </w:t>
      </w:r>
    </w:p>
    <w:p w14:paraId="67E260DC" w14:textId="77777777" w:rsidR="0082449E" w:rsidRPr="006001DA" w:rsidRDefault="0082449E">
      <w:pPr>
        <w:spacing w:line="360" w:lineRule="auto"/>
        <w:ind w:firstLine="709"/>
        <w:jc w:val="both"/>
        <w:rPr>
          <w:sz w:val="24"/>
          <w:szCs w:val="24"/>
        </w:rPr>
      </w:pPr>
    </w:p>
    <w:p w14:paraId="72AAD49A" w14:textId="77777777" w:rsidR="0082449E" w:rsidRPr="006001DA" w:rsidRDefault="00000000">
      <w:pPr>
        <w:spacing w:line="360" w:lineRule="auto"/>
        <w:ind w:firstLine="709"/>
        <w:jc w:val="both"/>
        <w:rPr>
          <w:sz w:val="24"/>
          <w:szCs w:val="24"/>
        </w:rPr>
      </w:pPr>
      <w:r w:rsidRPr="006001DA">
        <w:rPr>
          <w:sz w:val="24"/>
          <w:szCs w:val="24"/>
        </w:rPr>
        <w:t>O Siope é auto declaratório e para atribuir maior fidedignidade às informações, desde 2018, foi instituído o Módulo de Acompanhamento e Validação do Siope (</w:t>
      </w:r>
      <w:proofErr w:type="spellStart"/>
      <w:r w:rsidRPr="006001DA">
        <w:rPr>
          <w:sz w:val="24"/>
          <w:szCs w:val="24"/>
        </w:rPr>
        <w:t>Mavs</w:t>
      </w:r>
      <w:proofErr w:type="spellEnd"/>
      <w:r w:rsidRPr="006001DA">
        <w:rPr>
          <w:sz w:val="24"/>
          <w:szCs w:val="24"/>
        </w:rPr>
        <w:t>), ferramenta informatizada que demanda a participação de secretários de educação e dos Conselhos de Acompanhamento e Controle Social do Fundeb no processo de validação das informações prestadas, antes de sua publicação no Siope, assim como a validação dos dados pelos tribunais de contas, o que atribuiu ao Sistema maior controle das informações.</w:t>
      </w:r>
    </w:p>
    <w:p w14:paraId="1EAB09C4" w14:textId="77777777" w:rsidR="0082449E" w:rsidRPr="006001DA" w:rsidRDefault="00000000">
      <w:pPr>
        <w:spacing w:line="360" w:lineRule="auto"/>
        <w:ind w:firstLine="709"/>
        <w:jc w:val="both"/>
        <w:rPr>
          <w:sz w:val="24"/>
          <w:szCs w:val="24"/>
        </w:rPr>
      </w:pPr>
      <w:r w:rsidRPr="006001DA">
        <w:rPr>
          <w:sz w:val="24"/>
          <w:szCs w:val="24"/>
        </w:rPr>
        <w:t xml:space="preserve">O Siope se configura como importante meio de monitoramento para controle social dos investimentos em educação, pois, por meio dessa ferramenta eletrônica, </w:t>
      </w:r>
      <w:r w:rsidRPr="006001DA">
        <w:rPr>
          <w:sz w:val="24"/>
          <w:szCs w:val="24"/>
        </w:rPr>
        <w:lastRenderedPageBreak/>
        <w:t xml:space="preserve">núcleos de pesquisas, órgãos de controle e fiscalização e qualquer cidadão podem acessar os dados disponíveis e acompanhar os recursos públicos destinados à manutenção e desenvolvimento educacional do país. Através dessa estratégia de coleta e publicização de dados orçamentários, o sistema fortalece a transparência sobre os investimentos públicos, possibilita maior controle da destinação de recursos e fundamenta políticas públicas de educação, com enorme potencial de elucidar a sociedade por meio da divulgação sistemática dos dados registrados pela União, pelo Distrito Federal, pelos Estados e Municípios, legalmente obrigados a isso (Brasil, 2008). </w:t>
      </w:r>
    </w:p>
    <w:p w14:paraId="22A25462" w14:textId="77777777" w:rsidR="0082449E" w:rsidRPr="006001DA" w:rsidRDefault="00000000">
      <w:pPr>
        <w:spacing w:line="360" w:lineRule="auto"/>
        <w:ind w:firstLine="709"/>
        <w:jc w:val="both"/>
        <w:rPr>
          <w:sz w:val="24"/>
          <w:szCs w:val="24"/>
        </w:rPr>
      </w:pPr>
      <w:r w:rsidRPr="006001DA">
        <w:rPr>
          <w:sz w:val="24"/>
          <w:szCs w:val="24"/>
        </w:rPr>
        <w:t>Como anunciado anteriormente, o estudo implicou na definição de questões que orientaram a extração dos dados do Siope. Foram feitas escolhas daqueles aspectos considerados pela equipe como os mais pertinentes para o monitoramento do financiamento da educação no Piauí, aspectos esses que informam a potencialidade do Sistema em fornecer informações que contribuam para o controle social.</w:t>
      </w:r>
    </w:p>
    <w:p w14:paraId="488C0593" w14:textId="77777777" w:rsidR="0082449E" w:rsidRPr="006001DA" w:rsidRDefault="00000000">
      <w:pPr>
        <w:spacing w:line="360" w:lineRule="auto"/>
        <w:ind w:firstLine="709"/>
        <w:jc w:val="both"/>
        <w:rPr>
          <w:sz w:val="24"/>
          <w:szCs w:val="24"/>
        </w:rPr>
      </w:pPr>
      <w:r w:rsidRPr="006001DA">
        <w:rPr>
          <w:sz w:val="24"/>
          <w:szCs w:val="24"/>
        </w:rPr>
        <w:t>As questões contemplam aspectos centrais relacionados à capacidade tributária dos municípios, no que tange aos seus recursos próprios e às receitas recebidas de impostos das transferências intergovernamentais; às receitas adicionais ao financiamento da educação (que não as custeadas com os impostos); à composição do Fundeb, incluindo a complementação da União;  aos recursos do Fundeb aplicados na remuneração dos profissionais da educação; às despesas de Manutenção de Desenvolvimento de Ensino e ao cumprimento do mínimo constitucional; às despesas por área de atuação no âmbito do município e à Receita Potencial Mínima Vinculada à Educação Básica.</w:t>
      </w:r>
    </w:p>
    <w:p w14:paraId="3EBEA74D" w14:textId="77777777" w:rsidR="0082449E" w:rsidRPr="006001DA" w:rsidRDefault="00000000">
      <w:pPr>
        <w:spacing w:line="360" w:lineRule="auto"/>
        <w:ind w:firstLine="709"/>
        <w:jc w:val="both"/>
        <w:rPr>
          <w:sz w:val="24"/>
          <w:szCs w:val="24"/>
        </w:rPr>
      </w:pPr>
      <w:r w:rsidRPr="006001DA">
        <w:rPr>
          <w:sz w:val="24"/>
          <w:szCs w:val="24"/>
        </w:rPr>
        <w:t>Essas questões, por si só, representam um grande potencial do Siope para a análise do financiamento da educação, pois o sistema identifica a distribuição de recursos entre os diferentes níveis e modalidades de ensino, permite o monitoramento dos recursos do Fundeb, das receitas e das aplicações em educação e, consequentemente, possibilita a transparência para o controle social.</w:t>
      </w:r>
    </w:p>
    <w:p w14:paraId="33251914" w14:textId="3B3EF42F" w:rsidR="0082449E" w:rsidRPr="006001DA" w:rsidRDefault="00000000">
      <w:pPr>
        <w:spacing w:line="360" w:lineRule="auto"/>
        <w:ind w:firstLine="709"/>
        <w:jc w:val="both"/>
        <w:rPr>
          <w:sz w:val="24"/>
          <w:szCs w:val="24"/>
        </w:rPr>
      </w:pPr>
      <w:r w:rsidRPr="006001DA">
        <w:rPr>
          <w:sz w:val="24"/>
          <w:szCs w:val="24"/>
        </w:rPr>
        <w:lastRenderedPageBreak/>
        <w:t>Ainda no âmbito das potencialidades do Siope, destaca-se o fato de fornecer a série histórica dos investimentos em educação desde 2006 e a atualização</w:t>
      </w:r>
      <w:r w:rsidR="00DA4F36" w:rsidRPr="006001DA">
        <w:rPr>
          <w:sz w:val="24"/>
          <w:szCs w:val="24"/>
        </w:rPr>
        <w:t xml:space="preserve"> </w:t>
      </w:r>
      <w:r w:rsidR="00FA147E" w:rsidRPr="006001DA">
        <w:rPr>
          <w:sz w:val="24"/>
          <w:szCs w:val="24"/>
        </w:rPr>
        <w:t>bimestral</w:t>
      </w:r>
      <w:r w:rsidRPr="006001DA">
        <w:rPr>
          <w:sz w:val="24"/>
          <w:szCs w:val="24"/>
        </w:rPr>
        <w:t xml:space="preserve"> das informações. Isso ocorre porque existe prazo para a declaração por parte dos entes federados, pois os dados são publicados dois meses após a execução dos recursos e validados pelos Conselhos do Fundeb. Apesar dessas potencialidades, problemas ainda precisam ser enfrentados para que o Siope alcance plenamente seus objetivos.</w:t>
      </w:r>
    </w:p>
    <w:p w14:paraId="313FE185" w14:textId="77777777" w:rsidR="0082449E" w:rsidRPr="006001DA" w:rsidRDefault="0082449E">
      <w:pPr>
        <w:spacing w:line="360" w:lineRule="auto"/>
        <w:jc w:val="both"/>
        <w:rPr>
          <w:b/>
          <w:sz w:val="24"/>
          <w:szCs w:val="24"/>
        </w:rPr>
      </w:pPr>
    </w:p>
    <w:p w14:paraId="7ABB6934" w14:textId="77777777" w:rsidR="0082449E" w:rsidRPr="006001DA" w:rsidRDefault="00000000">
      <w:pPr>
        <w:spacing w:line="360" w:lineRule="auto"/>
        <w:jc w:val="both"/>
        <w:rPr>
          <w:b/>
          <w:sz w:val="24"/>
          <w:szCs w:val="24"/>
        </w:rPr>
      </w:pPr>
      <w:r w:rsidRPr="006001DA">
        <w:rPr>
          <w:b/>
          <w:sz w:val="24"/>
          <w:szCs w:val="24"/>
        </w:rPr>
        <w:t xml:space="preserve">3 </w:t>
      </w:r>
      <w:r w:rsidRPr="006001DA">
        <w:rPr>
          <w:b/>
          <w:sz w:val="24"/>
          <w:szCs w:val="24"/>
        </w:rPr>
        <w:tab/>
        <w:t xml:space="preserve"> LIMITAÇÕES DO SIOPE E SEUS REFLEXOS NO CONTROLE SOCIAL</w:t>
      </w:r>
    </w:p>
    <w:p w14:paraId="02BFF172" w14:textId="77777777" w:rsidR="0082449E" w:rsidRPr="006001DA" w:rsidRDefault="0082449E">
      <w:pPr>
        <w:spacing w:line="360" w:lineRule="auto"/>
        <w:jc w:val="both"/>
        <w:rPr>
          <w:b/>
          <w:sz w:val="24"/>
          <w:szCs w:val="24"/>
        </w:rPr>
      </w:pPr>
    </w:p>
    <w:p w14:paraId="189E5824" w14:textId="5C686BF0" w:rsidR="0082449E" w:rsidRPr="006001DA" w:rsidRDefault="00000000">
      <w:pPr>
        <w:widowControl w:val="0"/>
        <w:spacing w:line="360" w:lineRule="auto"/>
        <w:ind w:firstLine="709"/>
        <w:jc w:val="both"/>
        <w:rPr>
          <w:sz w:val="24"/>
          <w:szCs w:val="24"/>
        </w:rPr>
      </w:pPr>
      <w:r w:rsidRPr="006001DA">
        <w:rPr>
          <w:sz w:val="24"/>
          <w:szCs w:val="24"/>
        </w:rPr>
        <w:t>Apesar do inegável avanço que representa na promoção da transparência do financiamento da educação, como mencionado anteriormente, o S</w:t>
      </w:r>
      <w:r w:rsidR="00AA2069" w:rsidRPr="006001DA">
        <w:rPr>
          <w:sz w:val="24"/>
          <w:szCs w:val="24"/>
        </w:rPr>
        <w:t>iope</w:t>
      </w:r>
      <w:r w:rsidRPr="006001DA">
        <w:rPr>
          <w:sz w:val="24"/>
          <w:szCs w:val="24"/>
        </w:rPr>
        <w:t xml:space="preserve"> não está imune a uma série de desafios e limitações que impactam diretamente a qualidade de seus dados e, por conseguinte, a eficácia do controle social. </w:t>
      </w:r>
    </w:p>
    <w:p w14:paraId="0DA819A0" w14:textId="62EA9DA5" w:rsidR="0082449E" w:rsidRPr="006001DA" w:rsidRDefault="00000000">
      <w:pPr>
        <w:spacing w:line="360" w:lineRule="auto"/>
        <w:ind w:firstLine="709"/>
        <w:jc w:val="both"/>
        <w:rPr>
          <w:sz w:val="24"/>
          <w:szCs w:val="24"/>
        </w:rPr>
      </w:pPr>
      <w:r w:rsidRPr="006001DA">
        <w:rPr>
          <w:sz w:val="24"/>
          <w:szCs w:val="24"/>
        </w:rPr>
        <w:t>O S</w:t>
      </w:r>
      <w:r w:rsidR="00AA2069" w:rsidRPr="006001DA">
        <w:rPr>
          <w:sz w:val="24"/>
          <w:szCs w:val="24"/>
        </w:rPr>
        <w:t>iope</w:t>
      </w:r>
      <w:r w:rsidRPr="006001DA">
        <w:rPr>
          <w:sz w:val="24"/>
          <w:szCs w:val="24"/>
        </w:rPr>
        <w:t>, apesar das suas possibilidades em termos de oferta de dados, apresenta inconsistências e vulnerabilidades. Em auditoria feita pela Controladoria-Geral da União, foram identificadas no S</w:t>
      </w:r>
      <w:r w:rsidR="00AA2069" w:rsidRPr="006001DA">
        <w:rPr>
          <w:sz w:val="24"/>
          <w:szCs w:val="24"/>
        </w:rPr>
        <w:t>iope</w:t>
      </w:r>
      <w:r w:rsidRPr="006001DA">
        <w:rPr>
          <w:sz w:val="24"/>
          <w:szCs w:val="24"/>
        </w:rPr>
        <w:t xml:space="preserve"> ocorrências, como o descumprimento de várias normas definidas pelas legislações educacionais, dentre elas a ocorrência de gastos inferiores ao mínimo definido pelo Fundeb em folha de pagamento (Brasil, 2024).</w:t>
      </w:r>
    </w:p>
    <w:p w14:paraId="65AEE76E" w14:textId="6CC2AD76" w:rsidR="0082449E" w:rsidRPr="006001DA" w:rsidRDefault="007320D2">
      <w:pPr>
        <w:widowControl w:val="0"/>
        <w:spacing w:line="360" w:lineRule="auto"/>
        <w:ind w:firstLine="720"/>
        <w:jc w:val="both"/>
        <w:rPr>
          <w:sz w:val="24"/>
          <w:szCs w:val="24"/>
        </w:rPr>
      </w:pPr>
      <w:r w:rsidRPr="006001DA">
        <w:rPr>
          <w:sz w:val="24"/>
          <w:szCs w:val="24"/>
        </w:rPr>
        <w:t>Ademais, uma das mais significativas e frequent</w:t>
      </w:r>
      <w:r w:rsidR="00EE618B" w:rsidRPr="006001DA">
        <w:rPr>
          <w:sz w:val="24"/>
          <w:szCs w:val="24"/>
        </w:rPr>
        <w:t>es</w:t>
      </w:r>
      <w:r w:rsidRPr="006001DA">
        <w:rPr>
          <w:sz w:val="24"/>
          <w:szCs w:val="24"/>
        </w:rPr>
        <w:t xml:space="preserve"> limitações do S</w:t>
      </w:r>
      <w:r w:rsidR="00AA2069" w:rsidRPr="006001DA">
        <w:rPr>
          <w:sz w:val="24"/>
          <w:szCs w:val="24"/>
        </w:rPr>
        <w:t>iope</w:t>
      </w:r>
      <w:r w:rsidRPr="006001DA">
        <w:rPr>
          <w:sz w:val="24"/>
          <w:szCs w:val="24"/>
        </w:rPr>
        <w:t xml:space="preserve"> reside na inconsistência e vulnerabilidade dos dados autodeclarados pelos entes federados. Essa fragilidade compromete diretamente a concretização de uma gestão pública transparente e responsável (Platt Neto et al., 2007).</w:t>
      </w:r>
    </w:p>
    <w:p w14:paraId="01F16359" w14:textId="476CB5B8" w:rsidR="0082449E" w:rsidRPr="006001DA" w:rsidRDefault="00000000">
      <w:pPr>
        <w:widowControl w:val="0"/>
        <w:spacing w:line="360" w:lineRule="auto"/>
        <w:ind w:firstLine="720"/>
        <w:jc w:val="both"/>
        <w:rPr>
          <w:sz w:val="24"/>
          <w:szCs w:val="24"/>
        </w:rPr>
      </w:pPr>
      <w:r w:rsidRPr="006001DA">
        <w:rPr>
          <w:sz w:val="24"/>
          <w:szCs w:val="24"/>
        </w:rPr>
        <w:t>Exemplificando essas falhas, observa-se que, em alguns casos, o próprio Relatório Resumido da Execução Orçamentária (RREO), disponibilizado pelo S</w:t>
      </w:r>
      <w:r w:rsidR="00C03D33" w:rsidRPr="006001DA">
        <w:rPr>
          <w:sz w:val="24"/>
          <w:szCs w:val="24"/>
        </w:rPr>
        <w:t>iope</w:t>
      </w:r>
      <w:r w:rsidRPr="006001DA">
        <w:rPr>
          <w:sz w:val="24"/>
          <w:szCs w:val="24"/>
        </w:rPr>
        <w:t>, apresenta informações ausentes ou incompletas. Em cenários mais críticos, o problema se agrava com a ausência total d</w:t>
      </w:r>
      <w:r w:rsidR="006F79C8" w:rsidRPr="006001DA">
        <w:rPr>
          <w:sz w:val="24"/>
          <w:szCs w:val="24"/>
        </w:rPr>
        <w:t>o</w:t>
      </w:r>
      <w:r w:rsidRPr="006001DA">
        <w:rPr>
          <w:sz w:val="24"/>
          <w:szCs w:val="24"/>
        </w:rPr>
        <w:t xml:space="preserve"> envio</w:t>
      </w:r>
      <w:r w:rsidR="006F79C8" w:rsidRPr="006001DA">
        <w:rPr>
          <w:sz w:val="24"/>
          <w:szCs w:val="24"/>
        </w:rPr>
        <w:t xml:space="preserve"> de dados</w:t>
      </w:r>
      <w:r w:rsidRPr="006001DA">
        <w:rPr>
          <w:sz w:val="24"/>
          <w:szCs w:val="24"/>
        </w:rPr>
        <w:t xml:space="preserve"> por parte do município, como demonstra a tabela a seguir. </w:t>
      </w:r>
    </w:p>
    <w:p w14:paraId="247CEE87" w14:textId="77777777" w:rsidR="0082449E" w:rsidRPr="006001DA" w:rsidRDefault="0082449E">
      <w:pPr>
        <w:widowControl w:val="0"/>
        <w:spacing w:line="360" w:lineRule="auto"/>
        <w:ind w:firstLine="720"/>
        <w:jc w:val="both"/>
        <w:rPr>
          <w:sz w:val="24"/>
          <w:szCs w:val="24"/>
        </w:rPr>
      </w:pPr>
    </w:p>
    <w:p w14:paraId="67D7766D" w14:textId="77777777" w:rsidR="0082449E" w:rsidRPr="006001DA" w:rsidRDefault="00000000">
      <w:pPr>
        <w:spacing w:line="360" w:lineRule="auto"/>
        <w:ind w:firstLine="567"/>
        <w:jc w:val="center"/>
        <w:rPr>
          <w:sz w:val="24"/>
          <w:szCs w:val="24"/>
        </w:rPr>
      </w:pPr>
      <w:r w:rsidRPr="006001DA">
        <w:rPr>
          <w:b/>
          <w:sz w:val="24"/>
          <w:szCs w:val="24"/>
        </w:rPr>
        <w:t>Tabela 1</w:t>
      </w:r>
      <w:r w:rsidRPr="006001DA">
        <w:rPr>
          <w:sz w:val="24"/>
          <w:szCs w:val="24"/>
        </w:rPr>
        <w:t xml:space="preserve"> – RREO zerados ou inexistentes – Piauí, 2007 a 2023</w:t>
      </w:r>
    </w:p>
    <w:tbl>
      <w:tblPr>
        <w:tblStyle w:val="a"/>
        <w:tblW w:w="581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960"/>
        <w:gridCol w:w="1480"/>
        <w:gridCol w:w="1302"/>
        <w:gridCol w:w="2068"/>
      </w:tblGrid>
      <w:tr w:rsidR="006001DA" w:rsidRPr="006001DA" w14:paraId="006C21E0" w14:textId="77777777">
        <w:trPr>
          <w:trHeight w:val="288"/>
          <w:jc w:val="center"/>
        </w:trPr>
        <w:tc>
          <w:tcPr>
            <w:tcW w:w="960" w:type="dxa"/>
            <w:vMerge w:val="restart"/>
            <w:tcBorders>
              <w:top w:val="single" w:sz="4" w:space="0" w:color="000000"/>
              <w:left w:val="single" w:sz="4" w:space="0" w:color="000000"/>
              <w:bottom w:val="single" w:sz="4" w:space="0" w:color="000000"/>
            </w:tcBorders>
            <w:shd w:val="clear" w:color="auto" w:fill="DAE9F8"/>
            <w:vAlign w:val="center"/>
          </w:tcPr>
          <w:p w14:paraId="4FE72C15" w14:textId="77777777" w:rsidR="0082449E" w:rsidRPr="006001DA" w:rsidRDefault="00000000">
            <w:pPr>
              <w:spacing w:line="240" w:lineRule="auto"/>
              <w:jc w:val="center"/>
              <w:rPr>
                <w:rFonts w:ascii="Aptos Narrow" w:eastAsia="Aptos Narrow" w:hAnsi="Aptos Narrow" w:cs="Aptos Narrow"/>
                <w:b/>
              </w:rPr>
            </w:pPr>
            <w:r w:rsidRPr="006001DA">
              <w:rPr>
                <w:rFonts w:ascii="Aptos Narrow" w:eastAsia="Aptos Narrow" w:hAnsi="Aptos Narrow" w:cs="Aptos Narrow"/>
                <w:b/>
              </w:rPr>
              <w:t>ANO</w:t>
            </w:r>
          </w:p>
        </w:tc>
        <w:tc>
          <w:tcPr>
            <w:tcW w:w="1480" w:type="dxa"/>
            <w:vMerge w:val="restart"/>
            <w:tcBorders>
              <w:top w:val="single" w:sz="4" w:space="0" w:color="000000"/>
              <w:left w:val="single" w:sz="4" w:space="0" w:color="000000"/>
              <w:bottom w:val="single" w:sz="4" w:space="0" w:color="000000"/>
            </w:tcBorders>
            <w:shd w:val="clear" w:color="auto" w:fill="C0E6F5"/>
            <w:vAlign w:val="center"/>
          </w:tcPr>
          <w:p w14:paraId="7292FE76" w14:textId="77777777" w:rsidR="0082449E" w:rsidRPr="006001DA" w:rsidRDefault="00000000">
            <w:pPr>
              <w:spacing w:line="240" w:lineRule="auto"/>
              <w:jc w:val="center"/>
              <w:rPr>
                <w:rFonts w:ascii="Aptos Narrow" w:eastAsia="Aptos Narrow" w:hAnsi="Aptos Narrow" w:cs="Aptos Narrow"/>
                <w:b/>
              </w:rPr>
            </w:pPr>
            <w:r w:rsidRPr="006001DA">
              <w:rPr>
                <w:rFonts w:ascii="Aptos Narrow" w:eastAsia="Aptos Narrow" w:hAnsi="Aptos Narrow" w:cs="Aptos Narrow"/>
                <w:b/>
              </w:rPr>
              <w:t>TOTAL DE MUNICÍPIOS</w:t>
            </w:r>
          </w:p>
        </w:tc>
        <w:tc>
          <w:tcPr>
            <w:tcW w:w="3370" w:type="dxa"/>
            <w:gridSpan w:val="2"/>
            <w:tcBorders>
              <w:top w:val="single" w:sz="4" w:space="0" w:color="000000"/>
              <w:left w:val="single" w:sz="4" w:space="0" w:color="000000"/>
              <w:bottom w:val="single" w:sz="4" w:space="0" w:color="000000"/>
              <w:right w:val="single" w:sz="4" w:space="0" w:color="000000"/>
            </w:tcBorders>
            <w:shd w:val="clear" w:color="auto" w:fill="DAE9F8"/>
            <w:vAlign w:val="center"/>
          </w:tcPr>
          <w:p w14:paraId="0C38F719" w14:textId="77777777" w:rsidR="0082449E" w:rsidRPr="006001DA" w:rsidRDefault="00000000">
            <w:pPr>
              <w:spacing w:line="240" w:lineRule="auto"/>
              <w:jc w:val="center"/>
              <w:rPr>
                <w:rFonts w:ascii="Aptos Narrow" w:eastAsia="Aptos Narrow" w:hAnsi="Aptos Narrow" w:cs="Aptos Narrow"/>
                <w:b/>
              </w:rPr>
            </w:pPr>
            <w:r w:rsidRPr="006001DA">
              <w:rPr>
                <w:rFonts w:ascii="Aptos Narrow" w:eastAsia="Aptos Narrow" w:hAnsi="Aptos Narrow" w:cs="Aptos Narrow"/>
                <w:b/>
              </w:rPr>
              <w:t>SEM RREO OU RREO ZERADO</w:t>
            </w:r>
          </w:p>
        </w:tc>
      </w:tr>
      <w:tr w:rsidR="006001DA" w:rsidRPr="006001DA" w14:paraId="42EDAA42" w14:textId="77777777">
        <w:trPr>
          <w:trHeight w:val="288"/>
          <w:jc w:val="center"/>
        </w:trPr>
        <w:tc>
          <w:tcPr>
            <w:tcW w:w="960" w:type="dxa"/>
            <w:vMerge/>
            <w:tcBorders>
              <w:top w:val="single" w:sz="4" w:space="0" w:color="000000"/>
              <w:left w:val="single" w:sz="4" w:space="0" w:color="000000"/>
              <w:bottom w:val="single" w:sz="4" w:space="0" w:color="000000"/>
            </w:tcBorders>
            <w:shd w:val="clear" w:color="auto" w:fill="DAE9F8"/>
            <w:vAlign w:val="center"/>
          </w:tcPr>
          <w:p w14:paraId="4F5C2CCC" w14:textId="77777777" w:rsidR="0082449E" w:rsidRPr="006001DA" w:rsidRDefault="0082449E">
            <w:pPr>
              <w:widowControl w:val="0"/>
              <w:pBdr>
                <w:top w:val="nil"/>
                <w:left w:val="nil"/>
                <w:bottom w:val="nil"/>
                <w:right w:val="nil"/>
                <w:between w:val="nil"/>
              </w:pBdr>
              <w:rPr>
                <w:rFonts w:ascii="Aptos Narrow" w:eastAsia="Aptos Narrow" w:hAnsi="Aptos Narrow" w:cs="Aptos Narrow"/>
                <w:b/>
              </w:rPr>
            </w:pPr>
          </w:p>
        </w:tc>
        <w:tc>
          <w:tcPr>
            <w:tcW w:w="1480" w:type="dxa"/>
            <w:vMerge/>
            <w:tcBorders>
              <w:top w:val="single" w:sz="4" w:space="0" w:color="000000"/>
              <w:left w:val="single" w:sz="4" w:space="0" w:color="000000"/>
              <w:bottom w:val="single" w:sz="4" w:space="0" w:color="000000"/>
            </w:tcBorders>
            <w:shd w:val="clear" w:color="auto" w:fill="C0E6F5"/>
            <w:vAlign w:val="center"/>
          </w:tcPr>
          <w:p w14:paraId="1E2F5E36" w14:textId="77777777" w:rsidR="0082449E" w:rsidRPr="006001DA" w:rsidRDefault="0082449E">
            <w:pPr>
              <w:widowControl w:val="0"/>
              <w:pBdr>
                <w:top w:val="nil"/>
                <w:left w:val="nil"/>
                <w:bottom w:val="nil"/>
                <w:right w:val="nil"/>
                <w:between w:val="nil"/>
              </w:pBdr>
              <w:rPr>
                <w:rFonts w:ascii="Aptos Narrow" w:eastAsia="Aptos Narrow" w:hAnsi="Aptos Narrow" w:cs="Aptos Narrow"/>
                <w:b/>
              </w:rPr>
            </w:pPr>
          </w:p>
        </w:tc>
        <w:tc>
          <w:tcPr>
            <w:tcW w:w="1302" w:type="dxa"/>
            <w:tcBorders>
              <w:left w:val="single" w:sz="4" w:space="0" w:color="000000"/>
              <w:bottom w:val="single" w:sz="4" w:space="0" w:color="000000"/>
            </w:tcBorders>
            <w:shd w:val="clear" w:color="auto" w:fill="DAE9F8"/>
            <w:vAlign w:val="center"/>
          </w:tcPr>
          <w:p w14:paraId="1A3E033A" w14:textId="77777777" w:rsidR="0082449E" w:rsidRPr="006001DA" w:rsidRDefault="00000000">
            <w:pPr>
              <w:spacing w:line="240" w:lineRule="auto"/>
              <w:jc w:val="center"/>
              <w:rPr>
                <w:rFonts w:ascii="Aptos Narrow" w:eastAsia="Aptos Narrow" w:hAnsi="Aptos Narrow" w:cs="Aptos Narrow"/>
                <w:b/>
              </w:rPr>
            </w:pPr>
            <w:r w:rsidRPr="006001DA">
              <w:rPr>
                <w:rFonts w:ascii="Aptos Narrow" w:eastAsia="Aptos Narrow" w:hAnsi="Aptos Narrow" w:cs="Aptos Narrow"/>
                <w:b/>
              </w:rPr>
              <w:t>Nº</w:t>
            </w:r>
          </w:p>
        </w:tc>
        <w:tc>
          <w:tcPr>
            <w:tcW w:w="2068" w:type="dxa"/>
            <w:tcBorders>
              <w:left w:val="single" w:sz="4" w:space="0" w:color="000000"/>
              <w:bottom w:val="single" w:sz="4" w:space="0" w:color="000000"/>
              <w:right w:val="single" w:sz="4" w:space="0" w:color="000000"/>
            </w:tcBorders>
            <w:shd w:val="clear" w:color="auto" w:fill="DAE9F8"/>
            <w:vAlign w:val="center"/>
          </w:tcPr>
          <w:p w14:paraId="580E9818" w14:textId="77777777" w:rsidR="0082449E" w:rsidRPr="006001DA" w:rsidRDefault="00000000">
            <w:pPr>
              <w:spacing w:line="240" w:lineRule="auto"/>
              <w:jc w:val="center"/>
              <w:rPr>
                <w:rFonts w:ascii="Aptos Narrow" w:eastAsia="Aptos Narrow" w:hAnsi="Aptos Narrow" w:cs="Aptos Narrow"/>
                <w:b/>
              </w:rPr>
            </w:pPr>
            <w:r w:rsidRPr="006001DA">
              <w:rPr>
                <w:rFonts w:ascii="Aptos Narrow" w:eastAsia="Aptos Narrow" w:hAnsi="Aptos Narrow" w:cs="Aptos Narrow"/>
                <w:b/>
              </w:rPr>
              <w:t>%</w:t>
            </w:r>
          </w:p>
        </w:tc>
      </w:tr>
      <w:tr w:rsidR="006001DA" w:rsidRPr="006001DA" w14:paraId="773CD3C3" w14:textId="77777777">
        <w:trPr>
          <w:trHeight w:val="288"/>
          <w:jc w:val="center"/>
        </w:trPr>
        <w:tc>
          <w:tcPr>
            <w:tcW w:w="960" w:type="dxa"/>
            <w:tcBorders>
              <w:left w:val="single" w:sz="4" w:space="0" w:color="000000"/>
              <w:bottom w:val="single" w:sz="4" w:space="0" w:color="000000"/>
            </w:tcBorders>
            <w:shd w:val="clear" w:color="auto" w:fill="auto"/>
            <w:vAlign w:val="bottom"/>
          </w:tcPr>
          <w:p w14:paraId="32A98224"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2007</w:t>
            </w:r>
          </w:p>
        </w:tc>
        <w:tc>
          <w:tcPr>
            <w:tcW w:w="1480" w:type="dxa"/>
            <w:tcBorders>
              <w:left w:val="single" w:sz="4" w:space="0" w:color="000000"/>
              <w:bottom w:val="single" w:sz="4" w:space="0" w:color="000000"/>
            </w:tcBorders>
            <w:shd w:val="clear" w:color="auto" w:fill="auto"/>
            <w:vAlign w:val="bottom"/>
          </w:tcPr>
          <w:p w14:paraId="2BF26297"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0CBD0796"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7</w:t>
            </w:r>
          </w:p>
        </w:tc>
        <w:tc>
          <w:tcPr>
            <w:tcW w:w="2068" w:type="dxa"/>
            <w:tcBorders>
              <w:left w:val="single" w:sz="4" w:space="0" w:color="000000"/>
              <w:bottom w:val="single" w:sz="4" w:space="0" w:color="000000"/>
              <w:right w:val="single" w:sz="4" w:space="0" w:color="000000"/>
            </w:tcBorders>
            <w:shd w:val="clear" w:color="auto" w:fill="auto"/>
            <w:vAlign w:val="bottom"/>
          </w:tcPr>
          <w:p w14:paraId="4AD8B8F8"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3,1</w:t>
            </w:r>
          </w:p>
        </w:tc>
      </w:tr>
      <w:tr w:rsidR="006001DA" w:rsidRPr="006001DA" w14:paraId="3BB1528F" w14:textId="77777777">
        <w:trPr>
          <w:trHeight w:val="288"/>
          <w:jc w:val="center"/>
        </w:trPr>
        <w:tc>
          <w:tcPr>
            <w:tcW w:w="960" w:type="dxa"/>
            <w:tcBorders>
              <w:left w:val="single" w:sz="4" w:space="0" w:color="000000"/>
              <w:bottom w:val="single" w:sz="4" w:space="0" w:color="000000"/>
            </w:tcBorders>
            <w:shd w:val="clear" w:color="auto" w:fill="auto"/>
            <w:vAlign w:val="bottom"/>
          </w:tcPr>
          <w:p w14:paraId="7394DF97"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2008</w:t>
            </w:r>
          </w:p>
        </w:tc>
        <w:tc>
          <w:tcPr>
            <w:tcW w:w="1480" w:type="dxa"/>
            <w:tcBorders>
              <w:left w:val="single" w:sz="4" w:space="0" w:color="000000"/>
              <w:bottom w:val="single" w:sz="4" w:space="0" w:color="000000"/>
            </w:tcBorders>
            <w:shd w:val="clear" w:color="auto" w:fill="auto"/>
            <w:vAlign w:val="bottom"/>
          </w:tcPr>
          <w:p w14:paraId="31529885"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48B1F91D"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14</w:t>
            </w:r>
          </w:p>
        </w:tc>
        <w:tc>
          <w:tcPr>
            <w:tcW w:w="2068" w:type="dxa"/>
            <w:tcBorders>
              <w:left w:val="single" w:sz="4" w:space="0" w:color="000000"/>
              <w:bottom w:val="single" w:sz="4" w:space="0" w:color="000000"/>
              <w:right w:val="single" w:sz="4" w:space="0" w:color="000000"/>
            </w:tcBorders>
            <w:shd w:val="clear" w:color="auto" w:fill="auto"/>
            <w:vAlign w:val="bottom"/>
          </w:tcPr>
          <w:p w14:paraId="6EAE9C5B"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6,3</w:t>
            </w:r>
          </w:p>
        </w:tc>
      </w:tr>
      <w:tr w:rsidR="006001DA" w:rsidRPr="006001DA" w14:paraId="3175ECD3" w14:textId="77777777">
        <w:trPr>
          <w:trHeight w:val="288"/>
          <w:jc w:val="center"/>
        </w:trPr>
        <w:tc>
          <w:tcPr>
            <w:tcW w:w="960" w:type="dxa"/>
            <w:tcBorders>
              <w:left w:val="single" w:sz="4" w:space="0" w:color="000000"/>
              <w:bottom w:val="single" w:sz="4" w:space="0" w:color="000000"/>
            </w:tcBorders>
            <w:shd w:val="clear" w:color="auto" w:fill="auto"/>
            <w:vAlign w:val="bottom"/>
          </w:tcPr>
          <w:p w14:paraId="1CB90966"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2009</w:t>
            </w:r>
          </w:p>
        </w:tc>
        <w:tc>
          <w:tcPr>
            <w:tcW w:w="1480" w:type="dxa"/>
            <w:tcBorders>
              <w:left w:val="single" w:sz="4" w:space="0" w:color="000000"/>
              <w:bottom w:val="single" w:sz="4" w:space="0" w:color="000000"/>
            </w:tcBorders>
            <w:shd w:val="clear" w:color="auto" w:fill="auto"/>
            <w:vAlign w:val="bottom"/>
          </w:tcPr>
          <w:p w14:paraId="01AA528B"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7E2D52B8"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2BCB4DD7"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0994BEA8" w14:textId="77777777">
        <w:trPr>
          <w:trHeight w:val="288"/>
          <w:jc w:val="center"/>
        </w:trPr>
        <w:tc>
          <w:tcPr>
            <w:tcW w:w="960" w:type="dxa"/>
            <w:tcBorders>
              <w:left w:val="single" w:sz="4" w:space="0" w:color="000000"/>
              <w:bottom w:val="single" w:sz="4" w:space="0" w:color="000000"/>
            </w:tcBorders>
            <w:shd w:val="clear" w:color="auto" w:fill="auto"/>
            <w:vAlign w:val="bottom"/>
          </w:tcPr>
          <w:p w14:paraId="140B2B94"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2010</w:t>
            </w:r>
          </w:p>
        </w:tc>
        <w:tc>
          <w:tcPr>
            <w:tcW w:w="1480" w:type="dxa"/>
            <w:tcBorders>
              <w:left w:val="single" w:sz="4" w:space="0" w:color="000000"/>
              <w:bottom w:val="single" w:sz="4" w:space="0" w:color="000000"/>
            </w:tcBorders>
            <w:shd w:val="clear" w:color="auto" w:fill="auto"/>
            <w:vAlign w:val="bottom"/>
          </w:tcPr>
          <w:p w14:paraId="0B9386D7"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35A890D1"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6</w:t>
            </w:r>
          </w:p>
        </w:tc>
        <w:tc>
          <w:tcPr>
            <w:tcW w:w="2068" w:type="dxa"/>
            <w:tcBorders>
              <w:left w:val="single" w:sz="4" w:space="0" w:color="000000"/>
              <w:bottom w:val="single" w:sz="4" w:space="0" w:color="000000"/>
              <w:right w:val="single" w:sz="4" w:space="0" w:color="000000"/>
            </w:tcBorders>
            <w:shd w:val="clear" w:color="auto" w:fill="auto"/>
            <w:vAlign w:val="bottom"/>
          </w:tcPr>
          <w:p w14:paraId="1EC869EF"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2,7</w:t>
            </w:r>
          </w:p>
        </w:tc>
      </w:tr>
      <w:tr w:rsidR="006001DA" w:rsidRPr="006001DA" w14:paraId="217FB9A1" w14:textId="77777777">
        <w:trPr>
          <w:trHeight w:val="288"/>
          <w:jc w:val="center"/>
        </w:trPr>
        <w:tc>
          <w:tcPr>
            <w:tcW w:w="960" w:type="dxa"/>
            <w:tcBorders>
              <w:left w:val="single" w:sz="4" w:space="0" w:color="000000"/>
              <w:bottom w:val="single" w:sz="4" w:space="0" w:color="000000"/>
            </w:tcBorders>
            <w:shd w:val="clear" w:color="auto" w:fill="auto"/>
            <w:vAlign w:val="bottom"/>
          </w:tcPr>
          <w:p w14:paraId="2A62FBCA"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2011</w:t>
            </w:r>
          </w:p>
        </w:tc>
        <w:tc>
          <w:tcPr>
            <w:tcW w:w="1480" w:type="dxa"/>
            <w:tcBorders>
              <w:left w:val="single" w:sz="4" w:space="0" w:color="000000"/>
              <w:bottom w:val="single" w:sz="4" w:space="0" w:color="000000"/>
            </w:tcBorders>
            <w:shd w:val="clear" w:color="auto" w:fill="auto"/>
            <w:vAlign w:val="bottom"/>
          </w:tcPr>
          <w:p w14:paraId="3262362C"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7CC4FBE4"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6</w:t>
            </w:r>
          </w:p>
        </w:tc>
        <w:tc>
          <w:tcPr>
            <w:tcW w:w="2068" w:type="dxa"/>
            <w:tcBorders>
              <w:left w:val="single" w:sz="4" w:space="0" w:color="000000"/>
              <w:bottom w:val="single" w:sz="4" w:space="0" w:color="000000"/>
              <w:right w:val="single" w:sz="4" w:space="0" w:color="000000"/>
            </w:tcBorders>
            <w:shd w:val="clear" w:color="auto" w:fill="auto"/>
            <w:vAlign w:val="bottom"/>
          </w:tcPr>
          <w:p w14:paraId="2C0045BA"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2,7</w:t>
            </w:r>
          </w:p>
        </w:tc>
      </w:tr>
      <w:tr w:rsidR="006001DA" w:rsidRPr="006001DA" w14:paraId="1C32E92C" w14:textId="77777777">
        <w:trPr>
          <w:trHeight w:val="288"/>
          <w:jc w:val="center"/>
        </w:trPr>
        <w:tc>
          <w:tcPr>
            <w:tcW w:w="960" w:type="dxa"/>
            <w:tcBorders>
              <w:left w:val="single" w:sz="4" w:space="0" w:color="000000"/>
              <w:bottom w:val="single" w:sz="4" w:space="0" w:color="000000"/>
            </w:tcBorders>
            <w:shd w:val="clear" w:color="auto" w:fill="auto"/>
            <w:vAlign w:val="bottom"/>
          </w:tcPr>
          <w:p w14:paraId="3C010CC9"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2012</w:t>
            </w:r>
          </w:p>
        </w:tc>
        <w:tc>
          <w:tcPr>
            <w:tcW w:w="1480" w:type="dxa"/>
            <w:tcBorders>
              <w:left w:val="single" w:sz="4" w:space="0" w:color="000000"/>
              <w:bottom w:val="single" w:sz="4" w:space="0" w:color="000000"/>
            </w:tcBorders>
            <w:shd w:val="clear" w:color="auto" w:fill="auto"/>
            <w:vAlign w:val="bottom"/>
          </w:tcPr>
          <w:p w14:paraId="0F5456CF"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31930A3C"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16</w:t>
            </w:r>
          </w:p>
        </w:tc>
        <w:tc>
          <w:tcPr>
            <w:tcW w:w="2068" w:type="dxa"/>
            <w:tcBorders>
              <w:left w:val="single" w:sz="4" w:space="0" w:color="000000"/>
              <w:bottom w:val="single" w:sz="4" w:space="0" w:color="000000"/>
              <w:right w:val="single" w:sz="4" w:space="0" w:color="000000"/>
            </w:tcBorders>
            <w:shd w:val="clear" w:color="auto" w:fill="auto"/>
            <w:vAlign w:val="bottom"/>
          </w:tcPr>
          <w:p w14:paraId="70FC5AC3"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7,1</w:t>
            </w:r>
          </w:p>
        </w:tc>
      </w:tr>
      <w:tr w:rsidR="006001DA" w:rsidRPr="006001DA" w14:paraId="64DAC843" w14:textId="77777777">
        <w:trPr>
          <w:trHeight w:val="288"/>
          <w:jc w:val="center"/>
        </w:trPr>
        <w:tc>
          <w:tcPr>
            <w:tcW w:w="960" w:type="dxa"/>
            <w:tcBorders>
              <w:left w:val="single" w:sz="4" w:space="0" w:color="000000"/>
              <w:bottom w:val="single" w:sz="4" w:space="0" w:color="000000"/>
            </w:tcBorders>
            <w:shd w:val="clear" w:color="auto" w:fill="auto"/>
            <w:vAlign w:val="bottom"/>
          </w:tcPr>
          <w:p w14:paraId="6827FA0C"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2013</w:t>
            </w:r>
          </w:p>
        </w:tc>
        <w:tc>
          <w:tcPr>
            <w:tcW w:w="1480" w:type="dxa"/>
            <w:tcBorders>
              <w:left w:val="single" w:sz="4" w:space="0" w:color="000000"/>
              <w:bottom w:val="single" w:sz="4" w:space="0" w:color="000000"/>
            </w:tcBorders>
            <w:shd w:val="clear" w:color="auto" w:fill="auto"/>
            <w:vAlign w:val="bottom"/>
          </w:tcPr>
          <w:p w14:paraId="60B09FFC"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72F66986"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1</w:t>
            </w:r>
          </w:p>
        </w:tc>
        <w:tc>
          <w:tcPr>
            <w:tcW w:w="2068" w:type="dxa"/>
            <w:tcBorders>
              <w:left w:val="single" w:sz="4" w:space="0" w:color="000000"/>
              <w:bottom w:val="single" w:sz="4" w:space="0" w:color="000000"/>
              <w:right w:val="single" w:sz="4" w:space="0" w:color="000000"/>
            </w:tcBorders>
            <w:shd w:val="clear" w:color="auto" w:fill="auto"/>
            <w:vAlign w:val="bottom"/>
          </w:tcPr>
          <w:p w14:paraId="723B37DB"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0,4</w:t>
            </w:r>
          </w:p>
        </w:tc>
      </w:tr>
      <w:tr w:rsidR="006001DA" w:rsidRPr="006001DA" w14:paraId="287DE284" w14:textId="77777777">
        <w:trPr>
          <w:trHeight w:val="288"/>
          <w:jc w:val="center"/>
        </w:trPr>
        <w:tc>
          <w:tcPr>
            <w:tcW w:w="960" w:type="dxa"/>
            <w:tcBorders>
              <w:left w:val="single" w:sz="4" w:space="0" w:color="000000"/>
              <w:bottom w:val="single" w:sz="4" w:space="0" w:color="000000"/>
            </w:tcBorders>
            <w:shd w:val="clear" w:color="auto" w:fill="auto"/>
            <w:vAlign w:val="bottom"/>
          </w:tcPr>
          <w:p w14:paraId="3841AE59"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2014</w:t>
            </w:r>
          </w:p>
        </w:tc>
        <w:tc>
          <w:tcPr>
            <w:tcW w:w="1480" w:type="dxa"/>
            <w:tcBorders>
              <w:left w:val="single" w:sz="4" w:space="0" w:color="000000"/>
              <w:bottom w:val="single" w:sz="4" w:space="0" w:color="000000"/>
            </w:tcBorders>
            <w:shd w:val="clear" w:color="auto" w:fill="auto"/>
            <w:vAlign w:val="bottom"/>
          </w:tcPr>
          <w:p w14:paraId="4ACA5769"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4F883122"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1</w:t>
            </w:r>
          </w:p>
        </w:tc>
        <w:tc>
          <w:tcPr>
            <w:tcW w:w="2068" w:type="dxa"/>
            <w:tcBorders>
              <w:left w:val="single" w:sz="4" w:space="0" w:color="000000"/>
              <w:bottom w:val="single" w:sz="4" w:space="0" w:color="000000"/>
              <w:right w:val="single" w:sz="4" w:space="0" w:color="000000"/>
            </w:tcBorders>
            <w:shd w:val="clear" w:color="auto" w:fill="auto"/>
            <w:vAlign w:val="bottom"/>
          </w:tcPr>
          <w:p w14:paraId="36D1C4F6"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0,4</w:t>
            </w:r>
          </w:p>
        </w:tc>
      </w:tr>
      <w:tr w:rsidR="006001DA" w:rsidRPr="006001DA" w14:paraId="59813718" w14:textId="77777777">
        <w:trPr>
          <w:trHeight w:val="288"/>
          <w:jc w:val="center"/>
        </w:trPr>
        <w:tc>
          <w:tcPr>
            <w:tcW w:w="960" w:type="dxa"/>
            <w:tcBorders>
              <w:left w:val="single" w:sz="4" w:space="0" w:color="000000"/>
              <w:bottom w:val="single" w:sz="4" w:space="0" w:color="000000"/>
            </w:tcBorders>
            <w:shd w:val="clear" w:color="auto" w:fill="auto"/>
            <w:vAlign w:val="bottom"/>
          </w:tcPr>
          <w:p w14:paraId="0067B0EF"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2015</w:t>
            </w:r>
          </w:p>
        </w:tc>
        <w:tc>
          <w:tcPr>
            <w:tcW w:w="1480" w:type="dxa"/>
            <w:tcBorders>
              <w:left w:val="single" w:sz="4" w:space="0" w:color="000000"/>
              <w:bottom w:val="single" w:sz="4" w:space="0" w:color="000000"/>
            </w:tcBorders>
            <w:shd w:val="clear" w:color="auto" w:fill="auto"/>
            <w:vAlign w:val="bottom"/>
          </w:tcPr>
          <w:p w14:paraId="24FB5F2C"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5A7EE41D"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3</w:t>
            </w:r>
          </w:p>
        </w:tc>
        <w:tc>
          <w:tcPr>
            <w:tcW w:w="2068" w:type="dxa"/>
            <w:tcBorders>
              <w:left w:val="single" w:sz="4" w:space="0" w:color="000000"/>
              <w:bottom w:val="single" w:sz="4" w:space="0" w:color="000000"/>
              <w:right w:val="single" w:sz="4" w:space="0" w:color="000000"/>
            </w:tcBorders>
            <w:shd w:val="clear" w:color="auto" w:fill="auto"/>
            <w:vAlign w:val="bottom"/>
          </w:tcPr>
          <w:p w14:paraId="51021F8D"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1,3</w:t>
            </w:r>
          </w:p>
        </w:tc>
      </w:tr>
      <w:tr w:rsidR="006001DA" w:rsidRPr="006001DA" w14:paraId="154FDB85" w14:textId="77777777">
        <w:trPr>
          <w:trHeight w:val="288"/>
          <w:jc w:val="center"/>
        </w:trPr>
        <w:tc>
          <w:tcPr>
            <w:tcW w:w="960" w:type="dxa"/>
            <w:tcBorders>
              <w:left w:val="single" w:sz="4" w:space="0" w:color="000000"/>
              <w:bottom w:val="single" w:sz="4" w:space="0" w:color="000000"/>
            </w:tcBorders>
            <w:shd w:val="clear" w:color="auto" w:fill="auto"/>
            <w:vAlign w:val="bottom"/>
          </w:tcPr>
          <w:p w14:paraId="4D2B6983"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2016</w:t>
            </w:r>
          </w:p>
        </w:tc>
        <w:tc>
          <w:tcPr>
            <w:tcW w:w="1480" w:type="dxa"/>
            <w:tcBorders>
              <w:left w:val="single" w:sz="4" w:space="0" w:color="000000"/>
              <w:bottom w:val="single" w:sz="4" w:space="0" w:color="000000"/>
            </w:tcBorders>
            <w:shd w:val="clear" w:color="auto" w:fill="auto"/>
            <w:vAlign w:val="bottom"/>
          </w:tcPr>
          <w:p w14:paraId="157B9F9C"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42A6CF0E"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4</w:t>
            </w:r>
          </w:p>
        </w:tc>
        <w:tc>
          <w:tcPr>
            <w:tcW w:w="2068" w:type="dxa"/>
            <w:tcBorders>
              <w:left w:val="single" w:sz="4" w:space="0" w:color="000000"/>
              <w:bottom w:val="single" w:sz="4" w:space="0" w:color="000000"/>
              <w:right w:val="single" w:sz="4" w:space="0" w:color="000000"/>
            </w:tcBorders>
            <w:shd w:val="clear" w:color="auto" w:fill="auto"/>
            <w:vAlign w:val="bottom"/>
          </w:tcPr>
          <w:p w14:paraId="14622C72"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1,8</w:t>
            </w:r>
          </w:p>
        </w:tc>
      </w:tr>
      <w:tr w:rsidR="006001DA" w:rsidRPr="006001DA" w14:paraId="4C6799E7" w14:textId="77777777">
        <w:trPr>
          <w:trHeight w:val="288"/>
          <w:jc w:val="center"/>
        </w:trPr>
        <w:tc>
          <w:tcPr>
            <w:tcW w:w="960" w:type="dxa"/>
            <w:tcBorders>
              <w:left w:val="single" w:sz="4" w:space="0" w:color="000000"/>
              <w:bottom w:val="single" w:sz="4" w:space="0" w:color="000000"/>
            </w:tcBorders>
            <w:shd w:val="clear" w:color="auto" w:fill="auto"/>
            <w:vAlign w:val="bottom"/>
          </w:tcPr>
          <w:p w14:paraId="33A54972"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2017</w:t>
            </w:r>
          </w:p>
        </w:tc>
        <w:tc>
          <w:tcPr>
            <w:tcW w:w="1480" w:type="dxa"/>
            <w:tcBorders>
              <w:left w:val="single" w:sz="4" w:space="0" w:color="000000"/>
              <w:bottom w:val="single" w:sz="4" w:space="0" w:color="000000"/>
            </w:tcBorders>
            <w:shd w:val="clear" w:color="auto" w:fill="auto"/>
            <w:vAlign w:val="bottom"/>
          </w:tcPr>
          <w:p w14:paraId="66FF62DE"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6E80D149"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5EE9DA46"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3C98BB30" w14:textId="77777777">
        <w:trPr>
          <w:trHeight w:val="288"/>
          <w:jc w:val="center"/>
        </w:trPr>
        <w:tc>
          <w:tcPr>
            <w:tcW w:w="960" w:type="dxa"/>
            <w:tcBorders>
              <w:left w:val="single" w:sz="4" w:space="0" w:color="000000"/>
              <w:bottom w:val="single" w:sz="4" w:space="0" w:color="000000"/>
            </w:tcBorders>
            <w:shd w:val="clear" w:color="auto" w:fill="auto"/>
            <w:vAlign w:val="bottom"/>
          </w:tcPr>
          <w:p w14:paraId="3D881107"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2018</w:t>
            </w:r>
          </w:p>
        </w:tc>
        <w:tc>
          <w:tcPr>
            <w:tcW w:w="1480" w:type="dxa"/>
            <w:tcBorders>
              <w:left w:val="single" w:sz="4" w:space="0" w:color="000000"/>
              <w:bottom w:val="single" w:sz="4" w:space="0" w:color="000000"/>
            </w:tcBorders>
            <w:shd w:val="clear" w:color="auto" w:fill="auto"/>
            <w:vAlign w:val="bottom"/>
          </w:tcPr>
          <w:p w14:paraId="280218C7"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737D5EF6"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2BB0E6F3"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154C8969" w14:textId="77777777">
        <w:trPr>
          <w:trHeight w:val="288"/>
          <w:jc w:val="center"/>
        </w:trPr>
        <w:tc>
          <w:tcPr>
            <w:tcW w:w="960" w:type="dxa"/>
            <w:tcBorders>
              <w:left w:val="single" w:sz="4" w:space="0" w:color="000000"/>
              <w:bottom w:val="single" w:sz="4" w:space="0" w:color="000000"/>
            </w:tcBorders>
            <w:shd w:val="clear" w:color="auto" w:fill="auto"/>
            <w:vAlign w:val="bottom"/>
          </w:tcPr>
          <w:p w14:paraId="4A520225"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2019</w:t>
            </w:r>
          </w:p>
        </w:tc>
        <w:tc>
          <w:tcPr>
            <w:tcW w:w="1480" w:type="dxa"/>
            <w:tcBorders>
              <w:left w:val="single" w:sz="4" w:space="0" w:color="000000"/>
              <w:bottom w:val="single" w:sz="4" w:space="0" w:color="000000"/>
            </w:tcBorders>
            <w:shd w:val="clear" w:color="auto" w:fill="auto"/>
            <w:vAlign w:val="bottom"/>
          </w:tcPr>
          <w:p w14:paraId="472919E3"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0ED2E825"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4C207C47"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1F338F44" w14:textId="77777777">
        <w:trPr>
          <w:trHeight w:val="288"/>
          <w:jc w:val="center"/>
        </w:trPr>
        <w:tc>
          <w:tcPr>
            <w:tcW w:w="960" w:type="dxa"/>
            <w:tcBorders>
              <w:left w:val="single" w:sz="4" w:space="0" w:color="000000"/>
              <w:bottom w:val="single" w:sz="4" w:space="0" w:color="000000"/>
            </w:tcBorders>
            <w:shd w:val="clear" w:color="auto" w:fill="auto"/>
            <w:vAlign w:val="bottom"/>
          </w:tcPr>
          <w:p w14:paraId="34403DEA"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2020</w:t>
            </w:r>
          </w:p>
        </w:tc>
        <w:tc>
          <w:tcPr>
            <w:tcW w:w="1480" w:type="dxa"/>
            <w:tcBorders>
              <w:left w:val="single" w:sz="4" w:space="0" w:color="000000"/>
              <w:bottom w:val="single" w:sz="4" w:space="0" w:color="000000"/>
            </w:tcBorders>
            <w:shd w:val="clear" w:color="auto" w:fill="auto"/>
            <w:vAlign w:val="bottom"/>
          </w:tcPr>
          <w:p w14:paraId="1F93F966"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0AD38B29"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2</w:t>
            </w:r>
          </w:p>
        </w:tc>
        <w:tc>
          <w:tcPr>
            <w:tcW w:w="2068" w:type="dxa"/>
            <w:tcBorders>
              <w:left w:val="single" w:sz="4" w:space="0" w:color="000000"/>
              <w:bottom w:val="single" w:sz="4" w:space="0" w:color="000000"/>
              <w:right w:val="single" w:sz="4" w:space="0" w:color="000000"/>
            </w:tcBorders>
            <w:shd w:val="clear" w:color="auto" w:fill="auto"/>
            <w:vAlign w:val="bottom"/>
          </w:tcPr>
          <w:p w14:paraId="708E53D9"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0,9</w:t>
            </w:r>
          </w:p>
        </w:tc>
      </w:tr>
      <w:tr w:rsidR="006001DA" w:rsidRPr="006001DA" w14:paraId="56E350A2" w14:textId="77777777">
        <w:trPr>
          <w:trHeight w:val="288"/>
          <w:jc w:val="center"/>
        </w:trPr>
        <w:tc>
          <w:tcPr>
            <w:tcW w:w="960" w:type="dxa"/>
            <w:tcBorders>
              <w:left w:val="single" w:sz="4" w:space="0" w:color="000000"/>
              <w:bottom w:val="single" w:sz="4" w:space="0" w:color="000000"/>
            </w:tcBorders>
            <w:shd w:val="clear" w:color="auto" w:fill="auto"/>
            <w:vAlign w:val="bottom"/>
          </w:tcPr>
          <w:p w14:paraId="180BD8AE"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2021</w:t>
            </w:r>
          </w:p>
        </w:tc>
        <w:tc>
          <w:tcPr>
            <w:tcW w:w="1480" w:type="dxa"/>
            <w:tcBorders>
              <w:left w:val="single" w:sz="4" w:space="0" w:color="000000"/>
              <w:bottom w:val="single" w:sz="4" w:space="0" w:color="000000"/>
            </w:tcBorders>
            <w:shd w:val="clear" w:color="auto" w:fill="auto"/>
            <w:vAlign w:val="bottom"/>
          </w:tcPr>
          <w:p w14:paraId="19844ECD"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03CFBBCF"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5364A38E"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204FAFA6" w14:textId="77777777">
        <w:trPr>
          <w:trHeight w:val="288"/>
          <w:jc w:val="center"/>
        </w:trPr>
        <w:tc>
          <w:tcPr>
            <w:tcW w:w="960" w:type="dxa"/>
            <w:tcBorders>
              <w:left w:val="single" w:sz="4" w:space="0" w:color="000000"/>
              <w:bottom w:val="single" w:sz="4" w:space="0" w:color="000000"/>
            </w:tcBorders>
            <w:shd w:val="clear" w:color="auto" w:fill="auto"/>
            <w:vAlign w:val="bottom"/>
          </w:tcPr>
          <w:p w14:paraId="69992CB8"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2022</w:t>
            </w:r>
          </w:p>
        </w:tc>
        <w:tc>
          <w:tcPr>
            <w:tcW w:w="1480" w:type="dxa"/>
            <w:tcBorders>
              <w:left w:val="single" w:sz="4" w:space="0" w:color="000000"/>
              <w:bottom w:val="single" w:sz="4" w:space="0" w:color="000000"/>
            </w:tcBorders>
            <w:shd w:val="clear" w:color="auto" w:fill="auto"/>
            <w:vAlign w:val="bottom"/>
          </w:tcPr>
          <w:p w14:paraId="34556ED4"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4C8988A4"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534BDC4F"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4BADDE0E" w14:textId="77777777">
        <w:trPr>
          <w:trHeight w:val="288"/>
          <w:jc w:val="center"/>
        </w:trPr>
        <w:tc>
          <w:tcPr>
            <w:tcW w:w="960" w:type="dxa"/>
            <w:tcBorders>
              <w:left w:val="single" w:sz="4" w:space="0" w:color="000000"/>
              <w:bottom w:val="single" w:sz="4" w:space="0" w:color="000000"/>
            </w:tcBorders>
            <w:shd w:val="clear" w:color="auto" w:fill="auto"/>
            <w:vAlign w:val="bottom"/>
          </w:tcPr>
          <w:p w14:paraId="2C122AD4"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2023</w:t>
            </w:r>
          </w:p>
        </w:tc>
        <w:tc>
          <w:tcPr>
            <w:tcW w:w="1480" w:type="dxa"/>
            <w:tcBorders>
              <w:left w:val="single" w:sz="4" w:space="0" w:color="000000"/>
              <w:bottom w:val="single" w:sz="4" w:space="0" w:color="000000"/>
            </w:tcBorders>
            <w:shd w:val="clear" w:color="auto" w:fill="auto"/>
            <w:vAlign w:val="bottom"/>
          </w:tcPr>
          <w:p w14:paraId="5001D158"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70C8FE00"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w:t>
            </w:r>
          </w:p>
        </w:tc>
        <w:tc>
          <w:tcPr>
            <w:tcW w:w="2068" w:type="dxa"/>
            <w:tcBorders>
              <w:left w:val="single" w:sz="4" w:space="0" w:color="000000"/>
              <w:bottom w:val="single" w:sz="4" w:space="0" w:color="000000"/>
              <w:right w:val="single" w:sz="4" w:space="0" w:color="000000"/>
            </w:tcBorders>
            <w:shd w:val="clear" w:color="auto" w:fill="auto"/>
            <w:vAlign w:val="bottom"/>
          </w:tcPr>
          <w:p w14:paraId="69C52874"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0,0</w:t>
            </w:r>
          </w:p>
        </w:tc>
      </w:tr>
      <w:tr w:rsidR="006001DA" w:rsidRPr="006001DA" w14:paraId="63C3ABD1" w14:textId="77777777">
        <w:trPr>
          <w:trHeight w:val="288"/>
          <w:jc w:val="center"/>
        </w:trPr>
        <w:tc>
          <w:tcPr>
            <w:tcW w:w="960" w:type="dxa"/>
            <w:tcBorders>
              <w:left w:val="single" w:sz="4" w:space="0" w:color="000000"/>
              <w:bottom w:val="single" w:sz="4" w:space="0" w:color="000000"/>
            </w:tcBorders>
            <w:shd w:val="clear" w:color="auto" w:fill="auto"/>
            <w:vAlign w:val="bottom"/>
          </w:tcPr>
          <w:p w14:paraId="682C98D9" w14:textId="77777777" w:rsidR="0082449E" w:rsidRPr="006001DA" w:rsidRDefault="00000000">
            <w:pPr>
              <w:spacing w:line="240" w:lineRule="auto"/>
              <w:rPr>
                <w:rFonts w:ascii="Aptos Narrow" w:eastAsia="Aptos Narrow" w:hAnsi="Aptos Narrow" w:cs="Aptos Narrow"/>
                <w:b/>
              </w:rPr>
            </w:pPr>
            <w:r w:rsidRPr="006001DA">
              <w:rPr>
                <w:rFonts w:ascii="Aptos Narrow" w:eastAsia="Aptos Narrow" w:hAnsi="Aptos Narrow" w:cs="Aptos Narrow"/>
                <w:b/>
              </w:rPr>
              <w:t>TOTAL</w:t>
            </w:r>
          </w:p>
        </w:tc>
        <w:tc>
          <w:tcPr>
            <w:tcW w:w="1480" w:type="dxa"/>
            <w:tcBorders>
              <w:left w:val="single" w:sz="4" w:space="0" w:color="000000"/>
              <w:bottom w:val="single" w:sz="4" w:space="0" w:color="000000"/>
            </w:tcBorders>
            <w:shd w:val="clear" w:color="auto" w:fill="auto"/>
            <w:vAlign w:val="bottom"/>
          </w:tcPr>
          <w:p w14:paraId="11F0ADE7" w14:textId="77777777" w:rsidR="0082449E" w:rsidRPr="006001DA" w:rsidRDefault="00000000">
            <w:pPr>
              <w:spacing w:line="240" w:lineRule="auto"/>
              <w:jc w:val="right"/>
              <w:rPr>
                <w:rFonts w:ascii="Aptos Narrow" w:eastAsia="Aptos Narrow" w:hAnsi="Aptos Narrow" w:cs="Aptos Narrow"/>
              </w:rPr>
            </w:pPr>
            <w:r w:rsidRPr="006001DA">
              <w:rPr>
                <w:rFonts w:ascii="Aptos Narrow" w:eastAsia="Aptos Narrow" w:hAnsi="Aptos Narrow" w:cs="Aptos Narrow"/>
              </w:rPr>
              <w:t>224</w:t>
            </w:r>
          </w:p>
        </w:tc>
        <w:tc>
          <w:tcPr>
            <w:tcW w:w="1302" w:type="dxa"/>
            <w:tcBorders>
              <w:left w:val="single" w:sz="4" w:space="0" w:color="000000"/>
              <w:bottom w:val="single" w:sz="4" w:space="0" w:color="000000"/>
            </w:tcBorders>
            <w:shd w:val="clear" w:color="auto" w:fill="auto"/>
            <w:vAlign w:val="bottom"/>
          </w:tcPr>
          <w:p w14:paraId="594C2E10"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60</w:t>
            </w:r>
          </w:p>
        </w:tc>
        <w:tc>
          <w:tcPr>
            <w:tcW w:w="2068" w:type="dxa"/>
            <w:tcBorders>
              <w:left w:val="single" w:sz="4" w:space="0" w:color="000000"/>
              <w:bottom w:val="single" w:sz="4" w:space="0" w:color="000000"/>
              <w:right w:val="single" w:sz="4" w:space="0" w:color="000000"/>
            </w:tcBorders>
            <w:shd w:val="clear" w:color="auto" w:fill="auto"/>
            <w:vAlign w:val="bottom"/>
          </w:tcPr>
          <w:p w14:paraId="5A901006" w14:textId="77777777" w:rsidR="0082449E" w:rsidRPr="006001DA" w:rsidRDefault="00000000">
            <w:pPr>
              <w:spacing w:line="240" w:lineRule="auto"/>
              <w:jc w:val="center"/>
              <w:rPr>
                <w:rFonts w:ascii="Aptos Narrow" w:eastAsia="Aptos Narrow" w:hAnsi="Aptos Narrow" w:cs="Aptos Narrow"/>
              </w:rPr>
            </w:pPr>
            <w:r w:rsidRPr="006001DA">
              <w:rPr>
                <w:rFonts w:ascii="Aptos Narrow" w:eastAsia="Aptos Narrow" w:hAnsi="Aptos Narrow" w:cs="Aptos Narrow"/>
              </w:rPr>
              <w:t>26,8</w:t>
            </w:r>
          </w:p>
        </w:tc>
      </w:tr>
    </w:tbl>
    <w:p w14:paraId="64A35182" w14:textId="77777777" w:rsidR="0082449E" w:rsidRPr="006001DA" w:rsidRDefault="00000000">
      <w:pPr>
        <w:spacing w:line="360" w:lineRule="auto"/>
        <w:ind w:firstLine="567"/>
      </w:pPr>
      <w:r w:rsidRPr="006001DA">
        <w:rPr>
          <w:b/>
          <w:sz w:val="20"/>
          <w:szCs w:val="20"/>
        </w:rPr>
        <w:t xml:space="preserve">                   Fonte</w:t>
      </w:r>
      <w:r w:rsidRPr="006001DA">
        <w:rPr>
          <w:sz w:val="20"/>
          <w:szCs w:val="20"/>
        </w:rPr>
        <w:t>: Observatório da Política Educacional Piauiense (2025)</w:t>
      </w:r>
    </w:p>
    <w:p w14:paraId="687AC73C" w14:textId="77777777" w:rsidR="0082449E" w:rsidRPr="006001DA" w:rsidRDefault="0082449E">
      <w:pPr>
        <w:widowControl w:val="0"/>
        <w:spacing w:line="360" w:lineRule="auto"/>
        <w:ind w:firstLine="720"/>
        <w:jc w:val="both"/>
        <w:rPr>
          <w:sz w:val="24"/>
          <w:szCs w:val="24"/>
        </w:rPr>
      </w:pPr>
    </w:p>
    <w:p w14:paraId="493A2EED" w14:textId="00E6657E" w:rsidR="0082449E" w:rsidRPr="006001DA" w:rsidRDefault="00000000">
      <w:pPr>
        <w:widowControl w:val="0"/>
        <w:spacing w:line="360" w:lineRule="auto"/>
        <w:ind w:firstLine="567"/>
        <w:jc w:val="both"/>
        <w:rPr>
          <w:sz w:val="24"/>
          <w:szCs w:val="24"/>
        </w:rPr>
      </w:pPr>
      <w:r w:rsidRPr="006001DA">
        <w:rPr>
          <w:sz w:val="24"/>
          <w:szCs w:val="24"/>
        </w:rPr>
        <w:t xml:space="preserve">Os dados sistematizados pelo Observatório da Política Educacional do Piauí, como afere a Tabela 1, revela que, do total de 224 municípios, 60 (equivalente a 26,8%) não apresentaram o RREO em algum ano. Também há situações em </w:t>
      </w:r>
      <w:r w:rsidR="00BF6C1B" w:rsidRPr="006001DA">
        <w:rPr>
          <w:sz w:val="24"/>
          <w:szCs w:val="24"/>
        </w:rPr>
        <w:t xml:space="preserve">que </w:t>
      </w:r>
      <w:r w:rsidRPr="006001DA">
        <w:rPr>
          <w:sz w:val="24"/>
          <w:szCs w:val="24"/>
        </w:rPr>
        <w:t>o RREO</w:t>
      </w:r>
      <w:r w:rsidR="007023C1" w:rsidRPr="006001DA">
        <w:rPr>
          <w:sz w:val="24"/>
          <w:szCs w:val="24"/>
        </w:rPr>
        <w:t>, embora disponibilizado no S</w:t>
      </w:r>
      <w:r w:rsidR="00AA2069" w:rsidRPr="006001DA">
        <w:rPr>
          <w:sz w:val="24"/>
          <w:szCs w:val="24"/>
        </w:rPr>
        <w:t>iope</w:t>
      </w:r>
      <w:r w:rsidR="007023C1" w:rsidRPr="006001DA">
        <w:rPr>
          <w:sz w:val="24"/>
          <w:szCs w:val="24"/>
        </w:rPr>
        <w:t>,</w:t>
      </w:r>
      <w:r w:rsidRPr="006001DA">
        <w:rPr>
          <w:sz w:val="24"/>
          <w:szCs w:val="24"/>
        </w:rPr>
        <w:t xml:space="preserve"> está totalmente zerado, o que foi considerado pelo </w:t>
      </w:r>
      <w:r w:rsidR="006C0F8D" w:rsidRPr="006001DA">
        <w:rPr>
          <w:sz w:val="24"/>
          <w:szCs w:val="24"/>
        </w:rPr>
        <w:t>Sistema</w:t>
      </w:r>
      <w:r w:rsidRPr="006001DA">
        <w:rPr>
          <w:sz w:val="24"/>
          <w:szCs w:val="24"/>
        </w:rPr>
        <w:t xml:space="preserve"> como não transmissão do Relatório. Ademais, as informações sistematizadas no âmbito do Observatório, indicaram, quando confrontadas com o Relatório do Siope nomeado como </w:t>
      </w:r>
      <w:r w:rsidRPr="006001DA">
        <w:rPr>
          <w:b/>
          <w:sz w:val="24"/>
          <w:szCs w:val="24"/>
        </w:rPr>
        <w:t>“</w:t>
      </w:r>
      <w:hyperlink r:id="rId8">
        <w:r w:rsidR="0082449E" w:rsidRPr="006001DA">
          <w:rPr>
            <w:sz w:val="24"/>
            <w:szCs w:val="24"/>
          </w:rPr>
          <w:t>Municípios que não transmitiram</w:t>
        </w:r>
      </w:hyperlink>
      <w:r w:rsidRPr="006001DA">
        <w:rPr>
          <w:b/>
          <w:sz w:val="24"/>
          <w:szCs w:val="24"/>
        </w:rPr>
        <w:t>”,</w:t>
      </w:r>
      <w:r w:rsidRPr="006001DA">
        <w:rPr>
          <w:sz w:val="24"/>
          <w:szCs w:val="24"/>
        </w:rPr>
        <w:t xml:space="preserve"> a ausência de um município (Pau D’Arco, em 2010). Importante destacar que a não declaração do Siope tem consequências para os entes federados, no que se refere ao recebimento das transferências voluntárias do FNDE. </w:t>
      </w:r>
    </w:p>
    <w:p w14:paraId="582703AD" w14:textId="62DA5023" w:rsidR="0082449E" w:rsidRPr="006001DA" w:rsidRDefault="00000000">
      <w:pPr>
        <w:widowControl w:val="0"/>
        <w:spacing w:line="360" w:lineRule="auto"/>
        <w:ind w:firstLine="720"/>
        <w:jc w:val="both"/>
        <w:rPr>
          <w:sz w:val="24"/>
          <w:szCs w:val="24"/>
        </w:rPr>
      </w:pPr>
      <w:r w:rsidRPr="006001DA">
        <w:rPr>
          <w:sz w:val="24"/>
          <w:szCs w:val="24"/>
        </w:rPr>
        <w:t>O Relatório de Avaliação da CGU</w:t>
      </w:r>
      <w:r w:rsidR="006F4653" w:rsidRPr="006001DA">
        <w:rPr>
          <w:sz w:val="24"/>
          <w:szCs w:val="24"/>
        </w:rPr>
        <w:t>,</w:t>
      </w:r>
      <w:r w:rsidRPr="006001DA">
        <w:rPr>
          <w:sz w:val="24"/>
          <w:szCs w:val="24"/>
        </w:rPr>
        <w:t xml:space="preserve"> nomeado de Avaliação da fidedignidade das </w:t>
      </w:r>
      <w:r w:rsidRPr="006001DA">
        <w:rPr>
          <w:sz w:val="24"/>
          <w:szCs w:val="24"/>
        </w:rPr>
        <w:lastRenderedPageBreak/>
        <w:t>informações contidas no Sistema de Informações sobre Orçamento Público em Educação – Siope - Exercício 2021, publicado em 2024, constata uma série de problemas, entre os quais: falta de registro em despesas essenciais; incompatibilidade entre os gastos com remuneração apresentados no S</w:t>
      </w:r>
      <w:r w:rsidR="007C3222" w:rsidRPr="006001DA">
        <w:rPr>
          <w:sz w:val="24"/>
          <w:szCs w:val="24"/>
        </w:rPr>
        <w:t>iope</w:t>
      </w:r>
      <w:r w:rsidRPr="006001DA">
        <w:rPr>
          <w:sz w:val="24"/>
          <w:szCs w:val="24"/>
        </w:rPr>
        <w:t xml:space="preserve"> e os dados das planilhas de remuneração dos profissionais da educação, nas quais constam professores que atuam na gestão; indicativo de falha de preenchimento; valores discrepantes na linha do tempo de determinados municípios; ocorrência de não investimento mínimo em folha de pagamento; indicativo de super ou sub declaração das despesas no Siope, entre outros (Brasil, 2024).</w:t>
      </w:r>
    </w:p>
    <w:p w14:paraId="6BC4EBEC" w14:textId="77777777" w:rsidR="0082449E" w:rsidRPr="006001DA" w:rsidRDefault="00000000">
      <w:pPr>
        <w:spacing w:line="360" w:lineRule="auto"/>
        <w:ind w:firstLine="567"/>
        <w:jc w:val="both"/>
        <w:rPr>
          <w:sz w:val="24"/>
          <w:szCs w:val="24"/>
        </w:rPr>
      </w:pPr>
      <w:r w:rsidRPr="006001DA">
        <w:rPr>
          <w:sz w:val="24"/>
          <w:szCs w:val="24"/>
        </w:rPr>
        <w:t>No âmbito da pesquisa do Observatório, foram detectados problemas pontuais como: a soma dos valores informados não coincidir com o total da receita de impostos dos municípios; a contabilização dupla de alguns impostos; a falta de precisão nas despesas em MDE por área de atuação, especialmente no que se refere à creche e pré-escola; a disposição dos valores da despesa líquida na coluna referente ao empenhado; e a ausência de valores da complementação da União.</w:t>
      </w:r>
    </w:p>
    <w:p w14:paraId="7C9BA209" w14:textId="77777777" w:rsidR="0082449E" w:rsidRPr="006001DA" w:rsidRDefault="00000000">
      <w:pPr>
        <w:widowControl w:val="0"/>
        <w:spacing w:line="360" w:lineRule="auto"/>
        <w:ind w:firstLine="720"/>
        <w:jc w:val="both"/>
        <w:rPr>
          <w:sz w:val="24"/>
          <w:szCs w:val="24"/>
          <w:u w:val="single"/>
        </w:rPr>
      </w:pPr>
      <w:r w:rsidRPr="006001DA">
        <w:rPr>
          <w:sz w:val="24"/>
          <w:szCs w:val="24"/>
        </w:rPr>
        <w:t xml:space="preserve">Essas falhas documentais comprometem a integridade dos dados e, consequentemente, a possibilidade de fiscalização por parte dos conselhos e da sociedade civil e a análise das políticas públicas educacionais, uma vez que as informações podem não refletir a realidade orçamentária dos entes. A ausência de auditorias sistemáticas sobre as informações submetidas, permite que tais inconsistências se perpetuem e se acumulem na base de dados, em que pese a CGU ter feito uma série de recomendações ao FNDE para os devidos ajustes no Siope (Brasil, 2024). </w:t>
      </w:r>
    </w:p>
    <w:p w14:paraId="79A42349" w14:textId="1DD66158" w:rsidR="0082449E" w:rsidRPr="006001DA" w:rsidRDefault="00000000">
      <w:pPr>
        <w:widowControl w:val="0"/>
        <w:spacing w:line="360" w:lineRule="auto"/>
        <w:ind w:firstLine="720"/>
        <w:jc w:val="both"/>
        <w:rPr>
          <w:sz w:val="24"/>
          <w:szCs w:val="24"/>
        </w:rPr>
      </w:pPr>
      <w:r w:rsidRPr="006001DA">
        <w:rPr>
          <w:sz w:val="24"/>
          <w:szCs w:val="24"/>
        </w:rPr>
        <w:t>Os Tribunais de Contas (</w:t>
      </w:r>
      <w:proofErr w:type="spellStart"/>
      <w:r w:rsidRPr="006001DA">
        <w:rPr>
          <w:sz w:val="24"/>
          <w:szCs w:val="24"/>
        </w:rPr>
        <w:t>TCs</w:t>
      </w:r>
      <w:proofErr w:type="spellEnd"/>
      <w:r w:rsidRPr="006001DA">
        <w:rPr>
          <w:sz w:val="24"/>
          <w:szCs w:val="24"/>
        </w:rPr>
        <w:t xml:space="preserve">) </w:t>
      </w:r>
      <w:r w:rsidR="003A5B54" w:rsidRPr="006001DA">
        <w:rPr>
          <w:sz w:val="24"/>
          <w:szCs w:val="24"/>
        </w:rPr>
        <w:t xml:space="preserve">também </w:t>
      </w:r>
      <w:r w:rsidRPr="006001DA">
        <w:rPr>
          <w:sz w:val="24"/>
          <w:szCs w:val="24"/>
        </w:rPr>
        <w:t xml:space="preserve">atuam como importante órgão do sistema de controle externo, cuja atuação está direcionada à correta aplicação dos recursos públicos (Pimentel, 2015). Entretanto, a efetividade do trabalho dos </w:t>
      </w:r>
      <w:proofErr w:type="spellStart"/>
      <w:r w:rsidRPr="006001DA">
        <w:rPr>
          <w:sz w:val="24"/>
          <w:szCs w:val="24"/>
        </w:rPr>
        <w:t>TCs</w:t>
      </w:r>
      <w:proofErr w:type="spellEnd"/>
      <w:r w:rsidRPr="006001DA">
        <w:rPr>
          <w:sz w:val="24"/>
          <w:szCs w:val="24"/>
        </w:rPr>
        <w:t xml:space="preserve"> é impactada pelas fragilidades estruturais de sistemas como o S</w:t>
      </w:r>
      <w:r w:rsidR="00572C68" w:rsidRPr="006001DA">
        <w:rPr>
          <w:sz w:val="24"/>
          <w:szCs w:val="24"/>
        </w:rPr>
        <w:t>iope</w:t>
      </w:r>
      <w:r w:rsidRPr="006001DA">
        <w:rPr>
          <w:sz w:val="24"/>
          <w:szCs w:val="24"/>
        </w:rPr>
        <w:t xml:space="preserve">. A presença de informações incompletas, desatualizadas ou sem padronização compromete a análise técnica e dificulta a identificação de irregularidades. Isso leva a diagnósticos </w:t>
      </w:r>
      <w:r w:rsidRPr="006001DA">
        <w:rPr>
          <w:sz w:val="24"/>
          <w:szCs w:val="24"/>
        </w:rPr>
        <w:lastRenderedPageBreak/>
        <w:t>equivocados, omissão, falhas de gestão e, consequentemente, à má destinação de recursos públicos.</w:t>
      </w:r>
    </w:p>
    <w:p w14:paraId="28EA96A4" w14:textId="18019583" w:rsidR="0082449E" w:rsidRPr="006001DA" w:rsidRDefault="00000000">
      <w:pPr>
        <w:widowControl w:val="0"/>
        <w:spacing w:line="360" w:lineRule="auto"/>
        <w:ind w:firstLine="720"/>
        <w:jc w:val="both"/>
        <w:rPr>
          <w:sz w:val="24"/>
          <w:szCs w:val="24"/>
        </w:rPr>
      </w:pPr>
      <w:r w:rsidRPr="006001DA">
        <w:rPr>
          <w:sz w:val="24"/>
          <w:szCs w:val="24"/>
        </w:rPr>
        <w:t>Além disso, a interoperabilidade entre os sistemas dos próprios Tribunais de Contas e o S</w:t>
      </w:r>
      <w:r w:rsidR="00572C68" w:rsidRPr="006001DA">
        <w:rPr>
          <w:sz w:val="24"/>
          <w:szCs w:val="24"/>
        </w:rPr>
        <w:t>iope</w:t>
      </w:r>
      <w:r w:rsidRPr="006001DA">
        <w:rPr>
          <w:sz w:val="24"/>
          <w:szCs w:val="24"/>
        </w:rPr>
        <w:t xml:space="preserve"> ainda é limitada, em que pese mudanças discutidas entre a  Associação dos Membros dos Tribunais de Contas do Brasil (</w:t>
      </w:r>
      <w:proofErr w:type="spellStart"/>
      <w:r w:rsidRPr="006001DA">
        <w:rPr>
          <w:sz w:val="24"/>
          <w:szCs w:val="24"/>
        </w:rPr>
        <w:t>Atricon</w:t>
      </w:r>
      <w:proofErr w:type="spellEnd"/>
      <w:r w:rsidRPr="006001DA">
        <w:rPr>
          <w:sz w:val="24"/>
          <w:szCs w:val="24"/>
        </w:rPr>
        <w:t>) e Fundo Nacional de Desenvolvimento da Educação, com vistas ao fortalecimento da integração dos Tribunais de Contas ao S</w:t>
      </w:r>
      <w:r w:rsidR="00572C68" w:rsidRPr="006001DA">
        <w:rPr>
          <w:sz w:val="24"/>
          <w:szCs w:val="24"/>
        </w:rPr>
        <w:t>iope</w:t>
      </w:r>
      <w:r w:rsidRPr="006001DA">
        <w:rPr>
          <w:sz w:val="24"/>
          <w:szCs w:val="24"/>
        </w:rPr>
        <w:t>, pois, atualmente, somente 11 dos 33 Tribunais de Contas estão integrados à plataforma visando o aprimoramento da fiscalização e da transparência na aplicação dos recursos da educação (</w:t>
      </w:r>
      <w:proofErr w:type="spellStart"/>
      <w:r w:rsidRPr="006001DA">
        <w:rPr>
          <w:sz w:val="24"/>
          <w:szCs w:val="24"/>
        </w:rPr>
        <w:t>Atricon</w:t>
      </w:r>
      <w:proofErr w:type="spellEnd"/>
      <w:r w:rsidRPr="006001DA">
        <w:rPr>
          <w:sz w:val="24"/>
          <w:szCs w:val="24"/>
        </w:rPr>
        <w:t xml:space="preserve">, 2025). </w:t>
      </w:r>
    </w:p>
    <w:p w14:paraId="19D17F27" w14:textId="4D0BD40A" w:rsidR="003A5B54" w:rsidRPr="006001DA" w:rsidRDefault="003A5B54" w:rsidP="003A5B54">
      <w:pPr>
        <w:spacing w:line="360" w:lineRule="auto"/>
        <w:ind w:firstLine="709"/>
        <w:jc w:val="both"/>
        <w:rPr>
          <w:sz w:val="24"/>
          <w:szCs w:val="24"/>
        </w:rPr>
      </w:pPr>
      <w:r w:rsidRPr="006001DA">
        <w:rPr>
          <w:sz w:val="24"/>
          <w:szCs w:val="24"/>
        </w:rPr>
        <w:t>Ficar atento ao aparato legal de coleta, processamento, fiscalização e controle social exige uma mudança de atitude das pessoas e da sociedade civil organizada. É imprescindível amadurecer e desenvolver uma disposição para conhecer como funciona a máquina pública a ponto de percebermos também o quanto o aparato estatal atua em proveito da ordem burguesa que entesoura para si recursos públicos (Davies, 2015)</w:t>
      </w:r>
      <w:r w:rsidR="00DC155F" w:rsidRPr="006001DA">
        <w:rPr>
          <w:sz w:val="24"/>
          <w:szCs w:val="24"/>
        </w:rPr>
        <w:t>, sendo desafios a serem enfrentados</w:t>
      </w:r>
      <w:r w:rsidR="00C74907" w:rsidRPr="006001DA">
        <w:rPr>
          <w:sz w:val="24"/>
          <w:szCs w:val="24"/>
        </w:rPr>
        <w:t xml:space="preserve"> pela sociedade civil</w:t>
      </w:r>
      <w:r w:rsidRPr="006001DA">
        <w:rPr>
          <w:sz w:val="24"/>
          <w:szCs w:val="24"/>
        </w:rPr>
        <w:t>.</w:t>
      </w:r>
    </w:p>
    <w:p w14:paraId="27D10C4C" w14:textId="77777777" w:rsidR="003A5B54" w:rsidRPr="006001DA" w:rsidRDefault="003A5B54">
      <w:pPr>
        <w:widowControl w:val="0"/>
        <w:spacing w:line="360" w:lineRule="auto"/>
        <w:ind w:firstLine="720"/>
        <w:jc w:val="both"/>
        <w:rPr>
          <w:sz w:val="24"/>
          <w:szCs w:val="24"/>
        </w:rPr>
      </w:pPr>
    </w:p>
    <w:p w14:paraId="4AA1D371" w14:textId="77777777" w:rsidR="0082449E" w:rsidRPr="006001DA" w:rsidRDefault="0082449E">
      <w:pPr>
        <w:spacing w:line="360" w:lineRule="auto"/>
        <w:jc w:val="both"/>
        <w:rPr>
          <w:sz w:val="24"/>
          <w:szCs w:val="24"/>
        </w:rPr>
      </w:pPr>
    </w:p>
    <w:p w14:paraId="3D3962ED" w14:textId="77777777" w:rsidR="0082449E" w:rsidRPr="006001DA" w:rsidRDefault="00000000">
      <w:pPr>
        <w:spacing w:line="360" w:lineRule="auto"/>
        <w:jc w:val="both"/>
      </w:pPr>
      <w:r w:rsidRPr="006001DA">
        <w:rPr>
          <w:b/>
          <w:sz w:val="24"/>
          <w:szCs w:val="24"/>
        </w:rPr>
        <w:t>4</w:t>
      </w:r>
      <w:r w:rsidRPr="006001DA">
        <w:rPr>
          <w:b/>
          <w:sz w:val="24"/>
          <w:szCs w:val="24"/>
        </w:rPr>
        <w:tab/>
        <w:t>CONCLUSÃO</w:t>
      </w:r>
    </w:p>
    <w:p w14:paraId="5D9505DF" w14:textId="77777777" w:rsidR="0082449E" w:rsidRPr="006001DA" w:rsidRDefault="0082449E">
      <w:pPr>
        <w:spacing w:line="360" w:lineRule="auto"/>
        <w:jc w:val="both"/>
        <w:rPr>
          <w:b/>
          <w:sz w:val="24"/>
          <w:szCs w:val="24"/>
        </w:rPr>
      </w:pPr>
    </w:p>
    <w:p w14:paraId="390F2BCE" w14:textId="77777777" w:rsidR="0082449E" w:rsidRPr="006001DA" w:rsidRDefault="00000000">
      <w:pPr>
        <w:spacing w:line="360" w:lineRule="auto"/>
        <w:ind w:firstLine="851"/>
        <w:jc w:val="both"/>
        <w:rPr>
          <w:sz w:val="24"/>
          <w:szCs w:val="24"/>
        </w:rPr>
      </w:pPr>
      <w:r w:rsidRPr="006001DA">
        <w:rPr>
          <w:sz w:val="24"/>
          <w:szCs w:val="24"/>
        </w:rPr>
        <w:t xml:space="preserve">A análise do Siope como instrumento que permite o monitoramento dos recursos da educação evidenciou tanto suas potencialidades quanto seus limites. Entre as potencialidades, destacam-se: a ampla disponibilidade de dados, o acesso público às informações e a possibilidade de acompanhamento sistemático das receitas e despesas por parte da sociedade civil, dos órgãos de controle e dos pesquisadores. Já entre os limites, sobressaem a natureza </w:t>
      </w:r>
      <w:proofErr w:type="spellStart"/>
      <w:r w:rsidRPr="006001DA">
        <w:rPr>
          <w:sz w:val="24"/>
          <w:szCs w:val="24"/>
        </w:rPr>
        <w:t>autodeclaratória</w:t>
      </w:r>
      <w:proofErr w:type="spellEnd"/>
      <w:r w:rsidRPr="006001DA">
        <w:rPr>
          <w:sz w:val="24"/>
          <w:szCs w:val="24"/>
        </w:rPr>
        <w:t xml:space="preserve"> do sistema, as inconsistências nos dados informados e a ausência de auditorias regulares que assegurem a fidedignidade das informações divulgadas.</w:t>
      </w:r>
    </w:p>
    <w:p w14:paraId="0C0BD901" w14:textId="6E724317" w:rsidR="0082449E" w:rsidRPr="006001DA" w:rsidRDefault="00000000">
      <w:pPr>
        <w:spacing w:line="360" w:lineRule="auto"/>
        <w:ind w:firstLine="851"/>
        <w:jc w:val="both"/>
        <w:rPr>
          <w:sz w:val="24"/>
          <w:szCs w:val="24"/>
        </w:rPr>
      </w:pPr>
      <w:r w:rsidRPr="006001DA">
        <w:rPr>
          <w:sz w:val="24"/>
          <w:szCs w:val="24"/>
        </w:rPr>
        <w:lastRenderedPageBreak/>
        <w:t>O Siope não pode ser desconsiderado como fonte de informação e instrumento de controle, ainda que apresente registros de inconsistências em seu banco de dados, os quais precisam ser corrigidos. O Sistema é operacionalizado em articulação com os Tribunais de Contas e com os Conselhos de Acompanhamento e Controle Social do Fundeb, possibilitando a triangulação e comparação de dados entre diferentes instâncias, o que fortalece a análise sobre a confiabilidade das informações. Diante disso, considera-se que o Siope tem potencial efetivo para assegurar a transparência das receitas e despesas da educação, subsidiando o planejamento governamental, a pesquisa e o controle social sobre os recursos educacionais</w:t>
      </w:r>
      <w:r w:rsidR="00A829A2" w:rsidRPr="006001DA">
        <w:rPr>
          <w:sz w:val="24"/>
          <w:szCs w:val="24"/>
        </w:rPr>
        <w:t xml:space="preserve">, sendo importante </w:t>
      </w:r>
      <w:r w:rsidR="0032601C" w:rsidRPr="006001DA">
        <w:rPr>
          <w:sz w:val="24"/>
          <w:szCs w:val="24"/>
        </w:rPr>
        <w:t xml:space="preserve">a efetivação </w:t>
      </w:r>
      <w:r w:rsidR="00A829A2" w:rsidRPr="006001DA">
        <w:rPr>
          <w:sz w:val="24"/>
          <w:szCs w:val="24"/>
        </w:rPr>
        <w:t xml:space="preserve">ajustes </w:t>
      </w:r>
      <w:r w:rsidR="0032601C" w:rsidRPr="006001DA">
        <w:rPr>
          <w:sz w:val="24"/>
          <w:szCs w:val="24"/>
        </w:rPr>
        <w:t xml:space="preserve">que corrijam </w:t>
      </w:r>
      <w:r w:rsidR="005B0B0F" w:rsidRPr="006001DA">
        <w:rPr>
          <w:sz w:val="24"/>
          <w:szCs w:val="24"/>
        </w:rPr>
        <w:t>os problemas retratados neste trabalho.</w:t>
      </w:r>
    </w:p>
    <w:p w14:paraId="3D90C445" w14:textId="77777777" w:rsidR="0082449E" w:rsidRPr="006001DA" w:rsidRDefault="0082449E">
      <w:pPr>
        <w:spacing w:line="360" w:lineRule="auto"/>
        <w:jc w:val="center"/>
        <w:rPr>
          <w:b/>
          <w:sz w:val="24"/>
          <w:szCs w:val="24"/>
        </w:rPr>
      </w:pPr>
    </w:p>
    <w:p w14:paraId="75C65ACA" w14:textId="77777777" w:rsidR="0082449E" w:rsidRPr="006001DA" w:rsidRDefault="00000000">
      <w:pPr>
        <w:spacing w:line="360" w:lineRule="auto"/>
        <w:jc w:val="center"/>
        <w:rPr>
          <w:sz w:val="24"/>
          <w:szCs w:val="24"/>
        </w:rPr>
      </w:pPr>
      <w:r w:rsidRPr="006001DA">
        <w:rPr>
          <w:b/>
          <w:sz w:val="24"/>
          <w:szCs w:val="24"/>
        </w:rPr>
        <w:t>REFERÊNCIAS</w:t>
      </w:r>
    </w:p>
    <w:p w14:paraId="5595DB69" w14:textId="77777777" w:rsidR="0082449E" w:rsidRPr="006001DA" w:rsidRDefault="00000000">
      <w:pPr>
        <w:keepNext/>
        <w:keepLines/>
        <w:pBdr>
          <w:top w:val="nil"/>
          <w:left w:val="nil"/>
          <w:bottom w:val="nil"/>
          <w:right w:val="nil"/>
          <w:between w:val="nil"/>
        </w:pBdr>
        <w:spacing w:before="120" w:after="120" w:line="240" w:lineRule="auto"/>
        <w:jc w:val="both"/>
        <w:rPr>
          <w:sz w:val="24"/>
          <w:szCs w:val="24"/>
        </w:rPr>
      </w:pPr>
      <w:r w:rsidRPr="006001DA">
        <w:rPr>
          <w:sz w:val="24"/>
          <w:szCs w:val="24"/>
        </w:rPr>
        <w:t xml:space="preserve">ADRIÃO, </w:t>
      </w:r>
      <w:proofErr w:type="spellStart"/>
      <w:r w:rsidRPr="006001DA">
        <w:rPr>
          <w:sz w:val="24"/>
          <w:szCs w:val="24"/>
        </w:rPr>
        <w:t>Theresa</w:t>
      </w:r>
      <w:proofErr w:type="spellEnd"/>
      <w:r w:rsidRPr="006001DA">
        <w:rPr>
          <w:sz w:val="24"/>
          <w:szCs w:val="24"/>
        </w:rPr>
        <w:t xml:space="preserve">. </w:t>
      </w:r>
      <w:r w:rsidRPr="006001DA">
        <w:rPr>
          <w:b/>
          <w:sz w:val="24"/>
          <w:szCs w:val="24"/>
        </w:rPr>
        <w:t>Dimensões da privatização da Educação Básica no Brasil</w:t>
      </w:r>
      <w:r w:rsidRPr="006001DA">
        <w:rPr>
          <w:sz w:val="24"/>
          <w:szCs w:val="24"/>
        </w:rPr>
        <w:t>: um diálogo com a produção acadêmica a partir de 1990. Brasília, ANPAE, 2022.</w:t>
      </w:r>
    </w:p>
    <w:p w14:paraId="710F37DD" w14:textId="77777777" w:rsidR="0082449E" w:rsidRPr="006001DA" w:rsidRDefault="00000000">
      <w:pPr>
        <w:spacing w:before="120" w:after="120" w:line="240" w:lineRule="auto"/>
        <w:jc w:val="both"/>
      </w:pPr>
      <w:r w:rsidRPr="006001DA">
        <w:rPr>
          <w:sz w:val="24"/>
          <w:szCs w:val="24"/>
        </w:rPr>
        <w:t xml:space="preserve">ADRIÃO, </w:t>
      </w:r>
      <w:proofErr w:type="spellStart"/>
      <w:r w:rsidRPr="006001DA">
        <w:rPr>
          <w:sz w:val="24"/>
          <w:szCs w:val="24"/>
        </w:rPr>
        <w:t>Theresa</w:t>
      </w:r>
      <w:proofErr w:type="spellEnd"/>
      <w:r w:rsidRPr="006001DA">
        <w:rPr>
          <w:sz w:val="24"/>
          <w:szCs w:val="24"/>
        </w:rPr>
        <w:t xml:space="preserve">. Dimensões e formas da privatização da educação no Brasil: caracterização a partir de mapeamento de produções nacionais e internacionais. </w:t>
      </w:r>
      <w:r w:rsidRPr="006001DA">
        <w:rPr>
          <w:b/>
          <w:sz w:val="24"/>
          <w:szCs w:val="24"/>
        </w:rPr>
        <w:t>Currículo sem Fronteiras</w:t>
      </w:r>
      <w:r w:rsidRPr="006001DA">
        <w:rPr>
          <w:sz w:val="24"/>
          <w:szCs w:val="24"/>
        </w:rPr>
        <w:t>, v. 18, n. 1, p. 8-28, jan./abr. 2018.</w:t>
      </w:r>
    </w:p>
    <w:p w14:paraId="6FDF08A0" w14:textId="77777777" w:rsidR="0082449E" w:rsidRPr="006001DA" w:rsidRDefault="00000000">
      <w:pPr>
        <w:spacing w:before="120" w:after="120" w:line="240" w:lineRule="auto"/>
        <w:jc w:val="both"/>
      </w:pPr>
      <w:r w:rsidRPr="006001DA">
        <w:rPr>
          <w:sz w:val="24"/>
          <w:szCs w:val="24"/>
        </w:rPr>
        <w:t>ATRICON.</w:t>
      </w:r>
      <w:r w:rsidRPr="006001DA">
        <w:rPr>
          <w:b/>
          <w:sz w:val="24"/>
          <w:szCs w:val="24"/>
        </w:rPr>
        <w:t xml:space="preserve"> </w:t>
      </w:r>
      <w:proofErr w:type="spellStart"/>
      <w:r w:rsidRPr="006001DA">
        <w:rPr>
          <w:b/>
          <w:sz w:val="24"/>
          <w:szCs w:val="24"/>
        </w:rPr>
        <w:t>Atricon</w:t>
      </w:r>
      <w:proofErr w:type="spellEnd"/>
      <w:r w:rsidRPr="006001DA">
        <w:rPr>
          <w:b/>
          <w:sz w:val="24"/>
          <w:szCs w:val="24"/>
        </w:rPr>
        <w:t xml:space="preserve"> e FNDE discutem integração ao SIOPE e reforçam cooperação com Tribunais de Contas</w:t>
      </w:r>
      <w:r w:rsidRPr="006001DA">
        <w:rPr>
          <w:sz w:val="24"/>
          <w:szCs w:val="24"/>
        </w:rPr>
        <w:t>. Disponível em: &lt;https://atricon.org.br/atricon-e-fnde-discutem-integracao-ao-siope-e-reforcam-cooperacao-com-tribunais-de-contas/&gt;. Acesso em: 5 jun. 2025.</w:t>
      </w:r>
    </w:p>
    <w:p w14:paraId="5A5ADF54" w14:textId="77777777" w:rsidR="0082449E" w:rsidRPr="006001DA" w:rsidRDefault="00000000">
      <w:pPr>
        <w:keepNext/>
        <w:keepLines/>
        <w:pBdr>
          <w:top w:val="nil"/>
          <w:left w:val="nil"/>
          <w:bottom w:val="nil"/>
          <w:right w:val="nil"/>
          <w:between w:val="nil"/>
        </w:pBdr>
        <w:spacing w:before="120" w:after="120" w:line="240" w:lineRule="auto"/>
        <w:jc w:val="both"/>
        <w:rPr>
          <w:sz w:val="52"/>
          <w:szCs w:val="52"/>
        </w:rPr>
      </w:pPr>
      <w:r w:rsidRPr="006001DA">
        <w:rPr>
          <w:sz w:val="24"/>
          <w:szCs w:val="24"/>
          <w:highlight w:val="white"/>
        </w:rPr>
        <w:t xml:space="preserve">BANCO MUNDIAL. </w:t>
      </w:r>
      <w:r w:rsidRPr="006001DA">
        <w:rPr>
          <w:b/>
          <w:sz w:val="24"/>
          <w:szCs w:val="24"/>
        </w:rPr>
        <w:t>Um ajuste justo</w:t>
      </w:r>
      <w:r w:rsidRPr="006001DA">
        <w:rPr>
          <w:sz w:val="24"/>
          <w:szCs w:val="24"/>
        </w:rPr>
        <w:t xml:space="preserve"> – análise da eficiência e equidade do gasto público no Brasil. Volume I. Novembro de 2017, p. 121-138. Disponível em: http://documents.worldbank.org/curated/en/884871511196609355/pdf/121480-REVISED-PORTUGUESE-Brazil-Public-Expenditure-Review-Overview-Portuguese-Final-revised.pdf Acesso em 12 fev. 2019.</w:t>
      </w:r>
    </w:p>
    <w:p w14:paraId="6B36876F" w14:textId="77777777" w:rsidR="0082449E" w:rsidRPr="006001DA" w:rsidRDefault="00000000">
      <w:pPr>
        <w:spacing w:before="120" w:after="120" w:line="240" w:lineRule="auto"/>
        <w:jc w:val="both"/>
      </w:pPr>
      <w:r w:rsidRPr="006001DA">
        <w:rPr>
          <w:sz w:val="24"/>
          <w:szCs w:val="24"/>
        </w:rPr>
        <w:t xml:space="preserve">BRASIL. Constituição 1988. </w:t>
      </w:r>
      <w:r w:rsidRPr="006001DA">
        <w:rPr>
          <w:b/>
          <w:sz w:val="24"/>
          <w:szCs w:val="24"/>
        </w:rPr>
        <w:t>Constituição da República Federativa do Brasil</w:t>
      </w:r>
      <w:r w:rsidRPr="006001DA">
        <w:rPr>
          <w:i/>
          <w:sz w:val="24"/>
          <w:szCs w:val="24"/>
        </w:rPr>
        <w:t xml:space="preserve">. </w:t>
      </w:r>
      <w:r w:rsidRPr="006001DA">
        <w:rPr>
          <w:sz w:val="24"/>
          <w:szCs w:val="24"/>
        </w:rPr>
        <w:t>Portal da Subchefia de Assuntos Jurídicos da Casa Civil da Presidência da República. Brasília: Casa Civil da Presidência da República do Brasil. Disponível em: &lt;http://www.planalto.gov.br/ccivil_03/constituicao/constituicao.htm&gt;. Acesso em: 27 jan. 2023.</w:t>
      </w:r>
    </w:p>
    <w:p w14:paraId="25F69913" w14:textId="77777777" w:rsidR="0082449E" w:rsidRPr="006001DA" w:rsidRDefault="00000000">
      <w:pPr>
        <w:spacing w:before="120" w:after="120" w:line="240" w:lineRule="auto"/>
        <w:jc w:val="both"/>
        <w:rPr>
          <w:sz w:val="24"/>
          <w:szCs w:val="24"/>
        </w:rPr>
      </w:pPr>
      <w:r w:rsidRPr="006001DA">
        <w:rPr>
          <w:sz w:val="24"/>
          <w:szCs w:val="24"/>
        </w:rPr>
        <w:t xml:space="preserve">BRASIL. Controladoria-Geral da União. </w:t>
      </w:r>
      <w:r w:rsidRPr="006001DA">
        <w:rPr>
          <w:b/>
          <w:sz w:val="24"/>
          <w:szCs w:val="24"/>
        </w:rPr>
        <w:t xml:space="preserve">Avaliação da fidedignidade das informações contidas no Sistema de Informações sobre Orçamento Público em </w:t>
      </w:r>
      <w:r w:rsidRPr="006001DA">
        <w:rPr>
          <w:b/>
          <w:sz w:val="24"/>
          <w:szCs w:val="24"/>
        </w:rPr>
        <w:lastRenderedPageBreak/>
        <w:t>Educação</w:t>
      </w:r>
      <w:r w:rsidRPr="006001DA">
        <w:rPr>
          <w:sz w:val="24"/>
          <w:szCs w:val="24"/>
        </w:rPr>
        <w:t xml:space="preserve"> – Siope. Brasília: CGU, 2021. Disponível em:&lt; </w:t>
      </w:r>
      <w:hyperlink r:id="rId9">
        <w:r w:rsidR="0082449E" w:rsidRPr="006001DA">
          <w:rPr>
            <w:b/>
            <w:sz w:val="24"/>
            <w:szCs w:val="24"/>
          </w:rPr>
          <w:t>https://eaud.cgu.gov.br/relatorio/1510599&gt;Aceso</w:t>
        </w:r>
      </w:hyperlink>
      <w:r w:rsidRPr="006001DA">
        <w:rPr>
          <w:sz w:val="24"/>
          <w:szCs w:val="24"/>
        </w:rPr>
        <w:t xml:space="preserve"> em: 04 de jun. 2025.</w:t>
      </w:r>
    </w:p>
    <w:p w14:paraId="005B292D" w14:textId="77777777" w:rsidR="0082449E" w:rsidRPr="006001DA" w:rsidRDefault="00000000">
      <w:pPr>
        <w:spacing w:before="120" w:after="120" w:line="240" w:lineRule="auto"/>
        <w:jc w:val="both"/>
      </w:pPr>
      <w:r w:rsidRPr="006001DA">
        <w:rPr>
          <w:sz w:val="24"/>
          <w:szCs w:val="24"/>
        </w:rPr>
        <w:t xml:space="preserve">BRASIL. </w:t>
      </w:r>
      <w:r w:rsidRPr="006001DA">
        <w:rPr>
          <w:b/>
          <w:sz w:val="24"/>
          <w:szCs w:val="24"/>
        </w:rPr>
        <w:t>Emenda Constitucional nº 108, de 26 de agosto de 2020</w:t>
      </w:r>
      <w:r w:rsidRPr="006001DA">
        <w:rPr>
          <w:sz w:val="24"/>
          <w:szCs w:val="24"/>
        </w:rPr>
        <w:t xml:space="preserve">. Altera a Constituição Federal para estabelecer critérios de distribuição da cota municipal do Imposto sobre Operações Relativas à Circulação de Mercadorias e sobre Prestações de Serviços de Transporte Interestadual e Intermunicipal e de Comunicação (ICMS), para disciplinar a disponibilização de dados contábeis pelos entes federados, para tratar do planejamento na ordem social e para dispor sobre o Fundo de Manutenção e Desenvolvimento da Educação Básica e de Valorização dos Profissionais da Educação (Fundeb); altera o Ato das Disposições Constitucionais Transitórias; e dá outras providências. Disponível em&lt; </w:t>
      </w:r>
      <w:hyperlink r:id="rId10">
        <w:r w:rsidR="0082449E" w:rsidRPr="006001DA">
          <w:rPr>
            <w:b/>
            <w:sz w:val="24"/>
            <w:szCs w:val="24"/>
          </w:rPr>
          <w:t>https://www.planalto.gov.br/ccivil_03/constituicao/emendas/emc/emc108.htm&gt;Acesso</w:t>
        </w:r>
      </w:hyperlink>
      <w:r w:rsidRPr="006001DA">
        <w:rPr>
          <w:sz w:val="24"/>
          <w:szCs w:val="24"/>
        </w:rPr>
        <w:t xml:space="preserve"> em: 04 de jun. 2025.</w:t>
      </w:r>
    </w:p>
    <w:p w14:paraId="44474A76" w14:textId="77777777" w:rsidR="0082449E" w:rsidRPr="006001DA" w:rsidRDefault="00000000">
      <w:pPr>
        <w:spacing w:before="120" w:after="120" w:line="240" w:lineRule="auto"/>
        <w:jc w:val="both"/>
      </w:pPr>
      <w:r w:rsidRPr="006001DA">
        <w:rPr>
          <w:sz w:val="24"/>
          <w:szCs w:val="24"/>
        </w:rPr>
        <w:t xml:space="preserve">BRASIL. Fundo Nacional de Desenvolvimento da Educação. </w:t>
      </w:r>
      <w:r w:rsidRPr="006001DA">
        <w:rPr>
          <w:b/>
          <w:sz w:val="24"/>
          <w:szCs w:val="24"/>
        </w:rPr>
        <w:t>Caderno de Estudos do Curso Siope</w:t>
      </w:r>
      <w:r w:rsidRPr="006001DA">
        <w:rPr>
          <w:sz w:val="24"/>
          <w:szCs w:val="24"/>
        </w:rPr>
        <w:t>. Brasília: MEC, FNDE, 2018.</w:t>
      </w:r>
    </w:p>
    <w:p w14:paraId="7E0063A9" w14:textId="77777777" w:rsidR="0082449E" w:rsidRPr="006001DA" w:rsidRDefault="00000000">
      <w:pPr>
        <w:spacing w:before="120" w:after="120" w:line="240" w:lineRule="auto"/>
        <w:jc w:val="both"/>
        <w:rPr>
          <w:sz w:val="24"/>
          <w:szCs w:val="24"/>
        </w:rPr>
      </w:pPr>
      <w:r w:rsidRPr="006001DA">
        <w:rPr>
          <w:sz w:val="24"/>
          <w:szCs w:val="24"/>
        </w:rPr>
        <w:t xml:space="preserve">BRASIL. Ministério da Educação. </w:t>
      </w:r>
      <w:r w:rsidRPr="006001DA">
        <w:rPr>
          <w:b/>
          <w:sz w:val="24"/>
          <w:szCs w:val="24"/>
        </w:rPr>
        <w:t>Portaria/MEC nº 6, de 20 de junho de 2006</w:t>
      </w:r>
      <w:r w:rsidRPr="006001DA">
        <w:rPr>
          <w:sz w:val="24"/>
          <w:szCs w:val="24"/>
        </w:rPr>
        <w:t xml:space="preserve">. Institui o SIOPE. </w:t>
      </w:r>
      <w:hyperlink r:id="rId11">
        <w:r w:rsidR="0082449E" w:rsidRPr="006001DA">
          <w:rPr>
            <w:sz w:val="24"/>
            <w:szCs w:val="24"/>
          </w:rPr>
          <w:t>https://www.fnde.gov.br/index.php/acesso-a-informacao/institucional/legislacao/item/4025-portaria-mec-n%C2%BA-6,-de-20-de-junho-de-2006</w:t>
        </w:r>
      </w:hyperlink>
      <w:r w:rsidRPr="006001DA">
        <w:rPr>
          <w:sz w:val="24"/>
          <w:szCs w:val="24"/>
        </w:rPr>
        <w:t>. Acesso em: 28 fev. 2025.</w:t>
      </w:r>
    </w:p>
    <w:p w14:paraId="6FFC4DF7" w14:textId="77777777" w:rsidR="0082449E" w:rsidRPr="006001DA" w:rsidRDefault="00000000">
      <w:pPr>
        <w:spacing w:before="120" w:after="120" w:line="240" w:lineRule="auto"/>
        <w:jc w:val="both"/>
        <w:rPr>
          <w:sz w:val="24"/>
          <w:szCs w:val="24"/>
        </w:rPr>
      </w:pPr>
      <w:r w:rsidRPr="006001DA">
        <w:rPr>
          <w:sz w:val="24"/>
          <w:szCs w:val="24"/>
        </w:rPr>
        <w:t>BRASIL</w:t>
      </w:r>
      <w:r w:rsidRPr="006001DA">
        <w:rPr>
          <w:sz w:val="24"/>
          <w:szCs w:val="24"/>
          <w:highlight w:val="white"/>
        </w:rPr>
        <w:t xml:space="preserve">. Ministério da Educação. Portaria/MEC nº 844, de 8 de julho de 2008. Dispõe sobre os objetivos e a operacionalização do Sistema de Informações sobre Orçamentos Públicos em Educação – SIOPE. </w:t>
      </w:r>
      <w:r w:rsidRPr="006001DA">
        <w:rPr>
          <w:b/>
          <w:sz w:val="24"/>
          <w:szCs w:val="24"/>
          <w:highlight w:val="white"/>
        </w:rPr>
        <w:t>Diário Oficial [da] República Federativa do Brasil</w:t>
      </w:r>
      <w:r w:rsidRPr="006001DA">
        <w:rPr>
          <w:sz w:val="24"/>
          <w:szCs w:val="24"/>
          <w:highlight w:val="white"/>
        </w:rPr>
        <w:t xml:space="preserve">, Poder Executivo, Brasília, DF, 9 jul. 2008, Seção 1, p. 23. </w:t>
      </w:r>
      <w:r w:rsidRPr="006001DA">
        <w:rPr>
          <w:sz w:val="24"/>
          <w:szCs w:val="24"/>
        </w:rPr>
        <w:t xml:space="preserve">Disponível em: </w:t>
      </w:r>
      <w:hyperlink r:id="rId12">
        <w:r w:rsidR="0082449E" w:rsidRPr="006001DA">
          <w:rPr>
            <w:b/>
            <w:sz w:val="24"/>
            <w:szCs w:val="24"/>
            <w:highlight w:val="white"/>
            <w:u w:val="single"/>
          </w:rPr>
          <w:t>https://pesquisa.in.gov.br/imprensa/jsp/visualiza/index.jsp?jornal=1&amp;pagina=23&amp;data=09/07/2008</w:t>
        </w:r>
      </w:hyperlink>
      <w:r w:rsidRPr="006001DA">
        <w:rPr>
          <w:sz w:val="24"/>
          <w:szCs w:val="24"/>
          <w:highlight w:val="white"/>
        </w:rPr>
        <w:t xml:space="preserve"> Acesso em: 07 jun. 2025.</w:t>
      </w:r>
    </w:p>
    <w:p w14:paraId="3D47FB6F" w14:textId="77777777" w:rsidR="0082449E" w:rsidRPr="006001DA" w:rsidRDefault="00000000">
      <w:pPr>
        <w:spacing w:before="120" w:after="120" w:line="240" w:lineRule="auto"/>
        <w:jc w:val="both"/>
      </w:pPr>
      <w:r w:rsidRPr="006001DA">
        <w:rPr>
          <w:sz w:val="24"/>
          <w:szCs w:val="24"/>
        </w:rPr>
        <w:t xml:space="preserve">CUNHA, Luiz Antônio. </w:t>
      </w:r>
      <w:r w:rsidRPr="006001DA">
        <w:rPr>
          <w:b/>
          <w:sz w:val="24"/>
          <w:szCs w:val="24"/>
        </w:rPr>
        <w:t>Educação, Estado e democracia no</w:t>
      </w:r>
      <w:r w:rsidRPr="006001DA">
        <w:rPr>
          <w:sz w:val="24"/>
          <w:szCs w:val="24"/>
        </w:rPr>
        <w:t xml:space="preserve"> Brasil. 2. ed. São Paulo: Cortez Editora, 1995. </w:t>
      </w:r>
    </w:p>
    <w:p w14:paraId="0D85B129" w14:textId="77777777" w:rsidR="0082449E" w:rsidRPr="006001DA" w:rsidRDefault="00000000">
      <w:pPr>
        <w:spacing w:before="120" w:after="120" w:line="240" w:lineRule="auto"/>
        <w:jc w:val="both"/>
      </w:pPr>
      <w:r w:rsidRPr="006001DA">
        <w:rPr>
          <w:sz w:val="24"/>
          <w:szCs w:val="24"/>
        </w:rPr>
        <w:t xml:space="preserve">DAVIES, Nicholas. </w:t>
      </w:r>
      <w:r w:rsidRPr="006001DA">
        <w:rPr>
          <w:b/>
          <w:sz w:val="24"/>
          <w:szCs w:val="24"/>
        </w:rPr>
        <w:t>A confiabilidade dos órgãos de controle das verbas da educação.</w:t>
      </w:r>
      <w:r w:rsidRPr="006001DA">
        <w:rPr>
          <w:sz w:val="24"/>
          <w:szCs w:val="24"/>
        </w:rPr>
        <w:t xml:space="preserve"> </w:t>
      </w:r>
      <w:r w:rsidRPr="006001DA">
        <w:rPr>
          <w:i/>
          <w:sz w:val="24"/>
          <w:szCs w:val="24"/>
        </w:rPr>
        <w:t>Em aberto</w:t>
      </w:r>
      <w:r w:rsidRPr="006001DA">
        <w:rPr>
          <w:sz w:val="24"/>
          <w:szCs w:val="24"/>
        </w:rPr>
        <w:t xml:space="preserve">, v. 28, n. 93, p. 131-143, jan./jun. 2015. Disponível em: &lt; </w:t>
      </w:r>
      <w:hyperlink r:id="rId13">
        <w:r w:rsidR="0082449E" w:rsidRPr="006001DA">
          <w:rPr>
            <w:b/>
            <w:sz w:val="24"/>
            <w:szCs w:val="24"/>
          </w:rPr>
          <w:t>https://emaberto.inep.gov.br/ojs3/index.php/emaberto/issue/view/222</w:t>
        </w:r>
      </w:hyperlink>
      <w:r w:rsidRPr="006001DA">
        <w:rPr>
          <w:sz w:val="24"/>
          <w:szCs w:val="24"/>
        </w:rPr>
        <w:t xml:space="preserve">&gt; Acesso em: 04 de jun. 2025. </w:t>
      </w:r>
    </w:p>
    <w:p w14:paraId="5CEA3195" w14:textId="77777777" w:rsidR="0082449E" w:rsidRPr="006001DA" w:rsidRDefault="00000000">
      <w:pPr>
        <w:tabs>
          <w:tab w:val="center" w:pos="4535"/>
          <w:tab w:val="left" w:pos="6105"/>
        </w:tabs>
        <w:spacing w:before="120" w:after="120" w:line="240" w:lineRule="auto"/>
        <w:jc w:val="both"/>
      </w:pPr>
      <w:r w:rsidRPr="006001DA">
        <w:rPr>
          <w:sz w:val="24"/>
          <w:szCs w:val="24"/>
        </w:rPr>
        <w:t xml:space="preserve">GOHN, Maria da Glória. Conselhos gestores e gestão pública. </w:t>
      </w:r>
      <w:r w:rsidRPr="006001DA">
        <w:rPr>
          <w:b/>
          <w:sz w:val="24"/>
          <w:szCs w:val="24"/>
        </w:rPr>
        <w:t>Ciências Sociais Unisinos,</w:t>
      </w:r>
      <w:r w:rsidRPr="006001DA">
        <w:rPr>
          <w:sz w:val="24"/>
          <w:szCs w:val="24"/>
        </w:rPr>
        <w:t xml:space="preserve"> São Leopoldo, v. 42, n.1, p. 5-11, jan. /abr. 2006. Disponível em: </w:t>
      </w:r>
      <w:hyperlink r:id="rId14">
        <w:r w:rsidR="0082449E" w:rsidRPr="006001DA">
          <w:rPr>
            <w:b/>
            <w:sz w:val="24"/>
            <w:szCs w:val="24"/>
            <w:u w:val="single"/>
          </w:rPr>
          <w:t>https://www.redalyc.org/articulo.oa?id=93842101</w:t>
        </w:r>
      </w:hyperlink>
      <w:r w:rsidRPr="006001DA">
        <w:rPr>
          <w:sz w:val="24"/>
          <w:szCs w:val="24"/>
        </w:rPr>
        <w:t xml:space="preserve">. Acesso em: 25 fev. 2023. </w:t>
      </w:r>
    </w:p>
    <w:p w14:paraId="1F7D0A1B" w14:textId="77777777" w:rsidR="0082449E" w:rsidRPr="006001DA" w:rsidRDefault="00000000">
      <w:pPr>
        <w:spacing w:before="120" w:after="120" w:line="240" w:lineRule="auto"/>
        <w:jc w:val="both"/>
      </w:pPr>
      <w:r w:rsidRPr="006001DA">
        <w:rPr>
          <w:sz w:val="24"/>
          <w:szCs w:val="24"/>
        </w:rPr>
        <w:t xml:space="preserve">MARTINS, Paulo de Sena. Constituinte, financiamento e direito à educação: a voz dos protagonistas. </w:t>
      </w:r>
      <w:r w:rsidRPr="006001DA">
        <w:rPr>
          <w:b/>
          <w:sz w:val="24"/>
          <w:szCs w:val="24"/>
        </w:rPr>
        <w:t>Educ. Soc.</w:t>
      </w:r>
      <w:r w:rsidRPr="006001DA">
        <w:rPr>
          <w:sz w:val="24"/>
          <w:szCs w:val="24"/>
        </w:rPr>
        <w:t xml:space="preserve"> 2018, vol.39, n.145, p.823-845. Disponível em: &lt;http://www.scielo.br/scielo.php?script=sci_arttext&amp;pid=S0101-73302018000400823&amp;lng=en&amp;nrm=iso&gt;. Acesso em: 04 maio 2024.</w:t>
      </w:r>
    </w:p>
    <w:p w14:paraId="1AF973A5" w14:textId="77777777" w:rsidR="0082449E" w:rsidRPr="006001DA" w:rsidRDefault="00000000">
      <w:pPr>
        <w:spacing w:before="120" w:after="120" w:line="240" w:lineRule="auto"/>
        <w:jc w:val="both"/>
      </w:pPr>
      <w:r w:rsidRPr="006001DA">
        <w:rPr>
          <w:sz w:val="24"/>
          <w:szCs w:val="24"/>
        </w:rPr>
        <w:lastRenderedPageBreak/>
        <w:t xml:space="preserve">OLIVEIRA, Romualdo Portela de. O financiamento da Educação.  OLIVEIRA, Romualdo Portela de; ADRIÃO, </w:t>
      </w:r>
      <w:proofErr w:type="spellStart"/>
      <w:r w:rsidRPr="006001DA">
        <w:rPr>
          <w:sz w:val="24"/>
          <w:szCs w:val="24"/>
        </w:rPr>
        <w:t>Theresa</w:t>
      </w:r>
      <w:proofErr w:type="spellEnd"/>
      <w:r w:rsidRPr="006001DA">
        <w:rPr>
          <w:sz w:val="24"/>
          <w:szCs w:val="24"/>
        </w:rPr>
        <w:t xml:space="preserve"> (</w:t>
      </w:r>
      <w:proofErr w:type="spellStart"/>
      <w:r w:rsidRPr="006001DA">
        <w:rPr>
          <w:sz w:val="24"/>
          <w:szCs w:val="24"/>
        </w:rPr>
        <w:t>Orgs</w:t>
      </w:r>
      <w:proofErr w:type="spellEnd"/>
      <w:r w:rsidRPr="006001DA">
        <w:rPr>
          <w:sz w:val="24"/>
          <w:szCs w:val="24"/>
        </w:rPr>
        <w:t xml:space="preserve">.). </w:t>
      </w:r>
      <w:r w:rsidRPr="006001DA">
        <w:rPr>
          <w:b/>
          <w:sz w:val="24"/>
          <w:szCs w:val="24"/>
        </w:rPr>
        <w:t>Gestão, financiamento e Direito à Educação</w:t>
      </w:r>
      <w:r w:rsidRPr="006001DA">
        <w:rPr>
          <w:sz w:val="24"/>
          <w:szCs w:val="24"/>
        </w:rPr>
        <w:t>: análise da Constituição Federal e da LDB. 3. ed. revisada e ampliada. São Paulo: Xamã, 2007, p.83-123.</w:t>
      </w:r>
    </w:p>
    <w:p w14:paraId="6ED63F81" w14:textId="77777777" w:rsidR="0082449E" w:rsidRPr="006001DA" w:rsidRDefault="00000000">
      <w:pPr>
        <w:tabs>
          <w:tab w:val="center" w:pos="4535"/>
          <w:tab w:val="left" w:pos="6105"/>
        </w:tabs>
        <w:spacing w:before="120" w:after="120" w:line="240" w:lineRule="auto"/>
        <w:jc w:val="both"/>
      </w:pPr>
      <w:r w:rsidRPr="006001DA">
        <w:rPr>
          <w:sz w:val="24"/>
          <w:szCs w:val="24"/>
        </w:rPr>
        <w:t>PERONI, Vera; SCHEIBE, Leda. Privatização da e na educação:</w:t>
      </w:r>
      <w:r w:rsidRPr="006001DA">
        <w:rPr>
          <w:b/>
          <w:sz w:val="24"/>
          <w:szCs w:val="24"/>
        </w:rPr>
        <w:t xml:space="preserve"> </w:t>
      </w:r>
      <w:r w:rsidRPr="006001DA">
        <w:rPr>
          <w:i/>
          <w:sz w:val="24"/>
          <w:szCs w:val="24"/>
        </w:rPr>
        <w:t xml:space="preserve">Projetos societários em disputa. </w:t>
      </w:r>
      <w:r w:rsidRPr="006001DA">
        <w:rPr>
          <w:b/>
          <w:sz w:val="24"/>
          <w:szCs w:val="24"/>
        </w:rPr>
        <w:t>Revista Retratos da Escola</w:t>
      </w:r>
      <w:r w:rsidRPr="006001DA">
        <w:rPr>
          <w:sz w:val="24"/>
          <w:szCs w:val="24"/>
        </w:rPr>
        <w:t xml:space="preserve">, Brasília, v. 11, n. 21, p. 387-392, jul./dez. 2017. Disponível em: &lt;http//www.esforce.org.br&gt;. Acesso em: 28 fev. 2025. </w:t>
      </w:r>
    </w:p>
    <w:p w14:paraId="2C4F2B67" w14:textId="77777777" w:rsidR="0082449E" w:rsidRPr="006001DA" w:rsidRDefault="00000000">
      <w:pPr>
        <w:spacing w:before="120" w:after="120" w:line="240" w:lineRule="auto"/>
        <w:jc w:val="both"/>
        <w:rPr>
          <w:sz w:val="24"/>
          <w:szCs w:val="24"/>
        </w:rPr>
      </w:pPr>
      <w:r w:rsidRPr="006001DA">
        <w:rPr>
          <w:sz w:val="24"/>
          <w:szCs w:val="24"/>
        </w:rPr>
        <w:t xml:space="preserve">PIMENTEL, </w:t>
      </w:r>
      <w:proofErr w:type="spellStart"/>
      <w:r w:rsidRPr="006001DA">
        <w:rPr>
          <w:sz w:val="24"/>
          <w:szCs w:val="24"/>
        </w:rPr>
        <w:t>Géssica</w:t>
      </w:r>
      <w:proofErr w:type="spellEnd"/>
      <w:r w:rsidRPr="006001DA">
        <w:rPr>
          <w:sz w:val="24"/>
          <w:szCs w:val="24"/>
        </w:rPr>
        <w:t xml:space="preserve"> dos Santos. </w:t>
      </w:r>
      <w:r w:rsidRPr="006001DA">
        <w:rPr>
          <w:b/>
          <w:sz w:val="24"/>
          <w:szCs w:val="24"/>
        </w:rPr>
        <w:t>Transparência na gestão pública</w:t>
      </w:r>
      <w:r w:rsidRPr="006001DA">
        <w:rPr>
          <w:sz w:val="24"/>
          <w:szCs w:val="24"/>
        </w:rPr>
        <w:t>: um estudo sobre a publicação do relatório resumido da execução orçamentária e relatório de gestão fiscal dos municípios de Rondônia à luz da LRF. 2015.</w:t>
      </w:r>
    </w:p>
    <w:p w14:paraId="7440EBDA" w14:textId="77777777" w:rsidR="0082449E" w:rsidRPr="006001DA" w:rsidRDefault="00000000">
      <w:pPr>
        <w:spacing w:before="120" w:after="120" w:line="240" w:lineRule="auto"/>
        <w:jc w:val="both"/>
      </w:pPr>
      <w:r w:rsidRPr="006001DA">
        <w:rPr>
          <w:sz w:val="24"/>
          <w:szCs w:val="24"/>
        </w:rPr>
        <w:t xml:space="preserve">PLATT NETO, Orion Augusto et al. </w:t>
      </w:r>
      <w:r w:rsidRPr="006001DA">
        <w:rPr>
          <w:b/>
          <w:sz w:val="24"/>
          <w:szCs w:val="24"/>
        </w:rPr>
        <w:t>Publicidade e transparência das contas públicas</w:t>
      </w:r>
      <w:r w:rsidRPr="006001DA">
        <w:rPr>
          <w:sz w:val="24"/>
          <w:szCs w:val="24"/>
        </w:rPr>
        <w:t>: obrigatoriedade e abrangência desses princípios na administração pública brasileira. Contabilidade Vista &amp; Revista, v. 18, n. 1, p. 75-94, 2007.</w:t>
      </w:r>
    </w:p>
    <w:p w14:paraId="79A4F770" w14:textId="77777777" w:rsidR="0082449E" w:rsidRPr="006001DA" w:rsidRDefault="0082449E">
      <w:pPr>
        <w:tabs>
          <w:tab w:val="center" w:pos="4535"/>
          <w:tab w:val="left" w:pos="6105"/>
        </w:tabs>
        <w:spacing w:before="120" w:after="120" w:line="240" w:lineRule="auto"/>
        <w:rPr>
          <w:sz w:val="24"/>
          <w:szCs w:val="24"/>
        </w:rPr>
      </w:pPr>
    </w:p>
    <w:p w14:paraId="48B57D98" w14:textId="77777777" w:rsidR="0082449E" w:rsidRPr="006001DA" w:rsidRDefault="0082449E">
      <w:pPr>
        <w:spacing w:after="200"/>
        <w:jc w:val="both"/>
        <w:rPr>
          <w:rFonts w:ascii="Calibri" w:eastAsia="Calibri" w:hAnsi="Calibri" w:cs="Calibri"/>
          <w:sz w:val="24"/>
          <w:szCs w:val="24"/>
        </w:rPr>
      </w:pPr>
    </w:p>
    <w:sectPr w:rsidR="0082449E" w:rsidRPr="006001DA">
      <w:headerReference w:type="default" r:id="rId15"/>
      <w:pgSz w:w="11906" w:h="16838"/>
      <w:pgMar w:top="3457" w:right="1134" w:bottom="1134" w:left="1701" w:header="340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DF8BF" w14:textId="77777777" w:rsidR="003C07E9" w:rsidRDefault="003C07E9">
      <w:pPr>
        <w:spacing w:line="240" w:lineRule="auto"/>
      </w:pPr>
      <w:r>
        <w:separator/>
      </w:r>
    </w:p>
  </w:endnote>
  <w:endnote w:type="continuationSeparator" w:id="0">
    <w:p w14:paraId="6D5816CC" w14:textId="77777777" w:rsidR="003C07E9" w:rsidRDefault="003C0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0163F" w14:textId="77777777" w:rsidR="003C07E9" w:rsidRDefault="003C07E9">
      <w:pPr>
        <w:spacing w:line="240" w:lineRule="auto"/>
      </w:pPr>
      <w:r>
        <w:separator/>
      </w:r>
    </w:p>
  </w:footnote>
  <w:footnote w:type="continuationSeparator" w:id="0">
    <w:p w14:paraId="08A15583" w14:textId="77777777" w:rsidR="003C07E9" w:rsidRDefault="003C07E9">
      <w:pPr>
        <w:spacing w:line="240" w:lineRule="auto"/>
      </w:pPr>
      <w:r>
        <w:continuationSeparator/>
      </w:r>
    </w:p>
  </w:footnote>
  <w:footnote w:id="1">
    <w:p w14:paraId="283C8DB8" w14:textId="5E2811BF" w:rsidR="00DC6A13" w:rsidRDefault="00DC6A13" w:rsidP="00ED5088">
      <w:pPr>
        <w:pStyle w:val="Textodenotaderodap"/>
        <w:jc w:val="both"/>
      </w:pPr>
      <w:r>
        <w:rPr>
          <w:rStyle w:val="Refdenotaderodap"/>
        </w:rPr>
        <w:footnoteRef/>
      </w:r>
      <w:r>
        <w:t xml:space="preserve"> A Pesquisa contou com o apoio do CNPq e da FAPEPI.</w:t>
      </w:r>
    </w:p>
  </w:footnote>
  <w:footnote w:id="2">
    <w:p w14:paraId="5F76B4ED" w14:textId="26672224" w:rsidR="009865BB" w:rsidRDefault="009865BB" w:rsidP="00ED5088">
      <w:pPr>
        <w:pStyle w:val="Textodenotaderodap"/>
        <w:jc w:val="both"/>
      </w:pPr>
      <w:r>
        <w:rPr>
          <w:rStyle w:val="Refdenotaderodap"/>
        </w:rPr>
        <w:footnoteRef/>
      </w:r>
      <w:r>
        <w:t xml:space="preserve"> </w:t>
      </w:r>
      <w:r w:rsidR="007D2647">
        <w:t>Universidade Federal do Piauí</w:t>
      </w:r>
      <w:r w:rsidR="002F249F">
        <w:t>, graduanda em Letras</w:t>
      </w:r>
      <w:r w:rsidR="00ED5088">
        <w:t xml:space="preserve"> </w:t>
      </w:r>
      <w:r w:rsidR="002F249F">
        <w:t>Português</w:t>
      </w:r>
      <w:r w:rsidR="00ED5088">
        <w:t xml:space="preserve">, e-mail </w:t>
      </w:r>
      <w:hyperlink r:id="rId1" w:history="1">
        <w:r w:rsidR="00ED5088" w:rsidRPr="001F06C6">
          <w:rPr>
            <w:rStyle w:val="Hyperlink"/>
          </w:rPr>
          <w:t>gabrielle.alencar@ufpi.edu.br</w:t>
        </w:r>
      </w:hyperlink>
      <w:r w:rsidR="00ED5088">
        <w:t xml:space="preserve">. </w:t>
      </w:r>
      <w:r w:rsidR="002F249F">
        <w:t xml:space="preserve"> </w:t>
      </w:r>
    </w:p>
  </w:footnote>
  <w:footnote w:id="3">
    <w:p w14:paraId="28CC9662" w14:textId="6DE814AC" w:rsidR="00B9276F" w:rsidRDefault="00B9276F" w:rsidP="00B9276F">
      <w:pPr>
        <w:pStyle w:val="Textodenotaderodap"/>
        <w:jc w:val="both"/>
      </w:pPr>
      <w:r>
        <w:rPr>
          <w:rStyle w:val="Refdenotaderodap"/>
        </w:rPr>
        <w:footnoteRef/>
      </w:r>
      <w:r>
        <w:t xml:space="preserve"> Universidade Federal do Piauí, graduando em Pedagogia, e-mail </w:t>
      </w:r>
      <w:hyperlink r:id="rId2" w:history="1">
        <w:r w:rsidR="007A34D1" w:rsidRPr="001F06C6">
          <w:rPr>
            <w:rStyle w:val="Hyperlink"/>
          </w:rPr>
          <w:t>josevictorsousa23@gmail.com</w:t>
        </w:r>
      </w:hyperlink>
      <w:r>
        <w:t>.</w:t>
      </w:r>
      <w:r w:rsidR="007A34D1">
        <w:t xml:space="preserve"> </w:t>
      </w:r>
      <w:r>
        <w:t xml:space="preserve">  </w:t>
      </w:r>
    </w:p>
  </w:footnote>
  <w:footnote w:id="4">
    <w:p w14:paraId="2EC1D4F2" w14:textId="44CBF535" w:rsidR="00ED5088" w:rsidRDefault="00ED5088" w:rsidP="00237C50">
      <w:pPr>
        <w:pStyle w:val="Textodenotaderodap"/>
        <w:jc w:val="both"/>
      </w:pPr>
      <w:r>
        <w:rPr>
          <w:rStyle w:val="Refdenotaderodap"/>
        </w:rPr>
        <w:footnoteRef/>
      </w:r>
      <w:r>
        <w:t xml:space="preserve"> Universidade Federal do Piauí, doutora em educação, e-mail </w:t>
      </w:r>
      <w:hyperlink r:id="rId3" w:history="1">
        <w:r w:rsidRPr="001F06C6">
          <w:rPr>
            <w:rStyle w:val="Hyperlink"/>
          </w:rPr>
          <w:t>rosanacruz@ufpi.edu.br</w:t>
        </w:r>
      </w:hyperlink>
      <w:r>
        <w:t xml:space="preserve">.  </w:t>
      </w:r>
    </w:p>
  </w:footnote>
  <w:footnote w:id="5">
    <w:p w14:paraId="74B1D3F1" w14:textId="5D13FCB5" w:rsidR="00237C50" w:rsidRDefault="00237C50" w:rsidP="007376BA">
      <w:pPr>
        <w:pStyle w:val="Textodenotaderodap"/>
        <w:jc w:val="both"/>
      </w:pPr>
      <w:r>
        <w:rPr>
          <w:rStyle w:val="Refdenotaderodap"/>
        </w:rPr>
        <w:footnoteRef/>
      </w:r>
      <w:r>
        <w:t xml:space="preserve"> Universidade Federal do Piauí, doutorando em educação, e-mail </w:t>
      </w:r>
      <w:hyperlink r:id="rId4" w:history="1">
        <w:r w:rsidR="00B9276F" w:rsidRPr="001F06C6">
          <w:rPr>
            <w:rStyle w:val="Hyperlink"/>
          </w:rPr>
          <w:t>rosivaldosouza33@gmail.com</w:t>
        </w:r>
      </w:hyperlink>
      <w:r>
        <w:t xml:space="preserve">.  </w:t>
      </w:r>
    </w:p>
  </w:footnote>
  <w:footnote w:id="6">
    <w:p w14:paraId="4BBFC660" w14:textId="5A175364" w:rsidR="007376BA" w:rsidRDefault="007376BA">
      <w:pPr>
        <w:pStyle w:val="Textodenotaderodap"/>
      </w:pPr>
      <w:r>
        <w:rPr>
          <w:rStyle w:val="Refdenotaderodap"/>
        </w:rPr>
        <w:footnoteRef/>
      </w:r>
      <w:r>
        <w:t xml:space="preserve"> Universidade Federal do Piauí, graduando em Pedagogia, e-mail </w:t>
      </w:r>
      <w:hyperlink r:id="rId5" w:history="1">
        <w:r w:rsidR="003A2CA0" w:rsidRPr="001F06C6">
          <w:rPr>
            <w:rStyle w:val="Hyperlink"/>
          </w:rPr>
          <w:t>teodorosousa704@gmail.com</w:t>
        </w:r>
      </w:hyperlink>
      <w:r w:rsidR="003A2CA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C129" w14:textId="77777777" w:rsidR="0082449E" w:rsidRDefault="00000000">
    <w:r>
      <w:rPr>
        <w:noProof/>
      </w:rPr>
      <w:drawing>
        <wp:anchor distT="0" distB="0" distL="0" distR="0" simplePos="0" relativeHeight="251658240" behindDoc="1" locked="0" layoutInCell="1" hidden="0" allowOverlap="1" wp14:anchorId="0248084A" wp14:editId="2072A972">
          <wp:simplePos x="0" y="0"/>
          <wp:positionH relativeFrom="page">
            <wp:posOffset>0</wp:posOffset>
          </wp:positionH>
          <wp:positionV relativeFrom="page">
            <wp:posOffset>6985</wp:posOffset>
          </wp:positionV>
          <wp:extent cx="7560310" cy="1069213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 t="-1" r="-1" b="-1"/>
                  <a:stretch>
                    <a:fillRect/>
                  </a:stretch>
                </pic:blipFill>
                <pic:spPr>
                  <a:xfrm>
                    <a:off x="0" y="0"/>
                    <a:ext cx="7560310" cy="106921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9E"/>
    <w:rsid w:val="00072901"/>
    <w:rsid w:val="000C717F"/>
    <w:rsid w:val="000E0B63"/>
    <w:rsid w:val="00100916"/>
    <w:rsid w:val="0011326F"/>
    <w:rsid w:val="00113888"/>
    <w:rsid w:val="001B42C7"/>
    <w:rsid w:val="001E4A12"/>
    <w:rsid w:val="00237C50"/>
    <w:rsid w:val="0028459D"/>
    <w:rsid w:val="002C6851"/>
    <w:rsid w:val="002E5A67"/>
    <w:rsid w:val="002F249F"/>
    <w:rsid w:val="0032601C"/>
    <w:rsid w:val="00342D29"/>
    <w:rsid w:val="003A2CA0"/>
    <w:rsid w:val="003A5B54"/>
    <w:rsid w:val="003C07E9"/>
    <w:rsid w:val="00411D28"/>
    <w:rsid w:val="00492F02"/>
    <w:rsid w:val="004E5492"/>
    <w:rsid w:val="00563807"/>
    <w:rsid w:val="00572C68"/>
    <w:rsid w:val="005B0B0F"/>
    <w:rsid w:val="005E1C61"/>
    <w:rsid w:val="006001DA"/>
    <w:rsid w:val="006237B7"/>
    <w:rsid w:val="00641D4A"/>
    <w:rsid w:val="006C0F8D"/>
    <w:rsid w:val="006F4653"/>
    <w:rsid w:val="006F79C8"/>
    <w:rsid w:val="007023C1"/>
    <w:rsid w:val="007320D2"/>
    <w:rsid w:val="007376BA"/>
    <w:rsid w:val="007A34D1"/>
    <w:rsid w:val="007C3222"/>
    <w:rsid w:val="007D2647"/>
    <w:rsid w:val="0081450F"/>
    <w:rsid w:val="0082449E"/>
    <w:rsid w:val="009711D4"/>
    <w:rsid w:val="009865BB"/>
    <w:rsid w:val="009A2840"/>
    <w:rsid w:val="00A829A2"/>
    <w:rsid w:val="00AA2069"/>
    <w:rsid w:val="00AC7EF0"/>
    <w:rsid w:val="00B9276F"/>
    <w:rsid w:val="00BF6C1B"/>
    <w:rsid w:val="00C03D33"/>
    <w:rsid w:val="00C249A0"/>
    <w:rsid w:val="00C456D9"/>
    <w:rsid w:val="00C74907"/>
    <w:rsid w:val="00D02591"/>
    <w:rsid w:val="00DA4F36"/>
    <w:rsid w:val="00DB3477"/>
    <w:rsid w:val="00DC155F"/>
    <w:rsid w:val="00DC6A13"/>
    <w:rsid w:val="00DD2B63"/>
    <w:rsid w:val="00EC0038"/>
    <w:rsid w:val="00ED5088"/>
    <w:rsid w:val="00EE618B"/>
    <w:rsid w:val="00FA1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6120"/>
  <w15:docId w15:val="{5FFAD71C-A8DC-4544-95CB-13D2C2D4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65" w:type="dxa"/>
        <w:right w:w="70" w:type="dxa"/>
      </w:tblCellMar>
    </w:tblPr>
  </w:style>
  <w:style w:type="paragraph" w:styleId="Textodenotaderodap">
    <w:name w:val="footnote text"/>
    <w:basedOn w:val="Normal"/>
    <w:link w:val="TextodenotaderodapChar"/>
    <w:uiPriority w:val="99"/>
    <w:semiHidden/>
    <w:unhideWhenUsed/>
    <w:rsid w:val="00DC6A13"/>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C6A13"/>
    <w:rPr>
      <w:sz w:val="20"/>
      <w:szCs w:val="20"/>
    </w:rPr>
  </w:style>
  <w:style w:type="character" w:styleId="Refdenotaderodap">
    <w:name w:val="footnote reference"/>
    <w:basedOn w:val="Fontepargpadro"/>
    <w:uiPriority w:val="99"/>
    <w:semiHidden/>
    <w:unhideWhenUsed/>
    <w:rsid w:val="00DC6A13"/>
    <w:rPr>
      <w:vertAlign w:val="superscript"/>
    </w:rPr>
  </w:style>
  <w:style w:type="character" w:styleId="Hyperlink">
    <w:name w:val="Hyperlink"/>
    <w:basedOn w:val="Fontepargpadro"/>
    <w:uiPriority w:val="99"/>
    <w:unhideWhenUsed/>
    <w:rsid w:val="00ED5088"/>
    <w:rPr>
      <w:color w:val="0000FF" w:themeColor="hyperlink"/>
      <w:u w:val="single"/>
    </w:rPr>
  </w:style>
  <w:style w:type="character" w:styleId="MenoPendente">
    <w:name w:val="Unresolved Mention"/>
    <w:basedOn w:val="Fontepargpadro"/>
    <w:uiPriority w:val="99"/>
    <w:semiHidden/>
    <w:unhideWhenUsed/>
    <w:rsid w:val="00ED5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nde.gov.br/siope/municipiosQueNaoTransmitiram.do" TargetMode="External"/><Relationship Id="rId13" Type="http://schemas.openxmlformats.org/officeDocument/2006/relationships/hyperlink" Target="https://emaberto.inep.gov.br/ojs3/index.php/emaberto/issue/view/222" TargetMode="External"/><Relationship Id="rId3" Type="http://schemas.openxmlformats.org/officeDocument/2006/relationships/settings" Target="settings.xml"/><Relationship Id="rId7" Type="http://schemas.openxmlformats.org/officeDocument/2006/relationships/hyperlink" Target="https://www.planalto.gov.br/ccivil_03/constituicao/Constituicao.htm" TargetMode="External"/><Relationship Id="rId12" Type="http://schemas.openxmlformats.org/officeDocument/2006/relationships/hyperlink" Target="https://pesquisa.in.gov.br/imprensa/jsp/visualiza/index.jsp?jornal=1&amp;pagina=23&amp;data=09/07/200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nde.gov.br/index.php/acesso-a-informacao/institucional/legislacao/item/4025-portaria-mec-n%C2%BA-6,-de-20-de-junho-de-200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lanalto.gov.br/ccivil_03/constituicao/emendas/emc/emc108.htm%3EAcesso" TargetMode="External"/><Relationship Id="rId4" Type="http://schemas.openxmlformats.org/officeDocument/2006/relationships/webSettings" Target="webSettings.xml"/><Relationship Id="rId9" Type="http://schemas.openxmlformats.org/officeDocument/2006/relationships/hyperlink" Target="https://eaud.cgu.gov.br/relatorio/1510599%3EAceso" TargetMode="External"/><Relationship Id="rId14" Type="http://schemas.openxmlformats.org/officeDocument/2006/relationships/hyperlink" Target="https://www.redalyc.org/articulo.oa?id=9384210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rosanacruz@ufpi.edu.br" TargetMode="External"/><Relationship Id="rId2" Type="http://schemas.openxmlformats.org/officeDocument/2006/relationships/hyperlink" Target="mailto:josevictorsousa23@gmail.com" TargetMode="External"/><Relationship Id="rId1" Type="http://schemas.openxmlformats.org/officeDocument/2006/relationships/hyperlink" Target="mailto:gabrielle.alencar@ufpi.edu.br" TargetMode="External"/><Relationship Id="rId5" Type="http://schemas.openxmlformats.org/officeDocument/2006/relationships/hyperlink" Target="mailto:teodorosousa704@gmail.com" TargetMode="External"/><Relationship Id="rId4" Type="http://schemas.openxmlformats.org/officeDocument/2006/relationships/hyperlink" Target="mailto:rosivaldosouza3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4EC8F-7A2B-43CF-A41B-BFEBEA99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3754</Words>
  <Characters>20273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ROSIVALDO SOUZA</cp:lastModifiedBy>
  <cp:revision>26</cp:revision>
  <cp:lastPrinted>2025-06-22T14:05:00Z</cp:lastPrinted>
  <dcterms:created xsi:type="dcterms:W3CDTF">2025-06-27T17:34:00Z</dcterms:created>
  <dcterms:modified xsi:type="dcterms:W3CDTF">2025-06-27T18:46:00Z</dcterms:modified>
</cp:coreProperties>
</file>