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spacing w:line="240" w:lineRule="auto"/>
        <w:jc w:val="center"/>
        <w:rPr>
          <w:sz w:val="24"/>
          <w:szCs w:val="24"/>
        </w:rPr>
      </w:pPr>
      <w:r>
        <w:rPr>
          <w:b/>
          <w:sz w:val="24"/>
          <w:szCs w:val="24"/>
          <w:rtl w:val="0"/>
        </w:rPr>
        <w:t xml:space="preserve">“QUEM VAI SECAR CADA GOTA DE SUOR E SANGUE”?: </w:t>
      </w:r>
      <w:r>
        <w:rPr>
          <w:sz w:val="24"/>
          <w:szCs w:val="24"/>
          <w:rtl w:val="0"/>
        </w:rPr>
        <w:t>os impactos da política de segurança pública à população negra na fase pós impeachment do neoliberalismo brasileiro</w:t>
      </w:r>
    </w:p>
    <w:p w14:paraId="00000002">
      <w:pPr>
        <w:spacing w:line="240" w:lineRule="auto"/>
        <w:jc w:val="center"/>
        <w:rPr>
          <w:sz w:val="24"/>
          <w:szCs w:val="24"/>
        </w:rPr>
      </w:pPr>
    </w:p>
    <w:p w14:paraId="00000003">
      <w:pPr>
        <w:spacing w:line="240" w:lineRule="auto"/>
        <w:jc w:val="right"/>
        <w:rPr>
          <w:sz w:val="24"/>
          <w:szCs w:val="24"/>
        </w:rPr>
      </w:pPr>
      <w:r>
        <w:rPr>
          <w:sz w:val="24"/>
          <w:szCs w:val="24"/>
          <w:rtl w:val="0"/>
        </w:rPr>
        <w:t>João Victor de Oliveira Araújo</w:t>
      </w:r>
      <w:r>
        <w:rPr>
          <w:sz w:val="24"/>
          <w:szCs w:val="24"/>
          <w:vertAlign w:val="superscript"/>
        </w:rPr>
        <w:footnoteReference w:id="0"/>
      </w:r>
    </w:p>
    <w:p w14:paraId="00000004">
      <w:pPr>
        <w:spacing w:line="240" w:lineRule="auto"/>
        <w:jc w:val="right"/>
        <w:rPr>
          <w:sz w:val="24"/>
          <w:szCs w:val="24"/>
        </w:rPr>
      </w:pPr>
      <w:r>
        <w:rPr>
          <w:sz w:val="24"/>
          <w:szCs w:val="24"/>
          <w:rtl w:val="0"/>
        </w:rPr>
        <w:t>Franciane da Silva Santos Oliveira</w:t>
      </w:r>
      <w:r>
        <w:rPr>
          <w:sz w:val="24"/>
          <w:szCs w:val="24"/>
          <w:vertAlign w:val="superscript"/>
        </w:rPr>
        <w:footnoteReference w:id="1"/>
      </w:r>
    </w:p>
    <w:p w14:paraId="00000005">
      <w:pPr>
        <w:spacing w:line="240" w:lineRule="auto"/>
        <w:jc w:val="center"/>
        <w:rPr>
          <w:sz w:val="24"/>
          <w:szCs w:val="24"/>
        </w:rPr>
      </w:pPr>
    </w:p>
    <w:p w14:paraId="00000006">
      <w:pPr>
        <w:keepNext w:val="0"/>
        <w:keepLines w:val="0"/>
        <w:pageBreakBefore w:val="0"/>
        <w:widowControl/>
        <w:kinsoku/>
        <w:wordWrap/>
        <w:overflowPunct/>
        <w:topLinePunct w:val="0"/>
        <w:autoSpaceDE/>
        <w:autoSpaceDN/>
        <w:bidi w:val="0"/>
        <w:adjustRightInd/>
        <w:snapToGrid/>
        <w:spacing w:line="240" w:lineRule="auto"/>
        <w:ind w:left="2835" w:firstLine="0"/>
        <w:jc w:val="both"/>
        <w:textAlignment w:val="auto"/>
        <w:rPr>
          <w:b w:val="0"/>
          <w:sz w:val="20"/>
          <w:szCs w:val="20"/>
          <w:vertAlign w:val="baseline"/>
        </w:rPr>
      </w:pPr>
      <w:r>
        <w:rPr>
          <w:b/>
          <w:sz w:val="20"/>
          <w:szCs w:val="20"/>
          <w:vertAlign w:val="baseline"/>
          <w:rtl w:val="0"/>
        </w:rPr>
        <w:t>Resumo</w:t>
      </w:r>
    </w:p>
    <w:p w14:paraId="00000007">
      <w:pPr>
        <w:keepNext w:val="0"/>
        <w:keepLines w:val="0"/>
        <w:pageBreakBefore w:val="0"/>
        <w:widowControl/>
        <w:kinsoku/>
        <w:wordWrap/>
        <w:overflowPunct/>
        <w:topLinePunct w:val="0"/>
        <w:autoSpaceDE/>
        <w:autoSpaceDN/>
        <w:bidi w:val="0"/>
        <w:adjustRightInd/>
        <w:snapToGrid/>
        <w:spacing w:line="240" w:lineRule="auto"/>
        <w:ind w:left="2835" w:firstLine="0"/>
        <w:jc w:val="both"/>
        <w:textAlignment w:val="auto"/>
        <w:rPr>
          <w:sz w:val="20"/>
          <w:szCs w:val="20"/>
          <w:vertAlign w:val="baseline"/>
        </w:rPr>
      </w:pPr>
      <w:r>
        <w:rPr>
          <w:sz w:val="20"/>
          <w:szCs w:val="20"/>
          <w:rtl w:val="0"/>
        </w:rPr>
        <w:t>O presente trabalho teve como objetivo investigar a Política de Segurança Pública brasileira projetada na fase neoliberal pós impeachment de 2016 e seus impactos sobre a população negra nacional. Explorou-se a constituição da Segurança Pública com base na formação sócio-histórica brasileira e como o racismo a ela se engendrou e fundamentou. O trabalho é de cunho qualitativo e quantitativo, o recorte histórico analisado são os anos de 2017 e 2018, partindo de uma revisão documental e bibliográfica do racismo estrutural brasileiro, do processo de neoliberalização nacional e da Política de Segurança Pública operacionalizada na realidade social. Está ancorado na teoria social crítica, através da utilização do método do materialismo histórico e dialético e da interseccionalidade. Os resultados obtidos evidenciam um agigantamento da estrutura da Segurança Pública com repasses financeiros crescentes materializando uma operacionalização mais repressiva e punitiva sobre o corpo social, principalmente sobre o segmento populacional negro.</w:t>
      </w:r>
      <w:r>
        <w:rPr>
          <w:sz w:val="20"/>
          <w:szCs w:val="20"/>
          <w:vertAlign w:val="baseline"/>
          <w:rtl w:val="0"/>
        </w:rPr>
        <w:t xml:space="preserve"> </w:t>
      </w:r>
    </w:p>
    <w:p w14:paraId="00000008">
      <w:pPr>
        <w:keepNext w:val="0"/>
        <w:keepLines w:val="0"/>
        <w:pageBreakBefore w:val="0"/>
        <w:widowControl/>
        <w:kinsoku/>
        <w:wordWrap/>
        <w:overflowPunct/>
        <w:topLinePunct w:val="0"/>
        <w:autoSpaceDE/>
        <w:autoSpaceDN/>
        <w:bidi w:val="0"/>
        <w:adjustRightInd/>
        <w:snapToGrid/>
        <w:spacing w:line="240" w:lineRule="auto"/>
        <w:ind w:left="2835" w:firstLine="0"/>
        <w:jc w:val="both"/>
        <w:textAlignment w:val="auto"/>
        <w:rPr>
          <w:sz w:val="20"/>
          <w:szCs w:val="20"/>
        </w:rPr>
      </w:pPr>
      <w:r>
        <w:rPr>
          <w:b/>
          <w:sz w:val="20"/>
          <w:szCs w:val="20"/>
          <w:vertAlign w:val="baseline"/>
          <w:rtl w:val="0"/>
        </w:rPr>
        <w:t>Palavras-chave</w:t>
      </w:r>
      <w:r>
        <w:rPr>
          <w:sz w:val="20"/>
          <w:szCs w:val="20"/>
          <w:vertAlign w:val="baseline"/>
          <w:rtl w:val="0"/>
        </w:rPr>
        <w:t xml:space="preserve">: </w:t>
      </w:r>
      <w:r>
        <w:rPr>
          <w:sz w:val="20"/>
          <w:szCs w:val="20"/>
          <w:rtl w:val="0"/>
        </w:rPr>
        <w:t xml:space="preserve">Racismo Estrutural; Neoliberalismo Brasileiro; </w:t>
      </w:r>
      <w:bookmarkStart w:id="58" w:name="_GoBack"/>
      <w:r>
        <w:rPr>
          <w:sz w:val="20"/>
          <w:szCs w:val="20"/>
          <w:rtl w:val="0"/>
        </w:rPr>
        <w:t>Política de Segurança Pública Brasileira</w:t>
      </w:r>
      <w:bookmarkEnd w:id="58"/>
    </w:p>
    <w:p w14:paraId="00000009">
      <w:pPr>
        <w:keepNext w:val="0"/>
        <w:keepLines w:val="0"/>
        <w:pageBreakBefore w:val="0"/>
        <w:widowControl/>
        <w:kinsoku/>
        <w:wordWrap/>
        <w:overflowPunct/>
        <w:topLinePunct w:val="0"/>
        <w:autoSpaceDE/>
        <w:autoSpaceDN/>
        <w:bidi w:val="0"/>
        <w:adjustRightInd/>
        <w:snapToGrid/>
        <w:spacing w:line="240" w:lineRule="auto"/>
        <w:ind w:left="2835" w:firstLine="0"/>
        <w:jc w:val="both"/>
        <w:textAlignment w:val="auto"/>
        <w:rPr>
          <w:sz w:val="20"/>
          <w:szCs w:val="20"/>
          <w:vertAlign w:val="baseline"/>
        </w:rPr>
      </w:pPr>
    </w:p>
    <w:p w14:paraId="0000000A">
      <w:pPr>
        <w:keepNext w:val="0"/>
        <w:keepLines w:val="0"/>
        <w:pageBreakBefore w:val="0"/>
        <w:widowControl/>
        <w:kinsoku/>
        <w:wordWrap/>
        <w:overflowPunct/>
        <w:topLinePunct w:val="0"/>
        <w:autoSpaceDE/>
        <w:autoSpaceDN/>
        <w:bidi w:val="0"/>
        <w:adjustRightInd/>
        <w:snapToGrid/>
        <w:spacing w:line="240" w:lineRule="auto"/>
        <w:ind w:left="2835" w:firstLine="0"/>
        <w:jc w:val="both"/>
        <w:textAlignment w:val="auto"/>
        <w:rPr>
          <w:b w:val="0"/>
          <w:sz w:val="20"/>
          <w:szCs w:val="20"/>
          <w:vertAlign w:val="baseline"/>
        </w:rPr>
      </w:pPr>
      <w:r>
        <w:rPr>
          <w:b/>
          <w:sz w:val="20"/>
          <w:szCs w:val="20"/>
          <w:vertAlign w:val="baseline"/>
          <w:rtl w:val="0"/>
        </w:rPr>
        <w:t>Abstract</w:t>
      </w:r>
    </w:p>
    <w:p w14:paraId="0000000B">
      <w:pPr>
        <w:keepNext w:val="0"/>
        <w:keepLines w:val="0"/>
        <w:pageBreakBefore w:val="0"/>
        <w:widowControl/>
        <w:kinsoku/>
        <w:wordWrap/>
        <w:overflowPunct/>
        <w:topLinePunct w:val="0"/>
        <w:autoSpaceDE/>
        <w:autoSpaceDN/>
        <w:bidi w:val="0"/>
        <w:adjustRightInd/>
        <w:snapToGrid/>
        <w:spacing w:line="240" w:lineRule="auto"/>
        <w:ind w:left="2835" w:firstLine="0"/>
        <w:jc w:val="both"/>
        <w:textAlignment w:val="auto"/>
        <w:rPr>
          <w:sz w:val="20"/>
          <w:szCs w:val="20"/>
          <w:vertAlign w:val="baseline"/>
        </w:rPr>
      </w:pPr>
      <w:r>
        <w:rPr>
          <w:sz w:val="20"/>
          <w:szCs w:val="20"/>
          <w:rtl w:val="0"/>
        </w:rPr>
        <w:t>This study aims to investigate the Brazilian Public Security Policy designed in the neoliberal phase after the impeachment of 2016 and its impacts on the black population in Brazil. The constitution of Public Security was explored based on the Brazilian socio-historical formation and how racism was engendered and founded it. The study is qualitative and quantitative in nature, and the historical period analyzed is the years 2017 and 2018, based on a documentary and bibliographic review of Brazilian structural racism, the process of national neoliberalization, and the Public Security Policy operationalized in social reality. It is anchored in critical social theory, through the use of the method of historical and dialectical materialism and intersectionality. The results obtained show an enlargement of the structure of Public Security with increasing financial transfers materializing a more repressive and punitive operationalization over the social body, especially over the black population segment.</w:t>
      </w:r>
      <w:r>
        <w:rPr>
          <w:sz w:val="20"/>
          <w:szCs w:val="20"/>
          <w:vertAlign w:val="baseline"/>
          <w:rtl w:val="0"/>
        </w:rPr>
        <w:t xml:space="preserve"> </w:t>
      </w:r>
    </w:p>
    <w:p w14:paraId="0000000C">
      <w:pPr>
        <w:keepNext w:val="0"/>
        <w:keepLines w:val="0"/>
        <w:pageBreakBefore w:val="0"/>
        <w:widowControl/>
        <w:kinsoku/>
        <w:wordWrap/>
        <w:overflowPunct/>
        <w:topLinePunct w:val="0"/>
        <w:autoSpaceDE/>
        <w:autoSpaceDN/>
        <w:bidi w:val="0"/>
        <w:adjustRightInd/>
        <w:snapToGrid/>
        <w:spacing w:line="240" w:lineRule="auto"/>
        <w:ind w:left="2835" w:firstLine="0"/>
        <w:jc w:val="both"/>
        <w:textAlignment w:val="auto"/>
        <w:rPr>
          <w:sz w:val="20"/>
          <w:szCs w:val="20"/>
        </w:rPr>
      </w:pPr>
      <w:r>
        <w:rPr>
          <w:b/>
          <w:sz w:val="20"/>
          <w:szCs w:val="20"/>
          <w:vertAlign w:val="baseline"/>
          <w:rtl w:val="0"/>
        </w:rPr>
        <w:t>Keywords</w:t>
      </w:r>
      <w:r>
        <w:rPr>
          <w:sz w:val="20"/>
          <w:szCs w:val="20"/>
          <w:vertAlign w:val="baseline"/>
          <w:rtl w:val="0"/>
        </w:rPr>
        <w:t xml:space="preserve">: </w:t>
      </w:r>
      <w:r>
        <w:rPr>
          <w:sz w:val="20"/>
          <w:szCs w:val="20"/>
          <w:rtl w:val="0"/>
        </w:rPr>
        <w:t>Structural Racism; Brazilian Neoliberalism; Brazilian Public Security Policy</w:t>
      </w:r>
    </w:p>
    <w:p w14:paraId="0000000D">
      <w:pPr>
        <w:spacing w:line="360" w:lineRule="auto"/>
        <w:rPr>
          <w:sz w:val="24"/>
          <w:szCs w:val="24"/>
        </w:rPr>
      </w:pPr>
    </w:p>
    <w:p w14:paraId="0000000E">
      <w:pPr>
        <w:spacing w:line="360" w:lineRule="auto"/>
        <w:rPr>
          <w:sz w:val="24"/>
          <w:szCs w:val="24"/>
          <w:vertAlign w:val="baseline"/>
        </w:rPr>
      </w:pPr>
      <w:r>
        <w:rPr>
          <w:b/>
          <w:sz w:val="24"/>
          <w:szCs w:val="24"/>
          <w:vertAlign w:val="baseline"/>
          <w:rtl w:val="0"/>
        </w:rPr>
        <w:t>1</w:t>
      </w:r>
      <w:r>
        <w:rPr>
          <w:b/>
          <w:sz w:val="24"/>
          <w:szCs w:val="24"/>
          <w:vertAlign w:val="baseline"/>
          <w:rtl w:val="0"/>
        </w:rPr>
        <w:tab/>
      </w:r>
      <w:r>
        <w:rPr>
          <w:b/>
          <w:sz w:val="24"/>
          <w:szCs w:val="24"/>
          <w:vertAlign w:val="baseline"/>
          <w:rtl w:val="0"/>
        </w:rPr>
        <w:t>INTRODUÇÃO</w:t>
      </w:r>
    </w:p>
    <w:p w14:paraId="0000000F">
      <w:pPr>
        <w:spacing w:line="360" w:lineRule="auto"/>
        <w:ind w:firstLine="709"/>
        <w:jc w:val="both"/>
        <w:rPr>
          <w:sz w:val="24"/>
          <w:szCs w:val="24"/>
        </w:rPr>
      </w:pPr>
      <w:bookmarkStart w:id="0" w:name="_heading=h.g8hsqji8qsrh" w:colFirst="0" w:colLast="0"/>
      <w:bookmarkEnd w:id="0"/>
    </w:p>
    <w:p w14:paraId="00000010">
      <w:pPr>
        <w:spacing w:line="360" w:lineRule="auto"/>
        <w:ind w:left="0" w:firstLine="0"/>
        <w:jc w:val="both"/>
        <w:rPr>
          <w:sz w:val="24"/>
          <w:szCs w:val="24"/>
        </w:rPr>
      </w:pPr>
      <w:r>
        <w:rPr>
          <w:sz w:val="24"/>
          <w:szCs w:val="24"/>
          <w:rtl w:val="0"/>
        </w:rPr>
        <w:tab/>
      </w:r>
      <w:r>
        <w:rPr>
          <w:sz w:val="24"/>
          <w:szCs w:val="24"/>
          <w:rtl w:val="0"/>
        </w:rPr>
        <w:t xml:space="preserve">Este artigo pretende expor os achados de pesquisa realizada pelos autores sobre os impactos à população negra brasileira ocasionados pela Política de Segurança Pública encabeçada na fase neoliberal pós impeachment de 2016 e final do governo Temer em 2018. Dentro da literatura utilizada neste trabalho, pode-se entender que o impeachment, ou golpe, impetrado contra a presidenta Dilma Rousseff marca um novo estágio no processo de neoliberalização brasileiro. Observou-se os impactos ao povo negro mediante dados </w:t>
      </w:r>
      <w:r>
        <w:rPr>
          <w:sz w:val="24"/>
          <w:szCs w:val="24"/>
          <w:rtl w:val="0"/>
          <w:lang w:val="pt-BR"/>
        </w:rPr>
        <w:t>disponíveis</w:t>
      </w:r>
      <w:r>
        <w:rPr>
          <w:sz w:val="24"/>
          <w:szCs w:val="24"/>
          <w:rtl w:val="0"/>
        </w:rPr>
        <w:t xml:space="preserve"> sobre mortes por ação policial e encarceiramento. Também explorou-se as demandas orçamentárias e as diretrizes organizacionais da política de segurança pública constituídas no período analisado. </w:t>
      </w:r>
    </w:p>
    <w:p w14:paraId="00000011">
      <w:pPr>
        <w:spacing w:line="360" w:lineRule="auto"/>
        <w:ind w:left="0" w:firstLine="720"/>
        <w:jc w:val="both"/>
        <w:rPr>
          <w:sz w:val="24"/>
          <w:szCs w:val="24"/>
        </w:rPr>
      </w:pPr>
      <w:r>
        <w:rPr>
          <w:sz w:val="24"/>
          <w:szCs w:val="24"/>
          <w:rtl w:val="0"/>
        </w:rPr>
        <w:t>O método de pesquisa do materialismo histórico dialético permite que se entenda as categorias alvo de reflexão analítica crítica a partir das suas formações histórica, social, política e cultural, examinando os complexos sociais no metabolismo social do capitalismo brasileiro, almejando assim sua totalidade (Lukács, 1989).</w:t>
      </w:r>
    </w:p>
    <w:p w14:paraId="00000012">
      <w:pPr>
        <w:spacing w:line="360" w:lineRule="auto"/>
        <w:ind w:left="0" w:firstLine="720"/>
        <w:jc w:val="both"/>
        <w:rPr>
          <w:sz w:val="24"/>
          <w:szCs w:val="24"/>
        </w:rPr>
      </w:pPr>
      <w:r>
        <w:rPr>
          <w:sz w:val="24"/>
          <w:szCs w:val="24"/>
          <w:rtl w:val="0"/>
        </w:rPr>
        <w:t>O viés interseccional apresenta-se oportuno, pois é um artifício analítico, metodológico e teórico capaz de oferecer novos olhares aprofundados na análise das políticas penais/punitivas, bem como do projeto de segurança pública. A interseccionalidade busca correlacionar classe, raça e gênero como estruturas imbricadas da modernidade ocidental (Akotirene, 2018).</w:t>
      </w:r>
    </w:p>
    <w:p w14:paraId="00000013">
      <w:pPr>
        <w:spacing w:line="360" w:lineRule="auto"/>
        <w:ind w:left="0" w:firstLine="720"/>
        <w:jc w:val="both"/>
        <w:rPr>
          <w:color w:val="FF0000"/>
          <w:sz w:val="24"/>
          <w:szCs w:val="24"/>
        </w:rPr>
      </w:pPr>
      <w:r>
        <w:rPr>
          <w:sz w:val="24"/>
          <w:szCs w:val="24"/>
          <w:rtl w:val="0"/>
        </w:rPr>
        <w:t xml:space="preserve">Sendo então uma pesquisa quali-quanti (Gil, 2008), está voltada para a utilização dos métodos de pesquisa bibliográfica e documental acerca do processo de neoliberalização brasileiro, do racismo estrutural brasileiro e a política de segurança pública dentro do campo da teoria social crítica. Quanto ao fator quantitativo, este se fez ao buscar-se as taxas de investimentos na política de Segurança Pública, as taxas de encarceramento e vitimização por ação policial de sujeitos negros e negras. recorrendo aos dados disponibilizados pelo Fórum Brasileiro de Segurança Pública (FBSP) e pelo Levantamento Nacional de Informações Penitenciárias (Infopen). </w:t>
      </w:r>
    </w:p>
    <w:p w14:paraId="00000014">
      <w:pPr>
        <w:spacing w:line="360" w:lineRule="auto"/>
        <w:jc w:val="both"/>
        <w:rPr>
          <w:b/>
          <w:sz w:val="24"/>
          <w:szCs w:val="24"/>
        </w:rPr>
      </w:pPr>
    </w:p>
    <w:p w14:paraId="00000015">
      <w:pPr>
        <w:spacing w:line="360" w:lineRule="auto"/>
        <w:jc w:val="both"/>
        <w:rPr>
          <w:sz w:val="24"/>
          <w:szCs w:val="24"/>
        </w:rPr>
      </w:pPr>
      <w:r>
        <w:rPr>
          <w:b/>
          <w:sz w:val="24"/>
          <w:szCs w:val="24"/>
          <w:rtl w:val="0"/>
        </w:rPr>
        <w:t>2</w:t>
      </w:r>
      <w:r>
        <w:rPr>
          <w:b/>
          <w:sz w:val="24"/>
          <w:szCs w:val="24"/>
          <w:rtl w:val="0"/>
        </w:rPr>
        <w:tab/>
      </w:r>
      <w:r>
        <w:rPr>
          <w:b/>
          <w:sz w:val="24"/>
          <w:szCs w:val="24"/>
          <w:rtl w:val="0"/>
        </w:rPr>
        <w:t xml:space="preserve">O RACISMO COMO ELEMENTO CONSTITUTIVO DA SEGURANÇA PÚBLICA BRASILEIRA </w:t>
      </w:r>
    </w:p>
    <w:p w14:paraId="00000016">
      <w:pPr>
        <w:spacing w:line="360" w:lineRule="auto"/>
        <w:ind w:left="0" w:firstLine="0"/>
        <w:jc w:val="both"/>
        <w:rPr>
          <w:sz w:val="24"/>
          <w:szCs w:val="24"/>
        </w:rPr>
      </w:pPr>
      <w:bookmarkStart w:id="1" w:name="_heading=h.3fesxqraw649" w:colFirst="0" w:colLast="0"/>
      <w:bookmarkEnd w:id="1"/>
    </w:p>
    <w:p w14:paraId="00000017">
      <w:pPr>
        <w:spacing w:line="360" w:lineRule="auto"/>
        <w:ind w:firstLine="709"/>
        <w:jc w:val="both"/>
        <w:rPr>
          <w:sz w:val="24"/>
          <w:szCs w:val="24"/>
        </w:rPr>
      </w:pPr>
      <w:bookmarkStart w:id="2" w:name="_heading=h.awtoesqf4vnf" w:colFirst="0" w:colLast="0"/>
      <w:bookmarkEnd w:id="2"/>
      <w:r>
        <w:rPr>
          <w:sz w:val="24"/>
          <w:szCs w:val="24"/>
          <w:rtl w:val="0"/>
        </w:rPr>
        <w:t xml:space="preserve">O escravismo foi o principal motor da economia nacional durante a fase colonial-mercantilista e imperial-escravista, assim, para manter o empreendimento de trabalho escravo forçado foi necessário o desenvolvimento de uma série de aparatos de controle dos corpos negros e repressão/prevenção à suas resistências (Flauzina, 2006). A resistência negra se apresenta como uma categoria analítica de relevância, pois para Moura (2014), o entendimento da totalidade social se dá a partir da apreensão dos processos tanto de exploração-opressão como de resistência, cujos têm uma dinâmica dialética de retroalimentação mútua e tecem a conjuntura das relações sociais. </w:t>
      </w:r>
    </w:p>
    <w:p w14:paraId="00000018">
      <w:pPr>
        <w:spacing w:line="360" w:lineRule="auto"/>
        <w:ind w:firstLine="709"/>
        <w:jc w:val="both"/>
        <w:rPr>
          <w:sz w:val="24"/>
          <w:szCs w:val="24"/>
        </w:rPr>
      </w:pPr>
      <w:bookmarkStart w:id="3" w:name="_heading=h.wsycijnyvxp9" w:colFirst="0" w:colLast="0"/>
      <w:bookmarkEnd w:id="3"/>
      <w:r>
        <w:rPr>
          <w:sz w:val="24"/>
          <w:szCs w:val="24"/>
          <w:rtl w:val="0"/>
        </w:rPr>
        <w:t xml:space="preserve">Um país cujos escravizados desenvolveram experiências de sociabilidade alternativa como os quilombos teve que agir energicamente no sentido de manter a reprodução da ordem colonial e escravista. Porém, diversas foram as formas de resistência realizadas pelos/as escravizados/as, desde atirar-se ao mar no percurso transatlântico, queimar os navios negreiros, rebeliões nas senzalas, assasinato dos donos de engenho, </w:t>
      </w:r>
      <w:r>
        <w:rPr>
          <w:i/>
          <w:sz w:val="24"/>
          <w:szCs w:val="24"/>
          <w:rtl w:val="0"/>
        </w:rPr>
        <w:t>o banzo</w:t>
      </w:r>
      <w:r>
        <w:rPr>
          <w:sz w:val="24"/>
          <w:szCs w:val="24"/>
          <w:rtl w:val="0"/>
        </w:rPr>
        <w:t xml:space="preserve">. Isso mostra que nada houve de benevolente no sistema escravista, mas sim um extenso processo de espoliação de recursos da colônia e do trabalho de escravizados/as em prol das elites colonizadoras e das metrópoles europeias (Moura, 2014). </w:t>
      </w:r>
    </w:p>
    <w:p w14:paraId="00000019">
      <w:pPr>
        <w:spacing w:line="360" w:lineRule="auto"/>
        <w:ind w:firstLine="709"/>
        <w:jc w:val="both"/>
        <w:rPr>
          <w:sz w:val="24"/>
          <w:szCs w:val="24"/>
        </w:rPr>
      </w:pPr>
      <w:bookmarkStart w:id="4" w:name="_heading=h.bedndwberxrg" w:colFirst="0" w:colLast="0"/>
      <w:bookmarkEnd w:id="4"/>
      <w:r>
        <w:rPr>
          <w:sz w:val="24"/>
          <w:szCs w:val="24"/>
          <w:rtl w:val="0"/>
        </w:rPr>
        <w:t xml:space="preserve">Diante disso, e tendo em mente a necessidade digamos orgânica da branquitude colonial em manter a subserviência negra sempre em vigor e a todo custo, podemos dizer que “[...] o sistema penal colonial-mercantilista consolidou sua identidade a partir do projeto que regulamenta os destinos da população negra, tendo desde então mudado seus contornos sem nunca perder de vista essa função primordial” (Flauzina, 2006, p. 52). Ou seja, o racismo é o que fomenta a “função primeira de um sistema penal que atravessa três séculos de nossa trajetória, encontrando no controle dos corpos negros a herança maldita da qual nunca conseguimos nos divorciar” (Flauzina, 2006, p. 45-46). </w:t>
      </w:r>
    </w:p>
    <w:p w14:paraId="0000001A">
      <w:pPr>
        <w:spacing w:line="360" w:lineRule="auto"/>
        <w:ind w:firstLine="709"/>
        <w:jc w:val="both"/>
        <w:rPr>
          <w:sz w:val="24"/>
          <w:szCs w:val="24"/>
        </w:rPr>
      </w:pPr>
      <w:bookmarkStart w:id="5" w:name="_heading=h.w9fw2i49j6vg" w:colFirst="0" w:colLast="0"/>
      <w:bookmarkEnd w:id="5"/>
      <w:r>
        <w:rPr>
          <w:sz w:val="24"/>
          <w:szCs w:val="24"/>
          <w:rtl w:val="0"/>
        </w:rPr>
        <w:t xml:space="preserve">A partir do início da fase imperial-escravista, dada após a independência do país, o que se observa é o desenvolvimento de uma extensa legislação social-penal de marginalização e </w:t>
      </w:r>
      <w:r>
        <w:rPr>
          <w:sz w:val="24"/>
          <w:szCs w:val="24"/>
          <w:rtl w:val="0"/>
          <w:lang w:val="pt-BR"/>
        </w:rPr>
        <w:t>genocídio</w:t>
      </w:r>
      <w:r>
        <w:rPr>
          <w:sz w:val="24"/>
          <w:szCs w:val="24"/>
          <w:rtl w:val="0"/>
        </w:rPr>
        <w:t xml:space="preserve"> do povo negro no Brasil. O Código Criminal do Império (1830) trazia consigo a criminalização de diversos aspectos e expressões socioculturais da negritude (samba, capoeira, prática religiosa de matriz africana). Legislações como a lei Eusébio de Queiroz (1850), a lei de Terras (1850), a lei do Ventre Livre (1870) e a lei dos </w:t>
      </w:r>
      <w:r>
        <w:rPr>
          <w:sz w:val="24"/>
          <w:szCs w:val="24"/>
          <w:rtl w:val="0"/>
          <w:lang w:val="pt-BR"/>
        </w:rPr>
        <w:t>Sexagenários</w:t>
      </w:r>
      <w:r>
        <w:rPr>
          <w:sz w:val="24"/>
          <w:szCs w:val="24"/>
          <w:rtl w:val="0"/>
        </w:rPr>
        <w:t xml:space="preserve"> (1885), somaram-se ao </w:t>
      </w:r>
      <w:r>
        <w:rPr>
          <w:sz w:val="24"/>
          <w:szCs w:val="24"/>
          <w:rtl w:val="0"/>
          <w:lang w:val="pt-BR"/>
        </w:rPr>
        <w:t>processo</w:t>
      </w:r>
      <w:r>
        <w:rPr>
          <w:sz w:val="24"/>
          <w:szCs w:val="24"/>
          <w:rtl w:val="0"/>
        </w:rPr>
        <w:t xml:space="preserve"> de operacionalização gradual do projeto de descarte do/a negro/a da condição de classe laboriosa para ser lido/a como classe perigosa. Assim, na Abolição (1888) há o abandono social da população negra à sua própria sorte, destituídos de cidadania, trabalho digno e direitos (Borges, 2019). </w:t>
      </w:r>
    </w:p>
    <w:p w14:paraId="0000001B">
      <w:pPr>
        <w:spacing w:line="360" w:lineRule="auto"/>
        <w:ind w:firstLine="709"/>
        <w:jc w:val="both"/>
        <w:rPr>
          <w:sz w:val="24"/>
          <w:szCs w:val="24"/>
        </w:rPr>
      </w:pPr>
      <w:bookmarkStart w:id="6" w:name="_heading=h.wz1qt8wt053w" w:colFirst="0" w:colLast="0"/>
      <w:bookmarkEnd w:id="6"/>
      <w:r>
        <w:rPr>
          <w:sz w:val="24"/>
          <w:szCs w:val="24"/>
          <w:rtl w:val="0"/>
        </w:rPr>
        <w:t xml:space="preserve">Ao longo do processo histórico republicano, deu-se continuidade ao projeto de marginalização e criminalização do/a negro/a, ao mesmo tempo que se promovia largamente o mito da democracia racial, ou seja, a ideia de que as relações raciais no Brasil eram/são harmônicas. Novos Códigos Criminais/Penais (1891 e 1941) foram consolidados mantendo a criminalização das organizações e expressões socioculturais negras e ao dito ‘ato de mendicância’ (Flauzina, 2006). </w:t>
      </w:r>
    </w:p>
    <w:p w14:paraId="0000001C">
      <w:pPr>
        <w:spacing w:line="360" w:lineRule="auto"/>
        <w:ind w:firstLine="709"/>
        <w:jc w:val="both"/>
        <w:rPr>
          <w:sz w:val="24"/>
          <w:szCs w:val="24"/>
        </w:rPr>
      </w:pPr>
      <w:bookmarkStart w:id="7" w:name="_heading=h.n3hbfb440es" w:colFirst="0" w:colLast="0"/>
      <w:bookmarkEnd w:id="7"/>
      <w:r>
        <w:rPr>
          <w:sz w:val="24"/>
          <w:szCs w:val="24"/>
          <w:rtl w:val="0"/>
        </w:rPr>
        <w:t xml:space="preserve">O Brasil investiu freneticamente na importação de europeus para que viessem compor a classe trabalhadora industrial e proliferar o genes branco, pois, segundo as teorias eugenistas que guiavam a atuação do poder público durante boa parte do séc. XX, ser um país de maioria negra e miscigenada representava um componente de atraso ao desenvolvimento nacional (Gonçalves, 2018). </w:t>
      </w:r>
    </w:p>
    <w:p w14:paraId="0000001D">
      <w:pPr>
        <w:spacing w:line="360" w:lineRule="auto"/>
        <w:ind w:left="0" w:firstLine="720"/>
        <w:jc w:val="both"/>
        <w:rPr>
          <w:sz w:val="24"/>
          <w:szCs w:val="24"/>
        </w:rPr>
      </w:pPr>
      <w:bookmarkStart w:id="8" w:name="_heading=h.enl3qdhdt86x" w:colFirst="0" w:colLast="0"/>
      <w:bookmarkEnd w:id="8"/>
      <w:r>
        <w:rPr>
          <w:sz w:val="24"/>
          <w:szCs w:val="24"/>
          <w:rtl w:val="0"/>
        </w:rPr>
        <w:t xml:space="preserve">É </w:t>
      </w:r>
      <w:r>
        <w:rPr>
          <w:sz w:val="24"/>
          <w:szCs w:val="24"/>
          <w:rtl w:val="0"/>
          <w:lang w:val="pt-BR"/>
        </w:rPr>
        <w:t>possível</w:t>
      </w:r>
      <w:r>
        <w:rPr>
          <w:sz w:val="24"/>
          <w:szCs w:val="24"/>
          <w:rtl w:val="0"/>
        </w:rPr>
        <w:t xml:space="preserve"> constatar também o avanço da resistência e das organizações </w:t>
      </w:r>
      <w:r>
        <w:rPr>
          <w:sz w:val="24"/>
          <w:szCs w:val="24"/>
          <w:rtl w:val="0"/>
          <w:lang w:val="pt-BR"/>
        </w:rPr>
        <w:t>políticas</w:t>
      </w:r>
      <w:r>
        <w:rPr>
          <w:sz w:val="24"/>
          <w:szCs w:val="24"/>
          <w:rtl w:val="0"/>
        </w:rPr>
        <w:t xml:space="preserve"> negras, donde podemos exemplificar no surgimento da Frente Negra Brasileira-FNB (1931), do Teatro Experimental do Negro-TEN (1944) e  do Conselho Nacional das Mulheres Negras (1950) (Nascimento, 2016). </w:t>
      </w:r>
    </w:p>
    <w:p w14:paraId="0000001E">
      <w:pPr>
        <w:spacing w:line="360" w:lineRule="auto"/>
        <w:ind w:firstLine="709"/>
        <w:jc w:val="both"/>
        <w:rPr>
          <w:sz w:val="24"/>
          <w:szCs w:val="24"/>
        </w:rPr>
      </w:pPr>
      <w:bookmarkStart w:id="9" w:name="_heading=h.aax9asi1bb0d" w:colFirst="0" w:colLast="0"/>
      <w:bookmarkEnd w:id="9"/>
      <w:r>
        <w:rPr>
          <w:sz w:val="24"/>
          <w:szCs w:val="24"/>
          <w:rtl w:val="0"/>
        </w:rPr>
        <w:t>A instauração da Ditadura Civil-Militar de 1964 pode ser lida, segundo Netto (2005), como um movimento contra</w:t>
      </w:r>
      <w:r>
        <w:rPr>
          <w:rFonts w:hint="default"/>
          <w:sz w:val="24"/>
          <w:szCs w:val="24"/>
          <w:rtl w:val="0"/>
          <w:lang w:val="pt-BR"/>
        </w:rPr>
        <w:t>r</w:t>
      </w:r>
      <w:r>
        <w:rPr>
          <w:sz w:val="24"/>
          <w:szCs w:val="24"/>
          <w:rtl w:val="0"/>
        </w:rPr>
        <w:t xml:space="preserve">revolucionário de prevenção aos movimentos de lutas emancipatórias da população brasileira. Os grupos políticos e intelectuais de difusão da questão </w:t>
      </w:r>
      <w:r>
        <w:rPr>
          <w:sz w:val="24"/>
          <w:szCs w:val="24"/>
          <w:rtl w:val="0"/>
          <w:lang w:val="pt-BR"/>
        </w:rPr>
        <w:t>étnico-racial</w:t>
      </w:r>
      <w:r>
        <w:rPr>
          <w:sz w:val="24"/>
          <w:szCs w:val="24"/>
          <w:rtl w:val="0"/>
        </w:rPr>
        <w:t xml:space="preserve"> e denúncia de uma realidade de discriminações sociorraciais foram classificados como subversivos e com potencial risco à ordem social e à Segurança Nacional. O Estado ditatorial vendeu fortemente a ideia da democracia racial brasileira internacionalmente, ao mesmo tempo que perseguia qualquer movimento de denúncia do racismo brasileiro (Nascimento, 2016).</w:t>
      </w:r>
    </w:p>
    <w:p w14:paraId="0000001F">
      <w:pPr>
        <w:spacing w:line="360" w:lineRule="auto"/>
        <w:ind w:firstLine="709"/>
        <w:jc w:val="both"/>
        <w:rPr>
          <w:sz w:val="24"/>
          <w:szCs w:val="24"/>
        </w:rPr>
      </w:pPr>
      <w:bookmarkStart w:id="10" w:name="_heading=h.db0tfefkw1as" w:colFirst="0" w:colLast="0"/>
      <w:bookmarkEnd w:id="10"/>
      <w:r>
        <w:rPr>
          <w:sz w:val="24"/>
          <w:szCs w:val="24"/>
          <w:rtl w:val="0"/>
        </w:rPr>
        <w:t xml:space="preserve">A resistência negra continuou aguerrida e se espraiou na realidade de caldo político e luta popular pela redemocratização daquela época. O Grupo Palmares (1971) e o Movimento Negro Unificado-MNU (1978) são alguns exemplos da continuidade das lutas contra o racismo e por um pais </w:t>
      </w:r>
      <w:r>
        <w:rPr>
          <w:sz w:val="24"/>
          <w:szCs w:val="24"/>
          <w:rtl w:val="0"/>
          <w:lang w:val="pt-BR"/>
        </w:rPr>
        <w:t>democrático</w:t>
      </w:r>
      <w:r>
        <w:rPr>
          <w:sz w:val="24"/>
          <w:szCs w:val="24"/>
          <w:rtl w:val="0"/>
        </w:rPr>
        <w:t xml:space="preserve"> e </w:t>
      </w:r>
      <w:r>
        <w:rPr>
          <w:sz w:val="24"/>
          <w:szCs w:val="24"/>
          <w:rtl w:val="0"/>
          <w:lang w:val="pt-BR"/>
        </w:rPr>
        <w:t>igualitário</w:t>
      </w:r>
      <w:r>
        <w:rPr>
          <w:sz w:val="24"/>
          <w:szCs w:val="24"/>
          <w:rtl w:val="0"/>
        </w:rPr>
        <w:t xml:space="preserve">. Vale ressaltar a </w:t>
      </w:r>
      <w:r>
        <w:rPr>
          <w:sz w:val="24"/>
          <w:szCs w:val="24"/>
          <w:rtl w:val="0"/>
          <w:lang w:val="pt-BR"/>
        </w:rPr>
        <w:t>importância</w:t>
      </w:r>
      <w:r>
        <w:rPr>
          <w:sz w:val="24"/>
          <w:szCs w:val="24"/>
          <w:rtl w:val="0"/>
        </w:rPr>
        <w:t xml:space="preserve"> do feminismo negro, das mulheres negras, neste processo politico, pois estas, por serem base da </w:t>
      </w:r>
      <w:r>
        <w:rPr>
          <w:sz w:val="24"/>
          <w:szCs w:val="24"/>
          <w:rtl w:val="0"/>
          <w:lang w:val="pt-BR"/>
        </w:rPr>
        <w:t>pirâmide</w:t>
      </w:r>
      <w:r>
        <w:rPr>
          <w:sz w:val="24"/>
          <w:szCs w:val="24"/>
          <w:rtl w:val="0"/>
        </w:rPr>
        <w:t xml:space="preserve"> social de exploração do trabalho e estarem em posição de intersecção de opressões (classe, raça e gênero), muito se interessavam e </w:t>
      </w:r>
      <w:r>
        <w:rPr>
          <w:sz w:val="24"/>
          <w:szCs w:val="24"/>
          <w:rtl w:val="0"/>
          <w:lang w:val="pt-BR"/>
        </w:rPr>
        <w:t>contribuíram</w:t>
      </w:r>
      <w:r>
        <w:rPr>
          <w:sz w:val="24"/>
          <w:szCs w:val="24"/>
          <w:rtl w:val="0"/>
        </w:rPr>
        <w:t xml:space="preserve"> para os rumos das conquistas populares pela redemocratização e direito sociais (Madeira, Medeiros, 2018). </w:t>
      </w:r>
    </w:p>
    <w:p w14:paraId="00000020">
      <w:pPr>
        <w:spacing w:line="360" w:lineRule="auto"/>
        <w:ind w:firstLine="709"/>
        <w:jc w:val="both"/>
        <w:rPr>
          <w:sz w:val="24"/>
          <w:szCs w:val="24"/>
        </w:rPr>
      </w:pPr>
      <w:bookmarkStart w:id="11" w:name="_heading=h.ule7aaygajcu" w:colFirst="0" w:colLast="0"/>
      <w:bookmarkEnd w:id="11"/>
      <w:r>
        <w:rPr>
          <w:sz w:val="24"/>
          <w:szCs w:val="24"/>
          <w:rtl w:val="0"/>
        </w:rPr>
        <w:t>O horizonte que se almejava, tendo em voga a Constituição Cidadã (1988), era de maiores possibilidades de universalização da cidadania e direitos sociais básicos (saúde, educação, habitação, assistência social e etc.). Porém, é neste momento histórico que há o avanço</w:t>
      </w:r>
      <w:r>
        <w:rPr>
          <w:i/>
          <w:sz w:val="24"/>
          <w:szCs w:val="24"/>
          <w:rtl w:val="0"/>
        </w:rPr>
        <w:t xml:space="preserve"> </w:t>
      </w:r>
      <w:r>
        <w:rPr>
          <w:sz w:val="24"/>
          <w:szCs w:val="24"/>
          <w:rtl w:val="0"/>
        </w:rPr>
        <w:t>do movimento de neoliberalização e contrarreformas do Estado em prol da proteção da hegemonia burguesa e privilégios da branquitude, dos quais não lhes é cabível abrir mão. Podemos aferir no tópico a seguir.</w:t>
      </w:r>
    </w:p>
    <w:p w14:paraId="00000021">
      <w:pPr>
        <w:spacing w:line="360" w:lineRule="auto"/>
        <w:ind w:left="0" w:firstLine="0"/>
        <w:jc w:val="both"/>
        <w:rPr>
          <w:sz w:val="24"/>
          <w:szCs w:val="24"/>
        </w:rPr>
      </w:pPr>
      <w:bookmarkStart w:id="12" w:name="_heading=h.oeukedtq6exg" w:colFirst="0" w:colLast="0"/>
      <w:bookmarkEnd w:id="12"/>
    </w:p>
    <w:p w14:paraId="00000022">
      <w:pPr>
        <w:spacing w:line="360" w:lineRule="auto"/>
        <w:jc w:val="both"/>
        <w:rPr>
          <w:sz w:val="24"/>
          <w:szCs w:val="24"/>
        </w:rPr>
      </w:pPr>
      <w:r>
        <w:rPr>
          <w:b/>
          <w:sz w:val="24"/>
          <w:szCs w:val="24"/>
          <w:rtl w:val="0"/>
        </w:rPr>
        <w:t>3</w:t>
      </w:r>
      <w:r>
        <w:rPr>
          <w:b/>
          <w:sz w:val="24"/>
          <w:szCs w:val="24"/>
          <w:rtl w:val="0"/>
        </w:rPr>
        <w:tab/>
      </w:r>
      <w:r>
        <w:rPr>
          <w:b/>
          <w:sz w:val="24"/>
          <w:szCs w:val="24"/>
          <w:rtl w:val="0"/>
        </w:rPr>
        <w:t>NEOLIBERALIZAÇÃO BRASILEIRA COMO REAÇÃO DA BRANQUITUDE BURGUESA AO PROJETO DE NAÇÃO CIDADÃ</w:t>
      </w:r>
    </w:p>
    <w:p w14:paraId="00000023">
      <w:pPr>
        <w:spacing w:line="360" w:lineRule="auto"/>
        <w:ind w:left="0" w:firstLine="0"/>
        <w:jc w:val="both"/>
        <w:rPr>
          <w:b/>
          <w:sz w:val="24"/>
          <w:szCs w:val="24"/>
        </w:rPr>
      </w:pPr>
      <w:bookmarkStart w:id="13" w:name="_heading=h.em3yhyx9hub" w:colFirst="0" w:colLast="0"/>
      <w:bookmarkEnd w:id="13"/>
    </w:p>
    <w:p w14:paraId="00000024">
      <w:pPr>
        <w:spacing w:line="360" w:lineRule="auto"/>
        <w:ind w:firstLine="709"/>
        <w:jc w:val="both"/>
        <w:rPr>
          <w:sz w:val="24"/>
          <w:szCs w:val="24"/>
        </w:rPr>
      </w:pPr>
      <w:bookmarkStart w:id="14" w:name="_heading=h.gwokvydmb5p1" w:colFirst="0" w:colLast="0"/>
      <w:bookmarkEnd w:id="14"/>
      <w:r>
        <w:rPr>
          <w:sz w:val="24"/>
          <w:szCs w:val="24"/>
          <w:rtl w:val="0"/>
        </w:rPr>
        <w:t xml:space="preserve">O neoliberalismo pode ser entendido, de acordo com Harvey (2005), como um movimento político, econômico, social e ideológico de reorganização das forças produtivas do capitalismo pós crise dos anos 1970, reverberando no fortalecimento do poder de dominação da burguesia sobre a classe trabalhadora. Dentro do mundo do trabalho, o neoliberalismo incide na desvalorização da classe trabalhadora, voltando-se assim para a flexibilização das relações de trabalho e enfraquecimento do papel intervencionista do Estado, dos direitos sociais e das organizações políticas trabalhistas. </w:t>
      </w:r>
    </w:p>
    <w:p w14:paraId="00000025">
      <w:pPr>
        <w:spacing w:line="360" w:lineRule="auto"/>
        <w:ind w:left="0" w:firstLine="0"/>
        <w:jc w:val="both"/>
        <w:rPr>
          <w:sz w:val="24"/>
          <w:szCs w:val="24"/>
        </w:rPr>
      </w:pPr>
      <w:r>
        <w:rPr>
          <w:sz w:val="24"/>
          <w:szCs w:val="24"/>
          <w:rtl w:val="0"/>
        </w:rPr>
        <w:tab/>
      </w:r>
      <w:r>
        <w:rPr>
          <w:sz w:val="24"/>
          <w:szCs w:val="24"/>
          <w:rtl w:val="0"/>
        </w:rPr>
        <w:t xml:space="preserve">Assim, se partimos da compreensão interseccional de imbricação das estruturas de exploração-opressão que fundamentam o capitalismo ocidental (classe, raça, etnia, gênero), podemos perceber que se há um movimento da burguesia de reestruturar sua capacidade de dominação de classe, logo, remexe-se com as demais estruturas no sentido de reafirmação do poder em seus complexos de gênero, raça e etnia. </w:t>
      </w:r>
    </w:p>
    <w:p w14:paraId="00000026">
      <w:pPr>
        <w:spacing w:line="360" w:lineRule="auto"/>
        <w:ind w:left="0" w:firstLine="0"/>
        <w:jc w:val="both"/>
        <w:rPr>
          <w:sz w:val="24"/>
          <w:szCs w:val="24"/>
        </w:rPr>
      </w:pPr>
      <w:bookmarkStart w:id="15" w:name="_heading=h.7wkspeiua3ea" w:colFirst="0" w:colLast="0"/>
      <w:bookmarkEnd w:id="15"/>
      <w:r>
        <w:rPr>
          <w:sz w:val="24"/>
          <w:szCs w:val="24"/>
          <w:rtl w:val="0"/>
        </w:rPr>
        <w:tab/>
      </w:r>
      <w:r>
        <w:rPr>
          <w:sz w:val="24"/>
          <w:szCs w:val="24"/>
          <w:rtl w:val="0"/>
        </w:rPr>
        <w:t xml:space="preserve">No contexto brasileiro, o neoliberalismo tem sua iminência já nos anos de 1990, com base no argumento de que o projeto constitucional de 1988 não era possível dado a crise econômica deixada pela ditadura. São postas à mesa as contrarreformas neoliberais do Estado, solapando o projeto constitucional antes mesmo deste poder firmar-se na realidade, indo de encontro à sistematização da valorização do capital financeiro em detrimento do Estado </w:t>
      </w:r>
      <w:r>
        <w:rPr>
          <w:sz w:val="24"/>
          <w:szCs w:val="24"/>
          <w:rtl w:val="0"/>
          <w:lang w:val="pt-BR"/>
        </w:rPr>
        <w:t>democrático</w:t>
      </w:r>
      <w:r>
        <w:rPr>
          <w:sz w:val="24"/>
          <w:szCs w:val="24"/>
          <w:rtl w:val="0"/>
        </w:rPr>
        <w:t xml:space="preserve"> e de direito. É apenas através das lutas e reivindicações sociais que podemos verificar uma correlação de forças para garantia de direitos e avanço de pautas chave para o combate às desigualdades e discriminações sociais (Behring; Boschetti, 2011).</w:t>
      </w:r>
    </w:p>
    <w:p w14:paraId="00000027">
      <w:pPr>
        <w:spacing w:line="360" w:lineRule="auto"/>
        <w:ind w:left="0" w:firstLine="720"/>
        <w:jc w:val="both"/>
        <w:rPr>
          <w:sz w:val="24"/>
          <w:szCs w:val="24"/>
        </w:rPr>
      </w:pPr>
      <w:bookmarkStart w:id="16" w:name="_heading=h.1nas1j1k9y1r" w:colFirst="0" w:colLast="0"/>
      <w:bookmarkEnd w:id="16"/>
      <w:r>
        <w:rPr>
          <w:sz w:val="24"/>
          <w:szCs w:val="24"/>
          <w:rtl w:val="0"/>
        </w:rPr>
        <w:t>O Brasil foi país signatário da Convenção Mundial dos Direitos Humanos (1993), cuja deu margem para que nascesse no país o primeiro Programa Nacional dos Direitos Humanos (PNDH I), em 1996, que representou a primeira iniciativa concreta de trazer a pauta da segurança pública para o campo do direito social e não apenas punitivo, criando assim aparatos institucionais, como a Secretaria Nacional da Segurança Pública (1997) e o Plano Nacional da Segurança Pública (2000), que visavam criar uma nova roupagem para a Política de Segurança Pública firmando seu compromisso com os Direitos Humanos (Souza, 2015).</w:t>
      </w:r>
    </w:p>
    <w:p w14:paraId="00000028">
      <w:pPr>
        <w:spacing w:line="360" w:lineRule="auto"/>
        <w:ind w:firstLine="720"/>
        <w:jc w:val="both"/>
        <w:rPr>
          <w:sz w:val="24"/>
          <w:szCs w:val="24"/>
        </w:rPr>
      </w:pPr>
      <w:bookmarkStart w:id="17" w:name="_heading=h.33065solbark" w:colFirst="0" w:colLast="0"/>
      <w:bookmarkEnd w:id="17"/>
      <w:r>
        <w:rPr>
          <w:sz w:val="24"/>
          <w:szCs w:val="24"/>
          <w:rtl w:val="0"/>
        </w:rPr>
        <w:t xml:space="preserve">É somente no governo de Lula da Silva e Dilma Rousseff, que não romperam com o neoliberalismo, mas sim mediaram interesses de classe, que se avança no sentido de garantias de direitos (Saad Filho, Morais, 2018). O período de governo petista é marcado pela criação de diversas políticas sociais progressistas de transferência de renda, habitação, cidadania e combate ao racismo. É criado o Programa Nacional de Segurança Pública com Cidadania (Pronasci), uma tentativa de humanização das forças e aparelhos da segurança pública. Também há ratificação de uma agenda de políticas de promoção da igualdade racial, tais como: Lei das Cotas Raciais nas universidades e concursos públicos, Estatuto da Igualdade Racial, Secretarias específicas de  promoção da igualdade racial e combate às discriminações sociorraciais (Souza, 2015; Madeira, 2014). </w:t>
      </w:r>
    </w:p>
    <w:p w14:paraId="00000029">
      <w:pPr>
        <w:spacing w:line="360" w:lineRule="auto"/>
        <w:ind w:firstLine="720"/>
        <w:jc w:val="both"/>
        <w:rPr>
          <w:sz w:val="24"/>
          <w:szCs w:val="24"/>
        </w:rPr>
      </w:pPr>
      <w:bookmarkStart w:id="18" w:name="_heading=h.i1jslf127te3" w:colFirst="0" w:colLast="0"/>
      <w:bookmarkEnd w:id="18"/>
      <w:r>
        <w:rPr>
          <w:sz w:val="24"/>
          <w:szCs w:val="24"/>
          <w:rtl w:val="0"/>
        </w:rPr>
        <w:t xml:space="preserve">Tal ímpio faz eclodir um sentimento na elite e na branquitude brasileira de perda de privilégios e poder de dominação. O que por sua vez move os setores conservadores e direitistas da sociedade brasileira num extenso movimento de demonização do PT e repúdio ao seu plano de governo progressista e conciliatório dos interesses de classe-raça/etnia/gênero. Assim, concomitante ao </w:t>
      </w:r>
      <w:r>
        <w:rPr>
          <w:i/>
          <w:sz w:val="24"/>
          <w:szCs w:val="24"/>
          <w:rtl w:val="0"/>
        </w:rPr>
        <w:t>show</w:t>
      </w:r>
      <w:r>
        <w:rPr>
          <w:sz w:val="24"/>
          <w:szCs w:val="24"/>
          <w:rtl w:val="0"/>
        </w:rPr>
        <w:t xml:space="preserve"> midiático da Operação Lava Jato, a branquitude burguesa impôs, em 2016, um golpe/impeachment contra a então presidenta Dilma Rousseff no intuito de garantir livre caminho para reformas neoliberais contundentes (Reforma Trabalhista, da Educação, da Previdência, Congelamento de Gastos Públicos), tão urgentes ao capitalismo financeiro, e o retrocesso das conquistas sociais (Souza, 2017). </w:t>
      </w:r>
    </w:p>
    <w:p w14:paraId="0000002A">
      <w:pPr>
        <w:spacing w:line="360" w:lineRule="auto"/>
        <w:ind w:firstLine="720"/>
        <w:jc w:val="both"/>
        <w:rPr>
          <w:sz w:val="24"/>
          <w:szCs w:val="24"/>
        </w:rPr>
      </w:pPr>
      <w:bookmarkStart w:id="19" w:name="_heading=h.awjazsu5dqkj" w:colFirst="0" w:colLast="0"/>
      <w:bookmarkEnd w:id="19"/>
      <w:r>
        <w:rPr>
          <w:sz w:val="24"/>
          <w:szCs w:val="24"/>
          <w:rtl w:val="0"/>
        </w:rPr>
        <w:t>Podemos dizer que o golpe/impeachment de 2016 marca uma virada do neoliberalismo brasileiro em condições mais agressivas e afirmativas de opressões para expressão de poder de dominação de classe, raça/etnia e gênero (Souza, 2017). Torna-se então oportuno que este trabalho acadêmico apresenta as reverberações que tal virada teve sobre a Política de Segurança Pública e seus impactos à população negra, como veremos a seguir.</w:t>
      </w:r>
    </w:p>
    <w:p w14:paraId="0000002B">
      <w:pPr>
        <w:spacing w:line="360" w:lineRule="auto"/>
        <w:ind w:left="0" w:firstLine="0"/>
        <w:jc w:val="both"/>
        <w:rPr>
          <w:sz w:val="24"/>
          <w:szCs w:val="24"/>
        </w:rPr>
      </w:pPr>
      <w:bookmarkStart w:id="20" w:name="_heading=h.rwyi93hbzin" w:colFirst="0" w:colLast="0"/>
      <w:bookmarkEnd w:id="20"/>
    </w:p>
    <w:p w14:paraId="0000002C">
      <w:pPr>
        <w:spacing w:line="360" w:lineRule="auto"/>
        <w:ind w:left="0" w:firstLine="0"/>
        <w:jc w:val="both"/>
        <w:rPr>
          <w:b/>
          <w:sz w:val="24"/>
          <w:szCs w:val="24"/>
        </w:rPr>
      </w:pPr>
      <w:bookmarkStart w:id="21" w:name="_heading=h.pna0ts5mmzff" w:colFirst="0" w:colLast="0"/>
      <w:bookmarkEnd w:id="21"/>
      <w:r>
        <w:rPr>
          <w:b/>
          <w:sz w:val="24"/>
          <w:szCs w:val="24"/>
          <w:rtl w:val="0"/>
        </w:rPr>
        <w:t xml:space="preserve"> 4</w:t>
      </w:r>
      <w:r>
        <w:rPr>
          <w:b/>
          <w:sz w:val="24"/>
          <w:szCs w:val="24"/>
          <w:rtl w:val="0"/>
        </w:rPr>
        <w:tab/>
      </w:r>
      <w:r>
        <w:rPr>
          <w:b/>
          <w:sz w:val="24"/>
          <w:szCs w:val="24"/>
          <w:rtl w:val="0"/>
        </w:rPr>
        <w:t>PÓS-IMPEACHMENT, OS ASPECTOS ASSUMIDOS PELA POLÍTICA DE SEGURANÇA PÚBLICA E OS IMPACTOS À POPULAÇÃO NEGRA</w:t>
      </w:r>
    </w:p>
    <w:p w14:paraId="0000002D">
      <w:pPr>
        <w:spacing w:line="360" w:lineRule="auto"/>
        <w:jc w:val="both"/>
        <w:rPr>
          <w:sz w:val="24"/>
          <w:szCs w:val="24"/>
        </w:rPr>
      </w:pPr>
    </w:p>
    <w:p w14:paraId="0000002F">
      <w:pPr>
        <w:spacing w:line="360" w:lineRule="auto"/>
        <w:ind w:left="0" w:firstLine="0"/>
        <w:jc w:val="both"/>
        <w:rPr>
          <w:sz w:val="24"/>
          <w:szCs w:val="24"/>
        </w:rPr>
      </w:pPr>
      <w:bookmarkStart w:id="22" w:name="_heading=h.qfk3d35bfi40" w:colFirst="0" w:colLast="0"/>
      <w:bookmarkEnd w:id="22"/>
      <w:r>
        <w:rPr>
          <w:sz w:val="24"/>
          <w:szCs w:val="24"/>
          <w:rtl w:val="0"/>
        </w:rPr>
        <w:tab/>
      </w:r>
      <w:r>
        <w:rPr>
          <w:sz w:val="24"/>
          <w:szCs w:val="24"/>
          <w:rtl w:val="0"/>
        </w:rPr>
        <w:t xml:space="preserve"> O período de governo de Michel Temer pode ser categorizado como um governo de transição de projetos não só governamentais, mas de reprodução das condições de valorização do capitalista neoliberal, agora contando com a retomada da militarização do Estado.</w:t>
      </w:r>
      <w:bookmarkStart w:id="23" w:name="_heading=h.lohzi9ppo17p" w:colFirst="0" w:colLast="0"/>
      <w:bookmarkEnd w:id="23"/>
      <w:r>
        <w:rPr>
          <w:rFonts w:hint="default"/>
          <w:sz w:val="24"/>
          <w:szCs w:val="24"/>
          <w:rtl w:val="0"/>
          <w:lang w:val="pt-BR"/>
        </w:rPr>
        <w:t xml:space="preserve"> </w:t>
      </w:r>
      <w:r>
        <w:rPr>
          <w:sz w:val="24"/>
          <w:szCs w:val="24"/>
          <w:rtl w:val="0"/>
        </w:rPr>
        <w:t xml:space="preserve">A dinâmica social promovida pelas reformas neoliberais vinha com o </w:t>
      </w:r>
      <w:r>
        <w:rPr>
          <w:i/>
          <w:sz w:val="24"/>
          <w:szCs w:val="24"/>
          <w:rtl w:val="0"/>
        </w:rPr>
        <w:t>slogan</w:t>
      </w:r>
      <w:r>
        <w:rPr>
          <w:sz w:val="24"/>
          <w:szCs w:val="24"/>
          <w:rtl w:val="0"/>
        </w:rPr>
        <w:t xml:space="preserve"> da facilitação do empreendedorismo de si e da liberdade, mas na verdade se configuraram como uma estratégia de abandono e desamparo social, facilitando a exploração capitalista. Isso se concretiza com o desmonte de diversos aparatos institucionais de promoção da cidadania, da igualdade </w:t>
      </w:r>
      <w:r>
        <w:rPr>
          <w:sz w:val="24"/>
          <w:szCs w:val="24"/>
          <w:rtl w:val="0"/>
          <w:lang w:val="pt-BR"/>
        </w:rPr>
        <w:t>étnico-racial</w:t>
      </w:r>
      <w:r>
        <w:rPr>
          <w:sz w:val="24"/>
          <w:szCs w:val="24"/>
          <w:rtl w:val="0"/>
        </w:rPr>
        <w:t xml:space="preserve"> e igualdade social (Costamila, 2023). </w:t>
      </w:r>
    </w:p>
    <w:p w14:paraId="00000030">
      <w:pPr>
        <w:spacing w:line="360" w:lineRule="auto"/>
        <w:ind w:left="0" w:firstLine="720"/>
        <w:jc w:val="both"/>
        <w:rPr>
          <w:sz w:val="24"/>
          <w:szCs w:val="24"/>
        </w:rPr>
      </w:pPr>
      <w:bookmarkStart w:id="24" w:name="_heading=h.4zfb9n9nz0y6" w:colFirst="0" w:colLast="0"/>
      <w:bookmarkEnd w:id="24"/>
      <w:r>
        <w:rPr>
          <w:sz w:val="24"/>
          <w:szCs w:val="24"/>
          <w:rtl w:val="0"/>
        </w:rPr>
        <w:t>A resposta dada tanto aos movimentos de resistência à investida neoliberal quanto à explosão dos índices de violência, criminalidade e desigualdade social foram de cariz punitivo e coercitivo. A Segurança Pública ganhou posição de ministério com a criação do Ministério da Justiça e Segurança Pública (MJSP) e posteriormente tornando-se Ministério Extraordinário da Segurança Pública. As Forças Armadas vão ser um dos principais agentes de gerenciamento e operacionalização da nova política da Segurança Pública agindo violentamente sobre o corpo social no atendimento às necessidades de aferição do aprofundamento do processo de neoliberalização. Vale lembrar que durante o governo de Temer foram decretadas 22 operações de Garantia da Lei e da Ordem (GLO), cujas tiveram forte impacto nas contas públicas e um saldo significativo de mortes e encarceramento (Costamilan, 2023).</w:t>
      </w:r>
    </w:p>
    <w:p w14:paraId="00000031">
      <w:pPr>
        <w:spacing w:line="360" w:lineRule="auto"/>
        <w:ind w:left="0" w:firstLine="720"/>
        <w:jc w:val="both"/>
        <w:rPr>
          <w:sz w:val="24"/>
          <w:szCs w:val="24"/>
        </w:rPr>
      </w:pPr>
      <w:bookmarkStart w:id="25" w:name="_heading=h.mnz62d5kt915" w:colFirst="0" w:colLast="0"/>
      <w:bookmarkEnd w:id="25"/>
      <w:r>
        <w:rPr>
          <w:sz w:val="24"/>
          <w:szCs w:val="24"/>
          <w:rtl w:val="0"/>
        </w:rPr>
        <w:t xml:space="preserve">São enfim criados o Sistema Único da Segurança Pública (Susp) e a nova Política Nacional da Segurança Pública e Defesa Social (PNSPDS) através da Lei nº 13.675/2018, além do Conselho Nacional de Segurança Pública e Defesa Social (CNSPDS). Estes marcos, que são demandas dos movimentos dos direitos humanos, são concretizados despidos de um cariz </w:t>
      </w:r>
      <w:r>
        <w:rPr>
          <w:sz w:val="24"/>
          <w:szCs w:val="24"/>
          <w:rtl w:val="0"/>
          <w:lang w:val="pt-BR"/>
        </w:rPr>
        <w:t>democrático</w:t>
      </w:r>
      <w:r>
        <w:rPr>
          <w:sz w:val="24"/>
          <w:szCs w:val="24"/>
          <w:rtl w:val="0"/>
        </w:rPr>
        <w:t xml:space="preserve">, representando-se mais como uma modernização do aparato ostensivo e punitivo (Silva, 2017). </w:t>
      </w:r>
    </w:p>
    <w:p w14:paraId="00000032">
      <w:pPr>
        <w:spacing w:line="360" w:lineRule="auto"/>
        <w:jc w:val="both"/>
        <w:rPr>
          <w:sz w:val="24"/>
          <w:szCs w:val="24"/>
        </w:rPr>
      </w:pPr>
      <w:r>
        <w:rPr>
          <w:sz w:val="24"/>
          <w:szCs w:val="24"/>
          <w:rtl w:val="0"/>
        </w:rPr>
        <w:tab/>
      </w:r>
      <w:r>
        <w:rPr>
          <w:sz w:val="24"/>
          <w:szCs w:val="24"/>
          <w:rtl w:val="0"/>
        </w:rPr>
        <w:t xml:space="preserve">No tocante ao quadro orçamentário, tanto a esfera federal quanto estadual e municipal/distrital seguem uma tendência de elevação em detrimento dos campos das políticas sociais. Somando União, Estados e Municípios/Distrito Federal, de 2016 a 2018, houve uma elevação de despesas com a função Segurança Pública de mais de 7 bilhões de reais. Referente apenas às despesas com policiamento, no mesmo recorte temporal, União, Estados e Municípios/Distrito Federal elevaram seus gastos em mais de 6 bilhões (FBSP, 2019). </w:t>
      </w:r>
    </w:p>
    <w:p w14:paraId="00000033">
      <w:pPr>
        <w:spacing w:line="360" w:lineRule="auto"/>
        <w:jc w:val="both"/>
        <w:rPr>
          <w:sz w:val="24"/>
          <w:szCs w:val="24"/>
        </w:rPr>
      </w:pPr>
      <w:bookmarkStart w:id="26" w:name="_heading=h.77iu8woojdm8" w:colFirst="0" w:colLast="0"/>
      <w:bookmarkEnd w:id="26"/>
      <w:r>
        <w:rPr>
          <w:sz w:val="24"/>
          <w:szCs w:val="24"/>
          <w:rtl w:val="0"/>
        </w:rPr>
        <w:tab/>
      </w:r>
      <w:r>
        <w:rPr>
          <w:sz w:val="24"/>
          <w:szCs w:val="24"/>
          <w:rtl w:val="0"/>
        </w:rPr>
        <w:t>Nesse sentido, de acordo com dados do FBSP (2019), o que se produz na realidade é uma alarmante disparidade sócio-</w:t>
      </w:r>
      <w:r>
        <w:rPr>
          <w:rFonts w:hint="default"/>
          <w:sz w:val="24"/>
          <w:szCs w:val="24"/>
          <w:rtl w:val="0"/>
          <w:lang w:val="pt-BR"/>
        </w:rPr>
        <w:t>é</w:t>
      </w:r>
      <w:r>
        <w:rPr>
          <w:sz w:val="24"/>
          <w:szCs w:val="24"/>
          <w:rtl w:val="0"/>
        </w:rPr>
        <w:t xml:space="preserve">tnico-racial de letalidade e encarceramento. No tocante à letalidade por ação policial, no biênio 2015-2016 contabilizaram-se 963 mortes de pessoas brancas frente a 3.240 mortes de pessoas negras. Já no biênio 2017-2018, são 1.940 mortes de pessoas brancas e 5.995 mortes de pessoas negras. Em sua maioria essas mortes são de homens pretos e pardos, de 15 a 29 anos e moradores de zonas periféricas urbanas. </w:t>
      </w:r>
    </w:p>
    <w:p w14:paraId="00000034">
      <w:pPr>
        <w:spacing w:line="360" w:lineRule="auto"/>
        <w:jc w:val="both"/>
        <w:rPr>
          <w:sz w:val="24"/>
          <w:szCs w:val="24"/>
        </w:rPr>
      </w:pPr>
      <w:bookmarkStart w:id="27" w:name="_heading=h.9fk53omecfl4" w:colFirst="0" w:colLast="0"/>
      <w:bookmarkEnd w:id="27"/>
      <w:r>
        <w:rPr>
          <w:sz w:val="24"/>
          <w:szCs w:val="24"/>
          <w:rtl w:val="0"/>
        </w:rPr>
        <w:tab/>
      </w:r>
      <w:r>
        <w:rPr>
          <w:sz w:val="24"/>
          <w:szCs w:val="24"/>
          <w:rtl w:val="0"/>
        </w:rPr>
        <w:t xml:space="preserve">Quanto ao encarceramento, o resultado observado da política de segurança pública pós impeachment/golpe, de acordo com os dados do Infopen, é o agigantamento da população carcerária, que salta de 722.120 pessoas, em 2016, para 744.216, em 2018. Ao observarmos a evolução quantitativa dos segmentos </w:t>
      </w:r>
      <w:r>
        <w:rPr>
          <w:rFonts w:hint="default"/>
          <w:sz w:val="24"/>
          <w:szCs w:val="24"/>
          <w:rtl w:val="0"/>
          <w:lang w:val="pt-BR"/>
        </w:rPr>
        <w:t>é</w:t>
      </w:r>
      <w:r>
        <w:rPr>
          <w:sz w:val="24"/>
          <w:szCs w:val="24"/>
          <w:rtl w:val="0"/>
        </w:rPr>
        <w:t xml:space="preserve">tnico-raciais e de gênero da população carcerária, comparando os números absolutos de 2016 e 2018, temos o respectivo achado no recorte masculino: </w:t>
      </w:r>
      <w:r>
        <w:rPr>
          <w:b/>
          <w:sz w:val="24"/>
          <w:szCs w:val="24"/>
          <w:rtl w:val="0"/>
        </w:rPr>
        <w:t xml:space="preserve">homens negros </w:t>
      </w:r>
      <w:r>
        <w:rPr>
          <w:sz w:val="24"/>
          <w:szCs w:val="24"/>
          <w:rtl w:val="0"/>
        </w:rPr>
        <w:t xml:space="preserve">são a </w:t>
      </w:r>
      <w:r>
        <w:rPr>
          <w:sz w:val="24"/>
          <w:szCs w:val="24"/>
          <w:rtl w:val="0"/>
          <w:lang w:val="pt-BR"/>
        </w:rPr>
        <w:t>maioria</w:t>
      </w:r>
      <w:r>
        <w:rPr>
          <w:sz w:val="24"/>
          <w:szCs w:val="24"/>
          <w:rtl w:val="0"/>
        </w:rPr>
        <w:t xml:space="preserve">, eram 340.611 e sobem para 399.657, aumento de 17,3%; </w:t>
      </w:r>
      <w:r>
        <w:rPr>
          <w:b/>
          <w:sz w:val="24"/>
          <w:szCs w:val="24"/>
          <w:rtl w:val="0"/>
        </w:rPr>
        <w:t>homens brancos</w:t>
      </w:r>
      <w:r>
        <w:rPr>
          <w:sz w:val="24"/>
          <w:szCs w:val="24"/>
          <w:rtl w:val="0"/>
        </w:rPr>
        <w:t xml:space="preserve"> eram 188.741 e sobem para 198.804, aumento de 5,3%; </w:t>
      </w:r>
      <w:r>
        <w:rPr>
          <w:b/>
          <w:sz w:val="24"/>
          <w:szCs w:val="24"/>
          <w:rtl w:val="0"/>
        </w:rPr>
        <w:t>homens amarelos</w:t>
      </w:r>
      <w:r>
        <w:rPr>
          <w:sz w:val="24"/>
          <w:szCs w:val="24"/>
          <w:rtl w:val="0"/>
        </w:rPr>
        <w:t xml:space="preserve"> eram 2.929 e sobem para 5.254, aumento de 79,3%; </w:t>
      </w:r>
      <w:r>
        <w:rPr>
          <w:b/>
          <w:sz w:val="24"/>
          <w:szCs w:val="24"/>
          <w:rtl w:val="0"/>
        </w:rPr>
        <w:t xml:space="preserve">homens </w:t>
      </w:r>
      <w:r>
        <w:rPr>
          <w:b/>
          <w:sz w:val="24"/>
          <w:szCs w:val="24"/>
          <w:rtl w:val="0"/>
          <w:lang w:val="pt-BR"/>
        </w:rPr>
        <w:t>indígenas</w:t>
      </w:r>
      <w:r>
        <w:rPr>
          <w:sz w:val="24"/>
          <w:szCs w:val="24"/>
          <w:rtl w:val="0"/>
        </w:rPr>
        <w:t xml:space="preserve"> eram  613 e sobem para 1.148, aumento de 87,2%. </w:t>
      </w:r>
    </w:p>
    <w:p w14:paraId="00000035">
      <w:pPr>
        <w:spacing w:line="360" w:lineRule="auto"/>
        <w:jc w:val="both"/>
        <w:rPr>
          <w:sz w:val="24"/>
          <w:szCs w:val="24"/>
        </w:rPr>
      </w:pPr>
      <w:bookmarkStart w:id="28" w:name="_heading=h.mj1bdkxpt3c4" w:colFirst="0" w:colLast="0"/>
      <w:bookmarkEnd w:id="28"/>
      <w:r>
        <w:rPr>
          <w:sz w:val="24"/>
          <w:szCs w:val="24"/>
          <w:rtl w:val="0"/>
        </w:rPr>
        <w:tab/>
      </w:r>
      <w:r>
        <w:rPr>
          <w:sz w:val="24"/>
          <w:szCs w:val="24"/>
          <w:rtl w:val="0"/>
        </w:rPr>
        <w:t xml:space="preserve">Quanto ao recorte feminino da população carcerária, temos os seguintes achados: </w:t>
      </w:r>
      <w:r>
        <w:rPr>
          <w:b/>
          <w:sz w:val="24"/>
          <w:szCs w:val="24"/>
          <w:rtl w:val="0"/>
        </w:rPr>
        <w:t xml:space="preserve">mulheres negras </w:t>
      </w:r>
      <w:r>
        <w:rPr>
          <w:sz w:val="24"/>
          <w:szCs w:val="24"/>
          <w:rtl w:val="0"/>
        </w:rPr>
        <w:t>são a maioria</w:t>
      </w:r>
      <w:r>
        <w:rPr>
          <w:b/>
          <w:sz w:val="24"/>
          <w:szCs w:val="24"/>
          <w:rtl w:val="0"/>
        </w:rPr>
        <w:t xml:space="preserve">, </w:t>
      </w:r>
      <w:r>
        <w:rPr>
          <w:sz w:val="24"/>
          <w:szCs w:val="24"/>
          <w:rtl w:val="0"/>
        </w:rPr>
        <w:t xml:space="preserve">eram 19.004 e sobem para 19.007, aumento de 0,01%; </w:t>
      </w:r>
      <w:r>
        <w:rPr>
          <w:b/>
          <w:sz w:val="24"/>
          <w:szCs w:val="24"/>
          <w:rtl w:val="0"/>
        </w:rPr>
        <w:t xml:space="preserve">mulheres brancas </w:t>
      </w:r>
      <w:r>
        <w:rPr>
          <w:sz w:val="24"/>
          <w:szCs w:val="24"/>
          <w:rtl w:val="0"/>
        </w:rPr>
        <w:t xml:space="preserve">eram 10.976 e caem para 10.068, diminuição de 9%; </w:t>
      </w:r>
      <w:r>
        <w:rPr>
          <w:b/>
          <w:sz w:val="24"/>
          <w:szCs w:val="24"/>
          <w:rtl w:val="0"/>
        </w:rPr>
        <w:t xml:space="preserve">mulheres amarelas </w:t>
      </w:r>
      <w:r>
        <w:rPr>
          <w:sz w:val="24"/>
          <w:szCs w:val="24"/>
          <w:rtl w:val="0"/>
        </w:rPr>
        <w:t xml:space="preserve">eram 182 e sobem para 268, aumento de 47,2%; </w:t>
      </w:r>
      <w:r>
        <w:rPr>
          <w:b/>
          <w:sz w:val="24"/>
          <w:szCs w:val="24"/>
          <w:rtl w:val="0"/>
        </w:rPr>
        <w:t xml:space="preserve">mulheres indígenas </w:t>
      </w:r>
      <w:r>
        <w:rPr>
          <w:sz w:val="24"/>
          <w:szCs w:val="24"/>
          <w:rtl w:val="0"/>
        </w:rPr>
        <w:t xml:space="preserve">eram 41 e sobem para 53, aumento de 29,2%. </w:t>
      </w:r>
    </w:p>
    <w:p w14:paraId="00000036">
      <w:pPr>
        <w:spacing w:line="360" w:lineRule="auto"/>
        <w:ind w:firstLine="720"/>
        <w:jc w:val="both"/>
        <w:rPr>
          <w:sz w:val="24"/>
          <w:szCs w:val="24"/>
        </w:rPr>
      </w:pPr>
      <w:bookmarkStart w:id="29" w:name="_heading=h.w3wklyy08y6l" w:colFirst="0" w:colLast="0"/>
      <w:bookmarkEnd w:id="29"/>
      <w:r>
        <w:rPr>
          <w:sz w:val="24"/>
          <w:szCs w:val="24"/>
          <w:rtl w:val="0"/>
        </w:rPr>
        <w:t xml:space="preserve">É inegável que essa política de controle e encarceramento é voltada para um determinado segmento sociorracial, e o racismo é sua base de sustentação, produzindo  efeitos indeléveis e suspensão de uma vida vivível e digna. Nessa guinada das políticas de morte, a necropolítica, conforme aponta Mbembe (2018), dita a cessão de vida e de morte. E classifica quem é descartável, quem é encarcerável e quem é matável. É nesse contexto que reivindicamos e esperançamos por outras sociabilidades existenciais em que vidas negras tenham vida em abundância e vivam plenamente sem serem interrompidas e nem encarceradas. Lutamos e ousamos pelo Bem Viver do povo negro, do qual o racismo é a base do sistema penal brasileiro e a estrutura consubstancialmente em que o negro é o alvo.  </w:t>
      </w:r>
    </w:p>
    <w:p w14:paraId="00000037">
      <w:pPr>
        <w:spacing w:line="360" w:lineRule="auto"/>
        <w:jc w:val="both"/>
        <w:rPr>
          <w:color w:val="FF0000"/>
          <w:sz w:val="24"/>
          <w:szCs w:val="24"/>
        </w:rPr>
      </w:pPr>
      <w:bookmarkStart w:id="30" w:name="_heading=h.pcu9mxt9asr" w:colFirst="0" w:colLast="0"/>
      <w:bookmarkEnd w:id="30"/>
    </w:p>
    <w:p w14:paraId="00000038">
      <w:pPr>
        <w:spacing w:line="360" w:lineRule="auto"/>
        <w:ind w:left="0" w:firstLine="0"/>
        <w:jc w:val="both"/>
        <w:rPr>
          <w:b/>
          <w:sz w:val="24"/>
          <w:szCs w:val="24"/>
        </w:rPr>
      </w:pPr>
      <w:r>
        <w:rPr>
          <w:sz w:val="24"/>
          <w:szCs w:val="24"/>
          <w:rtl w:val="0"/>
        </w:rPr>
        <w:t xml:space="preserve"> </w:t>
      </w:r>
      <w:r>
        <w:rPr>
          <w:b/>
          <w:sz w:val="24"/>
          <w:szCs w:val="24"/>
          <w:rtl w:val="0"/>
        </w:rPr>
        <w:t>5</w:t>
      </w:r>
      <w:r>
        <w:rPr>
          <w:b/>
          <w:sz w:val="24"/>
          <w:szCs w:val="24"/>
          <w:rtl w:val="0"/>
        </w:rPr>
        <w:tab/>
      </w:r>
      <w:r>
        <w:rPr>
          <w:b/>
          <w:sz w:val="24"/>
          <w:szCs w:val="24"/>
          <w:rtl w:val="0"/>
        </w:rPr>
        <w:t xml:space="preserve">CONCLUSÃO </w:t>
      </w:r>
    </w:p>
    <w:p w14:paraId="00000039">
      <w:pPr>
        <w:spacing w:line="360" w:lineRule="auto"/>
        <w:ind w:left="0" w:firstLine="0"/>
        <w:jc w:val="both"/>
        <w:rPr>
          <w:b/>
          <w:sz w:val="24"/>
          <w:szCs w:val="24"/>
        </w:rPr>
      </w:pPr>
      <w:bookmarkStart w:id="31" w:name="_heading=h.8xov6t44grj8" w:colFirst="0" w:colLast="0"/>
      <w:bookmarkEnd w:id="31"/>
    </w:p>
    <w:p w14:paraId="0000003A">
      <w:pPr>
        <w:spacing w:line="360" w:lineRule="auto"/>
        <w:ind w:left="0" w:firstLine="0"/>
        <w:jc w:val="both"/>
        <w:rPr>
          <w:sz w:val="24"/>
          <w:szCs w:val="24"/>
        </w:rPr>
      </w:pPr>
      <w:bookmarkStart w:id="32" w:name="_heading=h.euk1ciw9csl4" w:colFirst="0" w:colLast="0"/>
      <w:bookmarkEnd w:id="32"/>
      <w:r>
        <w:rPr>
          <w:b/>
          <w:sz w:val="24"/>
          <w:szCs w:val="24"/>
          <w:rtl w:val="0"/>
        </w:rPr>
        <w:tab/>
      </w:r>
      <w:r>
        <w:rPr>
          <w:sz w:val="24"/>
          <w:szCs w:val="24"/>
          <w:rtl w:val="0"/>
        </w:rPr>
        <w:t xml:space="preserve">O que mostramos aqui é uma face de como o neoliberalismo brasileiro se expressa e reestrutura um </w:t>
      </w:r>
      <w:r>
        <w:rPr>
          <w:i/>
          <w:sz w:val="24"/>
          <w:szCs w:val="24"/>
          <w:rtl w:val="0"/>
        </w:rPr>
        <w:t xml:space="preserve">continuum </w:t>
      </w:r>
      <w:r>
        <w:rPr>
          <w:sz w:val="24"/>
          <w:szCs w:val="24"/>
          <w:rtl w:val="0"/>
        </w:rPr>
        <w:t>de poder e dominação da branquitude burguesa. O Estado brasileiro, na virada neoliberal de 2016, reatualiza mais uma vez o racismo institucional, tecnificando-o e modernizando-o de forma mais incisiva, atendendo às necessidades do capital financeiro e das elites conservadoras em detrimento das condições de vida das camadas mais populares do povo.</w:t>
      </w:r>
    </w:p>
    <w:p w14:paraId="0000003B">
      <w:pPr>
        <w:spacing w:line="360" w:lineRule="auto"/>
        <w:ind w:left="0" w:firstLine="0"/>
        <w:jc w:val="both"/>
        <w:rPr>
          <w:sz w:val="24"/>
          <w:szCs w:val="24"/>
        </w:rPr>
      </w:pPr>
      <w:bookmarkStart w:id="33" w:name="_heading=h.scq019igh84s" w:colFirst="0" w:colLast="0"/>
      <w:bookmarkEnd w:id="33"/>
      <w:r>
        <w:rPr>
          <w:sz w:val="24"/>
          <w:szCs w:val="24"/>
          <w:rtl w:val="0"/>
        </w:rPr>
        <w:tab/>
      </w:r>
      <w:r>
        <w:rPr>
          <w:sz w:val="24"/>
          <w:szCs w:val="24"/>
          <w:rtl w:val="0"/>
        </w:rPr>
        <w:t xml:space="preserve">As mulheres negras, embora não sejam o número maior de mortes por letalidade policial e no encarceramento se comparados aos homens negros, são as que estão na dianteira dos processos de continuidade da violência, do sofrimento, mas também da resistência. São as mulheres negras que lutam pela memória e justiça de seus filhos que tombaram nas operações truculentas das guerras às drogas, que estão na dianteira dos movimentos de cobrança por alternativas de projetos de segurança. São as mulheres negras que se esforçam para garantir a sobrevivência de homens no cárcere, ao mesmo tempo que quando estas estão no cárcere ficam desamparadas (Borges, 2019). </w:t>
      </w:r>
    </w:p>
    <w:p w14:paraId="0000003C">
      <w:pPr>
        <w:spacing w:line="360" w:lineRule="auto"/>
        <w:ind w:left="0" w:firstLine="0"/>
        <w:jc w:val="both"/>
        <w:rPr>
          <w:sz w:val="24"/>
          <w:szCs w:val="24"/>
        </w:rPr>
      </w:pPr>
      <w:bookmarkStart w:id="34" w:name="_heading=h.bgs5byecm111" w:colFirst="0" w:colLast="0"/>
      <w:bookmarkEnd w:id="34"/>
      <w:r>
        <w:rPr>
          <w:b/>
          <w:sz w:val="24"/>
          <w:szCs w:val="24"/>
          <w:rtl w:val="0"/>
        </w:rPr>
        <w:tab/>
      </w:r>
      <w:r>
        <w:rPr>
          <w:sz w:val="24"/>
          <w:szCs w:val="24"/>
          <w:rtl w:val="0"/>
        </w:rPr>
        <w:t>Vivemos numa sociabilidade atravessada ideologicamente pelo discurso e pelas práticas políticas de inimizade e neoliberais, que compulsivamente tendem a transformar tudo em mercadoria, enquanto corrobora para a cristalização do domínio/poder das elites e que não medem doses de violência para a auto-afirmação de sua hegemonia. Ir contra esta maré influi na necessidade de dar atenção para a realidade concreta em suas múltiplas expressões de (r)existência.</w:t>
      </w:r>
    </w:p>
    <w:p w14:paraId="0000003D">
      <w:pPr>
        <w:spacing w:line="360" w:lineRule="auto"/>
        <w:ind w:left="0" w:firstLine="720"/>
        <w:jc w:val="both"/>
        <w:rPr>
          <w:sz w:val="24"/>
          <w:szCs w:val="24"/>
        </w:rPr>
      </w:pPr>
      <w:bookmarkStart w:id="35" w:name="_heading=h.oh43bf58prxe" w:colFirst="0" w:colLast="0"/>
      <w:bookmarkEnd w:id="35"/>
      <w:r>
        <w:rPr>
          <w:sz w:val="24"/>
          <w:szCs w:val="24"/>
          <w:rtl w:val="0"/>
        </w:rPr>
        <w:t>É  fazer ecoar políticas públicas de Bem Viver e pulsão de vida em abundância, para oportunizar caminhos de uma vida vivível com futuridade, enaltecendo nossas lutas e resistências cotidianas. Tecendo estratégias de enfrentamento às políticas de (des)segurança, encarceramento e matabilidade, arquitetado e projetado para minar e aniquilar corpos negros, pobres e periféricos. Neste ensejo, mobilizamos o Bem Viver de toda uma comunidade e nação.</w:t>
      </w:r>
    </w:p>
    <w:p w14:paraId="0000003E">
      <w:pPr>
        <w:spacing w:line="360" w:lineRule="auto"/>
        <w:ind w:left="0" w:firstLine="0"/>
        <w:jc w:val="both"/>
        <w:rPr>
          <w:sz w:val="24"/>
          <w:szCs w:val="24"/>
        </w:rPr>
      </w:pPr>
      <w:bookmarkStart w:id="36" w:name="_heading=h.3kasahzd9hkf" w:colFirst="0" w:colLast="0"/>
      <w:bookmarkEnd w:id="36"/>
    </w:p>
    <w:p w14:paraId="0000003F">
      <w:pPr>
        <w:spacing w:line="360" w:lineRule="auto"/>
        <w:ind w:left="0" w:firstLine="0"/>
        <w:jc w:val="both"/>
        <w:rPr>
          <w:b/>
          <w:sz w:val="24"/>
          <w:szCs w:val="24"/>
        </w:rPr>
      </w:pPr>
      <w:bookmarkStart w:id="37" w:name="_heading=h.juabziqtz7h0" w:colFirst="0" w:colLast="0"/>
      <w:bookmarkEnd w:id="37"/>
      <w:r>
        <w:rPr>
          <w:b/>
          <w:sz w:val="24"/>
          <w:szCs w:val="24"/>
          <w:rtl w:val="0"/>
        </w:rPr>
        <w:t xml:space="preserve">REFERÊNCIAS </w:t>
      </w:r>
    </w:p>
    <w:p w14:paraId="00000040">
      <w:pPr>
        <w:spacing w:line="360" w:lineRule="auto"/>
        <w:ind w:left="0" w:firstLine="0"/>
        <w:jc w:val="both"/>
        <w:rPr>
          <w:b/>
          <w:sz w:val="24"/>
          <w:szCs w:val="24"/>
        </w:rPr>
      </w:pPr>
      <w:bookmarkStart w:id="38" w:name="_heading=h.3a37idexycek" w:colFirst="0" w:colLast="0"/>
      <w:bookmarkEnd w:id="38"/>
    </w:p>
    <w:p w14:paraId="00000041">
      <w:pPr>
        <w:spacing w:line="240" w:lineRule="auto"/>
        <w:ind w:left="0" w:firstLine="0"/>
        <w:jc w:val="both"/>
        <w:rPr>
          <w:sz w:val="24"/>
          <w:szCs w:val="24"/>
        </w:rPr>
      </w:pPr>
      <w:bookmarkStart w:id="39" w:name="_heading=h.e2m1f82k1yw7" w:colFirst="0" w:colLast="0"/>
      <w:bookmarkEnd w:id="39"/>
      <w:r>
        <w:rPr>
          <w:sz w:val="24"/>
          <w:szCs w:val="24"/>
          <w:rtl w:val="0"/>
        </w:rPr>
        <w:t xml:space="preserve">AKOTIRENE, Carla. </w:t>
      </w:r>
      <w:r>
        <w:rPr>
          <w:b/>
          <w:sz w:val="24"/>
          <w:szCs w:val="24"/>
          <w:rtl w:val="0"/>
        </w:rPr>
        <w:t xml:space="preserve">O Que é Interseccionalidade. </w:t>
      </w:r>
      <w:r>
        <w:rPr>
          <w:sz w:val="24"/>
          <w:szCs w:val="24"/>
          <w:rtl w:val="0"/>
        </w:rPr>
        <w:t>Coord. Djamila Ribeiro. Letramento – Belo Horizonte (MG). 2018.</w:t>
      </w:r>
    </w:p>
    <w:p w14:paraId="00000042">
      <w:pPr>
        <w:spacing w:line="240" w:lineRule="auto"/>
        <w:ind w:left="0" w:firstLine="0"/>
        <w:jc w:val="both"/>
        <w:rPr>
          <w:sz w:val="24"/>
          <w:szCs w:val="24"/>
        </w:rPr>
      </w:pPr>
      <w:bookmarkStart w:id="40" w:name="_heading=h.4xd7bj1638d1" w:colFirst="0" w:colLast="0"/>
      <w:bookmarkEnd w:id="40"/>
      <w:r>
        <w:rPr>
          <w:sz w:val="24"/>
          <w:szCs w:val="24"/>
          <w:rtl w:val="0"/>
        </w:rPr>
        <w:t xml:space="preserve">ALMEIDA, Sílvio Luiz de. </w:t>
      </w:r>
      <w:r>
        <w:rPr>
          <w:b/>
          <w:sz w:val="24"/>
          <w:szCs w:val="24"/>
          <w:rtl w:val="0"/>
        </w:rPr>
        <w:t xml:space="preserve">Racismo Estrutural. </w:t>
      </w:r>
      <w:r>
        <w:rPr>
          <w:sz w:val="24"/>
          <w:szCs w:val="24"/>
          <w:rtl w:val="0"/>
        </w:rPr>
        <w:t xml:space="preserve">Belo Horizonte (MG): Letramento. 2018. </w:t>
      </w:r>
    </w:p>
    <w:p w14:paraId="00000043">
      <w:pPr>
        <w:spacing w:line="240" w:lineRule="auto"/>
        <w:ind w:left="0" w:firstLine="0"/>
        <w:jc w:val="both"/>
        <w:rPr>
          <w:sz w:val="24"/>
          <w:szCs w:val="24"/>
        </w:rPr>
      </w:pPr>
      <w:bookmarkStart w:id="41" w:name="_heading=h.my20e8u5tzwq" w:colFirst="0" w:colLast="0"/>
      <w:bookmarkEnd w:id="41"/>
      <w:r>
        <w:rPr>
          <w:sz w:val="24"/>
          <w:szCs w:val="24"/>
          <w:rtl w:val="0"/>
        </w:rPr>
        <w:t xml:space="preserve">ANDRADE, Daniel Pereira. NEOLIBERALISMO E GUERRA AO INIMIGO INTERNO: da Nova República à virada autoritária no Brasil. </w:t>
      </w:r>
      <w:r>
        <w:rPr>
          <w:i/>
          <w:sz w:val="24"/>
          <w:szCs w:val="24"/>
          <w:rtl w:val="0"/>
        </w:rPr>
        <w:t xml:space="preserve">In. </w:t>
      </w:r>
      <w:r>
        <w:rPr>
          <w:b/>
          <w:sz w:val="24"/>
          <w:szCs w:val="24"/>
          <w:rtl w:val="0"/>
        </w:rPr>
        <w:t>Caderno CRH</w:t>
      </w:r>
      <w:r>
        <w:rPr>
          <w:sz w:val="24"/>
          <w:szCs w:val="24"/>
          <w:rtl w:val="0"/>
        </w:rPr>
        <w:t>, Salvador, v. 34, p. 1-34, e021021, 2021.</w:t>
      </w:r>
    </w:p>
    <w:p w14:paraId="00000044">
      <w:pPr>
        <w:spacing w:line="240" w:lineRule="auto"/>
        <w:ind w:left="0" w:firstLine="0"/>
        <w:jc w:val="both"/>
        <w:rPr>
          <w:sz w:val="24"/>
          <w:szCs w:val="24"/>
        </w:rPr>
      </w:pPr>
      <w:bookmarkStart w:id="42" w:name="_heading=h.15nzryfp2ibl" w:colFirst="0" w:colLast="0"/>
      <w:bookmarkEnd w:id="42"/>
      <w:r>
        <w:rPr>
          <w:sz w:val="24"/>
          <w:szCs w:val="24"/>
          <w:rtl w:val="0"/>
        </w:rPr>
        <w:t xml:space="preserve">BEHRING, Elaine Rossetti; BOSCHETTI, Ivanete. </w:t>
      </w:r>
      <w:r>
        <w:rPr>
          <w:b/>
          <w:sz w:val="24"/>
          <w:szCs w:val="24"/>
          <w:rtl w:val="0"/>
        </w:rPr>
        <w:t xml:space="preserve">Política social: </w:t>
      </w:r>
      <w:r>
        <w:rPr>
          <w:sz w:val="24"/>
          <w:szCs w:val="24"/>
          <w:rtl w:val="0"/>
        </w:rPr>
        <w:t>fundamentos e história.</w:t>
      </w:r>
      <w:r>
        <w:rPr>
          <w:b/>
          <w:sz w:val="24"/>
          <w:szCs w:val="24"/>
          <w:rtl w:val="0"/>
        </w:rPr>
        <w:t xml:space="preserve"> </w:t>
      </w:r>
      <w:r>
        <w:rPr>
          <w:sz w:val="24"/>
          <w:szCs w:val="24"/>
          <w:rtl w:val="0"/>
        </w:rPr>
        <w:t>São Paulo: Cortez, 2011. (Biblioteca Básica de Serviço Social, v. 2).</w:t>
      </w:r>
    </w:p>
    <w:p w14:paraId="00000045">
      <w:pPr>
        <w:spacing w:line="240" w:lineRule="auto"/>
        <w:jc w:val="both"/>
        <w:rPr>
          <w:sz w:val="24"/>
          <w:szCs w:val="24"/>
        </w:rPr>
      </w:pPr>
      <w:r>
        <w:rPr>
          <w:sz w:val="24"/>
          <w:szCs w:val="24"/>
          <w:rtl w:val="0"/>
        </w:rPr>
        <w:t xml:space="preserve">COSTAMILAN, Amanda. </w:t>
      </w:r>
      <w:r>
        <w:rPr>
          <w:b/>
          <w:sz w:val="24"/>
          <w:szCs w:val="24"/>
          <w:rtl w:val="0"/>
        </w:rPr>
        <w:t>Política criminal neoliberal</w:t>
      </w:r>
      <w:r>
        <w:rPr>
          <w:sz w:val="24"/>
          <w:szCs w:val="24"/>
          <w:rtl w:val="0"/>
        </w:rPr>
        <w:t>: militarização e mercantilização da segurança pública nos governos Temer e Bolsonaro a partir da economia política da punição. Dissertação (Mestrado) - Universidade do Extremo Sul Catarinense, Programa de Pós-Graduação em Direito, Criciúma, 2023.</w:t>
      </w:r>
    </w:p>
    <w:p w14:paraId="00000046">
      <w:pPr>
        <w:spacing w:line="240" w:lineRule="auto"/>
        <w:ind w:left="0" w:firstLine="0"/>
        <w:jc w:val="both"/>
        <w:rPr>
          <w:sz w:val="24"/>
          <w:szCs w:val="24"/>
        </w:rPr>
      </w:pPr>
      <w:bookmarkStart w:id="43" w:name="_heading=h.oabecj9k0ynx" w:colFirst="0" w:colLast="0"/>
      <w:bookmarkEnd w:id="43"/>
      <w:r>
        <w:rPr>
          <w:sz w:val="24"/>
          <w:szCs w:val="24"/>
          <w:rtl w:val="0"/>
        </w:rPr>
        <w:t xml:space="preserve">FLAUZINA, Ana Luiza Pinheiro. </w:t>
      </w:r>
      <w:r>
        <w:rPr>
          <w:b/>
          <w:sz w:val="24"/>
          <w:szCs w:val="24"/>
          <w:rtl w:val="0"/>
        </w:rPr>
        <w:t>Corpo negro caído no chão:</w:t>
      </w:r>
      <w:r>
        <w:rPr>
          <w:sz w:val="24"/>
          <w:szCs w:val="24"/>
          <w:rtl w:val="0"/>
        </w:rPr>
        <w:t xml:space="preserve"> o sistema penal e o projeto genocida do Estado brasileiro. 2006. 145 f. Dissertação (Mestrado em Direito)-Universidade de Brasília, Brasília, 2006. </w:t>
      </w:r>
    </w:p>
    <w:p w14:paraId="00000047">
      <w:pPr>
        <w:spacing w:line="240" w:lineRule="auto"/>
        <w:ind w:left="0" w:firstLine="0"/>
        <w:jc w:val="both"/>
        <w:rPr>
          <w:color w:val="262626"/>
          <w:sz w:val="24"/>
          <w:szCs w:val="24"/>
        </w:rPr>
      </w:pPr>
      <w:bookmarkStart w:id="44" w:name="_heading=h.4jgm4ux063t8" w:colFirst="0" w:colLast="0"/>
      <w:bookmarkEnd w:id="44"/>
      <w:r>
        <w:rPr>
          <w:color w:val="262626"/>
          <w:sz w:val="24"/>
          <w:szCs w:val="24"/>
          <w:rtl w:val="0"/>
        </w:rPr>
        <w:t xml:space="preserve">FÓRUM BRASILEIRO DE SEGURANÇA PÚBLICA. </w:t>
      </w:r>
      <w:r>
        <w:rPr>
          <w:b/>
          <w:color w:val="262626"/>
          <w:sz w:val="24"/>
          <w:szCs w:val="24"/>
          <w:rtl w:val="0"/>
        </w:rPr>
        <w:t>Anuário Brasileiro de Segurança Pública</w:t>
      </w:r>
      <w:r>
        <w:rPr>
          <w:color w:val="262626"/>
          <w:sz w:val="24"/>
          <w:szCs w:val="24"/>
          <w:rtl w:val="0"/>
        </w:rPr>
        <w:t xml:space="preserve">. Brasília. 2019. </w:t>
      </w:r>
    </w:p>
    <w:p w14:paraId="00000048">
      <w:pPr>
        <w:spacing w:line="240" w:lineRule="auto"/>
        <w:ind w:left="0" w:firstLine="0"/>
        <w:jc w:val="both"/>
        <w:rPr>
          <w:sz w:val="24"/>
          <w:szCs w:val="24"/>
        </w:rPr>
      </w:pPr>
      <w:bookmarkStart w:id="45" w:name="_heading=h.m74i17634h54" w:colFirst="0" w:colLast="0"/>
      <w:bookmarkEnd w:id="45"/>
      <w:r>
        <w:rPr>
          <w:sz w:val="24"/>
          <w:szCs w:val="24"/>
          <w:rtl w:val="0"/>
        </w:rPr>
        <w:t>GIL, Antonio Carlos.</w:t>
      </w:r>
      <w:r>
        <w:rPr>
          <w:b/>
          <w:sz w:val="24"/>
          <w:szCs w:val="24"/>
          <w:rtl w:val="0"/>
        </w:rPr>
        <w:t xml:space="preserve"> Métodos e técnicas de pesquisa social</w:t>
      </w:r>
      <w:r>
        <w:rPr>
          <w:sz w:val="24"/>
          <w:szCs w:val="24"/>
          <w:rtl w:val="0"/>
        </w:rPr>
        <w:t>. - 6. ed. - São Paulo : Atlas, 2008.</w:t>
      </w:r>
    </w:p>
    <w:p w14:paraId="00000049">
      <w:pPr>
        <w:spacing w:line="240" w:lineRule="auto"/>
        <w:ind w:left="0" w:firstLine="0"/>
        <w:jc w:val="both"/>
        <w:rPr>
          <w:sz w:val="24"/>
          <w:szCs w:val="24"/>
        </w:rPr>
      </w:pPr>
      <w:bookmarkStart w:id="46" w:name="_heading=h.snllj8exs260" w:colFirst="0" w:colLast="0"/>
      <w:bookmarkEnd w:id="46"/>
      <w:r>
        <w:rPr>
          <w:sz w:val="24"/>
          <w:szCs w:val="24"/>
          <w:rtl w:val="0"/>
        </w:rPr>
        <w:t xml:space="preserve">GONÇALVES, Renata. Quando a questão racial é o nó da questão social. In. </w:t>
      </w:r>
      <w:r>
        <w:rPr>
          <w:b/>
          <w:sz w:val="24"/>
          <w:szCs w:val="24"/>
          <w:rtl w:val="0"/>
        </w:rPr>
        <w:t>R. Katál.</w:t>
      </w:r>
      <w:r>
        <w:rPr>
          <w:sz w:val="24"/>
          <w:szCs w:val="24"/>
          <w:rtl w:val="0"/>
        </w:rPr>
        <w:t>, Florianópolis, v. 21, n. 3, p. 514-522, set./dez. 2018 ISSN 1982-0259</w:t>
      </w:r>
    </w:p>
    <w:p w14:paraId="0000004A">
      <w:pPr>
        <w:spacing w:line="240" w:lineRule="auto"/>
        <w:ind w:left="0" w:firstLine="0"/>
        <w:jc w:val="both"/>
        <w:rPr>
          <w:sz w:val="24"/>
          <w:szCs w:val="24"/>
        </w:rPr>
      </w:pPr>
      <w:bookmarkStart w:id="47" w:name="_heading=h.h6nlnlij016h" w:colFirst="0" w:colLast="0"/>
      <w:bookmarkEnd w:id="47"/>
      <w:r>
        <w:rPr>
          <w:sz w:val="24"/>
          <w:szCs w:val="24"/>
          <w:rtl w:val="0"/>
        </w:rPr>
        <w:t xml:space="preserve">HARVEY, David. </w:t>
      </w:r>
      <w:r>
        <w:rPr>
          <w:b/>
          <w:sz w:val="24"/>
          <w:szCs w:val="24"/>
          <w:rtl w:val="0"/>
        </w:rPr>
        <w:t xml:space="preserve">O Neoliberalismo: </w:t>
      </w:r>
      <w:r>
        <w:rPr>
          <w:sz w:val="24"/>
          <w:szCs w:val="24"/>
          <w:rtl w:val="0"/>
        </w:rPr>
        <w:t>história e implicações. São Paulo: Loyola, 2005.</w:t>
      </w:r>
    </w:p>
    <w:p w14:paraId="0000004B">
      <w:pPr>
        <w:spacing w:line="240" w:lineRule="auto"/>
        <w:ind w:left="0" w:firstLine="0"/>
        <w:jc w:val="both"/>
        <w:rPr>
          <w:sz w:val="24"/>
          <w:szCs w:val="24"/>
        </w:rPr>
      </w:pPr>
      <w:bookmarkStart w:id="48" w:name="_heading=h.9yb0rvh4594r" w:colFirst="0" w:colLast="0"/>
      <w:bookmarkEnd w:id="48"/>
      <w:r>
        <w:rPr>
          <w:sz w:val="24"/>
          <w:szCs w:val="24"/>
          <w:rtl w:val="0"/>
        </w:rPr>
        <w:t xml:space="preserve">Levantamento Nacional de Informações Penitenciárias - Infopen. Sistema de Informações do Departamento Penitenciário Nacional. Ministério da Justiça. </w:t>
      </w:r>
    </w:p>
    <w:p w14:paraId="0000004C">
      <w:pPr>
        <w:spacing w:line="240" w:lineRule="auto"/>
        <w:ind w:left="0" w:firstLine="0"/>
        <w:jc w:val="both"/>
        <w:rPr>
          <w:sz w:val="24"/>
          <w:szCs w:val="24"/>
        </w:rPr>
      </w:pPr>
      <w:bookmarkStart w:id="49" w:name="_heading=h.db3404safzj8" w:colFirst="0" w:colLast="0"/>
      <w:bookmarkEnd w:id="49"/>
      <w:r>
        <w:rPr>
          <w:sz w:val="24"/>
          <w:szCs w:val="24"/>
          <w:rtl w:val="0"/>
        </w:rPr>
        <w:t xml:space="preserve">LUKÁCS, G. </w:t>
      </w:r>
      <w:r>
        <w:rPr>
          <w:b/>
          <w:sz w:val="24"/>
          <w:szCs w:val="24"/>
          <w:rtl w:val="0"/>
        </w:rPr>
        <w:t xml:space="preserve">História e consciência de classe estudo de dialética marxista. </w:t>
      </w:r>
      <w:r>
        <w:rPr>
          <w:sz w:val="24"/>
          <w:szCs w:val="24"/>
          <w:rtl w:val="0"/>
        </w:rPr>
        <w:t xml:space="preserve">2ª ed. Rio de Janeiro: Elfos; Porto: Publicações Escorpião, 1989. </w:t>
      </w:r>
    </w:p>
    <w:p w14:paraId="0000004D">
      <w:pPr>
        <w:spacing w:line="240" w:lineRule="auto"/>
        <w:jc w:val="both"/>
        <w:rPr>
          <w:sz w:val="24"/>
          <w:szCs w:val="24"/>
        </w:rPr>
      </w:pPr>
      <w:r>
        <w:rPr>
          <w:sz w:val="24"/>
          <w:szCs w:val="24"/>
          <w:rtl w:val="0"/>
        </w:rPr>
        <w:t xml:space="preserve">MADEIRA, Maria Zelma de Araújo. Desigualdades Raciais Como Expressão Da Questão Social No Ceará. In. CUNHA, Aurineida Maria et al. (Org's.). </w:t>
      </w:r>
      <w:r>
        <w:rPr>
          <w:b/>
          <w:sz w:val="24"/>
          <w:szCs w:val="24"/>
          <w:rtl w:val="0"/>
        </w:rPr>
        <w:t>Expressões da questão social no Ceará</w:t>
      </w:r>
      <w:r>
        <w:rPr>
          <w:sz w:val="24"/>
          <w:szCs w:val="24"/>
          <w:rtl w:val="0"/>
        </w:rPr>
        <w:t xml:space="preserve">. Fortaleza: EdUECE, 2014. Pág. 239-262. </w:t>
      </w:r>
    </w:p>
    <w:p w14:paraId="0000004E">
      <w:pPr>
        <w:spacing w:line="240" w:lineRule="auto"/>
        <w:ind w:left="0" w:firstLine="0"/>
        <w:jc w:val="both"/>
        <w:rPr>
          <w:sz w:val="24"/>
          <w:szCs w:val="24"/>
        </w:rPr>
      </w:pPr>
      <w:bookmarkStart w:id="50" w:name="_heading=h.o272aotvklkm" w:colFirst="0" w:colLast="0"/>
      <w:bookmarkEnd w:id="50"/>
      <w:r>
        <w:rPr>
          <w:sz w:val="24"/>
          <w:szCs w:val="24"/>
          <w:rtl w:val="0"/>
        </w:rPr>
        <w:t xml:space="preserve">MADEIRA, Maria Zelma de Araújo; MEDEIROS, Richelly Barbosa de. Racismo estrutural e desafios dos movimentos sociais negros na contemporaneidade. In. MACARIO, Epitácio et al. (Orgs.). </w:t>
      </w:r>
      <w:r>
        <w:rPr>
          <w:b/>
          <w:sz w:val="24"/>
          <w:szCs w:val="24"/>
          <w:rtl w:val="0"/>
        </w:rPr>
        <w:t>Dimensões da crise brasileira</w:t>
      </w:r>
      <w:r>
        <w:rPr>
          <w:sz w:val="24"/>
          <w:szCs w:val="24"/>
          <w:rtl w:val="0"/>
        </w:rPr>
        <w:t>: dependência, trabalho e fundo público. Fortaleza: EdUECE ; Bauru: Canal 6, 2018.</w:t>
      </w:r>
    </w:p>
    <w:p w14:paraId="0000004F">
      <w:pPr>
        <w:spacing w:line="240" w:lineRule="auto"/>
        <w:ind w:left="0" w:firstLine="0"/>
        <w:jc w:val="both"/>
        <w:rPr>
          <w:sz w:val="24"/>
          <w:szCs w:val="24"/>
        </w:rPr>
      </w:pPr>
      <w:bookmarkStart w:id="51" w:name="_heading=h.tknlmh919d58" w:colFirst="0" w:colLast="0"/>
      <w:bookmarkEnd w:id="51"/>
      <w:r>
        <w:rPr>
          <w:sz w:val="24"/>
          <w:szCs w:val="24"/>
          <w:rtl w:val="0"/>
        </w:rPr>
        <w:t xml:space="preserve">MBEMBE, Achile. </w:t>
      </w:r>
      <w:r>
        <w:rPr>
          <w:b/>
          <w:sz w:val="24"/>
          <w:szCs w:val="24"/>
          <w:rtl w:val="0"/>
        </w:rPr>
        <w:t>Necropolítica.</w:t>
      </w:r>
      <w:r>
        <w:rPr>
          <w:sz w:val="24"/>
          <w:szCs w:val="24"/>
          <w:rtl w:val="0"/>
        </w:rPr>
        <w:t xml:space="preserve"> São Paulo; N-1, 2018. </w:t>
      </w:r>
    </w:p>
    <w:p w14:paraId="00000050">
      <w:pPr>
        <w:spacing w:line="240" w:lineRule="auto"/>
        <w:ind w:left="0" w:firstLine="0"/>
        <w:jc w:val="both"/>
        <w:rPr>
          <w:sz w:val="24"/>
          <w:szCs w:val="24"/>
        </w:rPr>
      </w:pPr>
      <w:bookmarkStart w:id="52" w:name="_heading=h.ffmc3ld7amqb" w:colFirst="0" w:colLast="0"/>
      <w:bookmarkEnd w:id="52"/>
      <w:r>
        <w:rPr>
          <w:sz w:val="24"/>
          <w:szCs w:val="24"/>
          <w:rtl w:val="0"/>
        </w:rPr>
        <w:t xml:space="preserve">MOURA, Carlos. </w:t>
      </w:r>
      <w:r>
        <w:rPr>
          <w:b/>
          <w:sz w:val="24"/>
          <w:szCs w:val="24"/>
          <w:rtl w:val="0"/>
        </w:rPr>
        <w:t>Dialética Radical do Brasil Negro.</w:t>
      </w:r>
      <w:r>
        <w:rPr>
          <w:sz w:val="24"/>
          <w:szCs w:val="24"/>
          <w:rtl w:val="0"/>
        </w:rPr>
        <w:t xml:space="preserve"> - 2ª ed.- São Paulo. Fundação Maurício Gabois; co-edição Anita Garibaldi, 2014. </w:t>
      </w:r>
    </w:p>
    <w:p w14:paraId="00000051">
      <w:pPr>
        <w:spacing w:line="240" w:lineRule="auto"/>
        <w:jc w:val="both"/>
        <w:rPr>
          <w:sz w:val="24"/>
          <w:szCs w:val="24"/>
        </w:rPr>
      </w:pPr>
      <w:r>
        <w:rPr>
          <w:sz w:val="24"/>
          <w:szCs w:val="24"/>
          <w:rtl w:val="0"/>
        </w:rPr>
        <w:t xml:space="preserve">NASCIMENTO, Abdias do. </w:t>
      </w:r>
      <w:r>
        <w:rPr>
          <w:b/>
          <w:sz w:val="24"/>
          <w:szCs w:val="24"/>
          <w:rtl w:val="0"/>
        </w:rPr>
        <w:t xml:space="preserve">O genocídio do negro brasileiro: </w:t>
      </w:r>
      <w:r>
        <w:rPr>
          <w:sz w:val="24"/>
          <w:szCs w:val="24"/>
          <w:rtl w:val="0"/>
        </w:rPr>
        <w:t>processo de um racismo mascarado</w:t>
      </w:r>
      <w:r>
        <w:rPr>
          <w:b/>
          <w:sz w:val="24"/>
          <w:szCs w:val="24"/>
          <w:rtl w:val="0"/>
        </w:rPr>
        <w:t xml:space="preserve">. </w:t>
      </w:r>
      <w:r>
        <w:rPr>
          <w:sz w:val="24"/>
          <w:szCs w:val="24"/>
          <w:rtl w:val="0"/>
        </w:rPr>
        <w:t xml:space="preserve">– 3ª Ed. - São Paulo; Perspectivas, 2016. </w:t>
      </w:r>
    </w:p>
    <w:p w14:paraId="00000052">
      <w:pPr>
        <w:spacing w:line="240" w:lineRule="auto"/>
        <w:ind w:left="0" w:firstLine="0"/>
        <w:jc w:val="both"/>
        <w:rPr>
          <w:sz w:val="24"/>
          <w:szCs w:val="24"/>
        </w:rPr>
      </w:pPr>
      <w:bookmarkStart w:id="53" w:name="_heading=h.h4tv8zs7x2z1" w:colFirst="0" w:colLast="0"/>
      <w:bookmarkEnd w:id="53"/>
      <w:r>
        <w:rPr>
          <w:sz w:val="24"/>
          <w:szCs w:val="24"/>
          <w:rtl w:val="0"/>
        </w:rPr>
        <w:t xml:space="preserve">SAAD FILHO, A. e MORAIS, L. </w:t>
      </w:r>
      <w:r>
        <w:rPr>
          <w:b/>
          <w:sz w:val="24"/>
          <w:szCs w:val="24"/>
          <w:rtl w:val="0"/>
        </w:rPr>
        <w:t>Brasil:</w:t>
      </w:r>
      <w:r>
        <w:rPr>
          <w:sz w:val="24"/>
          <w:szCs w:val="24"/>
          <w:rtl w:val="0"/>
        </w:rPr>
        <w:t xml:space="preserve"> neoliberalismo versus democracia.</w:t>
      </w:r>
      <w:r>
        <w:rPr>
          <w:b/>
          <w:sz w:val="24"/>
          <w:szCs w:val="24"/>
          <w:rtl w:val="0"/>
        </w:rPr>
        <w:t xml:space="preserve"> </w:t>
      </w:r>
      <w:r>
        <w:rPr>
          <w:sz w:val="24"/>
          <w:szCs w:val="24"/>
          <w:rtl w:val="0"/>
        </w:rPr>
        <w:t xml:space="preserve">1ª ed. São Paulo: Boitempo, 2018. </w:t>
      </w:r>
    </w:p>
    <w:p w14:paraId="00000053">
      <w:pPr>
        <w:spacing w:line="240" w:lineRule="auto"/>
        <w:ind w:left="0" w:firstLine="0"/>
        <w:jc w:val="both"/>
        <w:rPr>
          <w:sz w:val="24"/>
          <w:szCs w:val="24"/>
        </w:rPr>
      </w:pPr>
      <w:bookmarkStart w:id="54" w:name="_heading=h.tsct0rgm6tch" w:colFirst="0" w:colLast="0"/>
      <w:bookmarkEnd w:id="54"/>
      <w:r>
        <w:rPr>
          <w:sz w:val="24"/>
          <w:szCs w:val="24"/>
          <w:rtl w:val="0"/>
        </w:rPr>
        <w:t xml:space="preserve">SCHWARCZ, Lilia Moritz. </w:t>
      </w:r>
      <w:r>
        <w:rPr>
          <w:b/>
          <w:sz w:val="24"/>
          <w:szCs w:val="24"/>
          <w:rtl w:val="0"/>
        </w:rPr>
        <w:t xml:space="preserve">Sobre o autoritarismo brasileiro </w:t>
      </w:r>
      <w:r>
        <w:rPr>
          <w:sz w:val="24"/>
          <w:szCs w:val="24"/>
          <w:rtl w:val="0"/>
        </w:rPr>
        <w:t xml:space="preserve">— 1ª ed. — São Paulo: Companhia das Letras, 2019. </w:t>
      </w:r>
    </w:p>
    <w:p w14:paraId="00000054">
      <w:pPr>
        <w:spacing w:line="240" w:lineRule="auto"/>
        <w:ind w:left="0" w:firstLine="0"/>
        <w:jc w:val="both"/>
        <w:rPr>
          <w:sz w:val="24"/>
          <w:szCs w:val="24"/>
        </w:rPr>
      </w:pPr>
      <w:bookmarkStart w:id="55" w:name="_heading=h.qp3iekja52pi" w:colFirst="0" w:colLast="0"/>
      <w:bookmarkEnd w:id="55"/>
      <w:r>
        <w:rPr>
          <w:sz w:val="24"/>
          <w:szCs w:val="24"/>
          <w:rtl w:val="0"/>
        </w:rPr>
        <w:t xml:space="preserve">SILVA, Fábio de Sá e. Barcos contra a Corrente: a Política Nacional de Segurança Pública de Dilma Rousseff a Michel Temer. </w:t>
      </w:r>
      <w:r>
        <w:rPr>
          <w:i/>
          <w:sz w:val="24"/>
          <w:szCs w:val="24"/>
          <w:rtl w:val="0"/>
        </w:rPr>
        <w:t xml:space="preserve">In. </w:t>
      </w:r>
      <w:r>
        <w:rPr>
          <w:sz w:val="24"/>
          <w:szCs w:val="24"/>
          <w:rtl w:val="0"/>
        </w:rPr>
        <w:t xml:space="preserve">Boletim de Análise Político-Institucional | n. 11 | Jan.-Jun. 2017. </w:t>
      </w:r>
    </w:p>
    <w:p w14:paraId="00000055">
      <w:pPr>
        <w:spacing w:line="240" w:lineRule="auto"/>
        <w:ind w:left="0" w:firstLine="0"/>
        <w:jc w:val="both"/>
        <w:rPr>
          <w:sz w:val="24"/>
          <w:szCs w:val="24"/>
        </w:rPr>
      </w:pPr>
      <w:bookmarkStart w:id="56" w:name="_heading=h.w1iy8jw5y3ed" w:colFirst="0" w:colLast="0"/>
      <w:bookmarkEnd w:id="56"/>
      <w:r>
        <w:rPr>
          <w:sz w:val="24"/>
          <w:szCs w:val="24"/>
          <w:rtl w:val="0"/>
        </w:rPr>
        <w:t xml:space="preserve">SOUZA, Jessé. </w:t>
      </w:r>
      <w:r>
        <w:rPr>
          <w:b/>
          <w:sz w:val="24"/>
          <w:szCs w:val="24"/>
          <w:rtl w:val="0"/>
        </w:rPr>
        <w:t>A elite do atraso:</w:t>
      </w:r>
      <w:r>
        <w:rPr>
          <w:sz w:val="24"/>
          <w:szCs w:val="24"/>
          <w:rtl w:val="0"/>
        </w:rPr>
        <w:t xml:space="preserve"> da escravidão à Lava Jato</w:t>
      </w:r>
      <w:r>
        <w:rPr>
          <w:b/>
          <w:sz w:val="24"/>
          <w:szCs w:val="24"/>
          <w:rtl w:val="0"/>
        </w:rPr>
        <w:t xml:space="preserve"> </w:t>
      </w:r>
      <w:r>
        <w:rPr>
          <w:sz w:val="24"/>
          <w:szCs w:val="24"/>
          <w:rtl w:val="0"/>
        </w:rPr>
        <w:t xml:space="preserve">- Rio de Janeiro: Leya, 2017. </w:t>
      </w:r>
    </w:p>
    <w:p w14:paraId="00000056">
      <w:pPr>
        <w:spacing w:line="240" w:lineRule="auto"/>
        <w:ind w:left="0" w:firstLine="0"/>
        <w:jc w:val="both"/>
        <w:rPr>
          <w:sz w:val="24"/>
          <w:szCs w:val="24"/>
        </w:rPr>
      </w:pPr>
      <w:bookmarkStart w:id="57" w:name="_heading=h.a0efmzeikhbj" w:colFirst="0" w:colLast="0"/>
      <w:bookmarkEnd w:id="57"/>
      <w:r>
        <w:rPr>
          <w:sz w:val="24"/>
          <w:szCs w:val="24"/>
          <w:rtl w:val="0"/>
        </w:rPr>
        <w:t xml:space="preserve">SOUZA, Robson Sávio Reis. </w:t>
      </w:r>
      <w:r>
        <w:rPr>
          <w:b/>
          <w:sz w:val="24"/>
          <w:szCs w:val="24"/>
          <w:rtl w:val="0"/>
        </w:rPr>
        <w:t>Quem comanda a segurança Pública no Brasil?</w:t>
      </w:r>
      <w:r>
        <w:rPr>
          <w:sz w:val="24"/>
          <w:szCs w:val="24"/>
          <w:rtl w:val="0"/>
        </w:rPr>
        <w:t xml:space="preserve"> : atores, crenças e coalizões que dominam a política nacional de segurança pública. Belo Horizonte - MG; Letramento, 2015.</w:t>
      </w:r>
    </w:p>
    <w:sectPr>
      <w:headerReference r:id="rId5" w:type="default"/>
      <w:footerReference r:id="rId6" w:type="default"/>
      <w:pgSz w:w="11909" w:h="16834"/>
      <w:pgMar w:top="1701" w:right="1134" w:bottom="1134" w:left="1701" w:header="3401"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86"/>
    <w:family w:val="swiss"/>
    <w:pitch w:val="default"/>
    <w:sig w:usb0="E0002EFF" w:usb1="C000785B" w:usb2="00000009" w:usb3="00000000" w:csb0="400001FF" w:csb1="FFFF0000"/>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76" w:lineRule="auto"/>
      </w:pPr>
      <w:r>
        <w:separator/>
      </w:r>
    </w:p>
  </w:footnote>
  <w:footnote w:type="continuationSeparator" w:id="5">
    <w:p>
      <w:pPr>
        <w:spacing w:line="276" w:lineRule="auto"/>
      </w:pPr>
      <w:r>
        <w:continuationSeparator/>
      </w:r>
    </w:p>
  </w:footnote>
  <w:footnote w:id="0">
    <w:p w14:paraId="00000059">
      <w:pPr>
        <w:spacing w:line="240" w:lineRule="auto"/>
        <w:jc w:val="both"/>
        <w:rPr>
          <w:sz w:val="20"/>
          <w:szCs w:val="20"/>
        </w:rPr>
      </w:pPr>
      <w:r>
        <w:rPr>
          <w:vertAlign w:val="superscript"/>
        </w:rPr>
        <w:footnoteRef/>
      </w:r>
      <w:r>
        <w:rPr>
          <w:sz w:val="20"/>
          <w:szCs w:val="20"/>
          <w:rtl w:val="0"/>
        </w:rPr>
        <w:t xml:space="preserve"> Bacharel em Serviço Social pela Universidade Estadual do Ceará (UECE). E-mail: </w:t>
      </w:r>
      <w:r>
        <w:fldChar w:fldCharType="begin"/>
      </w:r>
      <w:r>
        <w:instrText xml:space="preserve"> HYPERLINK "mailto:joazin.araujo@aluno.uece.br" \h </w:instrText>
      </w:r>
      <w:r>
        <w:fldChar w:fldCharType="separate"/>
      </w:r>
      <w:r>
        <w:rPr>
          <w:color w:val="1155CC"/>
          <w:sz w:val="20"/>
          <w:szCs w:val="20"/>
          <w:u w:val="single"/>
          <w:rtl w:val="0"/>
        </w:rPr>
        <w:t>joazin.araujo@aluno.uece.br</w:t>
      </w:r>
      <w:r>
        <w:rPr>
          <w:color w:val="1155CC"/>
          <w:sz w:val="20"/>
          <w:szCs w:val="20"/>
          <w:u w:val="single"/>
          <w:rtl w:val="0"/>
        </w:rPr>
        <w:fldChar w:fldCharType="end"/>
      </w:r>
      <w:r>
        <w:rPr>
          <w:sz w:val="20"/>
          <w:szCs w:val="20"/>
          <w:rtl w:val="0"/>
        </w:rPr>
        <w:t xml:space="preserve">  </w:t>
      </w:r>
    </w:p>
  </w:footnote>
  <w:footnote w:id="1">
    <w:p w14:paraId="0000005A">
      <w:pPr>
        <w:spacing w:line="240" w:lineRule="auto"/>
        <w:jc w:val="both"/>
        <w:rPr>
          <w:sz w:val="20"/>
          <w:szCs w:val="20"/>
        </w:rPr>
      </w:pPr>
      <w:r>
        <w:rPr>
          <w:vertAlign w:val="superscript"/>
        </w:rPr>
        <w:footnoteRef/>
      </w:r>
      <w:r>
        <w:rPr>
          <w:sz w:val="20"/>
          <w:szCs w:val="20"/>
          <w:rtl w:val="0"/>
        </w:rPr>
        <w:t xml:space="preserve"> Mestra em Sociologia pela Universidade Estadual do Ceará (UFC). E-mail: </w:t>
      </w:r>
      <w:r>
        <w:fldChar w:fldCharType="begin"/>
      </w:r>
      <w:r>
        <w:instrText xml:space="preserve"> HYPERLINK "mailto:francianesantos1920@gmail.com" \h </w:instrText>
      </w:r>
      <w:r>
        <w:fldChar w:fldCharType="separate"/>
      </w:r>
      <w:r>
        <w:rPr>
          <w:color w:val="1155CC"/>
          <w:sz w:val="20"/>
          <w:szCs w:val="20"/>
          <w:u w:val="single"/>
          <w:rtl w:val="0"/>
        </w:rPr>
        <w:t>francianesantos1920@gmail.com</w:t>
      </w:r>
      <w:r>
        <w:rPr>
          <w:color w:val="1155CC"/>
          <w:sz w:val="20"/>
          <w:szCs w:val="20"/>
          <w:u w:val="single"/>
          <w:rtl w:val="0"/>
        </w:rPr>
        <w:fldChar w:fldCharType="end"/>
      </w:r>
      <w:r>
        <w:rPr>
          <w:sz w:val="20"/>
          <w:szCs w:val="20"/>
          <w:rtl w:val="0"/>
        </w:rPr>
        <w:t xml:space="preserve"> </w:t>
      </w:r>
    </w:p>
    <w:p w14:paraId="0000005B">
      <w:pPr>
        <w:spacing w:line="240" w:lineRule="auto"/>
        <w:rPr>
          <w:sz w:val="20"/>
          <w:szCs w:val="20"/>
        </w:rPr>
      </w:pPr>
      <w:r>
        <w:rPr>
          <w:sz w:val="20"/>
          <w:szCs w:val="20"/>
          <w:rtl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7">
    <w:pPr>
      <w:rPr>
        <w:vertAlign w:val="baseline"/>
      </w:rPr>
    </w:pPr>
    <w:r>
      <w:drawing>
        <wp:anchor distT="0" distB="0" distL="0" distR="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1028" name="image1.png"/>
                  <pic:cNvPicPr preferRelativeResize="0"/>
                </pic:nvPicPr>
                <pic:blipFill>
                  <a:blip r:embed="rId1"/>
                  <a:srcRect/>
                  <a:stretch>
                    <a:fillRect/>
                  </a:stretch>
                </pic:blipFill>
                <pic:spPr>
                  <a:xfrm>
                    <a:off x="0" y="0"/>
                    <a:ext cx="7563485" cy="107276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footnotePr>
    <w:footnote w:id="4"/>
    <w:footnote w:id="5"/>
  </w:footnotePr>
  <w:endnotePr>
    <w:endnote w:id="0"/>
    <w:endnote w:id="1"/>
  </w:endnotePr>
  <w:compat>
    <w:compatSetting w:name="compatibilityMode" w:uri="http://schemas.microsoft.com/office/word" w:val="15"/>
  </w:compat>
  <w:rsids>
    <w:rsidRoot w:val="00000000"/>
    <w:rsid w:val="55A7667F"/>
    <w:rsid w:val="5F7A34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uiPriority w:val="0"/>
    <w:pPr>
      <w:spacing w:line="276" w:lineRule="auto"/>
    </w:pPr>
    <w:rPr>
      <w:rFonts w:ascii="Arial" w:hAnsi="Arial" w:eastAsia="Arial" w:cs="Arial"/>
      <w:sz w:val="22"/>
      <w:szCs w:val="22"/>
      <w:lang w:val="zh-CN"/>
    </w:rPr>
  </w:style>
  <w:style w:type="paragraph" w:styleId="2">
    <w:name w:val="heading 1"/>
    <w:basedOn w:val="1"/>
    <w:next w:val="1"/>
    <w:uiPriority w:val="0"/>
    <w:pPr>
      <w:keepNext/>
      <w:keepLines/>
      <w:pageBreakBefore w:val="0"/>
      <w:spacing w:before="480" w:after="120"/>
    </w:pPr>
    <w:rPr>
      <w:b/>
      <w:sz w:val="48"/>
      <w:szCs w:val="48"/>
    </w:rPr>
  </w:style>
  <w:style w:type="paragraph" w:styleId="3">
    <w:name w:val="heading 2"/>
    <w:basedOn w:val="1"/>
    <w:next w:val="1"/>
    <w:uiPriority w:val="0"/>
    <w:pPr>
      <w:keepNext/>
      <w:keepLines/>
      <w:pageBreakBefore w:val="0"/>
      <w:spacing w:before="360" w:after="80"/>
    </w:pPr>
    <w:rPr>
      <w:b/>
      <w:sz w:val="36"/>
      <w:szCs w:val="36"/>
    </w:rPr>
  </w:style>
  <w:style w:type="paragraph" w:styleId="4">
    <w:name w:val="heading 3"/>
    <w:basedOn w:val="1"/>
    <w:next w:val="1"/>
    <w:uiPriority w:val="0"/>
    <w:pPr>
      <w:keepNext/>
      <w:keepLines/>
      <w:pageBreakBefore w:val="0"/>
      <w:spacing w:before="280" w:after="80"/>
    </w:pPr>
    <w:rPr>
      <w:b/>
      <w:sz w:val="28"/>
      <w:szCs w:val="28"/>
    </w:rPr>
  </w:style>
  <w:style w:type="paragraph" w:styleId="5">
    <w:name w:val="heading 4"/>
    <w:basedOn w:val="1"/>
    <w:next w:val="1"/>
    <w:uiPriority w:val="0"/>
    <w:pPr>
      <w:keepNext/>
      <w:keepLines/>
      <w:pageBreakBefore w:val="0"/>
      <w:spacing w:before="240" w:after="40"/>
    </w:pPr>
    <w:rPr>
      <w:b/>
      <w:sz w:val="24"/>
      <w:szCs w:val="24"/>
    </w:rPr>
  </w:style>
  <w:style w:type="paragraph" w:styleId="6">
    <w:name w:val="heading 5"/>
    <w:basedOn w:val="1"/>
    <w:next w:val="1"/>
    <w:uiPriority w:val="0"/>
    <w:pPr>
      <w:keepNext/>
      <w:keepLines/>
      <w:pageBreakBefore w:val="0"/>
      <w:spacing w:before="220" w:after="40"/>
    </w:pPr>
    <w:rPr>
      <w:b/>
      <w:sz w:val="22"/>
      <w:szCs w:val="22"/>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Title"/>
    <w:basedOn w:val="1"/>
    <w:next w:val="1"/>
    <w:qFormat/>
    <w:uiPriority w:val="0"/>
    <w:pPr>
      <w:keepNext/>
      <w:keepLines/>
      <w:pageBreakBefore w:val="0"/>
      <w:spacing w:before="480" w:after="120"/>
    </w:pPr>
    <w:rPr>
      <w:b/>
      <w:sz w:val="72"/>
      <w:szCs w:val="72"/>
    </w:rPr>
  </w:style>
  <w:style w:type="paragraph" w:styleId="11">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table" w:customStyle="1" w:styleId="12">
    <w:name w:val="TableNormal"/>
    <w:uiPriority w:val="0"/>
  </w:style>
  <w:style w:type="paragraph" w:customStyle="1" w:styleId="13">
    <w:name w:val="Título 11"/>
    <w:basedOn w:val="1"/>
    <w:next w:val="1"/>
    <w:uiPriority w:val="0"/>
    <w:pPr>
      <w:keepNext/>
      <w:keepLines/>
      <w:suppressAutoHyphens/>
      <w:spacing w:before="400" w:after="120" w:line="276" w:lineRule="auto"/>
      <w:ind w:leftChars="-1" w:rightChars="0" w:hangingChars="1"/>
      <w:textAlignment w:val="top"/>
      <w:outlineLvl w:val="0"/>
    </w:pPr>
    <w:rPr>
      <w:w w:val="100"/>
      <w:position w:val="-1"/>
      <w:sz w:val="40"/>
      <w:szCs w:val="40"/>
      <w:vertAlign w:val="baseline"/>
      <w:cs w:val="0"/>
      <w:lang w:val="pt-BR" w:eastAsia="pt-BR" w:bidi="ar-SA"/>
    </w:rPr>
  </w:style>
  <w:style w:type="paragraph" w:customStyle="1" w:styleId="14">
    <w:name w:val="Título 21"/>
    <w:basedOn w:val="1"/>
    <w:next w:val="1"/>
    <w:qFormat/>
    <w:uiPriority w:val="0"/>
    <w:pPr>
      <w:keepNext/>
      <w:keepLines/>
      <w:suppressAutoHyphens/>
      <w:spacing w:before="360" w:after="120" w:line="276" w:lineRule="auto"/>
      <w:ind w:leftChars="-1" w:rightChars="0" w:hangingChars="1"/>
      <w:textAlignment w:val="top"/>
      <w:outlineLvl w:val="1"/>
    </w:pPr>
    <w:rPr>
      <w:w w:val="100"/>
      <w:position w:val="-1"/>
      <w:sz w:val="32"/>
      <w:szCs w:val="32"/>
      <w:vertAlign w:val="baseline"/>
      <w:cs w:val="0"/>
      <w:lang w:val="pt-BR" w:eastAsia="pt-BR" w:bidi="ar-SA"/>
    </w:rPr>
  </w:style>
  <w:style w:type="paragraph" w:customStyle="1" w:styleId="15">
    <w:name w:val="Título 31"/>
    <w:basedOn w:val="1"/>
    <w:next w:val="1"/>
    <w:qFormat/>
    <w:uiPriority w:val="0"/>
    <w:pPr>
      <w:keepNext/>
      <w:keepLines/>
      <w:suppressAutoHyphens/>
      <w:spacing w:before="320" w:after="80" w:line="276" w:lineRule="auto"/>
      <w:ind w:leftChars="-1" w:rightChars="0" w:hangingChars="1"/>
      <w:textAlignment w:val="top"/>
      <w:outlineLvl w:val="2"/>
    </w:pPr>
    <w:rPr>
      <w:color w:val="434343"/>
      <w:w w:val="100"/>
      <w:position w:val="-1"/>
      <w:sz w:val="28"/>
      <w:szCs w:val="28"/>
      <w:vertAlign w:val="baseline"/>
      <w:cs w:val="0"/>
      <w:lang w:val="pt-BR" w:eastAsia="pt-BR" w:bidi="ar-SA"/>
    </w:rPr>
  </w:style>
  <w:style w:type="paragraph" w:customStyle="1" w:styleId="16">
    <w:name w:val="Título 41"/>
    <w:basedOn w:val="1"/>
    <w:next w:val="1"/>
    <w:qFormat/>
    <w:uiPriority w:val="0"/>
    <w:pPr>
      <w:keepNext/>
      <w:keepLines/>
      <w:suppressAutoHyphens/>
      <w:spacing w:before="280" w:after="80" w:line="276" w:lineRule="auto"/>
      <w:ind w:leftChars="-1" w:rightChars="0" w:hangingChars="1"/>
      <w:textAlignment w:val="top"/>
      <w:outlineLvl w:val="3"/>
    </w:pPr>
    <w:rPr>
      <w:color w:val="666666"/>
      <w:w w:val="100"/>
      <w:position w:val="-1"/>
      <w:sz w:val="24"/>
      <w:szCs w:val="24"/>
      <w:vertAlign w:val="baseline"/>
      <w:cs w:val="0"/>
      <w:lang w:val="pt-BR" w:eastAsia="pt-BR" w:bidi="ar-SA"/>
    </w:rPr>
  </w:style>
  <w:style w:type="paragraph" w:customStyle="1" w:styleId="17">
    <w:name w:val="Título 51"/>
    <w:basedOn w:val="1"/>
    <w:next w:val="1"/>
    <w:qFormat/>
    <w:uiPriority w:val="0"/>
    <w:pPr>
      <w:keepNext/>
      <w:keepLines/>
      <w:suppressAutoHyphens/>
      <w:spacing w:before="240" w:after="80" w:line="276" w:lineRule="auto"/>
      <w:ind w:leftChars="-1" w:rightChars="0" w:hangingChars="1"/>
      <w:textAlignment w:val="top"/>
      <w:outlineLvl w:val="4"/>
    </w:pPr>
    <w:rPr>
      <w:color w:val="666666"/>
      <w:w w:val="100"/>
      <w:position w:val="-1"/>
      <w:sz w:val="22"/>
      <w:szCs w:val="22"/>
      <w:vertAlign w:val="baseline"/>
      <w:cs w:val="0"/>
      <w:lang w:val="pt-BR" w:eastAsia="pt-BR" w:bidi="ar-SA"/>
    </w:rPr>
  </w:style>
  <w:style w:type="paragraph" w:customStyle="1" w:styleId="18">
    <w:name w:val="Título 61"/>
    <w:basedOn w:val="1"/>
    <w:next w:val="1"/>
    <w:qFormat/>
    <w:uiPriority w:val="0"/>
    <w:pPr>
      <w:keepNext/>
      <w:keepLines/>
      <w:suppressAutoHyphens/>
      <w:spacing w:before="240" w:after="80" w:line="276" w:lineRule="auto"/>
      <w:ind w:leftChars="-1" w:rightChars="0" w:hangingChars="1"/>
      <w:textAlignment w:val="top"/>
      <w:outlineLvl w:val="5"/>
    </w:pPr>
    <w:rPr>
      <w:i/>
      <w:color w:val="666666"/>
      <w:w w:val="100"/>
      <w:position w:val="-1"/>
      <w:sz w:val="22"/>
      <w:szCs w:val="22"/>
      <w:vertAlign w:val="baseline"/>
      <w:cs w:val="0"/>
      <w:lang w:val="pt-BR" w:eastAsia="pt-BR" w:bidi="ar-SA"/>
    </w:rPr>
  </w:style>
  <w:style w:type="character" w:customStyle="1" w:styleId="19">
    <w:name w:val="Fonte parág. padrão1"/>
    <w:qFormat/>
    <w:uiPriority w:val="0"/>
    <w:rPr>
      <w:w w:val="100"/>
      <w:position w:val="-1"/>
      <w:vertAlign w:val="baseline"/>
      <w:cs w:val="0"/>
    </w:rPr>
  </w:style>
  <w:style w:type="table" w:customStyle="1" w:styleId="20">
    <w:name w:val="Tabela normal1"/>
    <w:qFormat/>
    <w:uiPriority w:val="0"/>
    <w:pPr>
      <w:suppressAutoHyphens/>
      <w:spacing w:line="1" w:lineRule="atLeast"/>
      <w:ind w:leftChars="-1" w:rightChars="0" w:hangingChars="1"/>
      <w:textAlignment w:val="top"/>
      <w:outlineLvl w:val="0"/>
    </w:pPr>
    <w:rPr>
      <w:w w:val="100"/>
      <w:position w:val="-1"/>
      <w:vertAlign w:val="baseline"/>
      <w:cs w:val="0"/>
    </w:rPr>
    <w:tblPr>
      <w:tblCellMar>
        <w:top w:w="0" w:type="dxa"/>
        <w:left w:w="108" w:type="dxa"/>
        <w:bottom w:w="0" w:type="dxa"/>
        <w:right w:w="108" w:type="dxa"/>
      </w:tblCellMar>
    </w:tblPr>
  </w:style>
  <w:style w:type="table" w:customStyle="1" w:styleId="21">
    <w:name w:val="Table Normal"/>
    <w:qFormat/>
    <w:uiPriority w:val="0"/>
    <w:pPr>
      <w:suppressAutoHyphens/>
      <w:spacing w:line="276" w:lineRule="auto"/>
      <w:ind w:leftChars="-1" w:rightChars="0" w:hangingChars="1"/>
      <w:textAlignment w:val="top"/>
      <w:outlineLvl w:val="0"/>
    </w:pPr>
    <w:rPr>
      <w:w w:val="100"/>
      <w:position w:val="-1"/>
      <w:sz w:val="22"/>
      <w:szCs w:val="22"/>
      <w:vertAlign w:val="baseline"/>
      <w:cs w:val="0"/>
      <w:lang w:val="pt-BR" w:eastAsia="pt-BR" w:bidi="ar-SA"/>
    </w:rPr>
    <w:tblPr>
      <w:tblCellMar>
        <w:top w:w="0" w:type="dxa"/>
        <w:left w:w="0" w:type="dxa"/>
        <w:bottom w:w="0" w:type="dxa"/>
        <w:right w:w="0" w:type="dxa"/>
      </w:tblCellMar>
    </w:tblPr>
  </w:style>
  <w:style w:type="paragraph" w:customStyle="1" w:styleId="22">
    <w:name w:val="Título1"/>
    <w:basedOn w:val="1"/>
    <w:next w:val="1"/>
    <w:uiPriority w:val="0"/>
    <w:pPr>
      <w:keepNext/>
      <w:keepLines/>
      <w:suppressAutoHyphens/>
      <w:spacing w:after="60" w:line="276" w:lineRule="auto"/>
      <w:ind w:leftChars="-1" w:rightChars="0" w:hangingChars="1"/>
      <w:textAlignment w:val="top"/>
      <w:outlineLvl w:val="0"/>
    </w:pPr>
    <w:rPr>
      <w:w w:val="100"/>
      <w:position w:val="-1"/>
      <w:sz w:val="52"/>
      <w:szCs w:val="52"/>
      <w:vertAlign w:val="baseline"/>
      <w:cs w:val="0"/>
      <w:lang w:val="pt-BR" w:eastAsia="pt-BR" w:bidi="ar-SA"/>
    </w:rPr>
  </w:style>
  <w:style w:type="paragraph" w:customStyle="1" w:styleId="23">
    <w:name w:val="Subtítulo1"/>
    <w:basedOn w:val="1"/>
    <w:next w:val="1"/>
    <w:uiPriority w:val="0"/>
    <w:pPr>
      <w:keepNext/>
      <w:keepLines/>
      <w:suppressAutoHyphens/>
      <w:spacing w:after="320" w:line="276" w:lineRule="auto"/>
      <w:ind w:leftChars="-1" w:rightChars="0" w:hangingChars="1"/>
      <w:textAlignment w:val="top"/>
      <w:outlineLvl w:val="0"/>
    </w:pPr>
    <w:rPr>
      <w:color w:val="666666"/>
      <w:w w:val="100"/>
      <w:position w:val="-1"/>
      <w:sz w:val="30"/>
      <w:szCs w:val="30"/>
      <w:vertAlign w:val="baseline"/>
      <w:cs w:val="0"/>
      <w:lang w:val="pt-BR" w:eastAsia="pt-BR" w:bidi="ar-SA"/>
    </w:rPr>
  </w:style>
  <w:style w:type="paragraph" w:customStyle="1" w:styleId="24">
    <w:name w:val="Cabeçalho1"/>
    <w:basedOn w:val="1"/>
    <w:qFormat/>
    <w:uiPriority w:val="0"/>
    <w:pPr>
      <w:tabs>
        <w:tab w:val="center" w:pos="4252"/>
        <w:tab w:val="right" w:pos="8504"/>
      </w:tabs>
      <w:suppressAutoHyphens/>
      <w:spacing w:line="240" w:lineRule="auto"/>
      <w:ind w:leftChars="-1" w:rightChars="0" w:hangingChars="1"/>
      <w:textAlignment w:val="top"/>
      <w:outlineLvl w:val="0"/>
    </w:pPr>
    <w:rPr>
      <w:w w:val="100"/>
      <w:position w:val="-1"/>
      <w:sz w:val="22"/>
      <w:szCs w:val="22"/>
      <w:vertAlign w:val="baseline"/>
      <w:cs w:val="0"/>
      <w:lang w:val="pt-BR" w:eastAsia="pt-BR" w:bidi="ar-SA"/>
    </w:rPr>
  </w:style>
  <w:style w:type="character" w:customStyle="1" w:styleId="25">
    <w:name w:val="Cabeçalho Char"/>
    <w:basedOn w:val="19"/>
    <w:qFormat/>
    <w:uiPriority w:val="0"/>
    <w:rPr>
      <w:w w:val="100"/>
      <w:position w:val="-1"/>
      <w:vertAlign w:val="baseline"/>
      <w:cs w:val="0"/>
    </w:rPr>
  </w:style>
  <w:style w:type="paragraph" w:customStyle="1" w:styleId="26">
    <w:name w:val="Rodapé1"/>
    <w:basedOn w:val="1"/>
    <w:qFormat/>
    <w:uiPriority w:val="0"/>
    <w:pPr>
      <w:tabs>
        <w:tab w:val="center" w:pos="4252"/>
        <w:tab w:val="right" w:pos="8504"/>
      </w:tabs>
      <w:suppressAutoHyphens/>
      <w:spacing w:line="240" w:lineRule="auto"/>
      <w:ind w:leftChars="-1" w:rightChars="0" w:hangingChars="1"/>
      <w:textAlignment w:val="top"/>
      <w:outlineLvl w:val="0"/>
    </w:pPr>
    <w:rPr>
      <w:w w:val="100"/>
      <w:position w:val="-1"/>
      <w:sz w:val="22"/>
      <w:szCs w:val="22"/>
      <w:vertAlign w:val="baseline"/>
      <w:cs w:val="0"/>
      <w:lang w:val="pt-BR" w:eastAsia="pt-BR" w:bidi="ar-SA"/>
    </w:rPr>
  </w:style>
  <w:style w:type="character" w:customStyle="1" w:styleId="27">
    <w:name w:val="Rodapé Char"/>
    <w:basedOn w:val="19"/>
    <w:uiPriority w:val="0"/>
    <w:rPr>
      <w:w w:val="100"/>
      <w:position w:val="-1"/>
      <w:vertAlign w:val="baseline"/>
      <w:cs w:val="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4NPrCdsAnchsqewMgGX5RMYsg==">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</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12</Pages>
  <Words>3708</Words>
  <Characters>21431</Characters>
  <TotalTime>18</TotalTime>
  <ScaleCrop>false</ScaleCrop>
  <LinksUpToDate>false</LinksUpToDate>
  <CharactersWithSpaces>25129</CharactersWithSpaces>
  <Application>WPS Office_12.2.0.21546_F1E327BC-269C-435d-A152-05C5408002CA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lastModifiedBy>Laboratório Nuafro</cp:lastModifiedBy>
  <dcterms:modified xsi:type="dcterms:W3CDTF">2025-06-26T17:09:09Z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53A875BFBE25424FAFAF82E2298522B3_12</vt:lpwstr>
  </property>
</Properties>
</file>