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88CAA5" w14:textId="7257F7FC" w:rsidR="00F541E8" w:rsidRDefault="003246FE" w:rsidP="009632A5">
      <w:pPr>
        <w:spacing w:line="360" w:lineRule="auto"/>
        <w:jc w:val="center"/>
        <w:rPr>
          <w:sz w:val="24"/>
          <w:szCs w:val="24"/>
        </w:rPr>
      </w:pPr>
      <w:r w:rsidRPr="005651F4">
        <w:rPr>
          <w:b/>
          <w:sz w:val="24"/>
          <w:szCs w:val="24"/>
        </w:rPr>
        <w:t>A INSERÇÃO DE ASSISTENTES SOCIAIS NA EDUCAÇÃO BASICA:</w:t>
      </w:r>
      <w:r w:rsidR="00711AAD" w:rsidRPr="005651F4">
        <w:rPr>
          <w:sz w:val="24"/>
          <w:szCs w:val="24"/>
        </w:rPr>
        <w:t xml:space="preserve"> </w:t>
      </w:r>
      <w:r w:rsidRPr="005651F4">
        <w:rPr>
          <w:sz w:val="24"/>
          <w:szCs w:val="24"/>
        </w:rPr>
        <w:t>a particularidade do trabalho profissional no município de São José de Ribamar/MA, entre 2020 e 2024.</w:t>
      </w:r>
    </w:p>
    <w:p w14:paraId="63D7C8CB" w14:textId="77FFB49F" w:rsidR="005C4655" w:rsidRPr="005651F4" w:rsidRDefault="00457083" w:rsidP="009632A5">
      <w:pPr>
        <w:spacing w:line="360" w:lineRule="auto"/>
        <w:jc w:val="right"/>
        <w:rPr>
          <w:b/>
          <w:sz w:val="20"/>
          <w:szCs w:val="20"/>
        </w:rPr>
      </w:pPr>
      <w:r>
        <w:rPr>
          <w:sz w:val="24"/>
          <w:szCs w:val="24"/>
        </w:rPr>
        <w:t>Anaian Veloso Pires Ferreira</w:t>
      </w:r>
      <w:r w:rsidR="004E3C72">
        <w:rPr>
          <w:rStyle w:val="Refdenotaderodap"/>
          <w:sz w:val="24"/>
          <w:szCs w:val="24"/>
        </w:rPr>
        <w:footnoteReference w:id="1"/>
      </w:r>
    </w:p>
    <w:p w14:paraId="683F0F27" w14:textId="77777777" w:rsidR="004F776F" w:rsidRPr="005651F4" w:rsidRDefault="004F776F" w:rsidP="004F776F">
      <w:pPr>
        <w:spacing w:line="240" w:lineRule="auto"/>
        <w:ind w:left="2835"/>
        <w:jc w:val="both"/>
        <w:rPr>
          <w:b/>
          <w:sz w:val="20"/>
          <w:szCs w:val="20"/>
        </w:rPr>
      </w:pPr>
      <w:r w:rsidRPr="005651F4">
        <w:rPr>
          <w:b/>
          <w:sz w:val="20"/>
          <w:szCs w:val="20"/>
        </w:rPr>
        <w:t>Resumo</w:t>
      </w:r>
    </w:p>
    <w:p w14:paraId="01573466" w14:textId="609C6650" w:rsidR="00AF2595" w:rsidRDefault="00A53F7D" w:rsidP="004F776F">
      <w:pPr>
        <w:spacing w:line="240" w:lineRule="auto"/>
        <w:ind w:left="2835"/>
        <w:jc w:val="both"/>
        <w:rPr>
          <w:sz w:val="20"/>
          <w:szCs w:val="20"/>
        </w:rPr>
      </w:pPr>
      <w:r w:rsidRPr="00A53F7D">
        <w:rPr>
          <w:sz w:val="20"/>
          <w:szCs w:val="20"/>
        </w:rPr>
        <w:t xml:space="preserve">Este trabalho tem como </w:t>
      </w:r>
      <w:r w:rsidR="00C55863">
        <w:rPr>
          <w:sz w:val="20"/>
          <w:szCs w:val="20"/>
        </w:rPr>
        <w:t>proposta</w:t>
      </w:r>
      <w:r w:rsidRPr="00A53F7D">
        <w:rPr>
          <w:sz w:val="20"/>
          <w:szCs w:val="20"/>
        </w:rPr>
        <w:t xml:space="preserve"> refletir sobre a inserção de assistentes sociais </w:t>
      </w:r>
      <w:r w:rsidR="00A523C9" w:rsidRPr="00A53F7D">
        <w:rPr>
          <w:sz w:val="20"/>
          <w:szCs w:val="20"/>
        </w:rPr>
        <w:t>na área</w:t>
      </w:r>
      <w:r w:rsidRPr="00A53F7D">
        <w:rPr>
          <w:sz w:val="20"/>
          <w:szCs w:val="20"/>
        </w:rPr>
        <w:t xml:space="preserve"> da educação</w:t>
      </w:r>
      <w:r w:rsidR="00A523C9">
        <w:rPr>
          <w:sz w:val="20"/>
          <w:szCs w:val="20"/>
        </w:rPr>
        <w:t xml:space="preserve"> básica</w:t>
      </w:r>
      <w:r w:rsidRPr="00A53F7D">
        <w:rPr>
          <w:sz w:val="20"/>
          <w:szCs w:val="20"/>
        </w:rPr>
        <w:t>. A partir da experiência observada em São José de Ribamar</w:t>
      </w:r>
      <w:r w:rsidR="00A523C9">
        <w:rPr>
          <w:sz w:val="20"/>
          <w:szCs w:val="20"/>
        </w:rPr>
        <w:t>/MA</w:t>
      </w:r>
      <w:r w:rsidRPr="00A53F7D">
        <w:rPr>
          <w:sz w:val="20"/>
          <w:szCs w:val="20"/>
        </w:rPr>
        <w:t>, assim como em outras realidades brasileiras, busca-se analisar as tendências e possibilidades de atuação profissional, compreendendo como se configura a dinâmica cotidiana desses profissionais no espaço escolar.</w:t>
      </w:r>
      <w:r>
        <w:rPr>
          <w:sz w:val="20"/>
          <w:szCs w:val="20"/>
        </w:rPr>
        <w:t xml:space="preserve"> </w:t>
      </w:r>
      <w:r w:rsidR="00D00B5A" w:rsidRPr="00D00B5A">
        <w:rPr>
          <w:sz w:val="20"/>
          <w:szCs w:val="20"/>
        </w:rPr>
        <w:t>Considera-se que o assistente social, além de responder às demandas imediatas dos estudantes, pode somar esforços para uma educação comprometida com a emancipação. Sua atuação</w:t>
      </w:r>
      <w:r w:rsidR="00B704D7">
        <w:rPr>
          <w:sz w:val="20"/>
          <w:szCs w:val="20"/>
        </w:rPr>
        <w:t xml:space="preserve"> poderá</w:t>
      </w:r>
      <w:r w:rsidR="00D00B5A" w:rsidRPr="00D00B5A">
        <w:rPr>
          <w:sz w:val="20"/>
          <w:szCs w:val="20"/>
        </w:rPr>
        <w:t xml:space="preserve"> </w:t>
      </w:r>
      <w:r w:rsidR="00B704D7">
        <w:rPr>
          <w:sz w:val="20"/>
          <w:szCs w:val="20"/>
        </w:rPr>
        <w:t>ir</w:t>
      </w:r>
      <w:r w:rsidR="00D00B5A" w:rsidRPr="00D00B5A">
        <w:rPr>
          <w:sz w:val="20"/>
          <w:szCs w:val="20"/>
        </w:rPr>
        <w:t xml:space="preserve"> além do </w:t>
      </w:r>
      <w:r w:rsidR="00B704D7">
        <w:rPr>
          <w:sz w:val="20"/>
          <w:szCs w:val="20"/>
        </w:rPr>
        <w:t>ler e escrever</w:t>
      </w:r>
      <w:r w:rsidR="00D00B5A" w:rsidRPr="00D00B5A">
        <w:rPr>
          <w:sz w:val="20"/>
          <w:szCs w:val="20"/>
        </w:rPr>
        <w:t>, contribuindo para a construção de práticas educativas que dialoguem com os desafios da classe trabalhadora, visando uma sociabilidade mais justa e solidária.</w:t>
      </w:r>
    </w:p>
    <w:p w14:paraId="50C824AA" w14:textId="21482FF7" w:rsidR="004F776F" w:rsidRPr="005651F4" w:rsidRDefault="004F776F" w:rsidP="004F776F">
      <w:pPr>
        <w:spacing w:line="240" w:lineRule="auto"/>
        <w:ind w:left="2835"/>
        <w:jc w:val="both"/>
        <w:rPr>
          <w:sz w:val="20"/>
          <w:szCs w:val="20"/>
          <w:lang w:val="en-US"/>
        </w:rPr>
      </w:pPr>
      <w:r w:rsidRPr="005651F4">
        <w:rPr>
          <w:b/>
          <w:sz w:val="20"/>
          <w:szCs w:val="20"/>
        </w:rPr>
        <w:t>Palavras-chave</w:t>
      </w:r>
      <w:r w:rsidRPr="005651F4">
        <w:rPr>
          <w:sz w:val="20"/>
          <w:szCs w:val="20"/>
        </w:rPr>
        <w:t xml:space="preserve">: </w:t>
      </w:r>
      <w:r w:rsidR="00A31DD0">
        <w:rPr>
          <w:sz w:val="20"/>
          <w:szCs w:val="20"/>
        </w:rPr>
        <w:t>Educação</w:t>
      </w:r>
      <w:r w:rsidRPr="005651F4">
        <w:rPr>
          <w:sz w:val="20"/>
          <w:szCs w:val="20"/>
          <w:lang w:val="en-US"/>
        </w:rPr>
        <w:t>.</w:t>
      </w:r>
      <w:r w:rsidR="00A31DD0">
        <w:rPr>
          <w:sz w:val="20"/>
          <w:szCs w:val="20"/>
          <w:lang w:val="en-US"/>
        </w:rPr>
        <w:t xml:space="preserve"> Serviço Social.</w:t>
      </w:r>
      <w:r w:rsidR="000325BC">
        <w:rPr>
          <w:sz w:val="20"/>
          <w:szCs w:val="20"/>
          <w:lang w:val="en-US"/>
        </w:rPr>
        <w:t xml:space="preserve"> </w:t>
      </w:r>
      <w:r w:rsidR="00292661">
        <w:rPr>
          <w:sz w:val="20"/>
          <w:szCs w:val="20"/>
          <w:lang w:val="en-US"/>
        </w:rPr>
        <w:t>Prática Profissional.</w:t>
      </w:r>
    </w:p>
    <w:p w14:paraId="29336A5F" w14:textId="77777777" w:rsidR="004F776F" w:rsidRPr="005651F4" w:rsidRDefault="004F776F" w:rsidP="004F776F">
      <w:pPr>
        <w:spacing w:line="240" w:lineRule="auto"/>
        <w:ind w:left="2835"/>
        <w:jc w:val="both"/>
        <w:rPr>
          <w:sz w:val="20"/>
          <w:szCs w:val="20"/>
          <w:lang w:val="en-US"/>
        </w:rPr>
      </w:pPr>
    </w:p>
    <w:p w14:paraId="34848578" w14:textId="77777777" w:rsidR="004F776F" w:rsidRPr="005651F4" w:rsidRDefault="004F776F" w:rsidP="004F776F">
      <w:pPr>
        <w:spacing w:line="240" w:lineRule="auto"/>
        <w:ind w:left="2835"/>
        <w:jc w:val="both"/>
        <w:rPr>
          <w:b/>
          <w:sz w:val="20"/>
          <w:szCs w:val="20"/>
          <w:lang w:val="en-US"/>
        </w:rPr>
      </w:pPr>
      <w:r w:rsidRPr="005651F4">
        <w:rPr>
          <w:b/>
          <w:sz w:val="20"/>
          <w:szCs w:val="20"/>
          <w:lang w:val="en-US"/>
        </w:rPr>
        <w:t>Abstract</w:t>
      </w:r>
    </w:p>
    <w:p w14:paraId="5B0126F5" w14:textId="23D49F98" w:rsidR="004F776F" w:rsidRPr="005651F4" w:rsidRDefault="007722B2" w:rsidP="004F776F">
      <w:pPr>
        <w:spacing w:line="240" w:lineRule="auto"/>
        <w:ind w:left="2835"/>
        <w:jc w:val="both"/>
        <w:rPr>
          <w:sz w:val="20"/>
          <w:szCs w:val="20"/>
          <w:lang w:val="en-US"/>
        </w:rPr>
      </w:pPr>
      <w:r w:rsidRPr="007722B2">
        <w:rPr>
          <w:sz w:val="20"/>
          <w:szCs w:val="20"/>
          <w:lang w:val="en-US"/>
        </w:rPr>
        <w:t>This work aims to reflect on the insertion of social workers in the area of ​​basic education.</w:t>
      </w:r>
      <w:r w:rsidR="00237DB3" w:rsidRPr="00237DB3">
        <w:rPr>
          <w:sz w:val="20"/>
          <w:szCs w:val="20"/>
          <w:lang w:val="en-US"/>
        </w:rPr>
        <w:t xml:space="preserve"> Based on the experience observed in São José de Ribamar/MA, as well as in other Brazilian contexts, the aim is to analyze the trends and possibilities of professional activity, understanding how the daily dynamics of these professionals are configured in the school environment. It is considered that the social worker, in addition to responding to the immediate demands of students, can contribute to an education committed to emancipation. Their work can go beyond reading and writing, contributing to the construction of educational practices that dialogue with the challenges of the working class, aiming at a more just and supportive sociability.</w:t>
      </w:r>
    </w:p>
    <w:p w14:paraId="7ED99242" w14:textId="475C9A1C" w:rsidR="004F776F" w:rsidRDefault="004F776F" w:rsidP="006E29E3">
      <w:pPr>
        <w:spacing w:line="240" w:lineRule="auto"/>
        <w:ind w:left="2835"/>
        <w:jc w:val="both"/>
        <w:rPr>
          <w:sz w:val="20"/>
          <w:szCs w:val="20"/>
          <w:lang w:val="en-US"/>
        </w:rPr>
      </w:pPr>
      <w:r w:rsidRPr="005651F4">
        <w:rPr>
          <w:b/>
          <w:sz w:val="20"/>
          <w:szCs w:val="20"/>
          <w:lang w:val="en-US"/>
        </w:rPr>
        <w:t>Keywords</w:t>
      </w:r>
      <w:r w:rsidRPr="005651F4">
        <w:rPr>
          <w:sz w:val="20"/>
          <w:szCs w:val="20"/>
          <w:lang w:val="en-US"/>
        </w:rPr>
        <w:t xml:space="preserve">: </w:t>
      </w:r>
      <w:r w:rsidR="00A15275" w:rsidRPr="00A15275">
        <w:rPr>
          <w:sz w:val="20"/>
          <w:szCs w:val="20"/>
          <w:lang w:val="en-US"/>
        </w:rPr>
        <w:t xml:space="preserve">Education. Social </w:t>
      </w:r>
      <w:r w:rsidR="00A15275">
        <w:rPr>
          <w:sz w:val="20"/>
          <w:szCs w:val="20"/>
          <w:lang w:val="en-US"/>
        </w:rPr>
        <w:t>Work</w:t>
      </w:r>
      <w:r w:rsidR="006E29E3">
        <w:rPr>
          <w:sz w:val="20"/>
          <w:szCs w:val="20"/>
          <w:lang w:val="en-US"/>
        </w:rPr>
        <w:t>.</w:t>
      </w:r>
      <w:r w:rsidR="00CD07F5">
        <w:rPr>
          <w:sz w:val="20"/>
          <w:szCs w:val="20"/>
          <w:lang w:val="en-US"/>
        </w:rPr>
        <w:t xml:space="preserve"> </w:t>
      </w:r>
      <w:r w:rsidR="00CD07F5" w:rsidRPr="00CD07F5">
        <w:rPr>
          <w:sz w:val="20"/>
          <w:szCs w:val="20"/>
          <w:lang w:val="en-US"/>
        </w:rPr>
        <w:t>Professional Practice.</w:t>
      </w:r>
    </w:p>
    <w:p w14:paraId="751FC52C" w14:textId="77777777" w:rsidR="006E29E3" w:rsidRPr="005651F4" w:rsidRDefault="006E29E3" w:rsidP="00912F31">
      <w:pPr>
        <w:spacing w:line="360" w:lineRule="auto"/>
        <w:ind w:left="2835"/>
        <w:jc w:val="both"/>
        <w:rPr>
          <w:sz w:val="24"/>
          <w:szCs w:val="24"/>
        </w:rPr>
      </w:pPr>
    </w:p>
    <w:p w14:paraId="3EE6C20F" w14:textId="1D384055" w:rsidR="004F776F" w:rsidRPr="005651F4" w:rsidRDefault="004F776F" w:rsidP="00F2735F">
      <w:pPr>
        <w:spacing w:line="360" w:lineRule="auto"/>
        <w:rPr>
          <w:b/>
          <w:sz w:val="24"/>
          <w:szCs w:val="24"/>
        </w:rPr>
      </w:pPr>
      <w:r w:rsidRPr="005651F4">
        <w:rPr>
          <w:b/>
          <w:sz w:val="24"/>
          <w:szCs w:val="24"/>
        </w:rPr>
        <w:t>1</w:t>
      </w:r>
      <w:r w:rsidRPr="005651F4">
        <w:rPr>
          <w:b/>
          <w:sz w:val="24"/>
          <w:szCs w:val="24"/>
        </w:rPr>
        <w:tab/>
        <w:t>INTRODUÇÃO</w:t>
      </w:r>
    </w:p>
    <w:p w14:paraId="35AF8401" w14:textId="77777777" w:rsidR="004F776F" w:rsidRPr="005651F4" w:rsidRDefault="004F776F" w:rsidP="00F2735F">
      <w:pPr>
        <w:spacing w:line="360" w:lineRule="auto"/>
        <w:jc w:val="both"/>
        <w:rPr>
          <w:sz w:val="24"/>
          <w:szCs w:val="24"/>
        </w:rPr>
      </w:pPr>
    </w:p>
    <w:p w14:paraId="031FCD8C" w14:textId="09E463F6" w:rsidR="00042AC7" w:rsidRPr="005651F4" w:rsidRDefault="00B80AAD" w:rsidP="00713C37">
      <w:pPr>
        <w:spacing w:line="360" w:lineRule="auto"/>
        <w:ind w:firstLine="709"/>
        <w:jc w:val="both"/>
        <w:rPr>
          <w:sz w:val="24"/>
          <w:szCs w:val="24"/>
        </w:rPr>
      </w:pPr>
      <w:r w:rsidRPr="005651F4">
        <w:rPr>
          <w:sz w:val="24"/>
          <w:szCs w:val="24"/>
        </w:rPr>
        <w:t xml:space="preserve">Este </w:t>
      </w:r>
      <w:r w:rsidR="004E63B7">
        <w:rPr>
          <w:sz w:val="24"/>
          <w:szCs w:val="24"/>
        </w:rPr>
        <w:t xml:space="preserve">estudo </w:t>
      </w:r>
      <w:r w:rsidRPr="005651F4">
        <w:rPr>
          <w:sz w:val="24"/>
          <w:szCs w:val="24"/>
        </w:rPr>
        <w:t xml:space="preserve">tem como </w:t>
      </w:r>
      <w:r w:rsidR="00FC3364">
        <w:rPr>
          <w:sz w:val="24"/>
          <w:szCs w:val="24"/>
        </w:rPr>
        <w:t>objetivo compreender</w:t>
      </w:r>
      <w:r w:rsidRPr="005651F4">
        <w:rPr>
          <w:sz w:val="24"/>
          <w:szCs w:val="24"/>
        </w:rPr>
        <w:t xml:space="preserve"> a inserção dos assistentes sociais em escolas da Educação básica no município de São José de Ribamar/MA, considerando as contradições entre as demandas socioinstitucionais, funções profissionais e as condições concretas do trabalho profissional. </w:t>
      </w:r>
      <w:r w:rsidR="00401B0F">
        <w:rPr>
          <w:sz w:val="24"/>
          <w:szCs w:val="24"/>
        </w:rPr>
        <w:t>P</w:t>
      </w:r>
      <w:r w:rsidR="00BE71E1" w:rsidRPr="005651F4">
        <w:rPr>
          <w:sz w:val="24"/>
          <w:szCs w:val="24"/>
        </w:rPr>
        <w:t>roponho refletir sobre</w:t>
      </w:r>
      <w:r w:rsidR="00042AC7" w:rsidRPr="005651F4">
        <w:rPr>
          <w:sz w:val="24"/>
          <w:szCs w:val="24"/>
        </w:rPr>
        <w:t xml:space="preserve"> </w:t>
      </w:r>
      <w:r w:rsidR="00042AC7" w:rsidRPr="005651F4">
        <w:rPr>
          <w:sz w:val="24"/>
          <w:szCs w:val="24"/>
        </w:rPr>
        <w:lastRenderedPageBreak/>
        <w:t xml:space="preserve">a educação como </w:t>
      </w:r>
      <w:r w:rsidR="00BE71E1" w:rsidRPr="005651F4">
        <w:rPr>
          <w:sz w:val="24"/>
          <w:szCs w:val="24"/>
        </w:rPr>
        <w:t>espaço</w:t>
      </w:r>
      <w:r w:rsidR="00042AC7" w:rsidRPr="005651F4">
        <w:rPr>
          <w:sz w:val="24"/>
          <w:szCs w:val="24"/>
        </w:rPr>
        <w:t xml:space="preserve"> privilegiado de intervenção profissional no enfrentamento das expressões da questão social</w:t>
      </w:r>
      <w:r w:rsidR="00BE71E1" w:rsidRPr="005651F4">
        <w:rPr>
          <w:sz w:val="24"/>
          <w:szCs w:val="24"/>
        </w:rPr>
        <w:t xml:space="preserve">, </w:t>
      </w:r>
      <w:r w:rsidR="00042AC7" w:rsidRPr="005651F4">
        <w:rPr>
          <w:sz w:val="24"/>
          <w:szCs w:val="24"/>
        </w:rPr>
        <w:t>ancorado na necessidade histórica da emancipação humana, horizonte do projeto ético-político do Serviço Social.</w:t>
      </w:r>
    </w:p>
    <w:p w14:paraId="03309318" w14:textId="6B38FCF6" w:rsidR="00E11EA1" w:rsidRPr="005651F4" w:rsidRDefault="00E11EA1" w:rsidP="006E2FF5">
      <w:pPr>
        <w:spacing w:line="360" w:lineRule="auto"/>
        <w:ind w:firstLine="709"/>
        <w:jc w:val="both"/>
        <w:rPr>
          <w:sz w:val="24"/>
          <w:szCs w:val="24"/>
        </w:rPr>
      </w:pPr>
      <w:r w:rsidRPr="005651F4">
        <w:rPr>
          <w:sz w:val="24"/>
          <w:szCs w:val="24"/>
        </w:rPr>
        <w:t>A Lei nº 13.935/2019 (Brasil, 2019), ao instituir serviços de psicologia e serviço social nas redes públicas de educação básica, cria condições para materializar essa concepção através de uma atuação multiprofissional transformadora no ambiente escolar</w:t>
      </w:r>
      <w:r w:rsidR="00BE71E1" w:rsidRPr="005651F4">
        <w:rPr>
          <w:sz w:val="24"/>
          <w:szCs w:val="24"/>
        </w:rPr>
        <w:t xml:space="preserve"> e servindo como instrumento de luta.</w:t>
      </w:r>
    </w:p>
    <w:p w14:paraId="0D670B06" w14:textId="6DD7A755" w:rsidR="00B05D40" w:rsidRPr="005651F4" w:rsidRDefault="00B05D40" w:rsidP="00713C37">
      <w:pPr>
        <w:spacing w:line="360" w:lineRule="auto"/>
        <w:ind w:firstLine="709"/>
        <w:jc w:val="both"/>
        <w:rPr>
          <w:sz w:val="24"/>
          <w:szCs w:val="24"/>
        </w:rPr>
      </w:pPr>
      <w:r w:rsidRPr="005651F4">
        <w:rPr>
          <w:sz w:val="24"/>
          <w:szCs w:val="24"/>
        </w:rPr>
        <w:t>Portanto, esta pesquisa tem como objetivos: compreender a inserção profissional de assistentes sociais na educação básica de São José de Ribamar/MA</w:t>
      </w:r>
      <w:r w:rsidR="00BE71E1" w:rsidRPr="005651F4">
        <w:rPr>
          <w:sz w:val="24"/>
          <w:szCs w:val="24"/>
        </w:rPr>
        <w:t>,</w:t>
      </w:r>
      <w:r w:rsidRPr="005651F4">
        <w:rPr>
          <w:sz w:val="24"/>
          <w:szCs w:val="24"/>
        </w:rPr>
        <w:t xml:space="preserve"> estabelecer um comparativo entre essa realidade local e as experiências documentadas em outros contextos brasileiros, visando mapear o panorama atual dessa atuação profissional e identificar as possibilidades concretas de intervenção no campo educacional.</w:t>
      </w:r>
    </w:p>
    <w:p w14:paraId="7C2406B4" w14:textId="1A35F32F" w:rsidR="00713C37" w:rsidRPr="005651F4" w:rsidRDefault="00D929B1" w:rsidP="00BB500D">
      <w:pPr>
        <w:spacing w:line="360" w:lineRule="auto"/>
        <w:ind w:firstLine="709"/>
        <w:jc w:val="both"/>
        <w:rPr>
          <w:sz w:val="24"/>
          <w:szCs w:val="24"/>
        </w:rPr>
      </w:pPr>
      <w:r w:rsidRPr="005651F4">
        <w:rPr>
          <w:sz w:val="24"/>
          <w:szCs w:val="24"/>
        </w:rPr>
        <w:t xml:space="preserve">As reflexões </w:t>
      </w:r>
      <w:r>
        <w:rPr>
          <w:sz w:val="24"/>
          <w:szCs w:val="24"/>
        </w:rPr>
        <w:t>articulam</w:t>
      </w:r>
      <w:r w:rsidR="006E2FF5" w:rsidRPr="005651F4">
        <w:rPr>
          <w:sz w:val="24"/>
          <w:szCs w:val="24"/>
        </w:rPr>
        <w:t xml:space="preserve"> o referencial marxista - com ênfase nas contribuições de Gramsci e Mészáros - à literatura específica do Serviço Social na educação.</w:t>
      </w:r>
      <w:r w:rsidR="00BB500D">
        <w:rPr>
          <w:sz w:val="24"/>
          <w:szCs w:val="24"/>
        </w:rPr>
        <w:t xml:space="preserve"> </w:t>
      </w:r>
      <w:r w:rsidR="00BB500D" w:rsidRPr="005651F4">
        <w:rPr>
          <w:sz w:val="24"/>
          <w:szCs w:val="24"/>
        </w:rPr>
        <w:t>O estudo adota como procedimento metodológico uma revisão bibliográfica sistemática, visando aprofundar as categorias teóricas centrais que fundamentam a pesquisa. Conforme Boccato (2006), esse método de investigação proporciona os subsídios necessários para a construção do conhecimento científico, permitindo mapear e analisar criticamente as diferentes abordagens teóricas existentes na literatura especializada sobre o tema em questão.</w:t>
      </w:r>
    </w:p>
    <w:p w14:paraId="4ADB02AE" w14:textId="77777777" w:rsidR="004F776F" w:rsidRPr="005651F4" w:rsidRDefault="004F776F" w:rsidP="00F2735F">
      <w:pPr>
        <w:spacing w:line="360" w:lineRule="auto"/>
        <w:jc w:val="both"/>
        <w:rPr>
          <w:sz w:val="24"/>
          <w:szCs w:val="24"/>
        </w:rPr>
      </w:pPr>
    </w:p>
    <w:p w14:paraId="4F02B4D6" w14:textId="798542F8" w:rsidR="004F776F" w:rsidRPr="005651F4" w:rsidRDefault="004F776F" w:rsidP="00F2735F">
      <w:pPr>
        <w:spacing w:line="360" w:lineRule="auto"/>
        <w:jc w:val="both"/>
        <w:rPr>
          <w:b/>
          <w:sz w:val="24"/>
          <w:szCs w:val="24"/>
        </w:rPr>
      </w:pPr>
      <w:r w:rsidRPr="005651F4">
        <w:rPr>
          <w:b/>
          <w:sz w:val="24"/>
          <w:szCs w:val="24"/>
        </w:rPr>
        <w:t>2</w:t>
      </w:r>
      <w:r w:rsidRPr="005651F4">
        <w:rPr>
          <w:b/>
          <w:sz w:val="24"/>
          <w:szCs w:val="24"/>
        </w:rPr>
        <w:tab/>
      </w:r>
      <w:r w:rsidR="00314438" w:rsidRPr="00314438">
        <w:rPr>
          <w:b/>
          <w:bCs/>
          <w:sz w:val="24"/>
          <w:szCs w:val="24"/>
        </w:rPr>
        <w:t xml:space="preserve">ENTRE AVANÇOS E DESAFIOS: </w:t>
      </w:r>
      <w:r w:rsidR="00A34267">
        <w:rPr>
          <w:b/>
          <w:bCs/>
          <w:sz w:val="24"/>
          <w:szCs w:val="24"/>
        </w:rPr>
        <w:t>A</w:t>
      </w:r>
      <w:r w:rsidR="00C96559">
        <w:rPr>
          <w:b/>
          <w:bCs/>
          <w:sz w:val="24"/>
          <w:szCs w:val="24"/>
        </w:rPr>
        <w:t xml:space="preserve"> INSERÇÃO DE ASSISTENTES SOCIAIS NA EDUCAÇÃO BÁSICA.</w:t>
      </w:r>
    </w:p>
    <w:p w14:paraId="35E05799" w14:textId="77777777" w:rsidR="004F776F" w:rsidRPr="005651F4" w:rsidRDefault="004F776F" w:rsidP="00F2735F">
      <w:pPr>
        <w:spacing w:line="360" w:lineRule="auto"/>
        <w:jc w:val="both"/>
        <w:rPr>
          <w:sz w:val="24"/>
          <w:szCs w:val="24"/>
        </w:rPr>
      </w:pPr>
    </w:p>
    <w:p w14:paraId="014FCA53" w14:textId="08F3001E" w:rsidR="005651F4" w:rsidRPr="005651F4" w:rsidRDefault="005651F4" w:rsidP="00F2735F">
      <w:pPr>
        <w:spacing w:line="360" w:lineRule="auto"/>
        <w:ind w:firstLine="709"/>
        <w:jc w:val="both"/>
        <w:rPr>
          <w:sz w:val="24"/>
          <w:szCs w:val="24"/>
        </w:rPr>
      </w:pPr>
      <w:r w:rsidRPr="005651F4">
        <w:rPr>
          <w:sz w:val="24"/>
          <w:szCs w:val="24"/>
        </w:rPr>
        <w:t xml:space="preserve">Embora “a presença do/a assistente social na área da educação remonte à década de 1930” (Almeida, 2011, p. 5), é a partir dos anos 1990 que se consolida uma atuação mais expressiva da categoria nas políticas educacionais. Esse avanço reflete tanto o amadurecimento histórico da profissão quanto as diretrizes apresentadas nos </w:t>
      </w:r>
      <w:r w:rsidRPr="005651F4">
        <w:rPr>
          <w:sz w:val="24"/>
          <w:szCs w:val="24"/>
        </w:rPr>
        <w:lastRenderedPageBreak/>
        <w:t>Congressos Brasileiros de Assistentes Sociais a partir de 1995. Desde o início dos anos 2000, o conjunto CFESS-CRESS passou a atuar de forma sistemática e política nas discussões sobre o Serviço Social na Educação (CFESS, 2013).</w:t>
      </w:r>
    </w:p>
    <w:p w14:paraId="6EBED9F2" w14:textId="56FE828B" w:rsidR="005651F4" w:rsidRPr="005651F4" w:rsidRDefault="005651F4" w:rsidP="00F2735F">
      <w:pPr>
        <w:spacing w:line="360" w:lineRule="auto"/>
        <w:ind w:firstLine="709"/>
        <w:jc w:val="both"/>
        <w:rPr>
          <w:sz w:val="24"/>
          <w:szCs w:val="24"/>
        </w:rPr>
      </w:pPr>
      <w:r w:rsidRPr="005651F4">
        <w:rPr>
          <w:sz w:val="24"/>
          <w:szCs w:val="24"/>
        </w:rPr>
        <w:t xml:space="preserve">A promulgação da Lei nº 13.935/2019 (Brasil, 2019) representa uma conquista histórica para o Serviço Social brasileiro, coroando décadas de mobilização coletiva e articulação política da categoria. Além de marco regulatório, a lei se constitui em instrumento de luta, ao viabilizar a presença qualificada de assistentes sociais na educação básica - espaço estratégico para o enfrentamento das desigualdades e para a construção de uma formação crítica. Sua implementação materializa </w:t>
      </w:r>
      <w:r w:rsidR="0002749D">
        <w:rPr>
          <w:sz w:val="24"/>
          <w:szCs w:val="24"/>
        </w:rPr>
        <w:t>um</w:t>
      </w:r>
      <w:r w:rsidRPr="005651F4">
        <w:rPr>
          <w:sz w:val="24"/>
          <w:szCs w:val="24"/>
        </w:rPr>
        <w:t xml:space="preserve"> projeto societário comprometido com a garantia de direitos, reforçando o caráter transformador da intervenção do Serviço Social na política educacional.</w:t>
      </w:r>
    </w:p>
    <w:p w14:paraId="426E8B37" w14:textId="573ABCD1" w:rsidR="005651F4" w:rsidRPr="00042EEE" w:rsidRDefault="007F23F3" w:rsidP="00042EEE">
      <w:pPr>
        <w:pStyle w:val="normal1"/>
        <w:spacing w:line="360" w:lineRule="auto"/>
        <w:ind w:firstLine="709"/>
        <w:jc w:val="both"/>
        <w:rPr>
          <w:rFonts w:ascii="Arial" w:eastAsia="Arial" w:hAnsi="Arial" w:cs="Arial"/>
          <w:sz w:val="24"/>
          <w:szCs w:val="24"/>
          <w:lang w:eastAsia="pt-BR" w:bidi="ar-SA"/>
        </w:rPr>
      </w:pPr>
      <w:r w:rsidRPr="007F23F3">
        <w:rPr>
          <w:rFonts w:ascii="Arial" w:eastAsia="Arial" w:hAnsi="Arial" w:cs="Arial"/>
          <w:sz w:val="24"/>
          <w:szCs w:val="24"/>
          <w:lang w:eastAsia="pt-BR" w:bidi="ar-SA"/>
        </w:rPr>
        <w:t xml:space="preserve">A aprovação da Lei nº 14.113/2020 incluiu assistentes sociais como profissionais da educação, vinculando seus salários a 70% do FUNDEB. Porém, em 2021, a Lei nº 14.276/2021 os reclassificou como não pertencentes ao núcleo pedagógico, transferindo seu financiamento para os 30% destinados a despesas complementares (CFESS, 2023). Essa mudança reflete uma </w:t>
      </w:r>
      <w:r w:rsidR="009B1649">
        <w:rPr>
          <w:rFonts w:ascii="Arial" w:eastAsia="Arial" w:hAnsi="Arial" w:cs="Arial"/>
          <w:sz w:val="24"/>
          <w:szCs w:val="24"/>
          <w:lang w:eastAsia="pt-BR" w:bidi="ar-SA"/>
        </w:rPr>
        <w:t>tensão fundamental</w:t>
      </w:r>
      <w:r w:rsidRPr="007F23F3">
        <w:rPr>
          <w:rFonts w:ascii="Arial" w:eastAsia="Arial" w:hAnsi="Arial" w:cs="Arial"/>
          <w:sz w:val="24"/>
          <w:szCs w:val="24"/>
          <w:lang w:eastAsia="pt-BR" w:bidi="ar-SA"/>
        </w:rPr>
        <w:t xml:space="preserve">: </w:t>
      </w:r>
      <w:r w:rsidR="0029766A" w:rsidRPr="005651F4">
        <w:rPr>
          <w:rFonts w:ascii="Arial" w:hAnsi="Arial" w:cs="Arial"/>
          <w:sz w:val="24"/>
          <w:szCs w:val="24"/>
        </w:rPr>
        <w:t>de um lado, persiste uma visão reducionista que limita a atuação profissional a ações assistenciais; de outro, emerge a necessidade de reconhecer s</w:t>
      </w:r>
      <w:r w:rsidR="000D4178">
        <w:rPr>
          <w:rFonts w:ascii="Arial" w:hAnsi="Arial" w:cs="Arial"/>
          <w:sz w:val="24"/>
          <w:szCs w:val="24"/>
        </w:rPr>
        <w:t>ua função</w:t>
      </w:r>
      <w:r w:rsidR="0029766A" w:rsidRPr="005651F4">
        <w:rPr>
          <w:rFonts w:ascii="Arial" w:hAnsi="Arial" w:cs="Arial"/>
          <w:sz w:val="24"/>
          <w:szCs w:val="24"/>
        </w:rPr>
        <w:t xml:space="preserve"> estratégic</w:t>
      </w:r>
      <w:r w:rsidR="000D4178">
        <w:rPr>
          <w:rFonts w:ascii="Arial" w:hAnsi="Arial" w:cs="Arial"/>
          <w:sz w:val="24"/>
          <w:szCs w:val="24"/>
        </w:rPr>
        <w:t>a</w:t>
      </w:r>
      <w:r w:rsidR="0029766A" w:rsidRPr="005651F4">
        <w:rPr>
          <w:rFonts w:ascii="Arial" w:hAnsi="Arial" w:cs="Arial"/>
          <w:sz w:val="24"/>
          <w:szCs w:val="24"/>
        </w:rPr>
        <w:t xml:space="preserve"> na formação integral dos estudantes</w:t>
      </w:r>
      <w:r w:rsidRPr="007F23F3">
        <w:rPr>
          <w:rFonts w:ascii="Arial" w:eastAsia="Arial" w:hAnsi="Arial" w:cs="Arial"/>
          <w:sz w:val="24"/>
          <w:szCs w:val="24"/>
          <w:lang w:eastAsia="pt-BR" w:bidi="ar-SA"/>
        </w:rPr>
        <w:t xml:space="preserve">, compreendendo a educação como processo social complexo que articula proteção social, desenvolvimento crítico e cidadania ativa. A reclassificação legal evidencia a necessidade de </w:t>
      </w:r>
      <w:r w:rsidR="000D4178">
        <w:rPr>
          <w:rFonts w:ascii="Arial" w:eastAsia="Arial" w:hAnsi="Arial" w:cs="Arial"/>
          <w:sz w:val="24"/>
          <w:szCs w:val="24"/>
          <w:lang w:eastAsia="pt-BR" w:bidi="ar-SA"/>
        </w:rPr>
        <w:t>reconstrução histórica</w:t>
      </w:r>
      <w:r w:rsidRPr="007F23F3">
        <w:rPr>
          <w:rFonts w:ascii="Arial" w:eastAsia="Arial" w:hAnsi="Arial" w:cs="Arial"/>
          <w:sz w:val="24"/>
          <w:szCs w:val="24"/>
          <w:lang w:eastAsia="pt-BR" w:bidi="ar-SA"/>
        </w:rPr>
        <w:t xml:space="preserve"> </w:t>
      </w:r>
      <w:r w:rsidR="00564440">
        <w:rPr>
          <w:rFonts w:ascii="Arial" w:eastAsia="Arial" w:hAnsi="Arial" w:cs="Arial"/>
          <w:sz w:val="24"/>
          <w:szCs w:val="24"/>
          <w:lang w:eastAsia="pt-BR" w:bidi="ar-SA"/>
        </w:rPr>
        <w:t>da</w:t>
      </w:r>
      <w:r w:rsidRPr="007F23F3">
        <w:rPr>
          <w:rFonts w:ascii="Arial" w:eastAsia="Arial" w:hAnsi="Arial" w:cs="Arial"/>
          <w:sz w:val="24"/>
          <w:szCs w:val="24"/>
          <w:lang w:eastAsia="pt-BR" w:bidi="ar-SA"/>
        </w:rPr>
        <w:t xml:space="preserve"> função</w:t>
      </w:r>
      <w:r w:rsidR="00564440">
        <w:rPr>
          <w:rFonts w:ascii="Arial" w:eastAsia="Arial" w:hAnsi="Arial" w:cs="Arial"/>
          <w:sz w:val="24"/>
          <w:szCs w:val="24"/>
          <w:lang w:eastAsia="pt-BR" w:bidi="ar-SA"/>
        </w:rPr>
        <w:t xml:space="preserve"> de assistentes sociais</w:t>
      </w:r>
      <w:r w:rsidRPr="007F23F3">
        <w:rPr>
          <w:rFonts w:ascii="Arial" w:eastAsia="Arial" w:hAnsi="Arial" w:cs="Arial"/>
          <w:sz w:val="24"/>
          <w:szCs w:val="24"/>
          <w:lang w:eastAsia="pt-BR" w:bidi="ar-SA"/>
        </w:rPr>
        <w:t xml:space="preserve"> como parte integrante do processo educativo.</w:t>
      </w:r>
    </w:p>
    <w:p w14:paraId="25DF9D1E" w14:textId="1F0F60F9" w:rsidR="005651F4" w:rsidRPr="007A63E9" w:rsidRDefault="00D45B9C" w:rsidP="005651F4">
      <w:pPr>
        <w:spacing w:line="360" w:lineRule="auto"/>
        <w:ind w:firstLine="708"/>
        <w:jc w:val="both"/>
        <w:rPr>
          <w:sz w:val="24"/>
          <w:szCs w:val="24"/>
        </w:rPr>
      </w:pPr>
      <w:r>
        <w:rPr>
          <w:sz w:val="24"/>
          <w:szCs w:val="24"/>
        </w:rPr>
        <w:t xml:space="preserve">A adesão a </w:t>
      </w:r>
      <w:r w:rsidR="005651F4" w:rsidRPr="007A63E9">
        <w:rPr>
          <w:sz w:val="24"/>
          <w:szCs w:val="24"/>
        </w:rPr>
        <w:t>Lei nº 13.935/2019</w:t>
      </w:r>
      <w:r w:rsidR="005B0DF5">
        <w:rPr>
          <w:sz w:val="24"/>
          <w:szCs w:val="24"/>
        </w:rPr>
        <w:t xml:space="preserve"> (Brasil, 2019)</w:t>
      </w:r>
      <w:r w:rsidR="005651F4" w:rsidRPr="007A63E9">
        <w:rPr>
          <w:sz w:val="24"/>
          <w:szCs w:val="24"/>
        </w:rPr>
        <w:t xml:space="preserve"> ainda é extremamente limitada no país. Dados de setembro de 2023 revelam que apenas 85 dos 5.570 municípios brasileiros (cerca de 1,5% do total) haviam adotado alguma medida para cumprir a legislação - sendo que, mesmo nestes casos, a regulamentação completa ainda não havia sido efetivada em diversas localidades (Senado Federal, 2023).</w:t>
      </w:r>
    </w:p>
    <w:p w14:paraId="0E9B3D1A" w14:textId="5D875894" w:rsidR="005651F4" w:rsidRPr="005651F4" w:rsidRDefault="005651F4" w:rsidP="005651F4">
      <w:pPr>
        <w:pStyle w:val="normal1"/>
        <w:spacing w:line="360" w:lineRule="auto"/>
        <w:ind w:firstLine="709"/>
        <w:jc w:val="both"/>
        <w:rPr>
          <w:rFonts w:ascii="Arial" w:hAnsi="Arial" w:cs="Arial"/>
          <w:sz w:val="24"/>
          <w:szCs w:val="24"/>
        </w:rPr>
      </w:pPr>
      <w:r w:rsidRPr="005651F4">
        <w:rPr>
          <w:rFonts w:ascii="Arial" w:hAnsi="Arial" w:cs="Arial"/>
          <w:sz w:val="24"/>
          <w:szCs w:val="24"/>
        </w:rPr>
        <w:t xml:space="preserve">No Maranhão, a regulamentação da lei na </w:t>
      </w:r>
      <w:r w:rsidR="007A63E9">
        <w:rPr>
          <w:rFonts w:ascii="Arial" w:hAnsi="Arial" w:cs="Arial"/>
          <w:sz w:val="24"/>
          <w:szCs w:val="24"/>
        </w:rPr>
        <w:t xml:space="preserve">Ilha de Upaon-Açu </w:t>
      </w:r>
      <w:r w:rsidRPr="005651F4">
        <w:rPr>
          <w:rFonts w:ascii="Arial" w:hAnsi="Arial" w:cs="Arial"/>
          <w:sz w:val="24"/>
          <w:szCs w:val="24"/>
        </w:rPr>
        <w:t xml:space="preserve">— composta por São Luís (capital), Paço do Lumiar, Raposa e São José de Ribamar — ainda é </w:t>
      </w:r>
      <w:r w:rsidRPr="005651F4">
        <w:rPr>
          <w:rFonts w:ascii="Arial" w:hAnsi="Arial" w:cs="Arial"/>
          <w:sz w:val="24"/>
          <w:szCs w:val="24"/>
        </w:rPr>
        <w:lastRenderedPageBreak/>
        <w:t>incipiente. Destaque para São José de Ribamar que</w:t>
      </w:r>
      <w:r w:rsidR="001E24E7">
        <w:rPr>
          <w:rFonts w:ascii="Arial" w:hAnsi="Arial" w:cs="Arial"/>
          <w:sz w:val="24"/>
          <w:szCs w:val="24"/>
        </w:rPr>
        <w:t>,</w:t>
      </w:r>
      <w:r w:rsidRPr="005651F4">
        <w:rPr>
          <w:rFonts w:ascii="Arial" w:hAnsi="Arial" w:cs="Arial"/>
          <w:sz w:val="24"/>
          <w:szCs w:val="24"/>
        </w:rPr>
        <w:t xml:space="preserve"> até 2024</w:t>
      </w:r>
      <w:r w:rsidR="001E24E7">
        <w:rPr>
          <w:rFonts w:ascii="Arial" w:hAnsi="Arial" w:cs="Arial"/>
          <w:sz w:val="24"/>
          <w:szCs w:val="24"/>
        </w:rPr>
        <w:t>,</w:t>
      </w:r>
      <w:r w:rsidRPr="005651F4">
        <w:rPr>
          <w:rFonts w:ascii="Arial" w:hAnsi="Arial" w:cs="Arial"/>
          <w:sz w:val="24"/>
          <w:szCs w:val="24"/>
        </w:rPr>
        <w:t xml:space="preserve"> foi pioneiro ao contar com uma equipe de 29 assistentes sociais atuando diretamente nas escolas da rede pública de ensino básico. No entanto, mesmo com essa iniciativa, a lei ainda não foi regulamentada localmente, o que revela uma contradição entre a prática e a formalização jurídica</w:t>
      </w:r>
      <w:r w:rsidR="00FD3F29">
        <w:rPr>
          <w:rFonts w:ascii="Arial" w:hAnsi="Arial" w:cs="Arial"/>
          <w:sz w:val="24"/>
          <w:szCs w:val="24"/>
        </w:rPr>
        <w:t xml:space="preserve"> e </w:t>
      </w:r>
      <w:r w:rsidRPr="005651F4">
        <w:rPr>
          <w:rFonts w:ascii="Arial" w:hAnsi="Arial" w:cs="Arial"/>
          <w:sz w:val="24"/>
          <w:szCs w:val="24"/>
        </w:rPr>
        <w:t>expõe os desafios estruturais para a consolidação da inserção profissional mesmo em municípios que avançam na contratação da categoria.</w:t>
      </w:r>
    </w:p>
    <w:p w14:paraId="7483C092" w14:textId="10E50DCD" w:rsidR="005651F4" w:rsidRPr="007A63E9" w:rsidRDefault="005651F4" w:rsidP="005651F4">
      <w:pPr>
        <w:spacing w:line="360" w:lineRule="auto"/>
        <w:ind w:firstLine="708"/>
        <w:jc w:val="both"/>
        <w:rPr>
          <w:sz w:val="24"/>
          <w:szCs w:val="24"/>
        </w:rPr>
      </w:pPr>
      <w:r w:rsidRPr="007A63E9">
        <w:rPr>
          <w:sz w:val="24"/>
          <w:szCs w:val="24"/>
        </w:rPr>
        <w:t>Com base em informações de profissionais vinculados a Secretaria de Educação de São José de Ribamar/MA, verificou-se que o município contava com 29 profissionais atuando em 98 escolas - um número significativo, considerando que a rede municipal possui 104 escolas regulares e mais 4 anexos. A equipe, majoritariamente feminina, era composta por profissionais contratadas, o que revela a precariedade dos vínculos trabalhistas mesmo em um município pioneiro na implementação da medida.</w:t>
      </w:r>
    </w:p>
    <w:p w14:paraId="484432A2" w14:textId="749EEFE0" w:rsidR="00F00377" w:rsidRDefault="00F00377" w:rsidP="005651F4">
      <w:pPr>
        <w:spacing w:line="360" w:lineRule="auto"/>
        <w:ind w:firstLine="708"/>
        <w:jc w:val="both"/>
        <w:rPr>
          <w:sz w:val="24"/>
          <w:szCs w:val="24"/>
        </w:rPr>
      </w:pPr>
      <w:r w:rsidRPr="00F00377">
        <w:rPr>
          <w:sz w:val="24"/>
          <w:szCs w:val="24"/>
        </w:rPr>
        <w:t>As observações</w:t>
      </w:r>
      <w:r w:rsidR="009C2A59">
        <w:rPr>
          <w:sz w:val="24"/>
          <w:szCs w:val="24"/>
        </w:rPr>
        <w:t xml:space="preserve"> diretas</w:t>
      </w:r>
      <w:r w:rsidRPr="00F00377">
        <w:rPr>
          <w:sz w:val="24"/>
          <w:szCs w:val="24"/>
        </w:rPr>
        <w:t xml:space="preserve"> e </w:t>
      </w:r>
      <w:r w:rsidR="009C2A59">
        <w:rPr>
          <w:sz w:val="24"/>
          <w:szCs w:val="24"/>
        </w:rPr>
        <w:t xml:space="preserve">de </w:t>
      </w:r>
      <w:r w:rsidRPr="00F00377">
        <w:rPr>
          <w:sz w:val="24"/>
          <w:szCs w:val="24"/>
        </w:rPr>
        <w:t xml:space="preserve">relatos </w:t>
      </w:r>
      <w:r w:rsidR="009C2A59">
        <w:rPr>
          <w:sz w:val="24"/>
          <w:szCs w:val="24"/>
        </w:rPr>
        <w:t>de</w:t>
      </w:r>
      <w:r w:rsidRPr="00F00377">
        <w:rPr>
          <w:sz w:val="24"/>
          <w:szCs w:val="24"/>
        </w:rPr>
        <w:t xml:space="preserve"> assistentes sociais no município</w:t>
      </w:r>
      <w:r w:rsidR="009C2A59">
        <w:rPr>
          <w:sz w:val="24"/>
          <w:szCs w:val="24"/>
        </w:rPr>
        <w:t>, verificou-se que</w:t>
      </w:r>
      <w:r w:rsidR="009F6072">
        <w:rPr>
          <w:sz w:val="24"/>
          <w:szCs w:val="24"/>
        </w:rPr>
        <w:t xml:space="preserve"> os profissionais</w:t>
      </w:r>
      <w:r w:rsidRPr="00F00377">
        <w:rPr>
          <w:sz w:val="24"/>
          <w:szCs w:val="24"/>
        </w:rPr>
        <w:t xml:space="preserve"> eram frequentemente demandados para situações além de suas atribuições, como casos de indisciplina, problemas emocionais e pequenos acidentes com alunos. Institucionalmente, foram vinculados ao Projeto Socioemocional, onde ministravam oficinas temáticas de forma obrigatória, e ao Projeto Cacuriá (que desenvolvia atividades artísticas com professores contratados), sendo alocados sem funções bem definidas - atuando principalmente como monitoras, inclusive durante passeios escolares.</w:t>
      </w:r>
    </w:p>
    <w:p w14:paraId="21939924" w14:textId="07BAB330" w:rsidR="005651F4" w:rsidRPr="007A63E9" w:rsidRDefault="00FB017F" w:rsidP="005651F4">
      <w:pPr>
        <w:spacing w:line="360" w:lineRule="auto"/>
        <w:ind w:firstLine="708"/>
        <w:jc w:val="both"/>
        <w:rPr>
          <w:sz w:val="24"/>
          <w:szCs w:val="24"/>
        </w:rPr>
      </w:pPr>
      <w:r w:rsidRPr="00FB017F">
        <w:rPr>
          <w:sz w:val="24"/>
          <w:szCs w:val="24"/>
        </w:rPr>
        <w:t>Dois desafios centrais marcam a atuação dos assistentes sociais na educação: a precarização laboral, que limita sua autonomia e as submete a condições alheias às competências previstas na Lei 8.662/1993</w:t>
      </w:r>
      <w:r>
        <w:rPr>
          <w:sz w:val="24"/>
          <w:szCs w:val="24"/>
        </w:rPr>
        <w:t xml:space="preserve"> (Brasil, 1993)</w:t>
      </w:r>
      <w:r w:rsidRPr="00FB017F">
        <w:rPr>
          <w:sz w:val="24"/>
          <w:szCs w:val="24"/>
        </w:rPr>
        <w:t>; e o desconhecimento sobre s</w:t>
      </w:r>
      <w:r w:rsidR="00563AF5">
        <w:rPr>
          <w:sz w:val="24"/>
          <w:szCs w:val="24"/>
        </w:rPr>
        <w:t>ua função</w:t>
      </w:r>
      <w:r w:rsidRPr="00FB017F">
        <w:rPr>
          <w:sz w:val="24"/>
          <w:szCs w:val="24"/>
        </w:rPr>
        <w:t xml:space="preserve"> na escola, gerando demandas fragmentadas e assistencialistas em vez de um trabalho crítico. Esses obstáculos não só dificultam a implementação da Lei 13.935/2019 como também reforçam lógicas que subestimam o potencial transformador da categoria no espaço educacional.</w:t>
      </w:r>
    </w:p>
    <w:p w14:paraId="1E4D4C2A" w14:textId="4270CE59" w:rsidR="004F776F" w:rsidRDefault="005651F4" w:rsidP="00230FEF">
      <w:pPr>
        <w:spacing w:line="360" w:lineRule="auto"/>
        <w:ind w:firstLine="708"/>
        <w:jc w:val="both"/>
      </w:pPr>
      <w:r w:rsidRPr="007A63E9">
        <w:rPr>
          <w:sz w:val="24"/>
          <w:szCs w:val="24"/>
        </w:rPr>
        <w:lastRenderedPageBreak/>
        <w:t xml:space="preserve">Diante disso, é fundamental compreender o trabalho desenvolvido pela categoria, não apenas para identificar as incongruências impostas e presentes na prática profissional, mas também para delinear estratégias de intervenção no processo </w:t>
      </w:r>
      <w:r w:rsidRPr="00314438">
        <w:rPr>
          <w:sz w:val="24"/>
          <w:szCs w:val="24"/>
        </w:rPr>
        <w:t xml:space="preserve">educativo </w:t>
      </w:r>
      <w:r w:rsidR="00314438" w:rsidRPr="00314438">
        <w:rPr>
          <w:sz w:val="24"/>
          <w:szCs w:val="24"/>
        </w:rPr>
        <w:t>e compreender as determinações</w:t>
      </w:r>
      <w:r w:rsidR="00314438">
        <w:rPr>
          <w:color w:val="FF0000"/>
          <w:sz w:val="24"/>
          <w:szCs w:val="24"/>
        </w:rPr>
        <w:t xml:space="preserve"> </w:t>
      </w:r>
      <w:r w:rsidRPr="007A63E9">
        <w:rPr>
          <w:sz w:val="24"/>
          <w:szCs w:val="24"/>
        </w:rPr>
        <w:t>que permeia</w:t>
      </w:r>
      <w:r w:rsidR="00314438">
        <w:rPr>
          <w:sz w:val="24"/>
          <w:szCs w:val="24"/>
        </w:rPr>
        <w:t>m</w:t>
      </w:r>
      <w:r w:rsidRPr="007A63E9">
        <w:rPr>
          <w:sz w:val="24"/>
          <w:szCs w:val="24"/>
        </w:rPr>
        <w:t xml:space="preserve"> a política pública de educação. Reconhecendo que a escola ocupa um lugar estratégico na sociedade, podendo tanto reproduzir as lógicas do capital quanto potencializar processos de transformação social em favor da classe trabalhadora.</w:t>
      </w:r>
    </w:p>
    <w:p w14:paraId="7CEE25AD" w14:textId="77777777" w:rsidR="00230FEF" w:rsidRPr="00230FEF" w:rsidRDefault="00230FEF" w:rsidP="00230FEF">
      <w:pPr>
        <w:spacing w:line="360" w:lineRule="auto"/>
        <w:ind w:firstLine="708"/>
        <w:jc w:val="both"/>
      </w:pPr>
    </w:p>
    <w:p w14:paraId="166FB736" w14:textId="794BDE6D" w:rsidR="004F776F" w:rsidRPr="005651F4" w:rsidRDefault="004F776F" w:rsidP="00F2735F">
      <w:pPr>
        <w:spacing w:line="360" w:lineRule="auto"/>
        <w:jc w:val="both"/>
        <w:rPr>
          <w:b/>
          <w:sz w:val="24"/>
          <w:szCs w:val="24"/>
        </w:rPr>
      </w:pPr>
      <w:r w:rsidRPr="005651F4">
        <w:rPr>
          <w:b/>
          <w:sz w:val="24"/>
          <w:szCs w:val="24"/>
        </w:rPr>
        <w:t>2.1</w:t>
      </w:r>
      <w:r w:rsidRPr="005651F4">
        <w:rPr>
          <w:b/>
          <w:sz w:val="24"/>
          <w:szCs w:val="24"/>
        </w:rPr>
        <w:tab/>
      </w:r>
      <w:r w:rsidR="00274CD8">
        <w:rPr>
          <w:b/>
          <w:sz w:val="24"/>
          <w:szCs w:val="24"/>
        </w:rPr>
        <w:t>As possibilidades da prática profissional</w:t>
      </w:r>
    </w:p>
    <w:p w14:paraId="08118E17" w14:textId="77777777" w:rsidR="00274CD8" w:rsidRDefault="00274CD8" w:rsidP="00AA418F">
      <w:pPr>
        <w:spacing w:line="360" w:lineRule="auto"/>
        <w:ind w:firstLine="709"/>
        <w:jc w:val="both"/>
        <w:rPr>
          <w:sz w:val="24"/>
          <w:szCs w:val="24"/>
        </w:rPr>
      </w:pPr>
    </w:p>
    <w:p w14:paraId="346FAA7E" w14:textId="1647ADE4" w:rsidR="00AA418F" w:rsidRPr="00AA418F" w:rsidRDefault="00AA418F" w:rsidP="00AA418F">
      <w:pPr>
        <w:spacing w:line="360" w:lineRule="auto"/>
        <w:ind w:firstLine="709"/>
        <w:jc w:val="both"/>
        <w:rPr>
          <w:sz w:val="24"/>
          <w:szCs w:val="24"/>
        </w:rPr>
      </w:pPr>
      <w:r w:rsidRPr="00AA418F">
        <w:rPr>
          <w:sz w:val="24"/>
          <w:szCs w:val="24"/>
        </w:rPr>
        <w:t>A atuação de assistentes sociais na educação básica configura-se em múltiplas frentes, conforme demonstrado por Ney Luiz Teixeira de Almeida (2003). Seus estudos identificaram dois eixos estruturantes dessa intervenção profissional: o primeiro relaciona-se às estratégias de garantia de acesso à escola – como definição de critérios de matrícula, concessão de bolsas de estudo e elaboração de diagnósticos territoriais para mobilizar populações em vulnerabilidade social. O segundo concentra-se em ações voltadas à permanência estudantil, articulando políticas assistenciais (renda, alimentação, transporte) e encaminhamentos a redes de proteção, visando superar barreiras que comprometem a trajetória educacional.</w:t>
      </w:r>
    </w:p>
    <w:p w14:paraId="3AEC6EA1" w14:textId="77777777" w:rsidR="00AA418F" w:rsidRPr="00AA418F" w:rsidRDefault="00AA418F" w:rsidP="00AA418F">
      <w:pPr>
        <w:spacing w:line="360" w:lineRule="auto"/>
        <w:ind w:firstLine="709"/>
        <w:jc w:val="both"/>
        <w:rPr>
          <w:sz w:val="24"/>
          <w:szCs w:val="24"/>
        </w:rPr>
      </w:pPr>
      <w:r w:rsidRPr="00AA418F">
        <w:rPr>
          <w:sz w:val="24"/>
          <w:szCs w:val="24"/>
        </w:rPr>
        <w:t>Além disso, Almeida (2003) destaca um terceiro eixo de atuação, no qual os assistentes sociais promovem discussões sobre problemas sociais gerais ou específicos da localidade, contribuindo para a formação cidadã dos estudantes por meio de debates e reflexões críticas. Por fim, o quarto nicho envolve ações de fortalecimento da gestão democrática na educação, incentivando a participação da comunidade em grêmios estudantis, associações de pais, sindicatos e outras formas de organização coletiva, com o objetivo de instrumentalizar e mobilizar a população para uma atuação mais ativa nas políticas educacionais. Dessa forma, Almeida (2003) evidencia o papel multifacetado do assistente social na educação, atuando como mediador entre direitos, políticas públicas e a comunidade escolar.</w:t>
      </w:r>
    </w:p>
    <w:p w14:paraId="00F0C24D" w14:textId="77777777" w:rsidR="00377676" w:rsidRDefault="00377676" w:rsidP="00AA418F">
      <w:pPr>
        <w:spacing w:line="360" w:lineRule="auto"/>
        <w:ind w:firstLine="709"/>
        <w:jc w:val="both"/>
        <w:rPr>
          <w:sz w:val="24"/>
          <w:szCs w:val="24"/>
        </w:rPr>
      </w:pPr>
      <w:r w:rsidRPr="00377676">
        <w:rPr>
          <w:sz w:val="24"/>
          <w:szCs w:val="24"/>
        </w:rPr>
        <w:lastRenderedPageBreak/>
        <w:t>O CFESS (2023) identificou 43 publicações sobre Serviço Social na educação básica entre 2002-2022, com expressivos 62,8% produzidos após a Lei 13.935/2019 - sendo 2021 o ano de maior produtividade (21 trabalhos). Esse salto quantitativo não apenas evidencia o papel catalisador da legislação no debate acadêmico-profissional, como também permite traçar um panorama das transformações nas práticas profissionais. O crescimento, ainda que numericamente modesto, revela um duplo movimento: por um lado, o vigoroso engajamento da categoria com a nova legislação; por outro, os desafios persistentes para consolidar esse promissor campo de atuação.</w:t>
      </w:r>
    </w:p>
    <w:p w14:paraId="0FB6AF1E" w14:textId="704EFFB7" w:rsidR="00AA418F" w:rsidRPr="00AA418F" w:rsidRDefault="00377676" w:rsidP="00AA418F">
      <w:pPr>
        <w:spacing w:line="360" w:lineRule="auto"/>
        <w:ind w:firstLine="709"/>
        <w:jc w:val="both"/>
        <w:rPr>
          <w:sz w:val="24"/>
          <w:szCs w:val="24"/>
        </w:rPr>
      </w:pPr>
      <w:r w:rsidRPr="00377676">
        <w:rPr>
          <w:sz w:val="24"/>
          <w:szCs w:val="24"/>
        </w:rPr>
        <w:t>Esses desafios tornam-se ainda mais complexos quando se observa a atuação dos assistentes sociais no cotidiano escolar, que se desenvolve em um cenário de precarização das políticas sociais e desmonte de direitos - realidade muitas vezes invisibilizada pelo processo de responsabilização das famílias. Nesse contexto, as demandas por proteção social no âmbito educacional se intensificam (Dentz; Silva, 2017), o que reforça a atualidade dos nichos de atuação identificados por Almeida (2003), especialmente aqueles voltados à garantia de acesso e permanência dos estudantes.</w:t>
      </w:r>
    </w:p>
    <w:p w14:paraId="6E68C512" w14:textId="3CF386C2" w:rsidR="00AA418F" w:rsidRPr="00AA418F" w:rsidRDefault="00F841C0" w:rsidP="00AA418F">
      <w:pPr>
        <w:spacing w:line="360" w:lineRule="auto"/>
        <w:ind w:firstLine="709"/>
        <w:jc w:val="both"/>
        <w:rPr>
          <w:sz w:val="24"/>
          <w:szCs w:val="24"/>
        </w:rPr>
      </w:pPr>
      <w:r>
        <w:rPr>
          <w:sz w:val="24"/>
          <w:szCs w:val="24"/>
        </w:rPr>
        <w:t>Observa-se também, segundo Santos (2019), que</w:t>
      </w:r>
      <w:r w:rsidR="00AA418F" w:rsidRPr="00AA418F">
        <w:rPr>
          <w:sz w:val="24"/>
          <w:szCs w:val="24"/>
        </w:rPr>
        <w:t xml:space="preserve"> a ausência de atribuições privativas nos editais</w:t>
      </w:r>
      <w:r>
        <w:rPr>
          <w:sz w:val="24"/>
          <w:szCs w:val="24"/>
        </w:rPr>
        <w:t>,</w:t>
      </w:r>
      <w:r w:rsidR="00AA418F" w:rsidRPr="00AA418F">
        <w:rPr>
          <w:sz w:val="24"/>
          <w:szCs w:val="24"/>
        </w:rPr>
        <w:t xml:space="preserve"> pode refletir um desconhecimento ou desvalorização do papel técnico do assistente social na educação. Se as instituições não reconhecem as competências exclusivas desses profissionais, há o risco de que seu trabalho seja substituído por outros agentes ou limitado a atividades burocráticas, fragilizando sua identidade profissional e incorrendo no risco de desprofissionalização da categoria. </w:t>
      </w:r>
    </w:p>
    <w:p w14:paraId="79609567" w14:textId="398C4355" w:rsidR="00AA418F" w:rsidRPr="00AA418F" w:rsidRDefault="00AA418F" w:rsidP="00033C82">
      <w:pPr>
        <w:spacing w:line="360" w:lineRule="auto"/>
        <w:ind w:firstLine="709"/>
        <w:jc w:val="both"/>
        <w:rPr>
          <w:sz w:val="24"/>
          <w:szCs w:val="24"/>
        </w:rPr>
      </w:pPr>
      <w:r w:rsidRPr="00AA418F">
        <w:rPr>
          <w:sz w:val="24"/>
          <w:szCs w:val="24"/>
        </w:rPr>
        <w:t xml:space="preserve">Persiste, uma ambiguidade quanto ao enquadramento legal da categoria: se como profissionais da educação em sentido estrito ou como parte do quadro de apoio técnico-pedagógico. </w:t>
      </w:r>
      <w:r w:rsidR="009D1D25">
        <w:rPr>
          <w:sz w:val="24"/>
          <w:szCs w:val="24"/>
        </w:rPr>
        <w:t>Essa</w:t>
      </w:r>
      <w:r w:rsidRPr="00AA418F">
        <w:rPr>
          <w:sz w:val="24"/>
          <w:szCs w:val="24"/>
        </w:rPr>
        <w:t xml:space="preserve"> indefinição fica evidente quando os assistentes sociais integram o "quadro de apoio ao magistério" - terminologia que sugere uma posição complementar, não nuclear, no sistema educacional (Souza, 2020). Essa questão representa um dos principais desafios pós-aprovação da Lei nº 13.935/2019, com implicações concretas em dois níveis: na esfera administrativa, que afeta diretamente </w:t>
      </w:r>
      <w:r w:rsidRPr="00AA418F">
        <w:rPr>
          <w:sz w:val="24"/>
          <w:szCs w:val="24"/>
        </w:rPr>
        <w:lastRenderedPageBreak/>
        <w:t xml:space="preserve">a fonte de custeio e a vinculação orçamentária para contratação desses profissionais; e na dimensão político-pedagógica que impacta a efetivação de uma educação integral, já que a indefinição de status pode limitar a atuação profissional e a compreensão de </w:t>
      </w:r>
      <w:r w:rsidR="00F841C0">
        <w:rPr>
          <w:sz w:val="24"/>
          <w:szCs w:val="24"/>
        </w:rPr>
        <w:t>sua função</w:t>
      </w:r>
      <w:r w:rsidRPr="00AA418F">
        <w:rPr>
          <w:sz w:val="24"/>
          <w:szCs w:val="24"/>
        </w:rPr>
        <w:t xml:space="preserve"> na comunidade escolar.</w:t>
      </w:r>
    </w:p>
    <w:p w14:paraId="718CC3BB" w14:textId="73C5A2DB" w:rsidR="00AA418F" w:rsidRPr="00AA418F" w:rsidRDefault="00AA418F" w:rsidP="00AA418F">
      <w:pPr>
        <w:spacing w:line="360" w:lineRule="auto"/>
        <w:ind w:firstLine="709"/>
        <w:jc w:val="both"/>
        <w:rPr>
          <w:sz w:val="24"/>
          <w:szCs w:val="24"/>
        </w:rPr>
      </w:pPr>
      <w:r w:rsidRPr="00AA418F">
        <w:rPr>
          <w:sz w:val="24"/>
          <w:szCs w:val="24"/>
        </w:rPr>
        <w:t>As demandas profissionais</w:t>
      </w:r>
      <w:r w:rsidR="00033C82">
        <w:rPr>
          <w:sz w:val="24"/>
          <w:szCs w:val="24"/>
        </w:rPr>
        <w:t>, a exemplo de São Paulo,</w:t>
      </w:r>
      <w:r w:rsidRPr="00AA418F">
        <w:rPr>
          <w:sz w:val="24"/>
          <w:szCs w:val="24"/>
        </w:rPr>
        <w:t xml:space="preserve"> concentram-se no âmbito do acesso e da permanência dos estudantes, com ênfase em questões como frequência e evasão escolar</w:t>
      </w:r>
      <w:r w:rsidR="00CA0980">
        <w:rPr>
          <w:sz w:val="24"/>
          <w:szCs w:val="24"/>
        </w:rPr>
        <w:t>.</w:t>
      </w:r>
      <w:r w:rsidR="00DA4070">
        <w:rPr>
          <w:sz w:val="24"/>
          <w:szCs w:val="24"/>
        </w:rPr>
        <w:t xml:space="preserve"> </w:t>
      </w:r>
      <w:r w:rsidRPr="00AA418F">
        <w:rPr>
          <w:sz w:val="24"/>
          <w:szCs w:val="24"/>
        </w:rPr>
        <w:t>Observou-se, ainda, a atuação profissional na gestão democrática, com expressiva participação em conselhos municipais de direitos. Essa inserção superou a abordagem limitada às situações cotidianas do ambiente escolar, incorporando dados estatísticos, referenciais teóricos e análises políticas contextualizadas. Essa abordagem permitiu articular de forma consistente o direito à educação com as demais políticas públicas e programas sociais voltados a crianças e adolescentes, estabelecendo interfaces necessárias entre o espaço escolar e o sistema de garantia de direitos (Martins et al., 2021).</w:t>
      </w:r>
    </w:p>
    <w:p w14:paraId="7A441A8B" w14:textId="2F9EC6C4" w:rsidR="00161C2F" w:rsidRDefault="003A604E" w:rsidP="00EC3D12">
      <w:pPr>
        <w:spacing w:line="360" w:lineRule="auto"/>
        <w:ind w:firstLine="709"/>
        <w:jc w:val="both"/>
        <w:rPr>
          <w:sz w:val="24"/>
          <w:szCs w:val="24"/>
        </w:rPr>
      </w:pPr>
      <w:r w:rsidRPr="003A604E">
        <w:rPr>
          <w:sz w:val="24"/>
          <w:szCs w:val="24"/>
        </w:rPr>
        <w:t>Na Bahia, a atuação dos assistentes sociais concentrava-se em estratégias de permanência estudantil, principalmente em instituições privadas filantrópicas confessionais, onde realizavam avaliações socioeconômicas para concessão de bolsas (Martins et al., 2021). Já em Campina Grande (PB), a inserção iniciou-se nos anos 1980 com o remanejamento de 25 profissionais da assistência para a educação, mas o quadro reduziu-se de 55 (2013) para 24 (2018) devido à falta de concursos e da não obrigatoriedade de contratação (Martins et al., 2021).</w:t>
      </w:r>
      <w:r w:rsidR="00EC3D12">
        <w:rPr>
          <w:sz w:val="24"/>
          <w:szCs w:val="24"/>
        </w:rPr>
        <w:t xml:space="preserve"> </w:t>
      </w:r>
      <w:r w:rsidR="00EC3D12" w:rsidRPr="00EC3D12">
        <w:rPr>
          <w:sz w:val="24"/>
          <w:szCs w:val="24"/>
        </w:rPr>
        <w:t xml:space="preserve">Ambos os cenários refletem a fragilidade na consolidação da categoria no espaço educacional, seja pela </w:t>
      </w:r>
      <w:r w:rsidR="00A648B8">
        <w:rPr>
          <w:sz w:val="24"/>
          <w:szCs w:val="24"/>
        </w:rPr>
        <w:t>focalização da atuação</w:t>
      </w:r>
      <w:r w:rsidR="00EC3D12" w:rsidRPr="00EC3D12">
        <w:rPr>
          <w:sz w:val="24"/>
          <w:szCs w:val="24"/>
        </w:rPr>
        <w:t>, seja pelo desmonte das políticas públicas, comprometendo o potencial transformador da profissão na garantia de direitos educacionais.</w:t>
      </w:r>
    </w:p>
    <w:p w14:paraId="479F7F62" w14:textId="77777777" w:rsidR="00EC3D12" w:rsidRDefault="00EC3D12" w:rsidP="00161C2F">
      <w:pPr>
        <w:spacing w:line="360" w:lineRule="auto"/>
        <w:jc w:val="both"/>
        <w:rPr>
          <w:sz w:val="24"/>
          <w:szCs w:val="24"/>
        </w:rPr>
      </w:pPr>
    </w:p>
    <w:p w14:paraId="47BB497A" w14:textId="77777777" w:rsidR="00161C2F" w:rsidRPr="005651F4" w:rsidRDefault="00161C2F" w:rsidP="00161C2F">
      <w:pPr>
        <w:spacing w:line="360" w:lineRule="auto"/>
        <w:jc w:val="both"/>
        <w:rPr>
          <w:b/>
          <w:sz w:val="24"/>
          <w:szCs w:val="24"/>
        </w:rPr>
      </w:pPr>
      <w:r w:rsidRPr="005651F4">
        <w:rPr>
          <w:b/>
          <w:sz w:val="24"/>
          <w:szCs w:val="24"/>
        </w:rPr>
        <w:t>3</w:t>
      </w:r>
      <w:r w:rsidRPr="005651F4">
        <w:rPr>
          <w:b/>
          <w:sz w:val="24"/>
          <w:szCs w:val="24"/>
        </w:rPr>
        <w:tab/>
        <w:t>CONCLUSÃO</w:t>
      </w:r>
    </w:p>
    <w:p w14:paraId="29128D16" w14:textId="77777777" w:rsidR="00161C2F" w:rsidRPr="00AA418F" w:rsidRDefault="00161C2F" w:rsidP="00161C2F">
      <w:pPr>
        <w:spacing w:line="360" w:lineRule="auto"/>
        <w:jc w:val="both"/>
        <w:rPr>
          <w:sz w:val="24"/>
          <w:szCs w:val="24"/>
        </w:rPr>
      </w:pPr>
    </w:p>
    <w:p w14:paraId="20D41A21" w14:textId="77777777" w:rsidR="00A27926" w:rsidRPr="00A27926" w:rsidRDefault="00A27926" w:rsidP="00A27926">
      <w:pPr>
        <w:spacing w:line="360" w:lineRule="auto"/>
        <w:ind w:firstLine="709"/>
        <w:jc w:val="both"/>
        <w:rPr>
          <w:sz w:val="24"/>
          <w:szCs w:val="24"/>
        </w:rPr>
      </w:pPr>
      <w:r w:rsidRPr="00A27926">
        <w:rPr>
          <w:sz w:val="24"/>
          <w:szCs w:val="24"/>
        </w:rPr>
        <w:t xml:space="preserve">A inserção de assistentes sociais na educação brasileira é desigual e descontínua. Apesar do avanço representado pela Lei nº 13.935/2019, sua efetividade </w:t>
      </w:r>
      <w:r w:rsidRPr="00A27926">
        <w:rPr>
          <w:sz w:val="24"/>
          <w:szCs w:val="24"/>
        </w:rPr>
        <w:lastRenderedPageBreak/>
        <w:t>é comprometida pela falta de regulamentação, concursos públicos e pela ambiguidade entre ser "profissional da educação" ou "apoio técnico-pedagógico". Essa indefinição restringe a autonomia profissional e reduz a atuação a tarefas burocráticas ou à lógica de "apoio ao magistério" (Souza, 2020), limitando sua mediação entre escola e projetos emancipatórios.</w:t>
      </w:r>
    </w:p>
    <w:p w14:paraId="1F27CF96" w14:textId="0397857A" w:rsidR="00AA418F" w:rsidRPr="00AA418F" w:rsidRDefault="00A27926" w:rsidP="00206F40">
      <w:pPr>
        <w:spacing w:line="360" w:lineRule="auto"/>
        <w:ind w:firstLine="709"/>
        <w:jc w:val="both"/>
        <w:rPr>
          <w:sz w:val="24"/>
          <w:szCs w:val="24"/>
        </w:rPr>
      </w:pPr>
      <w:r w:rsidRPr="00A27926">
        <w:rPr>
          <w:sz w:val="24"/>
          <w:szCs w:val="24"/>
        </w:rPr>
        <w:t>Em contextos locais como São José de Ribamar (MA) e São Paulo (Martins et al., 2021), a ausência de regulamentação e políticas pontuais tornam as contratações vulneráveis a cortes orçamentários neoliberais. A atuação tem se concentrado no acesso e permanência escolar, reflexo do agravamento das desigualdades (Dentz &amp; Silva, 2017), obrigando os profissionais a trabalharem com recursos escassos, tanto nas condições das famílias quanto no desmonte das políticas públicas, dificultando intervenções transformadoras.</w:t>
      </w:r>
    </w:p>
    <w:p w14:paraId="2BC88B2A" w14:textId="030770E9" w:rsidR="00161C2F" w:rsidRDefault="007F6D39" w:rsidP="00A909D6">
      <w:pPr>
        <w:pStyle w:val="normal1"/>
        <w:spacing w:line="360" w:lineRule="auto"/>
        <w:ind w:firstLine="709"/>
        <w:jc w:val="both"/>
        <w:rPr>
          <w:rFonts w:ascii="Liberation Sans" w:eastAsia="Liberation Sans" w:hAnsi="Liberation Sans" w:cs="Liberation Sans"/>
          <w:sz w:val="24"/>
          <w:szCs w:val="24"/>
        </w:rPr>
      </w:pPr>
      <w:r>
        <w:rPr>
          <w:rFonts w:ascii="Arial" w:hAnsi="Arial" w:cs="Arial"/>
          <w:sz w:val="24"/>
          <w:szCs w:val="24"/>
        </w:rPr>
        <w:t>A</w:t>
      </w:r>
      <w:r w:rsidR="00161C2F" w:rsidRPr="00571D8C">
        <w:rPr>
          <w:rFonts w:ascii="Arial" w:hAnsi="Arial" w:cs="Arial"/>
          <w:sz w:val="24"/>
          <w:szCs w:val="24"/>
        </w:rPr>
        <w:t xml:space="preserve"> adaptação do país ao neoliberalismo global, com suas políticas de flexibilização econômica e reformas de cunho privatista,</w:t>
      </w:r>
      <w:r w:rsidR="00E760CC">
        <w:rPr>
          <w:rFonts w:ascii="Arial" w:hAnsi="Arial" w:cs="Arial"/>
          <w:sz w:val="24"/>
          <w:szCs w:val="24"/>
        </w:rPr>
        <w:t xml:space="preserve"> conforme aponta A</w:t>
      </w:r>
      <w:r>
        <w:rPr>
          <w:rFonts w:ascii="Arial" w:hAnsi="Arial" w:cs="Arial"/>
          <w:sz w:val="24"/>
          <w:szCs w:val="24"/>
        </w:rPr>
        <w:t>lmeida (2011),</w:t>
      </w:r>
      <w:r w:rsidR="00161C2F" w:rsidRPr="00571D8C">
        <w:rPr>
          <w:rFonts w:ascii="Arial" w:hAnsi="Arial" w:cs="Arial"/>
          <w:sz w:val="24"/>
          <w:szCs w:val="24"/>
        </w:rPr>
        <w:t xml:space="preserve"> acentua problemas estruturais, cujos desdobramentos são mais complexos do que as análises superficiais sugerem, dado o cenário de desigualdade preexistente.</w:t>
      </w:r>
      <w:r w:rsidR="00A909D6">
        <w:rPr>
          <w:rFonts w:ascii="Arial" w:hAnsi="Arial" w:cs="Arial"/>
          <w:sz w:val="24"/>
          <w:szCs w:val="24"/>
        </w:rPr>
        <w:t xml:space="preserve"> </w:t>
      </w:r>
      <w:r w:rsidR="00161C2F" w:rsidRPr="0027282F">
        <w:rPr>
          <w:rFonts w:ascii="Liberation Sans" w:eastAsia="Liberation Sans" w:hAnsi="Liberation Sans" w:cs="Liberation Sans"/>
          <w:sz w:val="24"/>
          <w:szCs w:val="24"/>
        </w:rPr>
        <w:t>A concentração de demandas</w:t>
      </w:r>
      <w:r w:rsidR="00161C2F">
        <w:rPr>
          <w:rFonts w:ascii="Liberation Sans" w:eastAsia="Liberation Sans" w:hAnsi="Liberation Sans" w:cs="Liberation Sans"/>
          <w:sz w:val="24"/>
          <w:szCs w:val="24"/>
        </w:rPr>
        <w:t xml:space="preserve"> direcionadas aos assistentes sociais em relação</w:t>
      </w:r>
      <w:r w:rsidR="00161C2F" w:rsidRPr="0027282F">
        <w:rPr>
          <w:rFonts w:ascii="Liberation Sans" w:eastAsia="Liberation Sans" w:hAnsi="Liberation Sans" w:cs="Liberation Sans"/>
          <w:sz w:val="24"/>
          <w:szCs w:val="24"/>
        </w:rPr>
        <w:t xml:space="preserve"> </w:t>
      </w:r>
      <w:r w:rsidR="00161C2F">
        <w:rPr>
          <w:rFonts w:ascii="Liberation Sans" w:eastAsia="Liberation Sans" w:hAnsi="Liberation Sans" w:cs="Liberation Sans"/>
          <w:sz w:val="24"/>
          <w:szCs w:val="24"/>
        </w:rPr>
        <w:t>ao</w:t>
      </w:r>
      <w:r w:rsidR="00161C2F" w:rsidRPr="0027282F">
        <w:rPr>
          <w:rFonts w:ascii="Liberation Sans" w:eastAsia="Liberation Sans" w:hAnsi="Liberation Sans" w:cs="Liberation Sans"/>
          <w:sz w:val="24"/>
          <w:szCs w:val="24"/>
        </w:rPr>
        <w:t xml:space="preserve"> acesso e permanência escolar</w:t>
      </w:r>
      <w:r w:rsidR="00161C2F">
        <w:rPr>
          <w:rFonts w:ascii="Liberation Sans" w:eastAsia="Liberation Sans" w:hAnsi="Liberation Sans" w:cs="Liberation Sans"/>
          <w:sz w:val="24"/>
          <w:szCs w:val="24"/>
        </w:rPr>
        <w:t>,</w:t>
      </w:r>
      <w:r w:rsidR="00161C2F" w:rsidRPr="0027282F">
        <w:rPr>
          <w:rFonts w:ascii="Liberation Sans" w:eastAsia="Liberation Sans" w:hAnsi="Liberation Sans" w:cs="Liberation Sans"/>
          <w:sz w:val="24"/>
          <w:szCs w:val="24"/>
        </w:rPr>
        <w:t xml:space="preserve"> em detrimento de uma atuação </w:t>
      </w:r>
      <w:r w:rsidR="00161C2F">
        <w:rPr>
          <w:rFonts w:ascii="Liberation Sans" w:eastAsia="Liberation Sans" w:hAnsi="Liberation Sans" w:cs="Liberation Sans"/>
          <w:sz w:val="24"/>
          <w:szCs w:val="24"/>
        </w:rPr>
        <w:t>emancipatória,</w:t>
      </w:r>
      <w:r w:rsidR="00161C2F" w:rsidRPr="0027282F">
        <w:rPr>
          <w:rFonts w:ascii="Liberation Sans" w:eastAsia="Liberation Sans" w:hAnsi="Liberation Sans" w:cs="Liberation Sans"/>
          <w:sz w:val="24"/>
          <w:szCs w:val="24"/>
        </w:rPr>
        <w:t xml:space="preserve"> reflete a lógica setorizada e focalizada das políticas sociais no capitalismo monopolista, que visa gerenciar pobreza, não emancipar</w:t>
      </w:r>
      <w:r w:rsidR="0092480A">
        <w:rPr>
          <w:rFonts w:ascii="Liberation Sans" w:eastAsia="Liberation Sans" w:hAnsi="Liberation Sans" w:cs="Liberation Sans"/>
          <w:sz w:val="24"/>
          <w:szCs w:val="24"/>
        </w:rPr>
        <w:t xml:space="preserve"> sujeitos</w:t>
      </w:r>
      <w:r w:rsidR="00161C2F" w:rsidRPr="0027282F">
        <w:rPr>
          <w:rFonts w:ascii="Liberation Sans" w:eastAsia="Liberation Sans" w:hAnsi="Liberation Sans" w:cs="Liberation Sans"/>
          <w:sz w:val="24"/>
          <w:szCs w:val="24"/>
        </w:rPr>
        <w:t xml:space="preserve"> (Netto, 1996).</w:t>
      </w:r>
    </w:p>
    <w:p w14:paraId="0ED6A557" w14:textId="263D4185" w:rsidR="00AB6D0F" w:rsidRDefault="00C620ED" w:rsidP="00AB6D0F">
      <w:pPr>
        <w:pStyle w:val="normal1"/>
        <w:spacing w:line="360" w:lineRule="auto"/>
        <w:ind w:firstLine="709"/>
        <w:jc w:val="both"/>
        <w:rPr>
          <w:rFonts w:ascii="Arial" w:hAnsi="Arial" w:cs="Arial"/>
          <w:sz w:val="24"/>
          <w:szCs w:val="24"/>
        </w:rPr>
      </w:pPr>
      <w:r>
        <w:rPr>
          <w:rFonts w:ascii="Arial" w:hAnsi="Arial" w:cs="Arial"/>
          <w:sz w:val="24"/>
          <w:szCs w:val="24"/>
        </w:rPr>
        <w:t>Para Gramsci</w:t>
      </w:r>
      <w:r w:rsidR="00D5793E">
        <w:rPr>
          <w:rFonts w:ascii="Arial" w:hAnsi="Arial" w:cs="Arial"/>
          <w:sz w:val="24"/>
          <w:szCs w:val="24"/>
        </w:rPr>
        <w:t xml:space="preserve"> (2024b),</w:t>
      </w:r>
      <w:r w:rsidR="00AB6D0F" w:rsidRPr="00AB6D0F">
        <w:rPr>
          <w:rFonts w:ascii="Arial" w:hAnsi="Arial" w:cs="Arial"/>
          <w:sz w:val="24"/>
          <w:szCs w:val="24"/>
        </w:rPr>
        <w:t xml:space="preserve"> a manutenção da dominação social não se restringe ao aparato coercitivo estatal, mas se efetiva principalmente através da construção do consenso cultural. Nesse sentido, instituições como a escola, enquanto aparelhos privados de hegemonia, atuam na reprodução de concepções que naturalizam as hierarquias sociais, reforçam a condição subalterna de grupos específicos e restringem o pleno exercício de direitos.</w:t>
      </w:r>
    </w:p>
    <w:p w14:paraId="18D3969B" w14:textId="2D490C13" w:rsidR="009A3276" w:rsidRPr="00485F18" w:rsidRDefault="009A3276" w:rsidP="00485F18">
      <w:pPr>
        <w:pStyle w:val="normal1"/>
        <w:spacing w:line="360" w:lineRule="auto"/>
        <w:ind w:firstLine="709"/>
        <w:jc w:val="both"/>
        <w:rPr>
          <w:rFonts w:ascii="Arial" w:hAnsi="Arial" w:cs="Arial"/>
        </w:rPr>
      </w:pPr>
      <w:r>
        <w:rPr>
          <w:rFonts w:ascii="Arial" w:hAnsi="Arial" w:cs="Arial"/>
          <w:sz w:val="24"/>
          <w:szCs w:val="24"/>
        </w:rPr>
        <w:t>A escola assume um</w:t>
      </w:r>
      <w:r w:rsidRPr="000E6463">
        <w:rPr>
          <w:rFonts w:ascii="Arial" w:hAnsi="Arial" w:cs="Arial"/>
          <w:sz w:val="24"/>
          <w:szCs w:val="24"/>
        </w:rPr>
        <w:t> </w:t>
      </w:r>
      <w:r w:rsidRPr="002A0507">
        <w:rPr>
          <w:rFonts w:ascii="Arial" w:hAnsi="Arial" w:cs="Arial"/>
          <w:sz w:val="24"/>
          <w:szCs w:val="24"/>
        </w:rPr>
        <w:t>potencial duplo de influência tanto no plano coletivo (como instituição formadora da sociedade) quanto no individual (na formação de sujeitos). Isso sugere que a escola opera como um dispositivo de socialização com</w:t>
      </w:r>
      <w:r w:rsidRPr="000E6463">
        <w:rPr>
          <w:rFonts w:ascii="Arial" w:hAnsi="Arial" w:cs="Arial"/>
          <w:sz w:val="24"/>
          <w:szCs w:val="24"/>
        </w:rPr>
        <w:t xml:space="preserve"> capacidade </w:t>
      </w:r>
      <w:r w:rsidRPr="000E6463">
        <w:rPr>
          <w:rFonts w:ascii="Arial" w:hAnsi="Arial" w:cs="Arial"/>
          <w:sz w:val="24"/>
          <w:szCs w:val="24"/>
        </w:rPr>
        <w:lastRenderedPageBreak/>
        <w:t>de transformação macro e microssocial.</w:t>
      </w:r>
      <w:r>
        <w:rPr>
          <w:rFonts w:ascii="Arial" w:hAnsi="Arial" w:cs="Arial"/>
          <w:sz w:val="24"/>
          <w:szCs w:val="24"/>
        </w:rPr>
        <w:t xml:space="preserve"> </w:t>
      </w:r>
      <w:r w:rsidRPr="006E3938">
        <w:rPr>
          <w:rFonts w:ascii="Arial" w:hAnsi="Arial" w:cs="Arial"/>
          <w:sz w:val="24"/>
          <w:szCs w:val="24"/>
        </w:rPr>
        <w:t>“A escola – em todos os seus níveis – e a Igreja são as duas maiores organizações culturais em todos os países, graças ao número de pessoas que utilizam” (Gramsci, 2024a, p. 112).</w:t>
      </w:r>
      <w:r>
        <w:rPr>
          <w:rFonts w:ascii="Arial" w:hAnsi="Arial" w:cs="Arial"/>
          <w:sz w:val="24"/>
          <w:szCs w:val="24"/>
        </w:rPr>
        <w:t xml:space="preserve"> O</w:t>
      </w:r>
      <w:r w:rsidRPr="00F8233F">
        <w:rPr>
          <w:rFonts w:ascii="Arial" w:hAnsi="Arial" w:cs="Arial"/>
          <w:sz w:val="24"/>
          <w:szCs w:val="24"/>
        </w:rPr>
        <w:t xml:space="preserve"> sistema educacional não é neutro</w:t>
      </w:r>
      <w:r>
        <w:rPr>
          <w:rFonts w:ascii="Arial" w:hAnsi="Arial" w:cs="Arial"/>
          <w:sz w:val="24"/>
          <w:szCs w:val="24"/>
        </w:rPr>
        <w:t>,</w:t>
      </w:r>
      <w:r w:rsidRPr="00F8233F">
        <w:rPr>
          <w:rFonts w:ascii="Arial" w:hAnsi="Arial" w:cs="Arial"/>
          <w:sz w:val="24"/>
          <w:szCs w:val="24"/>
        </w:rPr>
        <w:t xml:space="preserve"> ele é um campo de batalha ideológico onde se definem</w:t>
      </w:r>
      <w:r>
        <w:rPr>
          <w:rFonts w:ascii="Arial" w:hAnsi="Arial" w:cs="Arial"/>
          <w:sz w:val="24"/>
          <w:szCs w:val="24"/>
        </w:rPr>
        <w:t xml:space="preserve"> o que é considerado conhecimento válido, os valores sociais dominantes, bem como, as narrativas históricas oficiais. </w:t>
      </w:r>
    </w:p>
    <w:p w14:paraId="5B91A1B7" w14:textId="21128AB1" w:rsidR="00AB6D0F" w:rsidRPr="00AB6D0F" w:rsidRDefault="00AB6D0F" w:rsidP="00AB6D0F">
      <w:pPr>
        <w:pStyle w:val="normal1"/>
        <w:spacing w:line="360" w:lineRule="auto"/>
        <w:ind w:firstLine="709"/>
        <w:jc w:val="both"/>
        <w:rPr>
          <w:rFonts w:ascii="Arial" w:hAnsi="Arial" w:cs="Arial"/>
          <w:sz w:val="24"/>
          <w:szCs w:val="24"/>
        </w:rPr>
      </w:pPr>
      <w:r w:rsidRPr="00AB6D0F">
        <w:rPr>
          <w:rFonts w:ascii="Arial" w:hAnsi="Arial" w:cs="Arial"/>
          <w:sz w:val="24"/>
          <w:szCs w:val="24"/>
        </w:rPr>
        <w:t xml:space="preserve">István Mészáros (2008) </w:t>
      </w:r>
      <w:r w:rsidR="001B220D">
        <w:rPr>
          <w:rFonts w:ascii="Arial" w:hAnsi="Arial" w:cs="Arial"/>
          <w:sz w:val="24"/>
          <w:szCs w:val="24"/>
        </w:rPr>
        <w:t>compreende a educação</w:t>
      </w:r>
      <w:r w:rsidRPr="00AB6D0F">
        <w:rPr>
          <w:rFonts w:ascii="Arial" w:hAnsi="Arial" w:cs="Arial"/>
          <w:sz w:val="24"/>
          <w:szCs w:val="24"/>
        </w:rPr>
        <w:t xml:space="preserve"> como um processo social totalizante, indissociável da reprodução do modo de vida capitalista e das lutas pela sua superação. A educação formal é utilizada com mecanismo de internalização da lógica do capital, formando indivíduos adaptados às exigências da acumulação. Reforça, inclusive, que a separação entre formação intelectual e manual, reproduz hierarquias de classe </w:t>
      </w:r>
      <w:r w:rsidR="008F7AE7">
        <w:rPr>
          <w:rFonts w:ascii="Arial" w:hAnsi="Arial" w:cs="Arial"/>
          <w:sz w:val="24"/>
          <w:szCs w:val="24"/>
        </w:rPr>
        <w:t>encontrando-se com</w:t>
      </w:r>
      <w:r w:rsidRPr="00AB6D0F">
        <w:rPr>
          <w:rFonts w:ascii="Arial" w:hAnsi="Arial" w:cs="Arial"/>
          <w:sz w:val="24"/>
          <w:szCs w:val="24"/>
        </w:rPr>
        <w:t xml:space="preserve"> as ideias de Gramsci (2024b). Mesmo as políticas mais progressistas podem ser capturas pela lógica do capital, quando não questionam essa lógica estruturada de dominação.</w:t>
      </w:r>
    </w:p>
    <w:p w14:paraId="188633F9" w14:textId="5E33E1A0" w:rsidR="00161C2F" w:rsidRPr="00D800D4" w:rsidRDefault="003A00F4" w:rsidP="00D800D4">
      <w:pPr>
        <w:pStyle w:val="normal1"/>
        <w:spacing w:line="360" w:lineRule="auto"/>
        <w:ind w:firstLine="709"/>
        <w:jc w:val="both"/>
        <w:rPr>
          <w:rFonts w:ascii="Arial" w:hAnsi="Arial" w:cs="Arial"/>
          <w:sz w:val="24"/>
          <w:szCs w:val="24"/>
        </w:rPr>
      </w:pPr>
      <w:r>
        <w:rPr>
          <w:rFonts w:ascii="Arial" w:hAnsi="Arial" w:cs="Arial"/>
          <w:sz w:val="24"/>
          <w:szCs w:val="24"/>
        </w:rPr>
        <w:t>A</w:t>
      </w:r>
      <w:r w:rsidR="00AB6D0F" w:rsidRPr="00AB6D0F">
        <w:rPr>
          <w:rFonts w:ascii="Arial" w:hAnsi="Arial" w:cs="Arial"/>
          <w:sz w:val="24"/>
          <w:szCs w:val="24"/>
        </w:rPr>
        <w:t xml:space="preserve"> educação em seu sentido ampliado deve promover a formação humana integral por meio da construção de um conhecimento crítico que desvele as contradições do capital, da práxis transformadora, entendida como ação-reflexão vinculada organicamente aos movimentos e lutas sociais anticapitalistas e da constituição de um novo metabolismo social, no qual a educação deixe de ser instrumento de dominação para se tornar espaço de autogestão e controle direto pelos trabalhadores</w:t>
      </w:r>
      <w:r>
        <w:rPr>
          <w:rFonts w:ascii="Arial" w:hAnsi="Arial" w:cs="Arial"/>
          <w:sz w:val="24"/>
          <w:szCs w:val="24"/>
        </w:rPr>
        <w:t xml:space="preserve"> (</w:t>
      </w:r>
      <w:r w:rsidRPr="00AB6D0F">
        <w:rPr>
          <w:rFonts w:ascii="Arial" w:hAnsi="Arial" w:cs="Arial"/>
          <w:sz w:val="24"/>
          <w:szCs w:val="24"/>
        </w:rPr>
        <w:t>Mészáros</w:t>
      </w:r>
      <w:r>
        <w:rPr>
          <w:rFonts w:ascii="Arial" w:hAnsi="Arial" w:cs="Arial"/>
          <w:sz w:val="24"/>
          <w:szCs w:val="24"/>
        </w:rPr>
        <w:t xml:space="preserve">, </w:t>
      </w:r>
      <w:r w:rsidRPr="00AB6D0F">
        <w:rPr>
          <w:rFonts w:ascii="Arial" w:hAnsi="Arial" w:cs="Arial"/>
          <w:sz w:val="24"/>
          <w:szCs w:val="24"/>
        </w:rPr>
        <w:t>2008</w:t>
      </w:r>
      <w:r>
        <w:rPr>
          <w:rFonts w:ascii="Arial" w:hAnsi="Arial" w:cs="Arial"/>
          <w:sz w:val="24"/>
          <w:szCs w:val="24"/>
        </w:rPr>
        <w:t>).</w:t>
      </w:r>
    </w:p>
    <w:p w14:paraId="5FB6C01D" w14:textId="5ADA2A4C" w:rsidR="00161C2F" w:rsidRDefault="00161C2F" w:rsidP="00161C2F">
      <w:pPr>
        <w:spacing w:line="360" w:lineRule="auto"/>
        <w:ind w:firstLine="709"/>
        <w:jc w:val="both"/>
        <w:rPr>
          <w:sz w:val="24"/>
          <w:szCs w:val="24"/>
        </w:rPr>
      </w:pPr>
      <w:r w:rsidRPr="00161C2F">
        <w:rPr>
          <w:sz w:val="24"/>
          <w:szCs w:val="24"/>
        </w:rPr>
        <w:t>A análise da contribuição do Serviço Social no espaço escolar, no contexto da proteção integral de crianças e adolescentes, exige um exame crítico das múltiplas dimensões - social, política, econômica e cultural - que, embora estruturantes, frequentemente permanecem invisibilizadas no cotidiano educacional e descoladas das políticas educacionais.</w:t>
      </w:r>
    </w:p>
    <w:p w14:paraId="3F4B8719" w14:textId="77777777" w:rsidR="004246E4" w:rsidRPr="004246E4" w:rsidRDefault="004246E4" w:rsidP="004246E4">
      <w:pPr>
        <w:spacing w:line="360" w:lineRule="auto"/>
        <w:ind w:firstLine="709"/>
        <w:jc w:val="both"/>
        <w:rPr>
          <w:sz w:val="24"/>
          <w:szCs w:val="24"/>
        </w:rPr>
      </w:pPr>
      <w:r w:rsidRPr="004246E4">
        <w:rPr>
          <w:sz w:val="24"/>
          <w:szCs w:val="24"/>
        </w:rPr>
        <w:t xml:space="preserve">Marilda Iamamoto (2014), ao analisar o Serviço Social na contemporaneidade, destaca a dimensão política inerente ao trabalho profissional. A autora ressalta que essa discussão não se reduz à esfera partidária, mas refere-se ao fato de que a prática </w:t>
      </w:r>
      <w:r w:rsidRPr="004246E4">
        <w:rPr>
          <w:sz w:val="24"/>
          <w:szCs w:val="24"/>
        </w:rPr>
        <w:lastRenderedPageBreak/>
        <w:t>profissional é permeada por relações de poder, indissociáveis das dinâmicas de classe presentes na sociedade neoliberal. Além disso, ela evidencia que essas contradições se manifestam inclusive no interior da própria categoria profissional, onde o senso comum disciplinador das massas também encontra fiéis.</w:t>
      </w:r>
    </w:p>
    <w:p w14:paraId="0066E139" w14:textId="4F8AA857" w:rsidR="004246E4" w:rsidRPr="00091E4A" w:rsidRDefault="004246E4" w:rsidP="00091E4A">
      <w:pPr>
        <w:spacing w:after="240" w:line="240" w:lineRule="auto"/>
        <w:ind w:left="2268"/>
        <w:jc w:val="both"/>
        <w:rPr>
          <w:sz w:val="20"/>
          <w:szCs w:val="20"/>
        </w:rPr>
      </w:pPr>
      <w:r w:rsidRPr="00091E4A">
        <w:rPr>
          <w:sz w:val="20"/>
          <w:szCs w:val="20"/>
        </w:rPr>
        <w:t>(...) A prática profissional não tem um poder miraculoso de revelar-se a si mesma. Ela adquire inteligibilidade e sentido na história da sociedade da qual é parte expressão. Assim, desvendar prática profissional cotidiana, suponha inseri-la no quadro das relações fundamentais da sociedade, ou seja, entendê-la no jogo tenso das relações entre as classes sociais, suas frações e das relações destas com o Estado brasileiro (Iamamoto, 2014, p. 150-151).</w:t>
      </w:r>
    </w:p>
    <w:p w14:paraId="106F9C41" w14:textId="1B383588" w:rsidR="00161C2F" w:rsidRDefault="00161C2F" w:rsidP="00161C2F">
      <w:pPr>
        <w:spacing w:line="360" w:lineRule="auto"/>
        <w:ind w:firstLine="709"/>
        <w:jc w:val="both"/>
        <w:rPr>
          <w:sz w:val="24"/>
          <w:szCs w:val="24"/>
        </w:rPr>
      </w:pPr>
      <w:r w:rsidRPr="00161C2F">
        <w:rPr>
          <w:sz w:val="24"/>
          <w:szCs w:val="24"/>
        </w:rPr>
        <w:t>A contribuição do Serviço Social no espaço escolar tem potencial para</w:t>
      </w:r>
      <w:r w:rsidR="00A321C2">
        <w:rPr>
          <w:sz w:val="24"/>
          <w:szCs w:val="24"/>
        </w:rPr>
        <w:t xml:space="preserve"> ir</w:t>
      </w:r>
      <w:r w:rsidRPr="00161C2F">
        <w:rPr>
          <w:sz w:val="24"/>
          <w:szCs w:val="24"/>
        </w:rPr>
        <w:t xml:space="preserve"> além da dimensão assistencial, sem, contudo, desconsiderar sua importância fundamental. É crucial destacar que não se pretende minimizar a relevância de propiciar a assistência material necessária quando as condições concretas dos estudantes assim o exigirem. A garantia de alimentação, transporte e condições básicas de permanência na escola constituem direitos sociais inegociáveis.</w:t>
      </w:r>
    </w:p>
    <w:p w14:paraId="42BDEDF2" w14:textId="3DA8D13B" w:rsidR="00161C2F" w:rsidRDefault="00161C2F" w:rsidP="00161C2F">
      <w:pPr>
        <w:spacing w:line="360" w:lineRule="auto"/>
        <w:ind w:firstLine="709"/>
        <w:jc w:val="both"/>
        <w:rPr>
          <w:sz w:val="24"/>
          <w:szCs w:val="24"/>
        </w:rPr>
      </w:pPr>
      <w:r w:rsidRPr="00161C2F">
        <w:rPr>
          <w:sz w:val="24"/>
          <w:szCs w:val="24"/>
        </w:rPr>
        <w:t>Entretanto, sendo a escola um espaço privilegiado de socialização e construção de consciências, cabe ao assistente social desenvolver uma prática profissional que vá além do atendimento a necessidades imediatas. O ambiente escolar, enquanto instância formadora por excelência, oferece condições únicas para promover a reflexão crítica sobre as determinações sociais que produzem as vulnerabilidades, estimular a organização coletiva da comunidade escolar e, articular saberes que possibilitem a compreensão e transformação da realidade social.</w:t>
      </w:r>
    </w:p>
    <w:p w14:paraId="40A05BED" w14:textId="77777777" w:rsidR="00161C2F" w:rsidRDefault="00161C2F" w:rsidP="00161C2F">
      <w:pPr>
        <w:spacing w:line="360" w:lineRule="auto"/>
        <w:ind w:firstLine="708"/>
        <w:jc w:val="both"/>
        <w:rPr>
          <w:sz w:val="24"/>
          <w:szCs w:val="24"/>
        </w:rPr>
      </w:pPr>
      <w:r w:rsidRPr="00161C2F">
        <w:rPr>
          <w:sz w:val="24"/>
          <w:szCs w:val="24"/>
        </w:rPr>
        <w:t>Nessa perspectiva, a intervenção profissional deve conciliar duas dimensões indissociáveis: a garantia dos direitos sociais básicos (como condição para a efetivação do direito à educação) e a participação no desenvolvimento de processos educativos emancipatórios que fortaleçam os sujeitos na construção de alternativas para superação das desigualdades.</w:t>
      </w:r>
    </w:p>
    <w:p w14:paraId="3D8F50FC" w14:textId="14B49EC5" w:rsidR="00161C2F" w:rsidRPr="00161C2F" w:rsidRDefault="00161C2F" w:rsidP="00161C2F">
      <w:pPr>
        <w:spacing w:line="360" w:lineRule="auto"/>
        <w:ind w:firstLine="708"/>
        <w:jc w:val="both"/>
        <w:rPr>
          <w:sz w:val="24"/>
          <w:szCs w:val="24"/>
        </w:rPr>
      </w:pPr>
      <w:r w:rsidRPr="00161C2F">
        <w:rPr>
          <w:sz w:val="24"/>
          <w:szCs w:val="24"/>
        </w:rPr>
        <w:t xml:space="preserve">Nessa perspectiva, a tendência emancipatória está intrinsicamente vinculada, como propõe Abreu (2016), ao compromisso profissional com a classe trabalhadora na luta pela consolidação de direitos sociais, civis e políticos, fundamentada nos </w:t>
      </w:r>
      <w:r w:rsidRPr="00161C2F">
        <w:rPr>
          <w:sz w:val="24"/>
          <w:szCs w:val="24"/>
        </w:rPr>
        <w:lastRenderedPageBreak/>
        <w:t xml:space="preserve">princípios da ética, democracia e justiça social. No contexto da atuação educacional, isso implica não apenas em fortalecer direitos sociais inegociáveis para garantir o acesso e a permanência escolar, mas também consolidar a contribuição profissional para a construção de uma cultura genuinamente equitativa, solidária e </w:t>
      </w:r>
      <w:r w:rsidR="00DF5E23">
        <w:rPr>
          <w:sz w:val="24"/>
          <w:szCs w:val="24"/>
        </w:rPr>
        <w:t>emancipadora</w:t>
      </w:r>
      <w:r w:rsidRPr="00161C2F">
        <w:rPr>
          <w:sz w:val="24"/>
          <w:szCs w:val="24"/>
        </w:rPr>
        <w:t>.</w:t>
      </w:r>
    </w:p>
    <w:p w14:paraId="4CC98666" w14:textId="77777777" w:rsidR="004F776F" w:rsidRPr="005651F4" w:rsidRDefault="004F776F" w:rsidP="00161C2F">
      <w:pPr>
        <w:spacing w:line="360" w:lineRule="auto"/>
        <w:rPr>
          <w:b/>
          <w:sz w:val="24"/>
          <w:szCs w:val="24"/>
        </w:rPr>
      </w:pPr>
    </w:p>
    <w:p w14:paraId="2254CE0B" w14:textId="6F70ABE5" w:rsidR="00A6773E" w:rsidRDefault="004F776F" w:rsidP="00AC7704">
      <w:pPr>
        <w:spacing w:line="360" w:lineRule="auto"/>
        <w:rPr>
          <w:bCs/>
          <w:sz w:val="24"/>
          <w:szCs w:val="24"/>
        </w:rPr>
      </w:pPr>
      <w:r w:rsidRPr="005651F4">
        <w:rPr>
          <w:b/>
          <w:sz w:val="24"/>
          <w:szCs w:val="24"/>
        </w:rPr>
        <w:t>REFERÊNCIAS</w:t>
      </w:r>
    </w:p>
    <w:p w14:paraId="3FE0144A" w14:textId="77777777" w:rsidR="00AC7704" w:rsidRPr="004540C8" w:rsidRDefault="00AC7704" w:rsidP="00AC7704">
      <w:pPr>
        <w:spacing w:line="360" w:lineRule="auto"/>
        <w:rPr>
          <w:bCs/>
          <w:sz w:val="24"/>
          <w:szCs w:val="24"/>
        </w:rPr>
      </w:pPr>
    </w:p>
    <w:p w14:paraId="2D76D386" w14:textId="429D9991" w:rsidR="004540C8" w:rsidRPr="004540C8" w:rsidRDefault="004540C8" w:rsidP="001E2609">
      <w:pPr>
        <w:widowControl w:val="0"/>
        <w:pBdr>
          <w:top w:val="nil"/>
          <w:left w:val="nil"/>
          <w:bottom w:val="nil"/>
          <w:right w:val="nil"/>
          <w:between w:val="nil"/>
        </w:pBdr>
        <w:spacing w:after="200" w:line="240" w:lineRule="auto"/>
        <w:rPr>
          <w:rFonts w:eastAsia="Times New Roman"/>
          <w:color w:val="000000"/>
          <w:sz w:val="24"/>
          <w:szCs w:val="24"/>
        </w:rPr>
      </w:pPr>
      <w:r w:rsidRPr="004540C8">
        <w:rPr>
          <w:rFonts w:eastAsia="Times New Roman"/>
          <w:color w:val="000000"/>
          <w:sz w:val="24"/>
          <w:szCs w:val="24"/>
        </w:rPr>
        <w:t xml:space="preserve">ABREU, Marina Maciel. </w:t>
      </w:r>
      <w:r w:rsidRPr="004540C8">
        <w:rPr>
          <w:rFonts w:eastAsia="Times New Roman"/>
          <w:b/>
          <w:color w:val="000000"/>
          <w:sz w:val="24"/>
          <w:szCs w:val="24"/>
        </w:rPr>
        <w:t>Serviço Social e a Organização da Cultura: perfil pedagógico da prática profissional</w:t>
      </w:r>
      <w:r w:rsidRPr="004540C8">
        <w:rPr>
          <w:rFonts w:eastAsia="Times New Roman"/>
          <w:color w:val="000000"/>
          <w:sz w:val="24"/>
          <w:szCs w:val="24"/>
        </w:rPr>
        <w:t>. São Paulo: Cortez, 2016.</w:t>
      </w:r>
    </w:p>
    <w:p w14:paraId="54162197" w14:textId="2F7B6FA5" w:rsidR="001E2609" w:rsidRPr="001E2609" w:rsidRDefault="001E2609" w:rsidP="001E2609">
      <w:pPr>
        <w:widowControl w:val="0"/>
        <w:pBdr>
          <w:top w:val="nil"/>
          <w:left w:val="nil"/>
          <w:bottom w:val="nil"/>
          <w:right w:val="nil"/>
          <w:between w:val="nil"/>
        </w:pBdr>
        <w:spacing w:after="200" w:line="240" w:lineRule="auto"/>
        <w:rPr>
          <w:rFonts w:eastAsia="Times New Roman"/>
          <w:color w:val="000000"/>
          <w:sz w:val="24"/>
          <w:szCs w:val="24"/>
        </w:rPr>
      </w:pPr>
      <w:r w:rsidRPr="001E2609">
        <w:rPr>
          <w:rFonts w:eastAsia="Times New Roman"/>
          <w:color w:val="000000"/>
          <w:sz w:val="24"/>
          <w:szCs w:val="24"/>
        </w:rPr>
        <w:t xml:space="preserve">ALMEIDA, Ney Luiz Teixeira de. </w:t>
      </w:r>
      <w:r w:rsidRPr="001E2609">
        <w:rPr>
          <w:rFonts w:eastAsia="Times New Roman"/>
          <w:b/>
          <w:color w:val="000000"/>
          <w:sz w:val="24"/>
          <w:szCs w:val="24"/>
        </w:rPr>
        <w:t>Apontamentos sobre a Política de Educação no Brasil hoje e a inserção dos/as assistentes sociais</w:t>
      </w:r>
      <w:r w:rsidRPr="001E2609">
        <w:rPr>
          <w:rFonts w:eastAsia="Times New Roman"/>
          <w:color w:val="000000"/>
          <w:sz w:val="24"/>
          <w:szCs w:val="24"/>
        </w:rPr>
        <w:t>. In: CFESS. Subsídios para o debate sobre Serviço Social na Educação. Brasília: CFESS, 2011.</w:t>
      </w:r>
    </w:p>
    <w:p w14:paraId="70138F4B" w14:textId="77777777" w:rsidR="001E2609" w:rsidRPr="001E2609" w:rsidRDefault="001E2609" w:rsidP="001E2609">
      <w:pPr>
        <w:widowControl w:val="0"/>
        <w:pBdr>
          <w:top w:val="nil"/>
          <w:left w:val="nil"/>
          <w:bottom w:val="nil"/>
          <w:right w:val="nil"/>
          <w:between w:val="nil"/>
        </w:pBdr>
        <w:spacing w:after="200" w:line="240" w:lineRule="auto"/>
        <w:rPr>
          <w:rFonts w:eastAsia="Times New Roman"/>
          <w:color w:val="000000"/>
          <w:sz w:val="24"/>
          <w:szCs w:val="24"/>
        </w:rPr>
      </w:pPr>
      <w:r w:rsidRPr="001E2609">
        <w:rPr>
          <w:rFonts w:eastAsia="Times New Roman"/>
          <w:color w:val="000000"/>
          <w:sz w:val="24"/>
          <w:szCs w:val="24"/>
        </w:rPr>
        <w:t xml:space="preserve">ALMEIDA, Ney Luiz Teixeira. </w:t>
      </w:r>
      <w:r w:rsidRPr="001E2609">
        <w:rPr>
          <w:rFonts w:eastAsia="Times New Roman"/>
          <w:b/>
          <w:bCs/>
          <w:color w:val="000000"/>
          <w:sz w:val="24"/>
          <w:szCs w:val="24"/>
        </w:rPr>
        <w:t>Serviço social e política educacional: um breve balanço dos avanços e desafios desta relação</w:t>
      </w:r>
      <w:r w:rsidRPr="001E2609">
        <w:rPr>
          <w:rFonts w:eastAsia="Times New Roman"/>
          <w:color w:val="000000"/>
          <w:sz w:val="24"/>
          <w:szCs w:val="24"/>
        </w:rPr>
        <w:t>. Belo Horizonte: [s. n.], 2003. Palestra proferida no I Encontro de Assistentes Sociais na Área da Educação, Belo Horizonte, mar. 2003.</w:t>
      </w:r>
    </w:p>
    <w:p w14:paraId="62D60626" w14:textId="396D3099" w:rsidR="00E17691" w:rsidRPr="001E2609" w:rsidRDefault="001E2609" w:rsidP="001E2609">
      <w:pPr>
        <w:spacing w:after="240" w:line="240" w:lineRule="auto"/>
        <w:rPr>
          <w:sz w:val="24"/>
          <w:szCs w:val="24"/>
        </w:rPr>
      </w:pPr>
      <w:r w:rsidRPr="001E2609">
        <w:rPr>
          <w:sz w:val="24"/>
          <w:szCs w:val="24"/>
          <w:highlight w:val="white"/>
        </w:rPr>
        <w:t xml:space="preserve">BOCCATO, V. R. C. </w:t>
      </w:r>
      <w:r w:rsidRPr="001E2609">
        <w:rPr>
          <w:b/>
          <w:sz w:val="24"/>
          <w:szCs w:val="24"/>
          <w:highlight w:val="white"/>
        </w:rPr>
        <w:t>Metodologia da pesquisa bibliográfica na área odontológica e o artigo científico como forma de comunicação.</w:t>
      </w:r>
      <w:r w:rsidRPr="001E2609">
        <w:rPr>
          <w:sz w:val="24"/>
          <w:szCs w:val="24"/>
          <w:highlight w:val="white"/>
        </w:rPr>
        <w:t xml:space="preserve"> Rev. Odontol. Univ. Cidade de São Paulo, São Paulo, v. 18, n. 3, p. 265-274, 2006.</w:t>
      </w:r>
    </w:p>
    <w:p w14:paraId="40257EB0" w14:textId="2A8D3B6E" w:rsidR="00A6773E" w:rsidRDefault="00A6773E" w:rsidP="00A750CF">
      <w:pPr>
        <w:spacing w:after="240" w:line="240" w:lineRule="auto"/>
        <w:rPr>
          <w:sz w:val="24"/>
          <w:szCs w:val="24"/>
        </w:rPr>
      </w:pPr>
      <w:r w:rsidRPr="00A6773E">
        <w:rPr>
          <w:sz w:val="24"/>
          <w:szCs w:val="24"/>
        </w:rPr>
        <w:t xml:space="preserve">BRASIL. Lei nº 13.935, de 5 de dezembro de 2019. </w:t>
      </w:r>
      <w:r w:rsidRPr="00A6773E">
        <w:rPr>
          <w:b/>
          <w:bCs/>
          <w:sz w:val="24"/>
          <w:szCs w:val="24"/>
        </w:rPr>
        <w:t>Dispõe sobre a prestação de serviços de psicologia e de serviço social nas redes públicas de educação básica. </w:t>
      </w:r>
      <w:r w:rsidRPr="00A6773E">
        <w:rPr>
          <w:i/>
          <w:iCs/>
          <w:sz w:val="24"/>
          <w:szCs w:val="24"/>
        </w:rPr>
        <w:t>Diário Oficial da União</w:t>
      </w:r>
      <w:r w:rsidRPr="00A6773E">
        <w:rPr>
          <w:sz w:val="24"/>
          <w:szCs w:val="24"/>
        </w:rPr>
        <w:t>, Brasília, DF, 6 dez. 2019. Disponível em: </w:t>
      </w:r>
      <w:r w:rsidR="00727E64">
        <w:rPr>
          <w:sz w:val="24"/>
          <w:szCs w:val="24"/>
        </w:rPr>
        <w:t>&lt;</w:t>
      </w:r>
      <w:r w:rsidRPr="00727E64">
        <w:rPr>
          <w:sz w:val="24"/>
          <w:szCs w:val="24"/>
        </w:rPr>
        <w:t>https://www.pla</w:t>
      </w:r>
      <w:r w:rsidRPr="00160832">
        <w:rPr>
          <w:sz w:val="24"/>
          <w:szCs w:val="24"/>
        </w:rPr>
        <w:t>nalto.gov.br/ccivil_03/_ato2019-2022/2019/lei/l13935.htm.</w:t>
      </w:r>
      <w:r w:rsidR="00727E64" w:rsidRPr="00160832">
        <w:rPr>
          <w:sz w:val="24"/>
          <w:szCs w:val="24"/>
        </w:rPr>
        <w:t>&gt;</w:t>
      </w:r>
      <w:r w:rsidRPr="00160832">
        <w:rPr>
          <w:sz w:val="24"/>
          <w:szCs w:val="24"/>
        </w:rPr>
        <w:t xml:space="preserve"> Acesso em: </w:t>
      </w:r>
      <w:r w:rsidR="00A750CF" w:rsidRPr="00160832">
        <w:rPr>
          <w:sz w:val="24"/>
          <w:szCs w:val="24"/>
        </w:rPr>
        <w:t xml:space="preserve">10 </w:t>
      </w:r>
      <w:r w:rsidR="005F453D" w:rsidRPr="00160832">
        <w:rPr>
          <w:sz w:val="24"/>
          <w:szCs w:val="24"/>
        </w:rPr>
        <w:t>jul</w:t>
      </w:r>
      <w:r w:rsidR="00A750CF" w:rsidRPr="00160832">
        <w:rPr>
          <w:sz w:val="24"/>
          <w:szCs w:val="24"/>
        </w:rPr>
        <w:t>. 2023</w:t>
      </w:r>
      <w:r w:rsidRPr="00160832">
        <w:rPr>
          <w:sz w:val="24"/>
          <w:szCs w:val="24"/>
        </w:rPr>
        <w:t>.</w:t>
      </w:r>
    </w:p>
    <w:p w14:paraId="4C3C22D4" w14:textId="7A739484" w:rsidR="00462EDC" w:rsidRPr="00160832" w:rsidRDefault="00462EDC" w:rsidP="00A750CF">
      <w:pPr>
        <w:spacing w:after="240" w:line="240" w:lineRule="auto"/>
        <w:rPr>
          <w:sz w:val="24"/>
          <w:szCs w:val="24"/>
        </w:rPr>
      </w:pPr>
      <w:r w:rsidRPr="00462EDC">
        <w:rPr>
          <w:sz w:val="24"/>
          <w:szCs w:val="24"/>
        </w:rPr>
        <w:t xml:space="preserve">BRASIL. Lei nº 8.662, de 7 de junho de 1993. </w:t>
      </w:r>
      <w:r w:rsidRPr="00462EDC">
        <w:rPr>
          <w:b/>
          <w:bCs/>
          <w:sz w:val="24"/>
          <w:szCs w:val="24"/>
        </w:rPr>
        <w:t>Dispõe sobre a profissão de Assistente Social e dá outras providências</w:t>
      </w:r>
      <w:r w:rsidRPr="00462EDC">
        <w:rPr>
          <w:sz w:val="24"/>
          <w:szCs w:val="24"/>
        </w:rPr>
        <w:t>. </w:t>
      </w:r>
      <w:r w:rsidRPr="00462EDC">
        <w:rPr>
          <w:i/>
          <w:iCs/>
          <w:sz w:val="24"/>
          <w:szCs w:val="24"/>
        </w:rPr>
        <w:t>Diário Oficial da União</w:t>
      </w:r>
      <w:r w:rsidRPr="00462EDC">
        <w:rPr>
          <w:sz w:val="24"/>
          <w:szCs w:val="24"/>
        </w:rPr>
        <w:t>, Brasília, DF, 8 jun. 1993. Disponível em: </w:t>
      </w:r>
      <w:r w:rsidR="004C0FD7">
        <w:rPr>
          <w:sz w:val="24"/>
          <w:szCs w:val="24"/>
        </w:rPr>
        <w:t>&lt;</w:t>
      </w:r>
      <w:r w:rsidRPr="00462EDC">
        <w:rPr>
          <w:sz w:val="24"/>
          <w:szCs w:val="24"/>
        </w:rPr>
        <w:t>https://www.planalto.gov.br/ccivil_03/leis/l8662.htm.</w:t>
      </w:r>
      <w:r w:rsidR="004C0FD7">
        <w:rPr>
          <w:sz w:val="24"/>
          <w:szCs w:val="24"/>
        </w:rPr>
        <w:t>&gt;</w:t>
      </w:r>
      <w:r w:rsidRPr="00462EDC">
        <w:rPr>
          <w:sz w:val="24"/>
          <w:szCs w:val="24"/>
        </w:rPr>
        <w:t xml:space="preserve"> Acesso em: </w:t>
      </w:r>
      <w:r w:rsidR="004C0FD7">
        <w:rPr>
          <w:sz w:val="24"/>
          <w:szCs w:val="24"/>
        </w:rPr>
        <w:t>10 jul</w:t>
      </w:r>
      <w:r w:rsidRPr="00462EDC">
        <w:rPr>
          <w:sz w:val="24"/>
          <w:szCs w:val="24"/>
        </w:rPr>
        <w:t>.</w:t>
      </w:r>
      <w:r w:rsidR="004C0FD7">
        <w:rPr>
          <w:sz w:val="24"/>
          <w:szCs w:val="24"/>
        </w:rPr>
        <w:t xml:space="preserve"> 2023.</w:t>
      </w:r>
    </w:p>
    <w:p w14:paraId="448D43A9" w14:textId="77777777" w:rsidR="00160832" w:rsidRPr="00160832" w:rsidRDefault="00160832" w:rsidP="00160832">
      <w:pPr>
        <w:widowControl w:val="0"/>
        <w:pBdr>
          <w:top w:val="nil"/>
          <w:left w:val="nil"/>
          <w:bottom w:val="nil"/>
          <w:right w:val="nil"/>
          <w:between w:val="nil"/>
        </w:pBdr>
        <w:spacing w:after="200" w:line="240" w:lineRule="auto"/>
        <w:rPr>
          <w:rFonts w:eastAsia="Times New Roman"/>
          <w:color w:val="000000"/>
          <w:sz w:val="24"/>
          <w:szCs w:val="24"/>
        </w:rPr>
      </w:pPr>
      <w:r w:rsidRPr="00160832">
        <w:rPr>
          <w:rFonts w:eastAsia="Times New Roman"/>
          <w:color w:val="000000"/>
          <w:sz w:val="24"/>
          <w:szCs w:val="24"/>
        </w:rPr>
        <w:t>CFESS – Conselho Federal de Serviço Social. </w:t>
      </w:r>
      <w:r w:rsidRPr="00160832">
        <w:rPr>
          <w:rFonts w:eastAsia="Times New Roman"/>
          <w:b/>
          <w:bCs/>
          <w:color w:val="000000"/>
          <w:sz w:val="24"/>
          <w:szCs w:val="24"/>
        </w:rPr>
        <w:t>Diálogos do Cotidiano 4: Serviço Social na Educação Básica – Reflexões e Práticas.</w:t>
      </w:r>
      <w:r w:rsidRPr="00160832">
        <w:rPr>
          <w:rFonts w:eastAsia="Times New Roman"/>
          <w:color w:val="000000"/>
          <w:sz w:val="24"/>
          <w:szCs w:val="24"/>
        </w:rPr>
        <w:t> Brasília: CFESS, 2023.</w:t>
      </w:r>
    </w:p>
    <w:p w14:paraId="3FB2AC6A" w14:textId="7A698C79" w:rsidR="00160832" w:rsidRPr="00160832" w:rsidRDefault="00160832" w:rsidP="00160832">
      <w:pPr>
        <w:spacing w:after="240" w:line="240" w:lineRule="auto"/>
        <w:rPr>
          <w:sz w:val="24"/>
          <w:szCs w:val="24"/>
        </w:rPr>
      </w:pPr>
      <w:r w:rsidRPr="00160832">
        <w:rPr>
          <w:rFonts w:eastAsia="Times New Roman"/>
          <w:color w:val="000000"/>
          <w:sz w:val="24"/>
          <w:szCs w:val="24"/>
        </w:rPr>
        <w:t xml:space="preserve">CFESS – Conselho Federal de Serviço Social. </w:t>
      </w:r>
      <w:r w:rsidRPr="00160832">
        <w:rPr>
          <w:rFonts w:eastAsia="Times New Roman"/>
          <w:b/>
          <w:color w:val="000000"/>
          <w:sz w:val="24"/>
          <w:szCs w:val="24"/>
        </w:rPr>
        <w:t>Subsídios para a Atuação de Assistentes Sociais na Política de Educação</w:t>
      </w:r>
      <w:r w:rsidRPr="00160832">
        <w:rPr>
          <w:rFonts w:eastAsia="Times New Roman"/>
          <w:color w:val="000000"/>
          <w:sz w:val="24"/>
          <w:szCs w:val="24"/>
        </w:rPr>
        <w:t>. Elaborado pelo Grupo de Trabalho do Conjunto CFESS-CRESS Serviço, 20</w:t>
      </w:r>
      <w:r w:rsidRPr="00160832">
        <w:rPr>
          <w:rFonts w:eastAsia="Times New Roman"/>
          <w:sz w:val="24"/>
          <w:szCs w:val="24"/>
        </w:rPr>
        <w:t>13</w:t>
      </w:r>
      <w:r w:rsidRPr="00160832">
        <w:rPr>
          <w:rFonts w:eastAsia="Times New Roman"/>
          <w:color w:val="000000"/>
          <w:sz w:val="24"/>
          <w:szCs w:val="24"/>
        </w:rPr>
        <w:t>.</w:t>
      </w:r>
    </w:p>
    <w:p w14:paraId="282FEC06" w14:textId="77777777" w:rsidR="00551CB1" w:rsidRPr="003E6B1D" w:rsidRDefault="00551CB1" w:rsidP="00551CB1">
      <w:pPr>
        <w:widowControl w:val="0"/>
        <w:pBdr>
          <w:top w:val="nil"/>
          <w:left w:val="nil"/>
          <w:bottom w:val="nil"/>
          <w:right w:val="nil"/>
          <w:between w:val="nil"/>
        </w:pBdr>
        <w:spacing w:after="200" w:line="240" w:lineRule="auto"/>
        <w:rPr>
          <w:rFonts w:eastAsia="Times New Roman"/>
          <w:color w:val="000000"/>
          <w:sz w:val="24"/>
          <w:szCs w:val="24"/>
        </w:rPr>
      </w:pPr>
      <w:r w:rsidRPr="00052C95">
        <w:rPr>
          <w:rFonts w:eastAsia="Times New Roman"/>
          <w:color w:val="000000"/>
          <w:sz w:val="24"/>
          <w:szCs w:val="24"/>
        </w:rPr>
        <w:lastRenderedPageBreak/>
        <w:t>DENTZ, M. V.; SILVA, R. R. D. </w:t>
      </w:r>
      <w:r w:rsidRPr="00052C95">
        <w:rPr>
          <w:rFonts w:eastAsia="Times New Roman"/>
          <w:b/>
          <w:bCs/>
          <w:color w:val="000000"/>
          <w:sz w:val="24"/>
          <w:szCs w:val="24"/>
        </w:rPr>
        <w:t>Estratégias de intervenção do serviço social nas políticas de escolarização: uma análise contemporânea.</w:t>
      </w:r>
      <w:r w:rsidRPr="00052C95">
        <w:rPr>
          <w:rFonts w:eastAsia="Times New Roman"/>
          <w:color w:val="000000"/>
          <w:sz w:val="24"/>
          <w:szCs w:val="24"/>
        </w:rPr>
        <w:t> Educação e Pesquisa, São Paulo, v. 43, n. 3, p. 707-720, jul./set. 2017. Disponível em: &lt;https://www.scielo.br/j/ep/a/hnt4T85z3GJt5Wh9VMXMHCC/?format=pdf&amp;lang=</w:t>
      </w:r>
      <w:r w:rsidRPr="003E6B1D">
        <w:rPr>
          <w:rFonts w:eastAsia="Times New Roman"/>
          <w:color w:val="000000"/>
          <w:sz w:val="24"/>
          <w:szCs w:val="24"/>
        </w:rPr>
        <w:t>pt&gt;. Acesso em: 19 mai. 2025.</w:t>
      </w:r>
    </w:p>
    <w:p w14:paraId="31D33F7A" w14:textId="3103DB00" w:rsidR="00485F18" w:rsidRPr="003E6B1D" w:rsidRDefault="003E6B1D" w:rsidP="003E6B1D">
      <w:pPr>
        <w:spacing w:after="240" w:line="240" w:lineRule="auto"/>
        <w:rPr>
          <w:sz w:val="24"/>
          <w:szCs w:val="24"/>
        </w:rPr>
      </w:pPr>
      <w:r w:rsidRPr="003E6B1D">
        <w:rPr>
          <w:sz w:val="24"/>
          <w:szCs w:val="24"/>
        </w:rPr>
        <w:t xml:space="preserve">GRAMSCI, Antonio. </w:t>
      </w:r>
      <w:r w:rsidRPr="003E6B1D">
        <w:rPr>
          <w:b/>
          <w:bCs/>
          <w:sz w:val="24"/>
          <w:szCs w:val="24"/>
        </w:rPr>
        <w:t>Cadernos do Cárcere, volume 1. Introdução ao estudo da filosofia. A filosofia de Benedetto Croce.</w:t>
      </w:r>
      <w:r w:rsidRPr="003E6B1D">
        <w:rPr>
          <w:sz w:val="24"/>
          <w:szCs w:val="24"/>
        </w:rPr>
        <w:t xml:space="preserve"> Introdução e tradução de Carlos Nelson Coutinho. 16 ed. Rio de janeiro: Civilização Brasileira, 2024a.</w:t>
      </w:r>
    </w:p>
    <w:p w14:paraId="64B391B9" w14:textId="57EA5540" w:rsidR="006E2E7F" w:rsidRDefault="006E2E7F" w:rsidP="00551CB1">
      <w:pPr>
        <w:widowControl w:val="0"/>
        <w:pBdr>
          <w:top w:val="nil"/>
          <w:left w:val="nil"/>
          <w:bottom w:val="nil"/>
          <w:right w:val="nil"/>
          <w:between w:val="nil"/>
        </w:pBdr>
        <w:spacing w:after="200" w:line="240" w:lineRule="auto"/>
        <w:rPr>
          <w:rFonts w:eastAsia="Times New Roman"/>
          <w:color w:val="000000"/>
          <w:sz w:val="24"/>
          <w:szCs w:val="24"/>
        </w:rPr>
      </w:pPr>
      <w:r w:rsidRPr="00BE3220">
        <w:rPr>
          <w:sz w:val="24"/>
          <w:szCs w:val="24"/>
        </w:rPr>
        <w:t xml:space="preserve">GRAMSCI, Antonio. </w:t>
      </w:r>
      <w:r w:rsidRPr="00BE3220">
        <w:rPr>
          <w:b/>
          <w:sz w:val="24"/>
          <w:szCs w:val="24"/>
        </w:rPr>
        <w:t>Cadernos do Cárcere, volume 2: os intelectuais, o princípio educativo, jornalismo</w:t>
      </w:r>
      <w:r w:rsidRPr="00BE3220">
        <w:rPr>
          <w:sz w:val="24"/>
          <w:szCs w:val="24"/>
        </w:rPr>
        <w:t>. Tradução Carlos Nelson Coutinho. 10ª ed. Rio de Janeiro: Civilização Brasileira, 2024b.</w:t>
      </w:r>
    </w:p>
    <w:p w14:paraId="64058358" w14:textId="428CC599" w:rsidR="00D34CD8" w:rsidRPr="00052C95" w:rsidRDefault="00D34CD8" w:rsidP="00551CB1">
      <w:pPr>
        <w:widowControl w:val="0"/>
        <w:pBdr>
          <w:top w:val="nil"/>
          <w:left w:val="nil"/>
          <w:bottom w:val="nil"/>
          <w:right w:val="nil"/>
          <w:between w:val="nil"/>
        </w:pBdr>
        <w:spacing w:after="200" w:line="240" w:lineRule="auto"/>
        <w:rPr>
          <w:rFonts w:eastAsia="Times New Roman"/>
          <w:color w:val="000000"/>
          <w:sz w:val="24"/>
          <w:szCs w:val="24"/>
        </w:rPr>
      </w:pPr>
      <w:r w:rsidRPr="002247F7">
        <w:rPr>
          <w:sz w:val="24"/>
          <w:szCs w:val="24"/>
        </w:rPr>
        <w:t>MARTINS, Eliana Bolorino Canteiro (org.).</w:t>
      </w:r>
      <w:r>
        <w:rPr>
          <w:sz w:val="24"/>
          <w:szCs w:val="24"/>
        </w:rPr>
        <w:t xml:space="preserve"> </w:t>
      </w:r>
      <w:r w:rsidRPr="002247F7">
        <w:rPr>
          <w:b/>
          <w:bCs/>
          <w:sz w:val="24"/>
          <w:szCs w:val="24"/>
        </w:rPr>
        <w:t>A permanência estudantil na educação em tempos neoliberais e as estratégias de resistências</w:t>
      </w:r>
      <w:r w:rsidRPr="002247F7">
        <w:rPr>
          <w:sz w:val="24"/>
          <w:szCs w:val="24"/>
        </w:rPr>
        <w:t xml:space="preserve"> / Organizadores:</w:t>
      </w:r>
      <w:r>
        <w:rPr>
          <w:sz w:val="24"/>
          <w:szCs w:val="24"/>
        </w:rPr>
        <w:t xml:space="preserve"> </w:t>
      </w:r>
      <w:r w:rsidRPr="002247F7">
        <w:rPr>
          <w:sz w:val="24"/>
          <w:szCs w:val="24"/>
        </w:rPr>
        <w:t>Eliana Bolorino Canteiro Martins; Adriana Freire</w:t>
      </w:r>
      <w:r>
        <w:rPr>
          <w:sz w:val="24"/>
          <w:szCs w:val="24"/>
        </w:rPr>
        <w:t xml:space="preserve"> </w:t>
      </w:r>
      <w:r w:rsidRPr="002247F7">
        <w:rPr>
          <w:sz w:val="24"/>
          <w:szCs w:val="24"/>
        </w:rPr>
        <w:t>Pereira Férriz; Ney Luiz Teixeira de Almeida. -- 1. ed.--</w:t>
      </w:r>
      <w:r>
        <w:rPr>
          <w:sz w:val="24"/>
          <w:szCs w:val="24"/>
        </w:rPr>
        <w:t xml:space="preserve"> </w:t>
      </w:r>
      <w:r w:rsidRPr="002247F7">
        <w:rPr>
          <w:sz w:val="24"/>
          <w:szCs w:val="24"/>
        </w:rPr>
        <w:t>Aracaju, SE: Criação Editora, 2021.</w:t>
      </w:r>
    </w:p>
    <w:p w14:paraId="5A3B1DC7" w14:textId="09B96E82" w:rsidR="00FF4348" w:rsidRDefault="005A129E">
      <w:pPr>
        <w:spacing w:after="200"/>
        <w:jc w:val="both"/>
        <w:rPr>
          <w:sz w:val="24"/>
          <w:szCs w:val="24"/>
        </w:rPr>
      </w:pPr>
      <w:r w:rsidRPr="004C6993">
        <w:rPr>
          <w:sz w:val="24"/>
          <w:szCs w:val="24"/>
        </w:rPr>
        <w:t xml:space="preserve">MÉSZÁROS, István. </w:t>
      </w:r>
      <w:r w:rsidRPr="004C6993">
        <w:rPr>
          <w:b/>
          <w:sz w:val="24"/>
          <w:szCs w:val="24"/>
        </w:rPr>
        <w:t xml:space="preserve">A educação para além do capital. </w:t>
      </w:r>
      <w:r w:rsidRPr="004C6993">
        <w:rPr>
          <w:bCs/>
          <w:sz w:val="24"/>
          <w:szCs w:val="24"/>
        </w:rPr>
        <w:t xml:space="preserve">2 ed. São Paulo: </w:t>
      </w:r>
      <w:r w:rsidRPr="004C6993">
        <w:rPr>
          <w:sz w:val="24"/>
          <w:szCs w:val="24"/>
        </w:rPr>
        <w:t>Boitempo, 2008.</w:t>
      </w:r>
    </w:p>
    <w:p w14:paraId="1E32984E" w14:textId="5A4FC0E0" w:rsidR="00495013" w:rsidRPr="00495013" w:rsidRDefault="00495013" w:rsidP="00495013">
      <w:pPr>
        <w:pStyle w:val="normal1"/>
        <w:spacing w:after="200"/>
        <w:rPr>
          <w:rFonts w:ascii="Arial" w:eastAsia="Arial" w:hAnsi="Arial" w:cs="Arial"/>
          <w:sz w:val="24"/>
          <w:szCs w:val="24"/>
        </w:rPr>
      </w:pPr>
      <w:r w:rsidRPr="00680BB8">
        <w:rPr>
          <w:rFonts w:ascii="Arial" w:eastAsia="Arial" w:hAnsi="Arial" w:cs="Arial"/>
          <w:sz w:val="24"/>
          <w:szCs w:val="24"/>
        </w:rPr>
        <w:t xml:space="preserve">NETTO, José Paulo. </w:t>
      </w:r>
      <w:r w:rsidRPr="00680BB8">
        <w:rPr>
          <w:rFonts w:ascii="Arial" w:eastAsia="Arial" w:hAnsi="Arial" w:cs="Arial"/>
          <w:b/>
          <w:bCs/>
          <w:sz w:val="24"/>
          <w:szCs w:val="24"/>
        </w:rPr>
        <w:t>Capitalismo monopolista e Serviço Social</w:t>
      </w:r>
      <w:r w:rsidRPr="00680BB8">
        <w:rPr>
          <w:rFonts w:ascii="Arial" w:eastAsia="Arial" w:hAnsi="Arial" w:cs="Arial"/>
          <w:sz w:val="24"/>
          <w:szCs w:val="24"/>
        </w:rPr>
        <w:t>. 2.ed. São Paulo: Cortez, 1996.</w:t>
      </w:r>
    </w:p>
    <w:p w14:paraId="22594B45" w14:textId="77777777" w:rsidR="00052C95" w:rsidRPr="00052C95" w:rsidRDefault="00052C95" w:rsidP="00052C95">
      <w:pPr>
        <w:spacing w:after="240" w:line="240" w:lineRule="auto"/>
        <w:rPr>
          <w:sz w:val="24"/>
          <w:szCs w:val="24"/>
        </w:rPr>
      </w:pPr>
      <w:r w:rsidRPr="00052C95">
        <w:rPr>
          <w:sz w:val="24"/>
          <w:szCs w:val="24"/>
        </w:rPr>
        <w:t>SANTOS, André Michel dos. </w:t>
      </w:r>
      <w:r w:rsidRPr="00052C95">
        <w:rPr>
          <w:b/>
          <w:bCs/>
          <w:sz w:val="24"/>
          <w:szCs w:val="24"/>
        </w:rPr>
        <w:t>As atribuições do assistente social na educação: uma análise a partir de editais de concursos públicos.</w:t>
      </w:r>
      <w:r w:rsidRPr="00052C95">
        <w:rPr>
          <w:sz w:val="24"/>
          <w:szCs w:val="24"/>
        </w:rPr>
        <w:t xml:space="preserve"> 2019. 214 f. Tese (Doutorado em Serviço Social) - Faculdade de Serviço Social, Pontifícia Universidade Católica do Rio Grande do Sul, Porto Alegre, 2019. Disponível em: https://tede2.pucrs.br/tede2/handle/tede/8923. Acesso em: 16 mai. 2025.</w:t>
      </w:r>
    </w:p>
    <w:p w14:paraId="56A959CD" w14:textId="77777777" w:rsidR="00052C95" w:rsidRPr="00052C95" w:rsidRDefault="00052C95" w:rsidP="00052C95">
      <w:pPr>
        <w:spacing w:after="240" w:line="240" w:lineRule="auto"/>
        <w:rPr>
          <w:sz w:val="24"/>
          <w:szCs w:val="24"/>
        </w:rPr>
      </w:pPr>
      <w:r w:rsidRPr="00052C95">
        <w:rPr>
          <w:sz w:val="24"/>
          <w:szCs w:val="24"/>
        </w:rPr>
        <w:t xml:space="preserve">SOUZA, B. C.; DA ROSA, C. A. . </w:t>
      </w:r>
      <w:r w:rsidRPr="00052C95">
        <w:rPr>
          <w:b/>
          <w:bCs/>
          <w:sz w:val="24"/>
          <w:szCs w:val="24"/>
        </w:rPr>
        <w:t>Possibilidades de intervenção do assistente social na educação básica com base na Lei n° 13.935/2019</w:t>
      </w:r>
      <w:r w:rsidRPr="00052C95">
        <w:rPr>
          <w:sz w:val="24"/>
          <w:szCs w:val="24"/>
        </w:rPr>
        <w:t>. Brazilian Journal of Policy and Development, </w:t>
      </w:r>
      <w:r w:rsidRPr="00052C95">
        <w:rPr>
          <w:i/>
          <w:iCs/>
          <w:sz w:val="24"/>
          <w:szCs w:val="24"/>
        </w:rPr>
        <w:t>[S. l.]</w:t>
      </w:r>
      <w:r w:rsidRPr="00052C95">
        <w:rPr>
          <w:sz w:val="24"/>
          <w:szCs w:val="24"/>
        </w:rPr>
        <w:t>, v. 2, n. 3, p. 106–119, 2020. DOI: 10.52367/BRJPD.2675-102X.2020.2.3.106-119. Disponível em: https://bio10publicacao.com.br/brjpd/article/view/286. Acesso em: 16 maio. 2025.</w:t>
      </w:r>
    </w:p>
    <w:p w14:paraId="494976A4" w14:textId="39E6EF1B" w:rsidR="00052C95" w:rsidRPr="00052C95" w:rsidRDefault="00052C95" w:rsidP="00391EFA">
      <w:pPr>
        <w:spacing w:after="240"/>
        <w:rPr>
          <w:rFonts w:eastAsia="Calibri"/>
          <w:sz w:val="24"/>
          <w:szCs w:val="24"/>
        </w:rPr>
      </w:pPr>
      <w:r w:rsidRPr="00052C95">
        <w:rPr>
          <w:sz w:val="24"/>
          <w:szCs w:val="24"/>
        </w:rPr>
        <w:t>SENADO FEDERAL. </w:t>
      </w:r>
      <w:r w:rsidRPr="00052C95">
        <w:rPr>
          <w:b/>
          <w:bCs/>
          <w:sz w:val="24"/>
          <w:szCs w:val="24"/>
        </w:rPr>
        <w:t>Debatedores apontam necessidade de psicólogos e assistentes sociais em escolas públicas.</w:t>
      </w:r>
      <w:r w:rsidRPr="00052C95">
        <w:rPr>
          <w:sz w:val="24"/>
          <w:szCs w:val="24"/>
        </w:rPr>
        <w:t> Radio Senado, Brasília, 10 ago. 2023. Disponível em: &lt;https://www12.senado.leg.br/radio/1/noticia/2023/08/10/debatedores-apontam-necessidade-de-psicologos-e-assistentes-sociais-em-escolas-publicas&gt;. Acesso em: 16 jul. 2024.</w:t>
      </w:r>
    </w:p>
    <w:sectPr w:rsidR="00052C95" w:rsidRPr="00052C95" w:rsidSect="004F776F">
      <w:headerReference w:type="even" r:id="rId6"/>
      <w:headerReference w:type="default" r:id="rId7"/>
      <w:footerReference w:type="even" r:id="rId8"/>
      <w:footerReference w:type="default" r:id="rId9"/>
      <w:headerReference w:type="first" r:id="rId10"/>
      <w:footerReference w:type="first" r:id="rId11"/>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23961A" w14:textId="77777777" w:rsidR="00C95B4A" w:rsidRDefault="00C95B4A">
      <w:pPr>
        <w:spacing w:line="240" w:lineRule="auto"/>
      </w:pPr>
      <w:r>
        <w:separator/>
      </w:r>
    </w:p>
  </w:endnote>
  <w:endnote w:type="continuationSeparator" w:id="0">
    <w:p w14:paraId="79033293" w14:textId="77777777" w:rsidR="00C95B4A" w:rsidRDefault="00C95B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Liberation Sans">
    <w:altName w:val="Arial"/>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C5346" w14:textId="77777777" w:rsidR="007105FE" w:rsidRDefault="007105F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F0688" w14:textId="77777777" w:rsidR="007105FE" w:rsidRDefault="007105FE">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7019" w14:textId="77777777" w:rsidR="007105FE" w:rsidRDefault="007105F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4EE6C" w14:textId="77777777" w:rsidR="00C95B4A" w:rsidRDefault="00C95B4A">
      <w:pPr>
        <w:spacing w:line="240" w:lineRule="auto"/>
      </w:pPr>
      <w:r>
        <w:separator/>
      </w:r>
    </w:p>
  </w:footnote>
  <w:footnote w:type="continuationSeparator" w:id="0">
    <w:p w14:paraId="0DFAE699" w14:textId="77777777" w:rsidR="00C95B4A" w:rsidRDefault="00C95B4A">
      <w:pPr>
        <w:spacing w:line="240" w:lineRule="auto"/>
      </w:pPr>
      <w:r>
        <w:continuationSeparator/>
      </w:r>
    </w:p>
  </w:footnote>
  <w:footnote w:id="1">
    <w:p w14:paraId="476E4CE2" w14:textId="776E9E0D" w:rsidR="004E3C72" w:rsidRDefault="004E3C72" w:rsidP="004252BB">
      <w:pPr>
        <w:pStyle w:val="Textodenotaderodap"/>
        <w:tabs>
          <w:tab w:val="left" w:pos="284"/>
        </w:tabs>
        <w:ind w:left="284" w:hanging="284"/>
        <w:jc w:val="both"/>
        <w:rPr>
          <w:rFonts w:ascii="Times New Roman" w:hAnsi="Times New Roman" w:cs="Times New Roman"/>
          <w:highlight w:val="green"/>
        </w:rPr>
      </w:pPr>
      <w:r>
        <w:rPr>
          <w:rStyle w:val="Refdenotaderodap"/>
        </w:rPr>
        <w:footnoteRef/>
      </w:r>
      <w:r>
        <w:t xml:space="preserve"> </w:t>
      </w:r>
      <w:r w:rsidR="0018068C">
        <w:rPr>
          <w:rFonts w:ascii="Times New Roman" w:hAnsi="Times New Roman" w:cs="Times New Roman"/>
        </w:rPr>
        <w:t xml:space="preserve">Universidade Federal do Maranhão (UFMA). </w:t>
      </w:r>
      <w:r>
        <w:rPr>
          <w:rFonts w:ascii="Times New Roman" w:hAnsi="Times New Roman" w:cs="Times New Roman"/>
        </w:rPr>
        <w:t>Mestranda em Políticas Públicas. Email:</w:t>
      </w:r>
      <w:r w:rsidR="004252BB">
        <w:rPr>
          <w:rFonts w:ascii="Times New Roman" w:hAnsi="Times New Roman" w:cs="Times New Roman"/>
        </w:rPr>
        <w:t xml:space="preserve"> </w:t>
      </w:r>
      <w:r>
        <w:rPr>
          <w:rFonts w:ascii="Times New Roman" w:hAnsi="Times New Roman" w:cs="Times New Roman"/>
        </w:rPr>
        <w:t>anaianveloso@gmail.com.</w:t>
      </w:r>
    </w:p>
    <w:p w14:paraId="145EBD28" w14:textId="6D885ECD" w:rsidR="004E3C72" w:rsidRDefault="004E3C72">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0ACE4" w14:textId="77777777" w:rsidR="007105FE" w:rsidRDefault="007105FE">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D76BE" w14:textId="046BA7C0" w:rsidR="00FF4348" w:rsidRDefault="00EC779D">
    <w:r>
      <w:rPr>
        <w:noProof/>
      </w:rPr>
      <w:drawing>
        <wp:anchor distT="114300" distB="114300" distL="114300" distR="114300" simplePos="0" relativeHeight="251657728" behindDoc="1" locked="0" layoutInCell="1" allowOverlap="1" wp14:anchorId="28969304" wp14:editId="635D9B01">
          <wp:simplePos x="0" y="0"/>
          <wp:positionH relativeFrom="page">
            <wp:posOffset>0</wp:posOffset>
          </wp:positionH>
          <wp:positionV relativeFrom="page">
            <wp:posOffset>22860</wp:posOffset>
          </wp:positionV>
          <wp:extent cx="7563485" cy="10834370"/>
          <wp:effectExtent l="0" t="0" r="0" b="508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8343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9F5A4" w14:textId="77777777" w:rsidR="007105FE" w:rsidRDefault="007105FE">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2749D"/>
    <w:rsid w:val="000325BC"/>
    <w:rsid w:val="00033C82"/>
    <w:rsid w:val="00042AC7"/>
    <w:rsid w:val="00042EEE"/>
    <w:rsid w:val="000454D9"/>
    <w:rsid w:val="00052C95"/>
    <w:rsid w:val="00091E4A"/>
    <w:rsid w:val="000D4178"/>
    <w:rsid w:val="001436DA"/>
    <w:rsid w:val="00160832"/>
    <w:rsid w:val="00161432"/>
    <w:rsid w:val="00161C2F"/>
    <w:rsid w:val="001625A2"/>
    <w:rsid w:val="00171A5E"/>
    <w:rsid w:val="0018068C"/>
    <w:rsid w:val="00186092"/>
    <w:rsid w:val="001B220D"/>
    <w:rsid w:val="001E24E7"/>
    <w:rsid w:val="001E2609"/>
    <w:rsid w:val="00206F40"/>
    <w:rsid w:val="00230FEF"/>
    <w:rsid w:val="00237DB3"/>
    <w:rsid w:val="00256AA5"/>
    <w:rsid w:val="00272B25"/>
    <w:rsid w:val="00274CD8"/>
    <w:rsid w:val="00277143"/>
    <w:rsid w:val="00292661"/>
    <w:rsid w:val="00292980"/>
    <w:rsid w:val="0029766A"/>
    <w:rsid w:val="002B0634"/>
    <w:rsid w:val="002B22E3"/>
    <w:rsid w:val="002D7AD4"/>
    <w:rsid w:val="002D7B5C"/>
    <w:rsid w:val="002E7EB1"/>
    <w:rsid w:val="00314438"/>
    <w:rsid w:val="003246FE"/>
    <w:rsid w:val="00343308"/>
    <w:rsid w:val="003629C9"/>
    <w:rsid w:val="00370631"/>
    <w:rsid w:val="003743E8"/>
    <w:rsid w:val="00377676"/>
    <w:rsid w:val="00391EFA"/>
    <w:rsid w:val="003A00F4"/>
    <w:rsid w:val="003A2A8C"/>
    <w:rsid w:val="003A604E"/>
    <w:rsid w:val="003E6B1D"/>
    <w:rsid w:val="00401B0F"/>
    <w:rsid w:val="004246E4"/>
    <w:rsid w:val="004252BB"/>
    <w:rsid w:val="004540C8"/>
    <w:rsid w:val="00457083"/>
    <w:rsid w:val="00462EDC"/>
    <w:rsid w:val="00485F18"/>
    <w:rsid w:val="00495013"/>
    <w:rsid w:val="004A7C7E"/>
    <w:rsid w:val="004C0FD7"/>
    <w:rsid w:val="004D4A14"/>
    <w:rsid w:val="004E3C72"/>
    <w:rsid w:val="004E63B7"/>
    <w:rsid w:val="004F776F"/>
    <w:rsid w:val="00511803"/>
    <w:rsid w:val="00514C58"/>
    <w:rsid w:val="00551CB1"/>
    <w:rsid w:val="00563AF5"/>
    <w:rsid w:val="00564440"/>
    <w:rsid w:val="00564AEB"/>
    <w:rsid w:val="005651F4"/>
    <w:rsid w:val="005A129E"/>
    <w:rsid w:val="005B0DF5"/>
    <w:rsid w:val="005C4655"/>
    <w:rsid w:val="005D54B2"/>
    <w:rsid w:val="005F453D"/>
    <w:rsid w:val="00603072"/>
    <w:rsid w:val="00620984"/>
    <w:rsid w:val="006254A6"/>
    <w:rsid w:val="0066631E"/>
    <w:rsid w:val="006E29E3"/>
    <w:rsid w:val="006E2E7F"/>
    <w:rsid w:val="006E2FF5"/>
    <w:rsid w:val="007029F3"/>
    <w:rsid w:val="007105FE"/>
    <w:rsid w:val="00711AAD"/>
    <w:rsid w:val="00713C37"/>
    <w:rsid w:val="00721D14"/>
    <w:rsid w:val="00727E64"/>
    <w:rsid w:val="007722B2"/>
    <w:rsid w:val="007A63E9"/>
    <w:rsid w:val="007B3EAA"/>
    <w:rsid w:val="007F23F3"/>
    <w:rsid w:val="007F6D39"/>
    <w:rsid w:val="008333F5"/>
    <w:rsid w:val="00875FF5"/>
    <w:rsid w:val="008D7E72"/>
    <w:rsid w:val="008F7AE7"/>
    <w:rsid w:val="0090684F"/>
    <w:rsid w:val="00912F31"/>
    <w:rsid w:val="0092480A"/>
    <w:rsid w:val="00926DF7"/>
    <w:rsid w:val="009632A5"/>
    <w:rsid w:val="009716D5"/>
    <w:rsid w:val="009728B2"/>
    <w:rsid w:val="00983072"/>
    <w:rsid w:val="00995B16"/>
    <w:rsid w:val="009A3276"/>
    <w:rsid w:val="009B1649"/>
    <w:rsid w:val="009C2A59"/>
    <w:rsid w:val="009D1D25"/>
    <w:rsid w:val="009F6072"/>
    <w:rsid w:val="00A12665"/>
    <w:rsid w:val="00A15275"/>
    <w:rsid w:val="00A277B4"/>
    <w:rsid w:val="00A27926"/>
    <w:rsid w:val="00A31DD0"/>
    <w:rsid w:val="00A321C2"/>
    <w:rsid w:val="00A34267"/>
    <w:rsid w:val="00A523C9"/>
    <w:rsid w:val="00A53F7D"/>
    <w:rsid w:val="00A606B9"/>
    <w:rsid w:val="00A648B8"/>
    <w:rsid w:val="00A669C2"/>
    <w:rsid w:val="00A6773E"/>
    <w:rsid w:val="00A71919"/>
    <w:rsid w:val="00A750CF"/>
    <w:rsid w:val="00A909D6"/>
    <w:rsid w:val="00AA418F"/>
    <w:rsid w:val="00AB6D0F"/>
    <w:rsid w:val="00AC7704"/>
    <w:rsid w:val="00AE0C6C"/>
    <w:rsid w:val="00AE105C"/>
    <w:rsid w:val="00AE6BAE"/>
    <w:rsid w:val="00AF2595"/>
    <w:rsid w:val="00B05D40"/>
    <w:rsid w:val="00B155E4"/>
    <w:rsid w:val="00B704D7"/>
    <w:rsid w:val="00B80AAD"/>
    <w:rsid w:val="00BA3550"/>
    <w:rsid w:val="00BB06AC"/>
    <w:rsid w:val="00BB500D"/>
    <w:rsid w:val="00BC7C70"/>
    <w:rsid w:val="00BD16D4"/>
    <w:rsid w:val="00BE71E1"/>
    <w:rsid w:val="00C258B7"/>
    <w:rsid w:val="00C43703"/>
    <w:rsid w:val="00C55863"/>
    <w:rsid w:val="00C620ED"/>
    <w:rsid w:val="00C80A34"/>
    <w:rsid w:val="00C95B4A"/>
    <w:rsid w:val="00C96559"/>
    <w:rsid w:val="00CA0980"/>
    <w:rsid w:val="00CB3C64"/>
    <w:rsid w:val="00CD07F5"/>
    <w:rsid w:val="00D00B5A"/>
    <w:rsid w:val="00D34CD8"/>
    <w:rsid w:val="00D45B9C"/>
    <w:rsid w:val="00D460D1"/>
    <w:rsid w:val="00D476FE"/>
    <w:rsid w:val="00D47E9D"/>
    <w:rsid w:val="00D5793E"/>
    <w:rsid w:val="00D800D4"/>
    <w:rsid w:val="00D929B1"/>
    <w:rsid w:val="00DA4070"/>
    <w:rsid w:val="00DC6A1D"/>
    <w:rsid w:val="00DD16B1"/>
    <w:rsid w:val="00DF5E23"/>
    <w:rsid w:val="00E11EA1"/>
    <w:rsid w:val="00E17691"/>
    <w:rsid w:val="00E233E1"/>
    <w:rsid w:val="00E323D7"/>
    <w:rsid w:val="00E64E46"/>
    <w:rsid w:val="00E760CC"/>
    <w:rsid w:val="00EB43D9"/>
    <w:rsid w:val="00EC3D12"/>
    <w:rsid w:val="00EC779D"/>
    <w:rsid w:val="00F00377"/>
    <w:rsid w:val="00F2735F"/>
    <w:rsid w:val="00F36B7D"/>
    <w:rsid w:val="00F541E8"/>
    <w:rsid w:val="00F841C0"/>
    <w:rsid w:val="00FA704F"/>
    <w:rsid w:val="00FB017F"/>
    <w:rsid w:val="00FC3364"/>
    <w:rsid w:val="00FC5AF5"/>
    <w:rsid w:val="00FD3F29"/>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51A67B"/>
  <w15:docId w15:val="{B7233F4F-1271-45AD-A8B7-E1DD644E3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paragraph" w:styleId="Ttulo8">
    <w:name w:val="heading 8"/>
    <w:basedOn w:val="Normal"/>
    <w:next w:val="Normal"/>
    <w:link w:val="Ttulo8Char"/>
    <w:uiPriority w:val="9"/>
    <w:semiHidden/>
    <w:unhideWhenUsed/>
    <w:qFormat/>
    <w:rsid w:val="00343308"/>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customStyle="1" w:styleId="normal1">
    <w:name w:val="normal1"/>
    <w:qFormat/>
    <w:rsid w:val="005651F4"/>
    <w:pPr>
      <w:widowControl w:val="0"/>
      <w:suppressAutoHyphens/>
    </w:pPr>
    <w:rPr>
      <w:rFonts w:ascii="Calibri" w:eastAsia="Calibri" w:hAnsi="Calibri" w:cs="Calibri"/>
      <w:sz w:val="22"/>
      <w:szCs w:val="22"/>
      <w:lang w:eastAsia="zh-CN" w:bidi="hi-IN"/>
    </w:rPr>
  </w:style>
  <w:style w:type="character" w:styleId="Refdecomentrio">
    <w:name w:val="annotation reference"/>
    <w:uiPriority w:val="99"/>
    <w:semiHidden/>
    <w:unhideWhenUsed/>
    <w:rsid w:val="005651F4"/>
    <w:rPr>
      <w:sz w:val="16"/>
      <w:szCs w:val="16"/>
    </w:rPr>
  </w:style>
  <w:style w:type="paragraph" w:styleId="Textodecomentrio">
    <w:name w:val="annotation text"/>
    <w:basedOn w:val="Normal"/>
    <w:link w:val="TextodecomentrioChar"/>
    <w:uiPriority w:val="99"/>
    <w:unhideWhenUsed/>
    <w:rsid w:val="005651F4"/>
    <w:pPr>
      <w:spacing w:after="160" w:line="240" w:lineRule="auto"/>
    </w:pPr>
    <w:rPr>
      <w:rFonts w:ascii="Aptos" w:eastAsia="Aptos" w:hAnsi="Aptos" w:cs="Times New Roman"/>
      <w:kern w:val="2"/>
      <w:sz w:val="20"/>
      <w:szCs w:val="20"/>
      <w:lang w:eastAsia="en-US"/>
    </w:rPr>
  </w:style>
  <w:style w:type="character" w:customStyle="1" w:styleId="TextodecomentrioChar">
    <w:name w:val="Texto de comentário Char"/>
    <w:basedOn w:val="Fontepargpadro"/>
    <w:link w:val="Textodecomentrio"/>
    <w:uiPriority w:val="99"/>
    <w:rsid w:val="005651F4"/>
    <w:rPr>
      <w:rFonts w:ascii="Aptos" w:eastAsia="Aptos" w:hAnsi="Aptos" w:cs="Times New Roman"/>
      <w:kern w:val="2"/>
      <w:lang w:eastAsia="en-US"/>
    </w:rPr>
  </w:style>
  <w:style w:type="character" w:styleId="Hyperlink">
    <w:name w:val="Hyperlink"/>
    <w:basedOn w:val="Fontepargpadro"/>
    <w:uiPriority w:val="99"/>
    <w:unhideWhenUsed/>
    <w:rsid w:val="00A6773E"/>
    <w:rPr>
      <w:color w:val="467886" w:themeColor="hyperlink"/>
      <w:u w:val="single"/>
    </w:rPr>
  </w:style>
  <w:style w:type="character" w:styleId="MenoPendente">
    <w:name w:val="Unresolved Mention"/>
    <w:basedOn w:val="Fontepargpadro"/>
    <w:uiPriority w:val="99"/>
    <w:semiHidden/>
    <w:unhideWhenUsed/>
    <w:rsid w:val="00A6773E"/>
    <w:rPr>
      <w:color w:val="605E5C"/>
      <w:shd w:val="clear" w:color="auto" w:fill="E1DFDD"/>
    </w:rPr>
  </w:style>
  <w:style w:type="character" w:customStyle="1" w:styleId="Ttulo8Char">
    <w:name w:val="Título 8 Char"/>
    <w:basedOn w:val="Fontepargpadro"/>
    <w:link w:val="Ttulo8"/>
    <w:uiPriority w:val="9"/>
    <w:semiHidden/>
    <w:rsid w:val="00343308"/>
    <w:rPr>
      <w:rFonts w:asciiTheme="majorHAnsi" w:eastAsiaTheme="majorEastAsia" w:hAnsiTheme="majorHAnsi" w:cstheme="majorBidi"/>
      <w:color w:val="272727" w:themeColor="text1" w:themeTint="D8"/>
      <w:sz w:val="21"/>
      <w:szCs w:val="21"/>
    </w:rPr>
  </w:style>
  <w:style w:type="paragraph" w:styleId="Textodenotaderodap">
    <w:name w:val="footnote text"/>
    <w:basedOn w:val="Normal"/>
    <w:link w:val="TextodenotaderodapChar"/>
    <w:uiPriority w:val="99"/>
    <w:semiHidden/>
    <w:unhideWhenUsed/>
    <w:rsid w:val="004E3C72"/>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qFormat/>
    <w:rsid w:val="004E3C72"/>
  </w:style>
  <w:style w:type="character" w:styleId="Refdenotaderodap">
    <w:name w:val="footnote reference"/>
    <w:basedOn w:val="Fontepargpadro"/>
    <w:uiPriority w:val="99"/>
    <w:semiHidden/>
    <w:unhideWhenUsed/>
    <w:rsid w:val="004E3C7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194651">
      <w:bodyDiv w:val="1"/>
      <w:marLeft w:val="0"/>
      <w:marRight w:val="0"/>
      <w:marTop w:val="0"/>
      <w:marBottom w:val="0"/>
      <w:divBdr>
        <w:top w:val="none" w:sz="0" w:space="0" w:color="auto"/>
        <w:left w:val="none" w:sz="0" w:space="0" w:color="auto"/>
        <w:bottom w:val="none" w:sz="0" w:space="0" w:color="auto"/>
        <w:right w:val="none" w:sz="0" w:space="0" w:color="auto"/>
      </w:divBdr>
    </w:div>
    <w:div w:id="615331028">
      <w:bodyDiv w:val="1"/>
      <w:marLeft w:val="0"/>
      <w:marRight w:val="0"/>
      <w:marTop w:val="0"/>
      <w:marBottom w:val="0"/>
      <w:divBdr>
        <w:top w:val="none" w:sz="0" w:space="0" w:color="auto"/>
        <w:left w:val="none" w:sz="0" w:space="0" w:color="auto"/>
        <w:bottom w:val="none" w:sz="0" w:space="0" w:color="auto"/>
        <w:right w:val="none" w:sz="0" w:space="0" w:color="auto"/>
      </w:divBdr>
    </w:div>
    <w:div w:id="2077317121">
      <w:bodyDiv w:val="1"/>
      <w:marLeft w:val="0"/>
      <w:marRight w:val="0"/>
      <w:marTop w:val="0"/>
      <w:marBottom w:val="0"/>
      <w:divBdr>
        <w:top w:val="none" w:sz="0" w:space="0" w:color="auto"/>
        <w:left w:val="none" w:sz="0" w:space="0" w:color="auto"/>
        <w:bottom w:val="none" w:sz="0" w:space="0" w:color="auto"/>
        <w:right w:val="none" w:sz="0" w:space="0" w:color="auto"/>
      </w:divBdr>
    </w:div>
    <w:div w:id="21355180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134</TotalTime>
  <Pages>12</Pages>
  <Words>4033</Words>
  <Characters>21784</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25766</CharactersWithSpaces>
  <SharedDoc>false</SharedDoc>
  <HLinks>
    <vt:vector size="6" baseType="variant">
      <vt:variant>
        <vt:i4>3080293</vt:i4>
      </vt:variant>
      <vt:variant>
        <vt:i4>90</vt:i4>
      </vt:variant>
      <vt:variant>
        <vt:i4>0</vt:i4>
      </vt:variant>
      <vt:variant>
        <vt:i4>5</vt:i4>
      </vt:variant>
      <vt:variant>
        <vt:lpwstr>http://www.scielo.br/pdf/spp/v15n2/8580.pdf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Anaian Veloso</cp:lastModifiedBy>
  <cp:revision>147</cp:revision>
  <dcterms:created xsi:type="dcterms:W3CDTF">2025-06-25T23:11:00Z</dcterms:created>
  <dcterms:modified xsi:type="dcterms:W3CDTF">2025-06-26T15:08:00Z</dcterms:modified>
</cp:coreProperties>
</file>