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png" ContentType="image/png"/>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spacing w:lineRule="auto" w:line="259" w:before="0" w:after="160"/>
        <w:rPr>
          <w:rFonts w:ascii="Calibri" w:hAnsi="Calibri" w:eastAsia="Calibri" w:cs="Calibri"/>
        </w:rPr>
      </w:pPr>
      <w:r>
        <w:rPr>
          <w:rFonts w:eastAsia="Calibri" w:cs="Calibri" w:ascii="Calibri" w:hAnsi="Calibri"/>
        </w:rPr>
      </w:r>
    </w:p>
    <w:p>
      <w:pPr>
        <w:pStyle w:val="LOnormal"/>
        <w:spacing w:lineRule="auto" w:line="240"/>
        <w:jc w:val="center"/>
        <w:rPr>
          <w:color w:val="000000"/>
        </w:rPr>
      </w:pPr>
      <w:r>
        <w:rPr>
          <w:b/>
          <w:color w:val="000000"/>
          <w:sz w:val="24"/>
          <w:szCs w:val="24"/>
        </w:rPr>
        <w:t xml:space="preserve">SERVIÇO SOCIAL E A POLITICA NACIONAL DE CUIDADOS: </w:t>
      </w:r>
      <w:r>
        <w:rPr>
          <w:bCs/>
          <w:color w:val="000000"/>
          <w:sz w:val="24"/>
          <w:szCs w:val="24"/>
        </w:rPr>
        <w:t>DESAFIOS NA VIABILIZAÇÃO DO DIREITO AO CUIDADO NO ÂMBITO DO SERVIÇO SOCIAL HOSPITALAR</w:t>
      </w:r>
    </w:p>
    <w:p>
      <w:pPr>
        <w:pStyle w:val="LOnormal"/>
        <w:jc w:val="both"/>
        <w:rPr>
          <w:bCs/>
          <w:sz w:val="24"/>
          <w:szCs w:val="24"/>
        </w:rPr>
      </w:pPr>
      <w:r>
        <w:rPr>
          <w:bCs/>
          <w:sz w:val="24"/>
          <w:szCs w:val="24"/>
        </w:rPr>
      </w:r>
    </w:p>
    <w:p>
      <w:pPr>
        <w:pStyle w:val="LOnormal"/>
        <w:spacing w:lineRule="auto" w:line="240"/>
        <w:ind w:left="2835" w:hanging="0"/>
        <w:jc w:val="right"/>
        <w:rPr>
          <w:sz w:val="24"/>
          <w:szCs w:val="24"/>
        </w:rPr>
      </w:pPr>
      <w:r>
        <w:rPr>
          <w:sz w:val="24"/>
          <w:szCs w:val="24"/>
        </w:rPr>
        <w:t>Lillian Thais Moura dos Santos</w:t>
      </w:r>
      <w:r>
        <w:rPr>
          <w:rStyle w:val="Ncoradanotaderodap"/>
          <w:sz w:val="24"/>
          <w:szCs w:val="24"/>
        </w:rPr>
        <w:footnoteReference w:id="2"/>
      </w:r>
    </w:p>
    <w:p>
      <w:pPr>
        <w:pStyle w:val="LOnormal"/>
        <w:spacing w:lineRule="auto" w:line="240"/>
        <w:ind w:left="2835" w:hanging="0"/>
        <w:jc w:val="right"/>
        <w:rPr>
          <w:sz w:val="24"/>
          <w:szCs w:val="24"/>
        </w:rPr>
      </w:pPr>
      <w:r>
        <w:rPr>
          <w:sz w:val="24"/>
          <w:szCs w:val="24"/>
        </w:rPr>
        <w:t>Hellen Beatriz da Silva Araújo</w:t>
      </w:r>
      <w:r>
        <w:rPr>
          <w:rStyle w:val="Ncoradanotaderodap"/>
          <w:sz w:val="24"/>
          <w:szCs w:val="24"/>
        </w:rPr>
        <w:footnoteReference w:id="3"/>
      </w:r>
    </w:p>
    <w:p>
      <w:pPr>
        <w:pStyle w:val="LOnormal"/>
        <w:spacing w:lineRule="auto" w:line="240"/>
        <w:ind w:left="2835" w:hanging="0"/>
        <w:jc w:val="right"/>
        <w:rPr>
          <w:sz w:val="20"/>
          <w:szCs w:val="20"/>
        </w:rPr>
      </w:pPr>
      <w:r>
        <w:rPr>
          <w:sz w:val="24"/>
          <w:szCs w:val="24"/>
        </w:rPr>
        <w:t>Joana Darc Lima Silva</w:t>
      </w:r>
      <w:r>
        <w:rPr>
          <w:rStyle w:val="Ncoradanotaderodap"/>
          <w:sz w:val="20"/>
          <w:szCs w:val="20"/>
        </w:rPr>
        <w:footnoteReference w:id="4"/>
      </w:r>
    </w:p>
    <w:p>
      <w:pPr>
        <w:pStyle w:val="LOnormal"/>
        <w:spacing w:lineRule="auto" w:line="240"/>
        <w:ind w:left="2835" w:hanging="0"/>
        <w:jc w:val="both"/>
        <w:rPr>
          <w:sz w:val="20"/>
          <w:szCs w:val="20"/>
        </w:rPr>
      </w:pPr>
      <w:r>
        <w:rPr>
          <w:sz w:val="20"/>
          <w:szCs w:val="20"/>
        </w:rPr>
      </w:r>
    </w:p>
    <w:p>
      <w:pPr>
        <w:pStyle w:val="LOnormal"/>
        <w:spacing w:lineRule="auto" w:line="240"/>
        <w:ind w:left="2835" w:hanging="0"/>
        <w:jc w:val="both"/>
        <w:rPr>
          <w:sz w:val="20"/>
          <w:szCs w:val="20"/>
        </w:rPr>
      </w:pPr>
      <w:r>
        <w:rPr>
          <w:b/>
          <w:sz w:val="20"/>
          <w:szCs w:val="20"/>
        </w:rPr>
        <w:t>Resumo</w:t>
      </w:r>
    </w:p>
    <w:p>
      <w:pPr>
        <w:pStyle w:val="LOnormal"/>
        <w:spacing w:lineRule="auto" w:line="240"/>
        <w:ind w:left="2835" w:hanging="0"/>
        <w:jc w:val="both"/>
        <w:rPr/>
      </w:pPr>
      <w:r>
        <w:rPr>
          <w:sz w:val="20"/>
          <w:szCs w:val="20"/>
        </w:rPr>
        <w:t>O artigo discute os desafios enfrentados pelo Serviço Social hospitalar na efetivação do direito ao cuidado à luz da Política Nacional de Cuidados, a partir de uma experiência de estágio supervisionado no Hospital Universitário da UFPI. A internação prolongada de pacientes sem vínculos familiares ou rede de apoio  ativa compromete a continuidade do cuidado e reforça desigualdades sociais. O estudo, com abordagem qualitativa e método materialista histórico-dialético, aponta a importância da atuação do assistente social na mediação entre usuários, família, serviços e políticas públicas, visando a desospitalização segura e a garantia do cuidado integral e humanizado. A pesquisa evidencia a urgência da articulação entre as políticas de Saúde e demais políticas públicas bem como da corresponsabilização entre Estado, família e sociedade para assegurar o direito ao cuidado previsto na legislação vigente.</w:t>
      </w:r>
    </w:p>
    <w:p>
      <w:pPr>
        <w:pStyle w:val="LOnormal"/>
        <w:spacing w:lineRule="auto" w:line="240"/>
        <w:ind w:left="2835" w:hanging="0"/>
        <w:jc w:val="both"/>
        <w:rPr>
          <w:sz w:val="20"/>
          <w:szCs w:val="20"/>
        </w:rPr>
      </w:pPr>
      <w:r>
        <w:rPr>
          <w:b/>
          <w:sz w:val="20"/>
          <w:szCs w:val="20"/>
        </w:rPr>
        <w:t>Palavras-chave</w:t>
      </w:r>
      <w:r>
        <w:rPr>
          <w:sz w:val="20"/>
          <w:szCs w:val="20"/>
        </w:rPr>
        <w:t xml:space="preserve">: Desospitalização; política de cuidados. Serviço Social hospitalar. </w:t>
      </w:r>
    </w:p>
    <w:p>
      <w:pPr>
        <w:pStyle w:val="LOnormal"/>
        <w:spacing w:lineRule="auto" w:line="240"/>
        <w:ind w:left="2835" w:hanging="0"/>
        <w:jc w:val="both"/>
        <w:rPr>
          <w:sz w:val="20"/>
          <w:szCs w:val="20"/>
        </w:rPr>
      </w:pPr>
      <w:r>
        <w:rPr>
          <w:sz w:val="20"/>
          <w:szCs w:val="20"/>
        </w:rPr>
      </w:r>
    </w:p>
    <w:p>
      <w:pPr>
        <w:pStyle w:val="LOnormal"/>
        <w:spacing w:lineRule="auto" w:line="240"/>
        <w:ind w:left="2835" w:hanging="0"/>
        <w:jc w:val="both"/>
        <w:rPr>
          <w:sz w:val="20"/>
          <w:szCs w:val="20"/>
          <w:lang w:val="en-US"/>
        </w:rPr>
      </w:pPr>
      <w:r>
        <w:rPr>
          <w:b/>
          <w:sz w:val="20"/>
          <w:szCs w:val="20"/>
          <w:lang w:val="en-US"/>
        </w:rPr>
        <w:t>Abstract</w:t>
      </w:r>
    </w:p>
    <w:p>
      <w:pPr>
        <w:pStyle w:val="LOnormal"/>
        <w:spacing w:lineRule="auto" w:line="240"/>
        <w:ind w:left="2835" w:hanging="0"/>
        <w:jc w:val="both"/>
        <w:rPr>
          <w:sz w:val="20"/>
          <w:szCs w:val="20"/>
          <w:lang w:val="en-US"/>
        </w:rPr>
      </w:pPr>
      <w:r>
        <w:rPr>
          <w:sz w:val="20"/>
          <w:szCs w:val="20"/>
          <w:lang w:val="en-US"/>
        </w:rPr>
        <w:t>The article discusses the challenges faced by hospital social work in realizing the right to care in the light of the National Care Policy, based on a supervised internship experience at the UFPI University Hospital. The prolonged hospitalization of patients without family ties or an active support network compromises continuity of care and reinforces social inequalities. The study, using a qualitative approach and the historical-dialectical materialist method, points to the importance of the social worker's role in mediating between users, families, services and public policies, with a view to safe de-hospitalization and guaranteeing comprehensive and humanized care. The research highlights the urgent need for coordination between health policies and other public policies, as well as co-responsibility between the state, family and society to ensure the right to care provided for in current legislation.</w:t>
      </w:r>
    </w:p>
    <w:p>
      <w:pPr>
        <w:pStyle w:val="LOnormal"/>
        <w:spacing w:lineRule="auto" w:line="240"/>
        <w:ind w:left="2835" w:hanging="0"/>
        <w:jc w:val="both"/>
        <w:rPr>
          <w:sz w:val="20"/>
          <w:szCs w:val="20"/>
          <w:lang w:val="en-US"/>
        </w:rPr>
      </w:pPr>
      <w:r>
        <w:rPr>
          <w:b/>
          <w:sz w:val="20"/>
          <w:szCs w:val="20"/>
          <w:lang w:val="en-US"/>
        </w:rPr>
        <w:t>Keywords</w:t>
      </w:r>
      <w:r>
        <w:rPr>
          <w:sz w:val="20"/>
          <w:szCs w:val="20"/>
          <w:lang w:val="en-US"/>
        </w:rPr>
        <w:t xml:space="preserve">: Dehospitalization; care policy. Hospital social work. </w:t>
      </w:r>
    </w:p>
    <w:p>
      <w:pPr>
        <w:pStyle w:val="LOnormal"/>
        <w:spacing w:lineRule="auto" w:line="360"/>
        <w:jc w:val="both"/>
        <w:rPr>
          <w:sz w:val="24"/>
          <w:szCs w:val="24"/>
          <w:lang w:val="en-US"/>
        </w:rPr>
      </w:pPr>
      <w:r>
        <w:rPr>
          <w:sz w:val="24"/>
          <w:szCs w:val="24"/>
          <w:lang w:val="en-US"/>
        </w:rPr>
      </w:r>
    </w:p>
    <w:p>
      <w:pPr>
        <w:pStyle w:val="LOnormal"/>
        <w:pageBreakBefore w:val="false"/>
        <w:spacing w:lineRule="auto" w:line="360"/>
        <w:rPr>
          <w:sz w:val="24"/>
          <w:szCs w:val="24"/>
        </w:rPr>
      </w:pPr>
      <w:r>
        <w:rPr>
          <w:b/>
          <w:sz w:val="24"/>
          <w:szCs w:val="24"/>
        </w:rPr>
        <w:t>1</w:t>
        <w:tab/>
        <w:t>INTRODUÇÃO</w:t>
      </w:r>
    </w:p>
    <w:p>
      <w:pPr>
        <w:pStyle w:val="LOnormal"/>
        <w:spacing w:lineRule="auto" w:line="360"/>
        <w:ind w:firstLine="709"/>
        <w:jc w:val="both"/>
        <w:rPr>
          <w:color w:val="000000"/>
        </w:rPr>
      </w:pPr>
      <w:r>
        <w:rPr>
          <w:color w:val="000000"/>
          <w:sz w:val="24"/>
          <w:szCs w:val="24"/>
        </w:rPr>
        <w:t>No campo da saúde, os assistentes sociais atuam em quatro grandes eixos, de acordo com os Parâmetros para a atuação de assistentes sociais na política de saúde, que devem estar articulados com a compreensão de totalidade: atendimento direto aos usuários; mobilização, participação e controle social; investigação, planejamento e gestão; e assessoria, qualificação e formação profissional (CFESS, 2010). Nesse contexto, o assistente social é um profissional qualificado para realizar uma análise crítica da realidade e desenvolver estratégias de intervenção voltadas aos processos sociais que impactam o acesso e a permanência dos usuários nos serviços de saúde.</w:t>
      </w:r>
    </w:p>
    <w:p>
      <w:pPr>
        <w:pStyle w:val="LOnormal"/>
        <w:spacing w:lineRule="auto" w:line="360"/>
        <w:ind w:firstLine="709"/>
        <w:jc w:val="both"/>
        <w:rPr>
          <w:color w:val="000000"/>
        </w:rPr>
      </w:pPr>
      <w:r>
        <w:rPr>
          <w:color w:val="000000"/>
          <w:sz w:val="24"/>
          <w:szCs w:val="24"/>
        </w:rPr>
        <w:t xml:space="preserve">No ambiente hospitalar, o Serviço Social lida diretamente com as demandas do Sistema Único de Saúde (SUS) e enfrenta desafios complexos relacionados às condições socioeconômicas e culturais dos pacientes e seus familiares. Entre esses desafios, destaca-se a fragilidade dos vínculos familiares, que pode comprometer a continuidade do tratamento e dificultar o processo de desospitalização. Pacientes sem uma rede de apoio articulada e funcional apresentam maior risco de reinternação e menor adesão ao tratamento, o que impacta sua qualidade de vida e sobrecarrega o sistema hospitalar. Os insipientes e precários serviços públicos disponíveis para a continuidade de cuidado pós-alta, especialmente destinados a atender pessoas idosas, com deficiências e em situação de rua, coadunam para aprofundamento dessas questões. </w:t>
      </w:r>
    </w:p>
    <w:p>
      <w:pPr>
        <w:pStyle w:val="LOnormal"/>
        <w:spacing w:lineRule="auto" w:line="360"/>
        <w:ind w:firstLine="709"/>
        <w:jc w:val="both"/>
        <w:rPr>
          <w:color w:val="000000"/>
        </w:rPr>
      </w:pPr>
      <w:r>
        <w:rPr>
          <w:color w:val="000000"/>
          <w:sz w:val="24"/>
          <w:szCs w:val="24"/>
        </w:rPr>
        <w:t>No Hospital Universitário da Universidade Federal do Piauí (HU-UFPI), uma unidade de média e alta complexidade, os assistentes sociais desempenham um papel essencial na articulação de políticas públicas e na mediação entre pacientes, familiares e serviços assistenciais. A Política Nacional de Humanização (PNH) do SUS estabelece diretrizes para a promoção de um atendimento integral e humanizado, reconhecendo a corresponsabilidade entre Estado, família e sociedade na provisão do cuidado (BRASIL, 2013). Mais recentemente, a Lei nº 15.069/2024 reforça esse princípio ao estabelecer a garantia do direito ao cuidado como um compromisso coletivo, buscando minimizar desigualdades e assegurar suporte adequado aos pacientes em situação de vulnerabilidade (BRASIL, 2024).</w:t>
      </w:r>
    </w:p>
    <w:p>
      <w:pPr>
        <w:pStyle w:val="LOnormal"/>
        <w:spacing w:lineRule="auto" w:line="360"/>
        <w:ind w:firstLine="709"/>
        <w:jc w:val="both"/>
        <w:rPr>
          <w:color w:val="000000"/>
        </w:rPr>
      </w:pPr>
      <w:r>
        <w:rPr>
          <w:color w:val="000000"/>
          <w:sz w:val="24"/>
          <w:szCs w:val="24"/>
        </w:rPr>
        <w:t xml:space="preserve">Diante desse cenário, torna-se fundamental problematizar sobre a importância do cuidado e a construção e fortalecimento das redes de apoio no enfrentamento dos desafios decorrentes da internação prolongada no âmbito hospitalar. Essa reflexão a partir da experiência de estágio nos permite compreender como a rede de apoio e vínculos familiares fortalecidos pode contribuir positivamente para a redução do tempo de internação, a adesão ao tratamento e a melhoria da qualidade de vida dos pacientes, e porque não citar a diminuição de reinternações motivadas por ausência ou precária da continuidade do cuidado após a desospitalização. </w:t>
      </w:r>
    </w:p>
    <w:p>
      <w:pPr>
        <w:pStyle w:val="LOnormal"/>
        <w:spacing w:lineRule="auto" w:line="360"/>
        <w:ind w:firstLine="709"/>
        <w:jc w:val="both"/>
        <w:rPr>
          <w:color w:val="000000"/>
        </w:rPr>
      </w:pPr>
      <w:r>
        <w:rPr>
          <w:color w:val="000000"/>
          <w:sz w:val="24"/>
          <w:szCs w:val="24"/>
        </w:rPr>
        <w:t>Esse estudo tem como objetivo refletir sobre a política do cuidado no processo de internação prolongada, com base em um relato de experiência de estágio supervisionado em Serviço Social no HU-UFPI. Para isso, busca-se analisar os desafios enfrentados pelo Assistente Social no contexto hospitalar, considerando a fragilidade dos vínculos familiares de pacientes internados, discutir a relevância da rede de apoio na promoção do cuidado integral e humanizado e identificar estratégias utilizadas pelo Serviço Social para fortalecer a articulação entre pacientes, famílias e políticas públicas.</w:t>
      </w:r>
    </w:p>
    <w:p>
      <w:pPr>
        <w:pStyle w:val="LOnormal"/>
        <w:spacing w:lineRule="auto" w:line="360"/>
        <w:ind w:firstLine="709"/>
        <w:jc w:val="both"/>
        <w:rPr>
          <w:color w:val="000000"/>
        </w:rPr>
      </w:pPr>
      <w:r>
        <w:rPr>
          <w:color w:val="000000"/>
          <w:sz w:val="24"/>
          <w:szCs w:val="24"/>
        </w:rPr>
        <w:t>Este estudo baseia-se em um relato de experiência, a partir da vivência do estágio supervisionado em Serviço Social no HU-UFPI, especificamente na unidade de internação da clínica médica, com abordagem qualitativa. Os dados foram coletados por meio da observação participante e da análise documental dos prontuários, registros de atendimentos, livro de passagem de plantão e intervenções realizados pelo Serviço Social.</w:t>
      </w:r>
    </w:p>
    <w:p>
      <w:pPr>
        <w:pStyle w:val="LOnormal"/>
        <w:spacing w:lineRule="auto" w:line="360"/>
        <w:ind w:firstLine="709"/>
        <w:jc w:val="both"/>
        <w:rPr>
          <w:color w:val="000000"/>
        </w:rPr>
      </w:pPr>
      <w:r>
        <w:rPr>
          <w:color w:val="000000"/>
          <w:sz w:val="24"/>
          <w:szCs w:val="24"/>
        </w:rPr>
        <w:t xml:space="preserve">O método de abordagem utilizado foi o materialismo histórico-dialético, permitindo compreender as relações entre o processo de internação prolongada, a rede de apoio e vínculos familiares dos pacientes e a atuação do Serviço Social na mediação dessas demandas. Os resultados foram analisados à luz da literatura especializada sobre, incluindo legislações no âmbito da saúde, tais como: Política de Humanização e a Política Nacional de Cuidado e estudos sobre a importância da rede de apoio no contexto hospitalar. </w:t>
      </w:r>
    </w:p>
    <w:p>
      <w:pPr>
        <w:pStyle w:val="LOnormal"/>
        <w:spacing w:lineRule="auto" w:line="360"/>
        <w:ind w:firstLine="709"/>
        <w:jc w:val="both"/>
        <w:rPr>
          <w:color w:val="000000"/>
          <w:sz w:val="24"/>
          <w:szCs w:val="24"/>
        </w:rPr>
      </w:pPr>
      <w:r>
        <w:rPr>
          <w:color w:val="000000"/>
          <w:sz w:val="24"/>
          <w:szCs w:val="24"/>
        </w:rPr>
      </w:r>
    </w:p>
    <w:p>
      <w:pPr>
        <w:pStyle w:val="LOnormal"/>
        <w:spacing w:lineRule="auto" w:line="360"/>
        <w:jc w:val="both"/>
        <w:rPr>
          <w:color w:val="000000"/>
        </w:rPr>
      </w:pPr>
      <w:r>
        <w:rPr>
          <w:b/>
          <w:color w:val="000000"/>
          <w:sz w:val="24"/>
          <w:szCs w:val="24"/>
        </w:rPr>
        <w:t xml:space="preserve">2 A POLÍTICA NACIONAL DE CUIDADOS E O DIREITO À SAÚDE: </w:t>
      </w:r>
      <w:r>
        <w:rPr>
          <w:b w:val="false"/>
          <w:bCs w:val="false"/>
          <w:color w:val="000000"/>
          <w:sz w:val="24"/>
          <w:szCs w:val="24"/>
        </w:rPr>
        <w:t>Um diálogo necessário e indispensável ao acesso à saúde na sua integralidade</w:t>
      </w:r>
    </w:p>
    <w:p>
      <w:pPr>
        <w:pStyle w:val="LOnormal"/>
        <w:spacing w:lineRule="auto" w:line="360"/>
        <w:ind w:firstLine="709"/>
        <w:jc w:val="both"/>
        <w:rPr>
          <w:color w:val="000000"/>
        </w:rPr>
      </w:pPr>
      <w:r>
        <w:rPr>
          <w:color w:val="000000"/>
          <w:sz w:val="24"/>
          <w:szCs w:val="24"/>
        </w:rPr>
        <w:t>Observou-se que a dimensão da fragilidade dos vínculos familiares é um dos principais desafios enfrentados no cotidiano do Assistente Social no ambiente hospitalar, especificamente no contexto de internação prolongada. Pacientes sem rede de apoio apresentam dificuldades no acesso a benefícios sociais e no planejamento da alta hospitalar, impactando diretamente sua qualidade de vida. A importância da família na saúde, pois essa tem papel importante na promoção da saúde e na prevenção das doenças, e não só isso, mas assumem papel de destaque no que se refere aos cuidados aos membros afetados por doenças de longa duração.</w:t>
      </w:r>
    </w:p>
    <w:p>
      <w:pPr>
        <w:pStyle w:val="LOnormal"/>
        <w:spacing w:lineRule="auto" w:line="360"/>
        <w:ind w:firstLine="709"/>
        <w:jc w:val="both"/>
        <w:rPr>
          <w:color w:val="000000"/>
        </w:rPr>
      </w:pPr>
      <w:r>
        <w:rPr>
          <w:color w:val="000000"/>
          <w:sz w:val="24"/>
          <w:szCs w:val="24"/>
        </w:rPr>
        <w:t xml:space="preserve">Considerando as diferentes facetas do cuidado em interface ao conceito ampliado de saúde e sua operacionalização no âmbito do SUS, baseada principalmente à luz da atual Política Nacional do cuidado no Brasil, Lei nº 15.069 de 23 de dezembro de 2024, que estabelece a garantia do direito ao cuidado a todas as pessoas, promovendo a corresponsabilização social entre homens e mulheres na provisão de cuidados, e também </w:t>
      </w:r>
      <w:r>
        <w:rPr>
          <w:color w:val="000000"/>
          <w:sz w:val="24"/>
          <w:szCs w:val="24"/>
          <w:highlight w:val="white"/>
        </w:rPr>
        <w:t>dever do Estado em corresponsabilidade com as famílias, o setor privado e a sociedade civil</w:t>
      </w:r>
      <w:r>
        <w:rPr>
          <w:color w:val="000000"/>
          <w:sz w:val="24"/>
          <w:szCs w:val="24"/>
        </w:rPr>
        <w:t>, destaca-se a relevância de ampliar o debate sobre a implementação desta política como estratégia de ampliar o cuidado para além da esfera privada, discutindo sobre o papel do Estado como também responsável pelo cuidado para quem precisa e para quem cuida.</w:t>
      </w:r>
    </w:p>
    <w:p>
      <w:pPr>
        <w:pStyle w:val="LOnormal"/>
        <w:spacing w:lineRule="auto" w:line="360"/>
        <w:ind w:firstLine="709"/>
        <w:jc w:val="both"/>
        <w:rPr/>
      </w:pPr>
      <w:r>
        <w:rPr>
          <w:b w:val="false"/>
          <w:bCs w:val="false"/>
          <w:color w:val="000000"/>
          <w:sz w:val="24"/>
          <w:szCs w:val="24"/>
          <w:u w:val="none"/>
        </w:rPr>
        <w:t xml:space="preserve">Do ponto de vista filosófico podemos dizer que cuidado é uma atitude de zelo, de desvelo, de responsabilidade e de envolvimento afetivo para com o outro (BOFF, 2002, </w:t>
      </w:r>
      <w:r>
        <w:rPr>
          <w:rStyle w:val="Nfase"/>
          <w:b w:val="false"/>
          <w:bCs w:val="false"/>
          <w:color w:val="000000"/>
          <w:sz w:val="24"/>
          <w:szCs w:val="24"/>
          <w:u w:val="none"/>
        </w:rPr>
        <w:t>apud</w:t>
      </w:r>
      <w:r>
        <w:rPr>
          <w:b w:val="false"/>
          <w:bCs w:val="false"/>
          <w:color w:val="000000"/>
          <w:sz w:val="24"/>
          <w:szCs w:val="24"/>
          <w:u w:val="none"/>
        </w:rPr>
        <w:t xml:space="preserve"> GARIGLIO, 2012). Ou, na realização de ações de saúde, uma interação entre dois ou mais sujeitos, visando o alívio de um sofrimento ou o alcance de um bem-estar, sempre mediada por saberes especificamente voltado para essa finalidade (AYRES, 2004, </w:t>
      </w:r>
      <w:r>
        <w:rPr>
          <w:rStyle w:val="Nfase"/>
          <w:b w:val="false"/>
          <w:bCs w:val="false"/>
          <w:color w:val="000000"/>
          <w:sz w:val="24"/>
          <w:szCs w:val="24"/>
          <w:u w:val="none"/>
        </w:rPr>
        <w:t>apud</w:t>
      </w:r>
      <w:r>
        <w:rPr>
          <w:b w:val="false"/>
          <w:bCs w:val="false"/>
          <w:color w:val="000000"/>
          <w:sz w:val="24"/>
          <w:szCs w:val="24"/>
          <w:u w:val="none"/>
        </w:rPr>
        <w:t xml:space="preserve"> GARIGLIO, 2012). Ambas as perspectivas apontam para a importância de um cuidado humanizado, relacional e ético, fundamental para práticas em saúde comprometidas com a dignidade e o bem-estar dos indivíduos. </w:t>
      </w:r>
    </w:p>
    <w:p>
      <w:pPr>
        <w:pStyle w:val="LOnormal"/>
        <w:spacing w:lineRule="auto" w:line="360"/>
        <w:ind w:firstLine="709"/>
        <w:jc w:val="both"/>
        <w:rPr>
          <w:color w:val="000000"/>
        </w:rPr>
      </w:pPr>
      <w:r>
        <w:rPr>
          <w:color w:val="000000"/>
          <w:sz w:val="24"/>
          <w:szCs w:val="24"/>
        </w:rPr>
        <w:t xml:space="preserve">A discussão destaca a necessidade de uma maior articulação entre as políticas públicas de Saúde e Assistência Social para garantir suporte aos pacientes e seus familiares. As estratégias utilizadas pelo Serviço Social para fortalecimento e busca de rede de apoio incluem a mediação entre famílias, e o acompanhamento dos pacientes durante o planejamento de alta hospitalar, além de articular com a rede de proteção social e de atenção à saúde do seu território, principalmente em relação aos que necessitam da continuidade de cuidados, para além da rede de apoio informal. </w:t>
      </w:r>
    </w:p>
    <w:p>
      <w:pPr>
        <w:pStyle w:val="LOnormal"/>
        <w:spacing w:lineRule="auto" w:line="360"/>
        <w:ind w:firstLine="709"/>
        <w:jc w:val="both"/>
        <w:rPr>
          <w:color w:val="000000"/>
        </w:rPr>
      </w:pPr>
      <w:r>
        <w:rPr>
          <w:b w:val="false"/>
          <w:i w:val="false"/>
          <w:caps w:val="false"/>
          <w:smallCaps w:val="false"/>
          <w:color w:val="000000"/>
          <w:spacing w:val="0"/>
          <w:sz w:val="24"/>
          <w:szCs w:val="24"/>
          <w:u w:val="none"/>
        </w:rPr>
        <w:t xml:space="preserve">A Rede de Apoio pode ser distinguida entre o Sistema Informal e o Sistema Formal. O Sistema Informal é composto por família, amigos, vizinhos e instituições da sociedade civil que, de alguma forma, prestam Apoio Social. O Sistema Formal, por sua vez, é constituído pelas instituições e serviços públicos que oferecem atendimento, cuidado e suporte aos indivíduos e à coletividade (PIZZINATO et al., 2018). </w:t>
      </w:r>
    </w:p>
    <w:p>
      <w:pPr>
        <w:pStyle w:val="LOnormal"/>
        <w:spacing w:lineRule="auto" w:line="360"/>
        <w:ind w:firstLine="709"/>
        <w:jc w:val="both"/>
        <w:rPr>
          <w:color w:val="000000"/>
        </w:rPr>
      </w:pPr>
      <w:r>
        <w:rPr>
          <w:color w:val="000000"/>
          <w:sz w:val="24"/>
          <w:szCs w:val="24"/>
        </w:rPr>
        <w:t>Assim, observou-se que pacientes com uma rede de apoio ativa apresentam um tempo de internação reduzido e maior adesão ao tratamento, evidenciando a relação direta entre suporte familiar e eficiência do atendimento hospitalar. Por outro lado, a ausência de suporte resulta em dificuldades para a efetiva desospitalização, tornando-se um fator que contribui para a permanência hospitalar prolongada. Algumas questões refere-se a restrita ou ausência rede de apoio, além do medo dos familiares de lidar com cuidados diários não demandados anterior a internação, especialmente quando o usuário perde ou reduz sua autonomia. Para além dessa dimensão, os serviços públicos existentes que deveriam compartilhar ou até mesmo assumir esses cuidados são escassos ou até mesmos inexistentes.</w:t>
      </w:r>
    </w:p>
    <w:p>
      <w:pPr>
        <w:pStyle w:val="LOnormal"/>
        <w:spacing w:lineRule="auto" w:line="360"/>
        <w:ind w:firstLine="709"/>
        <w:jc w:val="both"/>
        <w:rPr>
          <w:color w:val="000000"/>
        </w:rPr>
      </w:pPr>
      <w:r>
        <w:rPr>
          <w:color w:val="000000"/>
          <w:sz w:val="24"/>
          <w:szCs w:val="24"/>
        </w:rPr>
        <w:t>Dessa forma, o fortalecimento de redes públicas de cuidado, articuladas entre os diferentes níveis de governo e setores sociais, é importante para assegurar o direito ao cuidado de forma integral, contínua e com equidade. A atuação do Estado deve ser protagonista na formulação, financiamento, coordenação e execução de políticas públicas que garantam acesso universal e de qualidade aos serviços de cuidado, reconhecendo a interdependência entre quem cuida e quem é cuidado</w:t>
      </w:r>
      <w:r>
        <w:rPr>
          <w:color w:val="000000" w:themeShade="bf"/>
          <w:sz w:val="24"/>
          <w:szCs w:val="24"/>
        </w:rPr>
        <w:t xml:space="preserve">. </w:t>
      </w:r>
      <w:r>
        <w:rPr>
          <w:color w:val="000000"/>
          <w:sz w:val="24"/>
          <w:szCs w:val="24"/>
        </w:rPr>
        <w:t>Nesse contexto, o Serviço Social hospitalar ao articular as demandas dos usuários com as diferentes políticas públicas, contribui para a efetivação da Política Nacional de Cuidados, para a redução das desigualdades sociais e promoção da dignidade humana, especialmente no processo de alta hospitalar e continuidade do cuidado no território de origem.</w:t>
      </w:r>
    </w:p>
    <w:p>
      <w:pPr>
        <w:pStyle w:val="LOnormal"/>
        <w:spacing w:lineRule="auto" w:line="360" w:before="280" w:after="280"/>
        <w:jc w:val="both"/>
        <w:rPr>
          <w:color w:val="000000"/>
        </w:rPr>
      </w:pPr>
      <w:r>
        <w:rPr>
          <w:b/>
          <w:color w:val="000000"/>
          <w:sz w:val="24"/>
          <w:szCs w:val="24"/>
        </w:rPr>
        <w:t>3</w:t>
      </w:r>
      <w:r>
        <w:rPr>
          <w:color w:val="000000"/>
          <w:sz w:val="24"/>
          <w:szCs w:val="24"/>
        </w:rPr>
        <w:t xml:space="preserve"> </w:t>
      </w:r>
      <w:r>
        <w:rPr>
          <w:b/>
          <w:color w:val="000000"/>
          <w:sz w:val="24"/>
          <w:szCs w:val="24"/>
        </w:rPr>
        <w:t>FAMILISMO VERSUS CORRESPONSABILIZAÇÃO SOCIAL DO CUIDADO</w:t>
      </w:r>
    </w:p>
    <w:p>
      <w:pPr>
        <w:pStyle w:val="LOnormal"/>
        <w:spacing w:lineRule="auto" w:line="360"/>
        <w:ind w:firstLine="709"/>
        <w:jc w:val="both"/>
        <w:rPr>
          <w:color w:val="000000"/>
        </w:rPr>
      </w:pPr>
      <w:r>
        <w:rPr>
          <w:color w:val="000000"/>
          <w:sz w:val="24"/>
          <w:szCs w:val="24"/>
        </w:rPr>
        <w:t>A política de cuidados no Brasil poderá enfrentar desafios significativos no seu processo de implementação, diante da tensão entre os princípios da corresponsabilização social e a lógica familista que perpassa as políticas sociais no contexto neoliberal. De um lado, reconhece-se, inclusive em marcos legais como a Lei nº 15.069/2024, a importância de uma responsabilidade coletiva, que envolve o Estado, a sociedade e ambos os gêneros, na provisão do cuidado. De outro, persiste uma tendência estrutural de sobrecarga da família, especialmente das mulheres, como principal agente do cuidado, numa lógica que reforça o familismo como eixo organizador da proteção social.</w:t>
      </w:r>
    </w:p>
    <w:p>
      <w:pPr>
        <w:pStyle w:val="LOnormal"/>
        <w:spacing w:lineRule="auto" w:line="360"/>
        <w:ind w:firstLine="709"/>
        <w:jc w:val="both"/>
        <w:rPr>
          <w:color w:val="000000"/>
        </w:rPr>
      </w:pPr>
      <w:r>
        <w:rPr>
          <w:color w:val="000000"/>
          <w:sz w:val="24"/>
          <w:szCs w:val="24"/>
        </w:rPr>
        <w:t>O familismo, conforme discutido por Alves e Mioto (2015), refere-se à atribuição quase exclusiva à família da responsabilidade pelo bem-estar de seus membros, em especial nos contextos de escassez de serviços públicos ou na fragmentação dos mesmos. Trata-se de um arranjo que não é novo, tendo sido consolidado na formação das primeiras políticas sociais estatais, especialmente com forte influência da doutrina social cristã e do princípio da subsidiariedade, que limita a intervenção do Estado apenas quando as redes familiares “falham”.</w:t>
      </w:r>
    </w:p>
    <w:p>
      <w:pPr>
        <w:pStyle w:val="LOnormal"/>
        <w:spacing w:lineRule="auto" w:line="360"/>
        <w:ind w:firstLine="709"/>
        <w:jc w:val="both"/>
        <w:rPr>
          <w:color w:val="000000"/>
        </w:rPr>
      </w:pPr>
      <w:r>
        <w:rPr>
          <w:color w:val="000000"/>
          <w:sz w:val="24"/>
          <w:szCs w:val="24"/>
        </w:rPr>
        <w:t>Essa lógica familista tem se intensificado no contexto neoliberal, como mostra Mioto (2012), ao apontar o deslocamento da centralidade da proteção social estatal para o mercado e para as redes informais, sendo a família a mais convocada entre elas. O programa Melhor em Casa, no âmbito do SUS, por exemplo, materializa esse processo: ao transferir para o domicílio e, portanto, à família parte significativa do cuidado em saúde, requisitando inclusive a capacitação de um “cuidador”, geralmente um familiar, para assumir a responsabilidade do cuidado no domicílio e assim viabilizar a alta hospitalar.</w:t>
      </w:r>
    </w:p>
    <w:p>
      <w:pPr>
        <w:pStyle w:val="LOnormal"/>
        <w:spacing w:lineRule="auto" w:line="360"/>
        <w:ind w:firstLine="709"/>
        <w:jc w:val="both"/>
        <w:rPr>
          <w:color w:val="000000"/>
        </w:rPr>
      </w:pPr>
      <w:r>
        <w:rPr>
          <w:color w:val="000000"/>
          <w:sz w:val="24"/>
          <w:szCs w:val="24"/>
        </w:rPr>
        <w:t xml:space="preserve">Essa responsabilização familiar, no entanto, não ocorre em condições ideais. A literatura evidencia que as famílias brasileiras são marcadas por desigualdades econômicas, de gênero e de raça. </w:t>
      </w:r>
    </w:p>
    <w:p>
      <w:pPr>
        <w:pStyle w:val="LOnormal"/>
        <w:spacing w:lineRule="auto" w:line="360"/>
        <w:ind w:firstLine="709"/>
        <w:jc w:val="both"/>
        <w:rPr>
          <w:color w:val="000000"/>
        </w:rPr>
      </w:pPr>
      <w:r>
        <w:rPr>
          <w:color w:val="000000"/>
          <w:sz w:val="24"/>
          <w:szCs w:val="24"/>
        </w:rPr>
        <w:t xml:space="preserve">Além de ocorrer de forma desigual, enfrenta obstáculos concretos quando se trata de famílias em situação de vulnerabilidade social. Em muitos casos, para que ocorra a desospitalização, é demando que a família disponha de condições mínimas como espaço físico adequado, aquisição de insumos, equipamentos (cadeiras de rodas, colchões pneumáticos, sondas, oxigênio domiciliar, entre outros), que muitas vezes não são disponibilizados pelo poder público, acrescentando a essas famílias a sobrecarga, não somente do tempo despendido para o cuidado, mais também financeira para manutenção dos insumos exigidos pelo cuidado. </w:t>
      </w:r>
    </w:p>
    <w:p>
      <w:pPr>
        <w:pStyle w:val="LOnormal"/>
        <w:spacing w:lineRule="auto" w:line="360"/>
        <w:ind w:firstLine="709"/>
        <w:jc w:val="both"/>
        <w:rPr>
          <w:color w:val="000000"/>
        </w:rPr>
      </w:pPr>
      <w:r>
        <w:rPr>
          <w:color w:val="000000"/>
          <w:sz w:val="24"/>
          <w:szCs w:val="24"/>
        </w:rPr>
        <w:t xml:space="preserve">Mesmo havendo no Estado do Piauí dispensação de alguns insumos através do Sistema Único de Saúde, essa exigência ignora as condições objetivas de sobrevivência de grande parte das famílias brasileiras, sobretudo aquelas inseridas nas periferias urbanas, municípios de pequeno porte e áreas rurais ou marcadas por pobreza extrema. </w:t>
      </w:r>
    </w:p>
    <w:p>
      <w:pPr>
        <w:pStyle w:val="LOnormal"/>
        <w:spacing w:lineRule="auto" w:line="360"/>
        <w:ind w:firstLine="709"/>
        <w:jc w:val="both"/>
        <w:rPr>
          <w:color w:val="000000"/>
        </w:rPr>
      </w:pPr>
      <w:r>
        <w:rPr>
          <w:color w:val="000000"/>
          <w:sz w:val="24"/>
          <w:szCs w:val="24"/>
        </w:rPr>
        <w:t>Acontecendo algumas situações de usuários, internados em hospitais de alta complexidade e fora do domicílio de origem, em condições de alta hospitalar e com necessidades de insumos por um período prolongado, não contar com o suporte necessário do município de origem. Nesses contextos de desospitalização, a situação de vulnerabilidade dos sujeitos acometidos pelo processo de saúde-doença, intensifica-se ainda mais, por não terem condições de retornarem para o seio familiar, muitas vezes a alternativa encontrada é a transferência intra-hospitalar para a cidade de domicílio, isto é, quando esta dispõe de uma unidade de saúde com as condições mínimas necessárias para mantê-lo internado, garantindo assim minimamente a “convivência comunitária”.</w:t>
      </w:r>
    </w:p>
    <w:p>
      <w:pPr>
        <w:pStyle w:val="LOnormal"/>
        <w:spacing w:lineRule="auto" w:line="360"/>
        <w:ind w:firstLine="709"/>
        <w:jc w:val="both"/>
        <w:rPr>
          <w:color w:val="000000"/>
        </w:rPr>
      </w:pPr>
      <w:r>
        <w:rPr>
          <w:color w:val="000000"/>
          <w:sz w:val="24"/>
          <w:szCs w:val="24"/>
        </w:rPr>
        <w:t xml:space="preserve">Essa realidade pode ser considerada um desafio para a desospitalização no SUS, em que as trajetórias de cuidado são altamente mediadas pela capacidade das famílias de assumir responsabilidades para além de suas forças. Como destaca Mioto (2012), a política de cuidado tem se apoiado em um “trabalho familiar invisível”, marcado por sobrecarga, ausência de suporte técnico e emocional e por custos financeiros não compartilhados com o Estado. </w:t>
      </w:r>
    </w:p>
    <w:p>
      <w:pPr>
        <w:pStyle w:val="LOnormal"/>
        <w:spacing w:lineRule="auto" w:line="360"/>
        <w:ind w:firstLine="709"/>
        <w:jc w:val="both"/>
        <w:rPr>
          <w:color w:val="000000"/>
        </w:rPr>
      </w:pPr>
      <w:r>
        <w:rPr>
          <w:color w:val="000000"/>
          <w:sz w:val="24"/>
          <w:szCs w:val="24"/>
        </w:rPr>
        <w:t xml:space="preserve">A situação torna-se ainda mais crítica quando se trata de usuários que não possuem vínculos familiares, como a situação de pessoas em situação de ruas e pessoas idosas que moram sozinhas, por exemplo. A ausência de uma rede de apoio coloca em evidência a insuficiência da política pública quando orientada por lógicas familistas. Nesse cenário, a desospitalização fica comprometida, prolongando indevidamente a internação por falta de alternativa. Tais situações confrontam diretamente o que dispõe a Lei nº 15.069/2024, que estabelece o direito ao cuidado como dever do Estado, e passa a reconhecer a necessidade de um sistema público que assegure condições de vida digna a todos, independentemente da existência ou não de vínculos familiares. </w:t>
      </w:r>
    </w:p>
    <w:p>
      <w:pPr>
        <w:pStyle w:val="LOnormal"/>
        <w:spacing w:lineRule="auto" w:line="360"/>
        <w:ind w:firstLine="709"/>
        <w:jc w:val="both"/>
        <w:rPr>
          <w:color w:val="000000"/>
        </w:rPr>
      </w:pPr>
      <w:r>
        <w:rPr>
          <w:b w:val="false"/>
          <w:bCs w:val="false"/>
          <w:color w:val="000000"/>
          <w:sz w:val="24"/>
          <w:szCs w:val="24"/>
          <w:u w:val="none"/>
        </w:rPr>
        <w:t xml:space="preserve">O cuidado ao ser compreendido como “uma atividade feminina geralmente não remunerada, sem reconhecimento nem valoração social. Compreende tanto o cuidado material como o imaterial, que implica um vínculo afetivo e emocional. .] Pode ser exercido de forma remunerada ou não” (Gama, 2014, p. 47). </w:t>
      </w:r>
    </w:p>
    <w:p>
      <w:pPr>
        <w:pStyle w:val="LOnormal"/>
        <w:spacing w:lineRule="auto" w:line="360"/>
        <w:ind w:firstLine="709"/>
        <w:jc w:val="both"/>
        <w:rPr>
          <w:color w:val="000000"/>
        </w:rPr>
      </w:pPr>
      <w:r>
        <w:rPr>
          <w:color w:val="000000"/>
          <w:sz w:val="24"/>
          <w:szCs w:val="24"/>
        </w:rPr>
        <w:t xml:space="preserve"> </w:t>
      </w:r>
      <w:r>
        <w:rPr>
          <w:color w:val="000000"/>
          <w:sz w:val="24"/>
          <w:szCs w:val="24"/>
        </w:rPr>
        <w:t>Assim, a naturalização da mulher como cuidadora, sobretudo em contextos de vulnerabilidade, mantém invisibilizado o trabalho de cuidado não remunerado, como aponta Mioto (2012). Nesse cenário, a chamada corresponsabilização torna-se apenas retórica, pois, na prática, o peso recai sobre os ombros das mulheres, sem que haja uma redistribuição efetiva das tarefas entre o Estado, os homens e a coletividade.</w:t>
      </w:r>
    </w:p>
    <w:p>
      <w:pPr>
        <w:pStyle w:val="LOnormal"/>
        <w:spacing w:lineRule="auto" w:line="360"/>
        <w:ind w:firstLine="709"/>
        <w:jc w:val="both"/>
        <w:rPr>
          <w:color w:val="000000"/>
        </w:rPr>
      </w:pPr>
      <w:r>
        <w:rPr>
          <w:color w:val="000000"/>
          <w:sz w:val="24"/>
          <w:szCs w:val="24"/>
        </w:rPr>
        <w:t xml:space="preserve">Além disso, o estudo de Lisbôa, Aguiar e Bellini (2022) reforça a ideia de que o modelo de família burguesa, nuclear e patriarcal, convence o Estado e a sociedade de que os cuidados devem ser realizados no âmbito privado, por amor e obrigação moral. Tal modelo serve aos interesses capitalistas ao garantir a reprodução da força de trabalho sem custos estatais, sustentado por mulheres no espaço doméstico, muitas vezes em dupla ou tripla jornada. </w:t>
      </w:r>
    </w:p>
    <w:p>
      <w:pPr>
        <w:pStyle w:val="LOnormal"/>
        <w:spacing w:lineRule="auto" w:line="360"/>
        <w:ind w:firstLine="709"/>
        <w:jc w:val="both"/>
        <w:rPr>
          <w:color w:val="000000"/>
        </w:rPr>
      </w:pPr>
      <w:r>
        <w:rPr>
          <w:color w:val="000000"/>
          <w:sz w:val="24"/>
          <w:szCs w:val="24"/>
        </w:rPr>
        <w:t>Portanto, é urgente o fortalecimento de políticas públicas que promovam uma verdadeira corresponsabilização social do cuidado, articulando saúde, assistência e trabalho, com financiamento adequado e superando a lógica familista. Isso implica reconhecer a diversidade das configurações familiares, combater a divisão sexual do trabalho e garantir acesso universal, equitativo e de qualidade aos serviços de cuidado, como condição para uma sociedade mais justa.</w:t>
      </w:r>
    </w:p>
    <w:p>
      <w:pPr>
        <w:pStyle w:val="LOnormal"/>
        <w:spacing w:lineRule="auto" w:line="360"/>
        <w:ind w:firstLine="709"/>
        <w:jc w:val="both"/>
        <w:rPr>
          <w:color w:val="000000"/>
        </w:rPr>
      </w:pPr>
      <w:r>
        <w:rPr>
          <w:color w:val="000000"/>
          <w:sz w:val="24"/>
          <w:szCs w:val="24"/>
        </w:rPr>
        <w:t xml:space="preserve">A efetividade da política do cuidado exige, portanto, que o Estado atue como garantidor direto desse direito, especialmente nos casos em que não há suporte familiar disponível ou viável. Assim, a lógica familista, ao ser aplicada indiscriminadamente, resulta também em violações de direitos, pois exclui aqueles que, por diferentes motivos, abandono, conflitos familiares, ruptura de vínculos ou morte de familiares não têm com quem contar. A responsabilização da família, nesses casos, não é apenas inviável, mas inconstitucional à luz dos princípios da dignidade do ser humano e da universalidade dos direitos sociais. </w:t>
      </w:r>
    </w:p>
    <w:p>
      <w:pPr>
        <w:pStyle w:val="LOnormal"/>
        <w:spacing w:lineRule="auto" w:line="360"/>
        <w:ind w:firstLine="709"/>
        <w:jc w:val="both"/>
        <w:rPr>
          <w:color w:val="000000"/>
          <w:sz w:val="24"/>
          <w:szCs w:val="24"/>
        </w:rPr>
      </w:pPr>
      <w:r>
        <w:rPr>
          <w:color w:val="000000"/>
          <w:sz w:val="24"/>
          <w:szCs w:val="24"/>
        </w:rPr>
      </w:r>
    </w:p>
    <w:p>
      <w:pPr>
        <w:pStyle w:val="LOnormal"/>
        <w:spacing w:lineRule="auto" w:line="360"/>
        <w:jc w:val="both"/>
        <w:rPr>
          <w:color w:val="000000"/>
        </w:rPr>
      </w:pPr>
      <w:r>
        <w:rPr>
          <w:b/>
          <w:color w:val="000000"/>
          <w:sz w:val="24"/>
          <w:szCs w:val="24"/>
        </w:rPr>
        <w:t>4 CONCLUSÃO</w:t>
      </w:r>
    </w:p>
    <w:p>
      <w:pPr>
        <w:pStyle w:val="LOnormal"/>
        <w:spacing w:lineRule="auto" w:line="360"/>
        <w:ind w:firstLine="709"/>
        <w:jc w:val="both"/>
        <w:rPr>
          <w:color w:val="000000"/>
        </w:rPr>
      </w:pPr>
      <w:r>
        <w:rPr>
          <w:color w:val="000000"/>
          <w:sz w:val="24"/>
          <w:szCs w:val="24"/>
        </w:rPr>
        <w:t>A discussão tecida neste trabalho visou refletir sobre o importante avanço no âmbito da política social com a nova legislação referente a política do cuidado, além de analisar sua interface com a política de saúde, no contexto de desospitalização, com base na vivência do estágio supervisionado em Serviço Social no HU-UFPI. Trazendo para o debate os desafios enfrentados pelo Assistente Social no contexto hospitalar, ao articular diferentes serviços públicos pra atender diversas demandas dos usuários, num contexto neoliberal de políticas sociais precárias, segmentadas e focalizadas e centradas na perspectiva familista.</w:t>
      </w:r>
    </w:p>
    <w:p>
      <w:pPr>
        <w:pStyle w:val="LOnormal"/>
        <w:spacing w:lineRule="auto" w:line="360"/>
        <w:ind w:firstLine="709"/>
        <w:jc w:val="both"/>
        <w:rPr>
          <w:color w:val="000000"/>
        </w:rPr>
      </w:pPr>
      <w:r>
        <w:rPr>
          <w:color w:val="000000"/>
          <w:sz w:val="24"/>
          <w:szCs w:val="24"/>
        </w:rPr>
        <w:t>Desta feita, é urgente romper com a visão histórica de que o cuidado seja compreendido como uma atividade desvalorizada, inferiorizada e com dimensão de trabalho doméstico. Contudo é necessário mais do que uma legislação, é imprescindível que o Estado implemente a política de forma intersetorial, inclusive com as políticas sociais que compõem o tripé da seguridade social, com ações concretas que possam efetivamente enfrentar as desigualdades sociais e reconhecer o cuidado como uma dimensão essencial a reprodução social, rompendo com sua invisibilidade e desvalorização.</w:t>
      </w:r>
    </w:p>
    <w:p>
      <w:pPr>
        <w:pStyle w:val="LOnormal"/>
        <w:spacing w:lineRule="auto" w:line="360"/>
        <w:ind w:firstLine="709"/>
        <w:jc w:val="both"/>
        <w:rPr>
          <w:color w:val="000000"/>
        </w:rPr>
      </w:pPr>
      <w:r>
        <w:rPr>
          <w:color w:val="000000"/>
          <w:sz w:val="24"/>
          <w:szCs w:val="24"/>
        </w:rPr>
        <w:t xml:space="preserve">Portanto, evidencia-se que a consolidação da Política Nacional de Cuidados no contexto hospitalar requer não apenas o reconhecimento formal do direito ao cuidado, mas também o fortalecimento de ações intersetoriais capazes de integrar saúde, assistência social e demais políticas públicas. É imprescindível que o Estado assuma sua responsabilidade na construção de uma rede de atenção articulada, que garanta suporte às famílias e promova condições objetivas para a continuidade do cuidado no território. </w:t>
      </w:r>
    </w:p>
    <w:p>
      <w:pPr>
        <w:pStyle w:val="LOnormal"/>
        <w:spacing w:lineRule="auto" w:line="360"/>
        <w:ind w:firstLine="709"/>
        <w:jc w:val="both"/>
        <w:rPr>
          <w:color w:val="000000"/>
        </w:rPr>
      </w:pPr>
      <w:r>
        <w:rPr>
          <w:color w:val="000000"/>
          <w:sz w:val="24"/>
          <w:szCs w:val="24"/>
        </w:rPr>
        <w:t xml:space="preserve">A atuação do Serviço Social hospitalar, portanto, torna-se estratégica ao visibilizar as demandas invisibilizadas no cotidiano hospitalar, tensionar as contradições das políticas sociais e fomentar processos de intervenção que superem a lógica pontual e assistencialista. Nesse sentido, torna-se urgente a ampliação do debate sobre o cuidado como dimensão coletiva e política, rompendo com a ideia de que se trata apenas de uma responsabilidade familiar ou individual. O cuidado precisa ser compreendido como direito social e coletivo, orientado por princípios de justiça social, equidade e dignidade humana. </w:t>
      </w:r>
    </w:p>
    <w:p>
      <w:pPr>
        <w:pStyle w:val="LOnormal"/>
        <w:spacing w:lineRule="auto" w:line="360"/>
        <w:jc w:val="center"/>
        <w:rPr>
          <w:color w:val="000000"/>
          <w:sz w:val="24"/>
          <w:szCs w:val="24"/>
        </w:rPr>
      </w:pPr>
      <w:r>
        <w:rPr>
          <w:color w:val="000000"/>
          <w:sz w:val="24"/>
          <w:szCs w:val="24"/>
        </w:rPr>
      </w:r>
    </w:p>
    <w:p>
      <w:pPr>
        <w:pStyle w:val="LOnormal"/>
        <w:spacing w:lineRule="auto" w:line="360"/>
        <w:jc w:val="center"/>
        <w:rPr>
          <w:color w:val="000000"/>
          <w:sz w:val="24"/>
          <w:szCs w:val="24"/>
        </w:rPr>
      </w:pPr>
      <w:r>
        <w:rPr>
          <w:color w:val="000000"/>
          <w:sz w:val="24"/>
          <w:szCs w:val="24"/>
        </w:rPr>
      </w:r>
    </w:p>
    <w:p>
      <w:pPr>
        <w:pStyle w:val="LOnormal"/>
        <w:spacing w:lineRule="auto" w:line="360"/>
        <w:jc w:val="center"/>
        <w:rPr>
          <w:color w:val="000000"/>
          <w:sz w:val="24"/>
          <w:szCs w:val="24"/>
        </w:rPr>
      </w:pPr>
      <w:r>
        <w:rPr>
          <w:color w:val="000000"/>
          <w:sz w:val="24"/>
          <w:szCs w:val="24"/>
        </w:rPr>
      </w:r>
    </w:p>
    <w:p>
      <w:pPr>
        <w:pStyle w:val="LOnormal"/>
        <w:spacing w:lineRule="auto" w:line="360"/>
        <w:rPr>
          <w:color w:val="000000"/>
        </w:rPr>
      </w:pPr>
      <w:r>
        <w:rPr>
          <w:b/>
          <w:color w:val="000000"/>
          <w:sz w:val="24"/>
          <w:szCs w:val="24"/>
        </w:rPr>
        <w:t xml:space="preserve">REFERÊNCIAS </w:t>
      </w:r>
    </w:p>
    <w:p>
      <w:pPr>
        <w:pStyle w:val="LOnormal"/>
        <w:spacing w:lineRule="auto" w:line="240"/>
        <w:jc w:val="left"/>
        <w:rPr>
          <w:color w:val="000000"/>
        </w:rPr>
      </w:pPr>
      <w:r>
        <w:rPr>
          <w:color w:val="000000"/>
          <w:sz w:val="24"/>
          <w:szCs w:val="24"/>
        </w:rPr>
        <w:t>BRASIL. Lei nº 15.069, de 23 de dezembro de 2024.</w:t>
      </w:r>
      <w:r>
        <w:rPr>
          <w:b/>
          <w:bCs/>
          <w:color w:val="000000"/>
          <w:sz w:val="24"/>
          <w:szCs w:val="24"/>
        </w:rPr>
        <w:t xml:space="preserve"> </w:t>
      </w:r>
      <w:r>
        <w:rPr>
          <w:rFonts w:eastAsia="Arial" w:cs="Arial"/>
          <w:b/>
          <w:bCs/>
          <w:color w:val="000000"/>
          <w:kern w:val="0"/>
          <w:sz w:val="24"/>
          <w:szCs w:val="24"/>
          <w:lang w:val="pt-BR" w:eastAsia="zh-CN" w:bidi="hi-IN"/>
        </w:rPr>
        <w:t>Política Nacional de Cuidados</w:t>
      </w:r>
      <w:r>
        <w:rPr>
          <w:color w:val="000000"/>
          <w:sz w:val="24"/>
          <w:szCs w:val="24"/>
        </w:rPr>
        <w:t>. Diário Oficial da União, Brasília, 2024.</w:t>
      </w:r>
    </w:p>
    <w:p>
      <w:pPr>
        <w:pStyle w:val="LOnormal"/>
        <w:spacing w:lineRule="auto" w:line="240"/>
        <w:jc w:val="left"/>
        <w:rPr>
          <w:color w:val="000000"/>
          <w:sz w:val="24"/>
          <w:szCs w:val="24"/>
        </w:rPr>
      </w:pPr>
      <w:r>
        <w:rPr>
          <w:color w:val="000000"/>
          <w:sz w:val="24"/>
          <w:szCs w:val="24"/>
        </w:rPr>
      </w:r>
    </w:p>
    <w:p>
      <w:pPr>
        <w:pStyle w:val="LOnormal"/>
        <w:spacing w:lineRule="auto" w:line="240"/>
        <w:jc w:val="left"/>
        <w:rPr>
          <w:color w:val="000000"/>
        </w:rPr>
      </w:pPr>
      <w:r>
        <w:rPr>
          <w:color w:val="000000"/>
          <w:sz w:val="24"/>
          <w:szCs w:val="24"/>
        </w:rPr>
        <w:t xml:space="preserve">BRASIL. Ministério da Saúde. </w:t>
      </w:r>
      <w:r>
        <w:rPr>
          <w:b/>
          <w:bCs/>
          <w:color w:val="000000"/>
          <w:sz w:val="24"/>
          <w:szCs w:val="24"/>
        </w:rPr>
        <w:t>Política Nacional de Humanização</w:t>
      </w:r>
      <w:r>
        <w:rPr>
          <w:color w:val="000000"/>
          <w:sz w:val="24"/>
          <w:szCs w:val="24"/>
        </w:rPr>
        <w:t>: HumanizaSUS. Brasília: Ministério da Saúde, 2013.</w:t>
      </w:r>
    </w:p>
    <w:p>
      <w:pPr>
        <w:pStyle w:val="LOnormal"/>
        <w:spacing w:lineRule="auto" w:line="240"/>
        <w:jc w:val="left"/>
        <w:rPr>
          <w:color w:val="000000"/>
          <w:sz w:val="24"/>
          <w:szCs w:val="24"/>
        </w:rPr>
      </w:pPr>
      <w:r>
        <w:rPr>
          <w:color w:val="000000"/>
          <w:sz w:val="24"/>
          <w:szCs w:val="24"/>
        </w:rPr>
      </w:r>
    </w:p>
    <w:p>
      <w:pPr>
        <w:pStyle w:val="LOnormal"/>
        <w:spacing w:lineRule="auto" w:line="240"/>
        <w:jc w:val="left"/>
        <w:rPr>
          <w:color w:val="000000"/>
        </w:rPr>
      </w:pPr>
      <w:r>
        <w:rPr>
          <w:color w:val="000000"/>
          <w:sz w:val="24"/>
          <w:szCs w:val="24"/>
        </w:rPr>
        <w:t xml:space="preserve">CFESS - Conselho Federal de Serviço Social. </w:t>
      </w:r>
      <w:bookmarkStart w:id="0" w:name="_Hlk201168039"/>
      <w:r>
        <w:rPr>
          <w:b/>
          <w:bCs/>
          <w:color w:val="000000"/>
          <w:sz w:val="24"/>
          <w:szCs w:val="24"/>
        </w:rPr>
        <w:t>Parâmetros para a atuação de assistentes sociais na política de saúde</w:t>
      </w:r>
      <w:r>
        <w:rPr>
          <w:color w:val="000000"/>
          <w:sz w:val="24"/>
          <w:szCs w:val="24"/>
        </w:rPr>
        <w:t>. Brasília</w:t>
      </w:r>
      <w:bookmarkEnd w:id="0"/>
      <w:r>
        <w:rPr>
          <w:color w:val="000000"/>
          <w:sz w:val="24"/>
          <w:szCs w:val="24"/>
        </w:rPr>
        <w:t>: CFESS, 2010.</w:t>
      </w:r>
    </w:p>
    <w:p>
      <w:pPr>
        <w:pStyle w:val="LOnormal"/>
        <w:spacing w:lineRule="auto" w:line="240"/>
        <w:jc w:val="left"/>
        <w:rPr>
          <w:color w:val="000000"/>
          <w:sz w:val="24"/>
          <w:szCs w:val="24"/>
        </w:rPr>
      </w:pPr>
      <w:r>
        <w:rPr>
          <w:color w:val="000000"/>
          <w:sz w:val="24"/>
          <w:szCs w:val="24"/>
        </w:rPr>
      </w:r>
    </w:p>
    <w:p>
      <w:pPr>
        <w:pStyle w:val="LOnormal"/>
        <w:spacing w:lineRule="auto" w:line="240"/>
        <w:jc w:val="left"/>
        <w:rPr>
          <w:color w:val="000000"/>
        </w:rPr>
      </w:pPr>
      <w:r>
        <w:rPr>
          <w:color w:val="000000"/>
          <w:sz w:val="24"/>
          <w:szCs w:val="24"/>
        </w:rPr>
        <w:t xml:space="preserve">GAMA, Andréa. </w:t>
      </w:r>
      <w:r>
        <w:rPr>
          <w:b/>
          <w:bCs/>
          <w:color w:val="000000"/>
          <w:sz w:val="24"/>
          <w:szCs w:val="24"/>
        </w:rPr>
        <w:t>Trabalho, Familia e Gênero</w:t>
      </w:r>
      <w:r>
        <w:rPr>
          <w:color w:val="000000"/>
          <w:sz w:val="24"/>
          <w:szCs w:val="24"/>
        </w:rPr>
        <w:t>: Impactos dos direitos do trabalho e da educação infantil. São Paulo: Cortez, 2014.</w:t>
      </w:r>
    </w:p>
    <w:p>
      <w:pPr>
        <w:pStyle w:val="LOnormal"/>
        <w:spacing w:lineRule="auto" w:line="240"/>
        <w:jc w:val="left"/>
        <w:rPr>
          <w:color w:val="000000"/>
          <w:sz w:val="24"/>
          <w:szCs w:val="24"/>
        </w:rPr>
      </w:pPr>
      <w:r>
        <w:rPr>
          <w:color w:val="000000"/>
          <w:sz w:val="24"/>
          <w:szCs w:val="24"/>
        </w:rPr>
      </w:r>
    </w:p>
    <w:p>
      <w:pPr>
        <w:pStyle w:val="LOnormal"/>
        <w:spacing w:lineRule="auto" w:line="240"/>
        <w:jc w:val="left"/>
        <w:rPr/>
      </w:pPr>
      <w:r>
        <w:rPr>
          <w:color w:val="000000"/>
          <w:sz w:val="24"/>
          <w:szCs w:val="24"/>
        </w:rPr>
        <w:t xml:space="preserve">GARIGLIO, Maria. T. </w:t>
      </w:r>
      <w:r>
        <w:rPr>
          <w:rStyle w:val="Nfase"/>
          <w:b/>
          <w:bCs/>
          <w:i w:val="false"/>
          <w:iCs w:val="false"/>
          <w:color w:val="000000"/>
          <w:sz w:val="24"/>
          <w:szCs w:val="24"/>
        </w:rPr>
        <w:t>O cuidado em saúde</w:t>
      </w:r>
      <w:r>
        <w:rPr>
          <w:color w:val="000000"/>
          <w:sz w:val="24"/>
          <w:szCs w:val="24"/>
        </w:rPr>
        <w:t xml:space="preserve">. In: MINAS GERAIS. Escola de Saúde Pública do Estado de Minas Gerais. </w:t>
      </w:r>
      <w:r>
        <w:rPr>
          <w:rStyle w:val="Nfaseforte"/>
          <w:b w:val="false"/>
          <w:bCs w:val="false"/>
          <w:color w:val="000000"/>
          <w:sz w:val="24"/>
          <w:szCs w:val="24"/>
        </w:rPr>
        <w:t>Oficinas de qualificação da atenção primária à saúde em Belo Horizonte: Oficina 2 - Atenção centrada na pessoa</w:t>
      </w:r>
      <w:r>
        <w:rPr>
          <w:b w:val="false"/>
          <w:bCs w:val="false"/>
          <w:color w:val="000000"/>
          <w:sz w:val="24"/>
          <w:szCs w:val="24"/>
        </w:rPr>
        <w:t xml:space="preserve">. </w:t>
      </w:r>
      <w:r>
        <w:rPr>
          <w:color w:val="000000"/>
          <w:sz w:val="24"/>
          <w:szCs w:val="24"/>
        </w:rPr>
        <w:t xml:space="preserve">Belo Horizonte: ESP-MG, 2012. </w:t>
      </w:r>
    </w:p>
    <w:p>
      <w:pPr>
        <w:pStyle w:val="LOnormal"/>
        <w:spacing w:lineRule="auto" w:line="240" w:before="280" w:after="280"/>
        <w:jc w:val="left"/>
        <w:rPr>
          <w:color w:val="000000"/>
        </w:rPr>
      </w:pPr>
      <w:r>
        <w:rPr>
          <w:color w:val="000000"/>
          <w:sz w:val="24"/>
          <w:szCs w:val="24"/>
        </w:rPr>
        <w:t xml:space="preserve">LISBÔA, Carin Otilia Kaefer; AGUIAR, Laurem Janine Pereira de; BELLINI, Maria Isabel Barros. </w:t>
      </w:r>
      <w:r>
        <w:rPr>
          <w:b/>
          <w:bCs/>
          <w:color w:val="000000"/>
          <w:sz w:val="24"/>
          <w:szCs w:val="24"/>
        </w:rPr>
        <w:t>Família, familismo e a (des)responsabilização do Estado.</w:t>
      </w:r>
      <w:r>
        <w:rPr>
          <w:color w:val="000000"/>
          <w:sz w:val="24"/>
          <w:szCs w:val="24"/>
        </w:rPr>
        <w:t xml:space="preserve"> In: Anais, 2022. </w:t>
      </w:r>
    </w:p>
    <w:p>
      <w:pPr>
        <w:pStyle w:val="LOnormal"/>
        <w:spacing w:lineRule="auto" w:line="240" w:before="280" w:after="280"/>
        <w:jc w:val="left"/>
        <w:rPr>
          <w:color w:val="000000"/>
        </w:rPr>
      </w:pPr>
      <w:r>
        <w:rPr>
          <w:color w:val="000000"/>
          <w:sz w:val="24"/>
          <w:szCs w:val="24"/>
        </w:rPr>
        <w:t xml:space="preserve">ALVES, Francielle Lopes; MIOTO, Regina Célia Tamaso. </w:t>
      </w:r>
      <w:r>
        <w:rPr>
          <w:b/>
          <w:bCs/>
          <w:color w:val="000000"/>
          <w:sz w:val="24"/>
          <w:szCs w:val="24"/>
        </w:rPr>
        <w:t>O familismo nos serviços de saúde</w:t>
      </w:r>
      <w:r>
        <w:rPr>
          <w:color w:val="000000"/>
          <w:sz w:val="24"/>
          <w:szCs w:val="24"/>
        </w:rPr>
        <w:t xml:space="preserve">: expressões em trajetórias assistenciais. Argumentum, Vitória (ES), v. 7, n. 2, p. 208-220, jul./dez. 2015. </w:t>
      </w:r>
    </w:p>
    <w:p>
      <w:pPr>
        <w:pStyle w:val="LOnormal"/>
        <w:spacing w:lineRule="auto" w:line="240" w:before="280" w:after="160"/>
        <w:jc w:val="left"/>
        <w:rPr/>
      </w:pPr>
      <w:r>
        <w:rPr>
          <w:color w:val="000000"/>
          <w:sz w:val="24"/>
          <w:szCs w:val="24"/>
        </w:rPr>
        <w:t xml:space="preserve">MIOTO, Regina Célia Tamaso; DAL PRÁ, Keli Regina. </w:t>
      </w:r>
      <w:r>
        <w:rPr>
          <w:rStyle w:val="Nfase"/>
          <w:b/>
          <w:bCs/>
          <w:i w:val="false"/>
          <w:iCs w:val="false"/>
          <w:color w:val="000000"/>
          <w:sz w:val="24"/>
          <w:szCs w:val="24"/>
        </w:rPr>
        <w:t xml:space="preserve">Serviços sociais e responsabilização da família: </w:t>
      </w:r>
      <w:r>
        <w:rPr>
          <w:rStyle w:val="Nfase"/>
          <w:b w:val="false"/>
          <w:bCs w:val="false"/>
          <w:i w:val="false"/>
          <w:iCs w:val="false"/>
          <w:color w:val="000000"/>
          <w:sz w:val="24"/>
          <w:szCs w:val="24"/>
        </w:rPr>
        <w:t>contradições da política social brasileira</w:t>
      </w:r>
      <w:r>
        <w:rPr>
          <w:b w:val="false"/>
          <w:bCs w:val="false"/>
          <w:i w:val="false"/>
          <w:iCs w:val="false"/>
          <w:color w:val="000000"/>
          <w:sz w:val="24"/>
          <w:szCs w:val="24"/>
        </w:rPr>
        <w:t>.</w:t>
      </w:r>
      <w:r>
        <w:rPr>
          <w:b/>
          <w:bCs/>
          <w:i w:val="false"/>
          <w:iCs w:val="false"/>
          <w:color w:val="000000"/>
          <w:sz w:val="24"/>
          <w:szCs w:val="24"/>
        </w:rPr>
        <w:t xml:space="preserve"> </w:t>
      </w:r>
      <w:r>
        <w:rPr>
          <w:color w:val="000000"/>
          <w:sz w:val="24"/>
          <w:szCs w:val="24"/>
        </w:rPr>
        <w:t xml:space="preserve">In: encontro nacional de pesquisadores em serviço social – ENPESS, 13., 2012, Juiz de Fora. </w:t>
      </w:r>
    </w:p>
    <w:p>
      <w:pPr>
        <w:pStyle w:val="LOnormal"/>
        <w:spacing w:lineRule="auto" w:line="240" w:before="280" w:after="160"/>
        <w:jc w:val="left"/>
        <w:rPr/>
      </w:pPr>
      <w:r>
        <w:rPr>
          <w:color w:val="000000"/>
          <w:sz w:val="24"/>
          <w:szCs w:val="24"/>
        </w:rPr>
        <w:t xml:space="preserve">PIZZINATO, Adolfo; PAGNUSSAT, Esequiel; CARGNELUTTI, Ezequiel Simonetti; LOBO, Nathália dos Santos; MOTTA, Roberta Fin. </w:t>
      </w:r>
      <w:r>
        <w:rPr>
          <w:b/>
          <w:bCs/>
          <w:color w:val="000000"/>
          <w:sz w:val="24"/>
          <w:szCs w:val="24"/>
        </w:rPr>
        <w:t>Análise da rede de apoio e do apoio social na percepção de usuários e profissionais da proteção social básica</w:t>
      </w:r>
      <w:r>
        <w:rPr>
          <w:color w:val="000000"/>
          <w:sz w:val="24"/>
          <w:szCs w:val="24"/>
        </w:rPr>
        <w:t xml:space="preserve">. </w:t>
      </w:r>
      <w:r>
        <w:rPr>
          <w:rStyle w:val="Nfase"/>
          <w:color w:val="000000"/>
          <w:sz w:val="24"/>
          <w:szCs w:val="24"/>
        </w:rPr>
        <w:t>Estudos de Psicologia (Natal)</w:t>
      </w:r>
      <w:r>
        <w:rPr>
          <w:color w:val="000000"/>
          <w:sz w:val="24"/>
          <w:szCs w:val="24"/>
        </w:rPr>
        <w:t xml:space="preserve">, Natal, v. 23, n. 2, p. 125–136, abr./jun. 2018. DOI: </w:t>
      </w:r>
      <w:hyperlink r:id="rId2" w:tgtFrame="_new">
        <w:r>
          <w:rPr>
            <w:rStyle w:val="LinkdaInternet"/>
            <w:color w:val="000000"/>
            <w:sz w:val="24"/>
            <w:szCs w:val="24"/>
          </w:rPr>
          <w:t>https://doi.org/10.22491/1678-4669.20180015</w:t>
        </w:r>
      </w:hyperlink>
      <w:r>
        <w:rPr>
          <w:color w:val="000000"/>
          <w:sz w:val="24"/>
          <w:szCs w:val="24"/>
        </w:rPr>
        <w:t xml:space="preserve">. </w:t>
      </w:r>
    </w:p>
    <w:sectPr>
      <w:headerReference w:type="default" r:id="rId3"/>
      <w:footnotePr>
        <w:numFmt w:val="decimal"/>
      </w:footnotePr>
      <w:type w:val="nextPage"/>
      <w:pgSz w:w="11906" w:h="16838"/>
      <w:pgMar w:left="1701" w:right="1134" w:header="3401" w:top="3458" w:footer="0" w:bottom="1134"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Segoe UI">
    <w:charset w:val="00"/>
    <w:family w:val="roman"/>
    <w:pitch w:val="variable"/>
  </w:font>
  <w:font w:name="Liberation Sans">
    <w:altName w:val="Arial"/>
    <w:charset w:val="00"/>
    <w:family w:val="roman"/>
    <w:pitch w:val="variable"/>
  </w:font>
  <w:font w:name="Georgia">
    <w:charset w:val="00"/>
    <w:family w:val="roman"/>
    <w:pitch w:val="variable"/>
  </w:font>
  <w:font w:name="Calibri">
    <w:charset w:val="00"/>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aderodap"/>
        <w:jc w:val="both"/>
        <w:rPr>
          <w:rFonts w:ascii="Arial" w:hAnsi="Arial" w:cs="Arial"/>
        </w:rPr>
      </w:pPr>
      <w:r>
        <w:rPr>
          <w:rStyle w:val="Caracteresdenotaderodap"/>
        </w:rPr>
        <w:footnoteRef/>
      </w:r>
      <w:r>
        <w:rPr>
          <w:rFonts w:cs="Arial"/>
        </w:rPr>
        <w:tab/>
        <w:t xml:space="preserve">Discente do curso bacharelado em Serviço Social da </w:t>
      </w:r>
      <w:bookmarkStart w:id="1" w:name="_Hlk191655900"/>
      <w:r>
        <w:rPr>
          <w:rFonts w:cs="Arial"/>
        </w:rPr>
        <w:t>Universidade Federal do Piauí</w:t>
      </w:r>
      <w:bookmarkEnd w:id="1"/>
      <w:r>
        <w:rPr>
          <w:rFonts w:cs="Arial"/>
        </w:rPr>
        <w:t xml:space="preserve">. E-mail: </w:t>
      </w:r>
      <w:hyperlink r:id="rId1">
        <w:r>
          <w:rPr>
            <w:rStyle w:val="LinkdaInternet"/>
            <w:rFonts w:cs="Arial"/>
          </w:rPr>
          <w:t>lilian.santos@ufpi.edu.br</w:t>
        </w:r>
      </w:hyperlink>
    </w:p>
  </w:footnote>
  <w:footnote w:id="3">
    <w:p>
      <w:pPr>
        <w:pStyle w:val="Notaderodap"/>
        <w:rPr/>
      </w:pPr>
      <w:r>
        <w:rPr>
          <w:rStyle w:val="Caracteresdenotaderodap"/>
        </w:rPr>
        <w:footnoteRef/>
      </w:r>
      <w:r>
        <w:rPr/>
        <w:tab/>
        <w:t xml:space="preserve">Discente do curso bacharelado em Serviço Social da Universidade Federal do Piauí. E-mail: </w:t>
      </w:r>
      <w:hyperlink r:id="rId2">
        <w:r>
          <w:rPr>
            <w:rStyle w:val="LinkdaInternet"/>
          </w:rPr>
          <w:t>hellenbeatrz@ufpi.edu.br</w:t>
        </w:r>
      </w:hyperlink>
      <w:r>
        <w:rPr/>
        <w:t xml:space="preserve"> </w:t>
      </w:r>
    </w:p>
  </w:footnote>
  <w:footnote w:id="4">
    <w:p>
      <w:pPr>
        <w:pStyle w:val="Notaderodap"/>
        <w:rPr/>
      </w:pPr>
      <w:r>
        <w:rPr>
          <w:rStyle w:val="Caracteresdenotaderodap"/>
        </w:rPr>
        <w:footnoteRef/>
      </w:r>
      <w:r>
        <w:rPr/>
        <w:tab/>
        <w:t xml:space="preserve">Assistente Social do Hospital Universitário da Universidade Federal do Piauí. E-mail: </w:t>
      </w:r>
      <w:hyperlink r:id="rId3">
        <w:r>
          <w:rPr>
            <w:rStyle w:val="LinkdaInternet"/>
          </w:rPr>
          <w:t>asjoanadarclima@gmail.com</w:t>
        </w:r>
      </w:hyperlink>
      <w:r>
        <w:rPr/>
        <w:t xml:space="preserve">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rPr/>
    </w:pPr>
    <w:r>
      <w:rPr/>
      <w:drawing>
        <wp:anchor behindDoc="1" distT="0" distB="0" distL="0" distR="0" simplePos="0" locked="0" layoutInCell="0" allowOverlap="1" relativeHeight="12">
          <wp:simplePos x="0" y="0"/>
          <wp:positionH relativeFrom="column">
            <wp:posOffset>-1080135</wp:posOffset>
          </wp:positionH>
          <wp:positionV relativeFrom="paragraph">
            <wp:posOffset>-2195195</wp:posOffset>
          </wp:positionV>
          <wp:extent cx="7563485" cy="10727690"/>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7563485" cy="10727690"/>
                  </a:xfrm>
                  <a:prstGeom prst="rect">
                    <a:avLst/>
                  </a:prstGeom>
                </pic:spPr>
              </pic:pic>
            </a:graphicData>
          </a:graphic>
        </wp:anchor>
      </w:drawing>
    </w:r>
  </w:p>
</w:hdr>
</file>

<file path=word/settings.xml><?xml version="1.0" encoding="utf-8"?>
<w:settings xmlns:w="http://schemas.openxmlformats.org/wordprocessingml/2006/main">
  <w:zoom w:percent="120"/>
  <w:defaultTabStop w:val="72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pt-BR"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next w:val="LOnormal"/>
    <w:qFormat/>
    <w:pPr>
      <w:widowControl/>
      <w:suppressAutoHyphens w:val="true"/>
      <w:bidi w:val="0"/>
      <w:spacing w:lineRule="auto" w:line="276" w:before="0" w:after="0"/>
      <w:jc w:val="left"/>
      <w:textAlignment w:val="top"/>
      <w:outlineLvl w:val="0"/>
    </w:pPr>
    <w:rPr>
      <w:rFonts w:ascii="Arial" w:hAnsi="Arial" w:eastAsia="Arial" w:cs="Arial"/>
      <w:color w:val="auto"/>
      <w:kern w:val="0"/>
      <w:sz w:val="22"/>
      <w:szCs w:val="22"/>
      <w:lang w:val="pt-BR" w:eastAsia="pt-BR" w:bidi="ar-SA"/>
    </w:rPr>
  </w:style>
  <w:style w:type="paragraph" w:styleId="Ttulo1">
    <w:name w:val="Heading 1"/>
    <w:basedOn w:val="LOnormal"/>
    <w:next w:val="LOnormal"/>
    <w:uiPriority w:val="9"/>
    <w:qFormat/>
    <w:pPr>
      <w:keepNext w:val="true"/>
      <w:keepLines/>
      <w:spacing w:before="400" w:after="120"/>
      <w:textAlignment w:val="top"/>
      <w:outlineLvl w:val="0"/>
    </w:pPr>
    <w:rPr>
      <w:sz w:val="40"/>
      <w:szCs w:val="40"/>
      <w:lang w:eastAsia="pt-BR" w:bidi="ar-SA"/>
    </w:rPr>
  </w:style>
  <w:style w:type="paragraph" w:styleId="Ttulo2">
    <w:name w:val="Heading 2"/>
    <w:basedOn w:val="LOnormal"/>
    <w:next w:val="LOnormal"/>
    <w:uiPriority w:val="9"/>
    <w:semiHidden/>
    <w:unhideWhenUsed/>
    <w:qFormat/>
    <w:pPr>
      <w:keepNext w:val="true"/>
      <w:keepLines/>
      <w:spacing w:before="360" w:after="120"/>
      <w:textAlignment w:val="top"/>
      <w:outlineLvl w:val="1"/>
    </w:pPr>
    <w:rPr>
      <w:sz w:val="32"/>
      <w:szCs w:val="32"/>
      <w:lang w:eastAsia="pt-BR" w:bidi="ar-SA"/>
    </w:rPr>
  </w:style>
  <w:style w:type="paragraph" w:styleId="Ttulo3">
    <w:name w:val="Heading 3"/>
    <w:basedOn w:val="LOnormal"/>
    <w:next w:val="LOnormal"/>
    <w:uiPriority w:val="9"/>
    <w:semiHidden/>
    <w:unhideWhenUsed/>
    <w:qFormat/>
    <w:pPr>
      <w:keepNext w:val="true"/>
      <w:keepLines/>
      <w:spacing w:before="320" w:after="80"/>
      <w:textAlignment w:val="top"/>
      <w:outlineLvl w:val="2"/>
    </w:pPr>
    <w:rPr>
      <w:color w:val="434343"/>
      <w:sz w:val="28"/>
      <w:szCs w:val="28"/>
      <w:lang w:eastAsia="pt-BR" w:bidi="ar-SA"/>
    </w:rPr>
  </w:style>
  <w:style w:type="paragraph" w:styleId="Ttulo4">
    <w:name w:val="Heading 4"/>
    <w:basedOn w:val="LOnormal"/>
    <w:next w:val="LOnormal"/>
    <w:uiPriority w:val="9"/>
    <w:semiHidden/>
    <w:unhideWhenUsed/>
    <w:qFormat/>
    <w:pPr>
      <w:keepNext w:val="true"/>
      <w:keepLines/>
      <w:spacing w:before="280" w:after="80"/>
      <w:textAlignment w:val="top"/>
      <w:outlineLvl w:val="3"/>
    </w:pPr>
    <w:rPr>
      <w:color w:val="666666"/>
      <w:sz w:val="24"/>
      <w:szCs w:val="24"/>
      <w:lang w:eastAsia="pt-BR" w:bidi="ar-SA"/>
    </w:rPr>
  </w:style>
  <w:style w:type="paragraph" w:styleId="Ttulo5">
    <w:name w:val="Heading 5"/>
    <w:basedOn w:val="LOnormal"/>
    <w:next w:val="LOnormal"/>
    <w:uiPriority w:val="9"/>
    <w:semiHidden/>
    <w:unhideWhenUsed/>
    <w:qFormat/>
    <w:pPr>
      <w:keepNext w:val="true"/>
      <w:keepLines/>
      <w:spacing w:before="240" w:after="80"/>
      <w:textAlignment w:val="top"/>
      <w:outlineLvl w:val="4"/>
    </w:pPr>
    <w:rPr>
      <w:color w:val="666666"/>
      <w:lang w:eastAsia="pt-BR" w:bidi="ar-SA"/>
    </w:rPr>
  </w:style>
  <w:style w:type="paragraph" w:styleId="Ttulo6">
    <w:name w:val="Heading 6"/>
    <w:basedOn w:val="LOnormal"/>
    <w:next w:val="LOnormal"/>
    <w:uiPriority w:val="9"/>
    <w:semiHidden/>
    <w:unhideWhenUsed/>
    <w:qFormat/>
    <w:pPr>
      <w:keepNext w:val="true"/>
      <w:keepLines/>
      <w:spacing w:before="240" w:after="80"/>
      <w:textAlignment w:val="top"/>
      <w:outlineLvl w:val="5"/>
    </w:pPr>
    <w:rPr>
      <w:i/>
      <w:color w:val="666666"/>
      <w:lang w:eastAsia="pt-BR" w:bidi="ar-SA"/>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qFormat/>
    <w:rPr>
      <w:w w:val="100"/>
      <w:position w:val="0"/>
      <w:sz w:val="22"/>
      <w:sz w:val="22"/>
      <w:effect w:val="none"/>
      <w:vertAlign w:val="baseline"/>
      <w:em w:val="none"/>
    </w:rPr>
  </w:style>
  <w:style w:type="character" w:styleId="RodapChar" w:customStyle="1">
    <w:name w:val="Rodapé Char"/>
    <w:basedOn w:val="DefaultParagraphFont"/>
    <w:qFormat/>
    <w:rPr>
      <w:w w:val="100"/>
      <w:position w:val="0"/>
      <w:sz w:val="22"/>
      <w:sz w:val="22"/>
      <w:effect w:val="none"/>
      <w:vertAlign w:val="baseline"/>
      <w:em w:val="none"/>
    </w:rPr>
  </w:style>
  <w:style w:type="character" w:styleId="Annotationreference">
    <w:name w:val="annotation reference"/>
    <w:basedOn w:val="DefaultParagraphFont"/>
    <w:uiPriority w:val="99"/>
    <w:semiHidden/>
    <w:unhideWhenUsed/>
    <w:qFormat/>
    <w:rsid w:val="002e3a1c"/>
    <w:rPr>
      <w:sz w:val="16"/>
      <w:szCs w:val="16"/>
    </w:rPr>
  </w:style>
  <w:style w:type="character" w:styleId="TextodecomentrioChar" w:customStyle="1">
    <w:name w:val="Texto de comentário Char"/>
    <w:basedOn w:val="DefaultParagraphFont"/>
    <w:link w:val="Textodecomentrio"/>
    <w:uiPriority w:val="99"/>
    <w:semiHidden/>
    <w:qFormat/>
    <w:rsid w:val="002e3a1c"/>
    <w:rPr>
      <w:sz w:val="20"/>
      <w:szCs w:val="20"/>
      <w:lang w:eastAsia="pt-BR" w:bidi="ar-SA"/>
    </w:rPr>
  </w:style>
  <w:style w:type="character" w:styleId="AssuntodocomentrioChar" w:customStyle="1">
    <w:name w:val="Assunto do comentário Char"/>
    <w:basedOn w:val="TextodecomentrioChar"/>
    <w:link w:val="Assuntodocomentrio"/>
    <w:uiPriority w:val="99"/>
    <w:semiHidden/>
    <w:qFormat/>
    <w:rsid w:val="002e3a1c"/>
    <w:rPr>
      <w:b/>
      <w:bCs/>
      <w:sz w:val="20"/>
      <w:szCs w:val="20"/>
      <w:lang w:eastAsia="pt-BR" w:bidi="ar-SA"/>
    </w:rPr>
  </w:style>
  <w:style w:type="character" w:styleId="TextodebaloChar" w:customStyle="1">
    <w:name w:val="Texto de balão Char"/>
    <w:basedOn w:val="DefaultParagraphFont"/>
    <w:link w:val="Textodebalo"/>
    <w:uiPriority w:val="99"/>
    <w:semiHidden/>
    <w:qFormat/>
    <w:rsid w:val="002e3a1c"/>
    <w:rPr>
      <w:rFonts w:ascii="Segoe UI" w:hAnsi="Segoe UI" w:cs="Segoe UI"/>
      <w:sz w:val="18"/>
      <w:szCs w:val="18"/>
      <w:lang w:eastAsia="pt-BR" w:bidi="ar-SA"/>
    </w:rPr>
  </w:style>
  <w:style w:type="character" w:styleId="Nfase">
    <w:name w:val="Ênfase"/>
    <w:qFormat/>
    <w:rPr>
      <w:i/>
      <w:iCs/>
    </w:rPr>
  </w:style>
  <w:style w:type="character" w:styleId="Nfaseforte">
    <w:name w:val="Ênfase forte"/>
    <w:qFormat/>
    <w:rPr>
      <w:b/>
      <w:bCs/>
    </w:rPr>
  </w:style>
  <w:style w:type="character" w:styleId="Caracteresdenotaderodap">
    <w:name w:val="Caracteres de nota de rodapé"/>
    <w:qFormat/>
    <w:rPr/>
  </w:style>
  <w:style w:type="character" w:styleId="Ncoradanotaderodap">
    <w:name w:val="Âncora da nota de rodapé"/>
    <w:rPr>
      <w:vertAlign w:val="superscript"/>
    </w:rPr>
  </w:style>
  <w:style w:type="character" w:styleId="LinkdaInternet">
    <w:name w:val="Link da Internet"/>
    <w:rPr>
      <w:color w:val="000080"/>
      <w:u w:val="single"/>
      <w:lang w:val="zxx" w:eastAsia="zxx" w:bidi="zxx"/>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before="0" w:after="140"/>
    </w:pPr>
    <w:rPr/>
  </w:style>
  <w:style w:type="paragraph" w:styleId="Lista">
    <w:name w:val="List"/>
    <w:basedOn w:val="Corpodotexto"/>
    <w:pPr/>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style>
  <w:style w:type="paragraph" w:styleId="Ttulododocumento">
    <w:name w:val="Title"/>
    <w:basedOn w:val="LOnormal"/>
    <w:next w:val="LOnormal"/>
    <w:uiPriority w:val="10"/>
    <w:qFormat/>
    <w:pPr>
      <w:keepNext w:val="true"/>
      <w:keepLines/>
      <w:spacing w:lineRule="auto" w:line="240" w:before="480" w:after="120"/>
    </w:pPr>
    <w:rPr>
      <w:b/>
      <w:sz w:val="72"/>
      <w:szCs w:val="72"/>
    </w:rPr>
  </w:style>
  <w:style w:type="paragraph" w:styleId="Caption">
    <w:name w:val="caption"/>
    <w:basedOn w:val="Normal"/>
    <w:qFormat/>
    <w:pPr>
      <w:suppressLineNumbers/>
      <w:spacing w:before="120" w:after="120"/>
    </w:pPr>
    <w:rPr>
      <w:i/>
      <w:iCs/>
      <w:sz w:val="24"/>
      <w:szCs w:val="24"/>
    </w:rPr>
  </w:style>
  <w:style w:type="paragraph" w:styleId="LOnormal" w:customStyle="1">
    <w:name w:val="LO-normal"/>
    <w:qFormat/>
    <w:pPr>
      <w:widowControl/>
      <w:suppressAutoHyphens w:val="true"/>
      <w:bidi w:val="0"/>
      <w:spacing w:lineRule="auto" w:line="276" w:before="0" w:after="0"/>
      <w:jc w:val="left"/>
    </w:pPr>
    <w:rPr>
      <w:rFonts w:ascii="Arial" w:hAnsi="Arial" w:eastAsia="Arial" w:cs="Arial"/>
      <w:color w:val="auto"/>
      <w:kern w:val="0"/>
      <w:sz w:val="22"/>
      <w:szCs w:val="22"/>
      <w:lang w:val="pt-BR" w:eastAsia="zh-CN" w:bidi="hi-IN"/>
    </w:rPr>
  </w:style>
  <w:style w:type="paragraph" w:styleId="Subttulo">
    <w:name w:val="Subtitle"/>
    <w:basedOn w:val="LOnormal"/>
    <w:next w:val="LOnormal"/>
    <w:uiPriority w:val="11"/>
    <w:qFormat/>
    <w:pPr>
      <w:keepNext w:val="true"/>
      <w:keepLines/>
      <w:spacing w:lineRule="auto" w:line="240" w:before="360" w:after="80"/>
    </w:pPr>
    <w:rPr>
      <w:rFonts w:ascii="Georgia" w:hAnsi="Georgia" w:eastAsia="Georgia" w:cs="Georgia"/>
      <w:i/>
      <w:color w:val="666666"/>
      <w:sz w:val="48"/>
      <w:szCs w:val="48"/>
    </w:rPr>
  </w:style>
  <w:style w:type="paragraph" w:styleId="CabealhoeRodap" w:customStyle="1">
    <w:name w:val="Cabeçalho e Rodapé"/>
    <w:basedOn w:val="Normal"/>
    <w:qFormat/>
    <w:pPr/>
    <w:rPr/>
  </w:style>
  <w:style w:type="paragraph" w:styleId="Cabealho">
    <w:name w:val="Header"/>
    <w:basedOn w:val="LOnormal"/>
    <w:qFormat/>
    <w:pPr>
      <w:tabs>
        <w:tab w:val="clear" w:pos="720"/>
        <w:tab w:val="center" w:pos="4252" w:leader="none"/>
        <w:tab w:val="right" w:pos="8504" w:leader="none"/>
      </w:tabs>
      <w:spacing w:lineRule="auto" w:line="240"/>
      <w:textAlignment w:val="top"/>
      <w:outlineLvl w:val="0"/>
    </w:pPr>
    <w:rPr>
      <w:lang w:eastAsia="pt-BR" w:bidi="ar-SA"/>
    </w:rPr>
  </w:style>
  <w:style w:type="paragraph" w:styleId="Rodap">
    <w:name w:val="Footer"/>
    <w:basedOn w:val="LOnormal"/>
    <w:qFormat/>
    <w:pPr>
      <w:tabs>
        <w:tab w:val="clear" w:pos="720"/>
        <w:tab w:val="center" w:pos="4252" w:leader="none"/>
        <w:tab w:val="right" w:pos="8504" w:leader="none"/>
      </w:tabs>
      <w:spacing w:lineRule="auto" w:line="240"/>
      <w:textAlignment w:val="top"/>
      <w:outlineLvl w:val="0"/>
    </w:pPr>
    <w:rPr>
      <w:lang w:eastAsia="pt-BR" w:bidi="ar-SA"/>
    </w:rPr>
  </w:style>
  <w:style w:type="paragraph" w:styleId="Annotationtext">
    <w:name w:val="annotation text"/>
    <w:basedOn w:val="Normal"/>
    <w:link w:val="TextodecomentrioChar"/>
    <w:uiPriority w:val="99"/>
    <w:semiHidden/>
    <w:unhideWhenUsed/>
    <w:qFormat/>
    <w:rsid w:val="002e3a1c"/>
    <w:pPr>
      <w:spacing w:lineRule="auto" w:line="240"/>
    </w:pPr>
    <w:rPr>
      <w:sz w:val="20"/>
      <w:szCs w:val="20"/>
    </w:rPr>
  </w:style>
  <w:style w:type="paragraph" w:styleId="Annotationsubject">
    <w:name w:val="annotation subject"/>
    <w:basedOn w:val="Annotationtext"/>
    <w:next w:val="Annotationtext"/>
    <w:link w:val="AssuntodocomentrioChar"/>
    <w:uiPriority w:val="99"/>
    <w:semiHidden/>
    <w:unhideWhenUsed/>
    <w:qFormat/>
    <w:rsid w:val="002e3a1c"/>
    <w:pPr/>
    <w:rPr>
      <w:b/>
      <w:bCs/>
    </w:rPr>
  </w:style>
  <w:style w:type="paragraph" w:styleId="BalloonText">
    <w:name w:val="Balloon Text"/>
    <w:basedOn w:val="Normal"/>
    <w:link w:val="TextodebaloChar"/>
    <w:uiPriority w:val="99"/>
    <w:semiHidden/>
    <w:unhideWhenUsed/>
    <w:qFormat/>
    <w:rsid w:val="002e3a1c"/>
    <w:pPr>
      <w:spacing w:lineRule="auto" w:line="240"/>
    </w:pPr>
    <w:rPr>
      <w:rFonts w:ascii="Segoe UI" w:hAnsi="Segoe UI" w:cs="Segoe UI"/>
      <w:sz w:val="18"/>
      <w:szCs w:val="18"/>
    </w:rPr>
  </w:style>
  <w:style w:type="paragraph" w:styleId="Notaderodap">
    <w:name w:val="Footnote Text"/>
    <w:basedOn w:val="Normal"/>
    <w:pPr>
      <w:suppressLineNumbers/>
      <w:ind w:left="339" w:hanging="339"/>
    </w:pPr>
    <w:rPr>
      <w:sz w:val="20"/>
      <w:szCs w:val="20"/>
    </w:rPr>
  </w:style>
  <w:style w:type="paragraph" w:styleId="Citaes">
    <w:name w:val="Citações"/>
    <w:basedOn w:val="Normal"/>
    <w:qFormat/>
    <w:pPr>
      <w:spacing w:before="0" w:after="283"/>
      <w:ind w:left="567" w:right="567" w:hanging="0"/>
    </w:pPr>
    <w:rPr/>
  </w:style>
  <w:style w:type="paragraph" w:styleId="Contedodatabela">
    <w:name w:val="Conteúdo da tabela"/>
    <w:basedOn w:val="Normal"/>
    <w:qFormat/>
    <w:pPr>
      <w:widowControl w:val="false"/>
      <w:suppressLineNumbers/>
    </w:pPr>
    <w:rPr/>
  </w:style>
  <w:style w:type="paragraph" w:styleId="Ttulodetabela">
    <w:name w:val="Título de tabela"/>
    <w:basedOn w:val="Contedodatabela"/>
    <w:qFormat/>
    <w:pPr>
      <w:suppressLineNumbers/>
      <w:jc w:val="center"/>
    </w:pPr>
    <w:rPr>
      <w:b/>
      <w:bCs/>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0" w:type="dxa"/>
        <w:left w:w="0" w:type="dxa"/>
        <w:bottom w:w="0" w:type="dxa"/>
        <w:right w:w="0" w:type="dxa"/>
      </w:tblCellMar>
    </w:tblPr>
  </w:style>
  <w:style w:type="table" w:customStyle="1" w:styleId="TableNormal0">
    <w:name w:val="Table Normal"/>
    <w:qFormat/>
    <w:pPr>
      <w:spacing w:line="276" w:lineRule="auto"/>
    </w:pPr>
    <w:rPr>
      <w:lang w:eastAsia="pt-BR" w:bidi="ar-SA"/>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oi.org/10.22491/1678-4669.20180015" TargetMode="External"/><Relationship Id="rId3" Type="http://schemas.openxmlformats.org/officeDocument/2006/relationships/header" Target="header1.xml"/><Relationship Id="rId4" Type="http://schemas.openxmlformats.org/officeDocument/2006/relationships/footnotes" Target="footnot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mailto:lilian.santos@ufpi.edu.br" TargetMode="External"/><Relationship Id="rId2" Type="http://schemas.openxmlformats.org/officeDocument/2006/relationships/hyperlink" Target="mailto:hellenbeatrz@ufpi.edu.br" TargetMode="External"/><Relationship Id="rId3" Type="http://schemas.openxmlformats.org/officeDocument/2006/relationships/hyperlink" Target="mailto:asjoanadarclima@gmail.com" TargetMode="Externa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9isTNC3fVUm0ywRCdKAW7fTP6oQ==">CgMxLjA4AHIhMWNQb1JNaXdxRmNZS3dUdnhZX3lpcm9rT25TYkNXRW9u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898</TotalTime>
  <Application>LibreOffice/7.0.6.2$Windows_X86_64 LibreOffice_project/144abb84a525d8e30c9dbbefa69cbbf2d8d4ae3b</Application>
  <AppVersion>15.0000</AppVersion>
  <Pages>11</Pages>
  <Words>3364</Words>
  <Characters>19586</Characters>
  <CharactersWithSpaces>22919</CharactersWithSpaces>
  <Paragraphs>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2025-06-19T01:34:00Z</dcterms:created>
  <dc:creator>DELL</dc:creator>
  <dc:description/>
  <dc:language>pt-BR</dc:language>
  <cp:lastModifiedBy/>
  <dcterms:modified xsi:type="dcterms:W3CDTF">2025-06-26T11:55:34Z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-1191431461</vt:i4>
  </property>
</Properties>
</file>