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156A6" w14:textId="77777777" w:rsidR="00737645" w:rsidRDefault="00000000">
      <w:pPr>
        <w:spacing w:line="360" w:lineRule="auto"/>
        <w:jc w:val="center"/>
        <w:rPr>
          <w:sz w:val="24"/>
          <w:szCs w:val="24"/>
        </w:rPr>
      </w:pPr>
      <w:r>
        <w:rPr>
          <w:b/>
          <w:bCs/>
          <w:caps/>
          <w:sz w:val="24"/>
          <w:szCs w:val="24"/>
        </w:rPr>
        <w:t>Entre a tutela e o abandono:</w:t>
      </w:r>
      <w:r>
        <w:rPr>
          <w:b/>
          <w:bCs/>
          <w:sz w:val="24"/>
          <w:szCs w:val="24"/>
        </w:rPr>
        <w:t xml:space="preserve"> </w:t>
      </w:r>
      <w:r>
        <w:rPr>
          <w:sz w:val="24"/>
          <w:szCs w:val="24"/>
        </w:rPr>
        <w:t>projetos de vida e racismo estrutural na trajetória de adolescentes egressos do acolhimento institucional</w:t>
      </w:r>
    </w:p>
    <w:p w14:paraId="49F5EBB9" w14:textId="77777777" w:rsidR="001F3634" w:rsidRDefault="001F3634">
      <w:pPr>
        <w:spacing w:line="360" w:lineRule="auto"/>
        <w:jc w:val="center"/>
        <w:rPr>
          <w:sz w:val="24"/>
          <w:szCs w:val="24"/>
        </w:rPr>
      </w:pPr>
    </w:p>
    <w:p w14:paraId="4B48292B" w14:textId="44763D43" w:rsidR="00591162" w:rsidRDefault="00591162" w:rsidP="00117389">
      <w:pPr>
        <w:spacing w:line="360" w:lineRule="auto"/>
        <w:jc w:val="right"/>
        <w:rPr>
          <w:sz w:val="24"/>
          <w:szCs w:val="24"/>
        </w:rPr>
      </w:pPr>
      <w:r>
        <w:rPr>
          <w:sz w:val="24"/>
          <w:szCs w:val="24"/>
        </w:rPr>
        <w:t>Elisa</w:t>
      </w:r>
      <w:r w:rsidR="00117389">
        <w:rPr>
          <w:sz w:val="24"/>
          <w:szCs w:val="24"/>
        </w:rPr>
        <w:t xml:space="preserve"> Lima</w:t>
      </w:r>
      <w:r>
        <w:rPr>
          <w:rStyle w:val="Refdenotaderodap"/>
          <w:sz w:val="24"/>
          <w:szCs w:val="24"/>
        </w:rPr>
        <w:footnoteReference w:id="1"/>
      </w:r>
    </w:p>
    <w:p w14:paraId="2F02024A" w14:textId="0E027BEF" w:rsidR="003B512A" w:rsidRDefault="00536D6F" w:rsidP="00591162">
      <w:pPr>
        <w:spacing w:line="360" w:lineRule="auto"/>
        <w:jc w:val="right"/>
        <w:rPr>
          <w:sz w:val="24"/>
          <w:szCs w:val="24"/>
        </w:rPr>
      </w:pPr>
      <w:r>
        <w:rPr>
          <w:sz w:val="24"/>
          <w:szCs w:val="24"/>
        </w:rPr>
        <w:t>J</w:t>
      </w:r>
      <w:r w:rsidR="003B512A">
        <w:rPr>
          <w:sz w:val="24"/>
          <w:szCs w:val="24"/>
        </w:rPr>
        <w:t xml:space="preserve">oana Garcia </w:t>
      </w:r>
      <w:r>
        <w:rPr>
          <w:rStyle w:val="Refdenotaderodap"/>
          <w:sz w:val="24"/>
          <w:szCs w:val="24"/>
        </w:rPr>
        <w:footnoteReference w:id="2"/>
      </w:r>
    </w:p>
    <w:p w14:paraId="761E11EA" w14:textId="74850AF3" w:rsidR="001F3634" w:rsidRDefault="003B512A" w:rsidP="003B512A">
      <w:pPr>
        <w:spacing w:line="360" w:lineRule="auto"/>
        <w:jc w:val="right"/>
      </w:pPr>
      <w:r>
        <w:rPr>
          <w:sz w:val="24"/>
          <w:szCs w:val="24"/>
        </w:rPr>
        <w:t>Vanessa Cristina dos Santos Saraiva</w:t>
      </w:r>
      <w:r>
        <w:rPr>
          <w:rStyle w:val="Refdenotaderodap"/>
        </w:rPr>
        <w:footnoteReference w:id="3"/>
      </w:r>
    </w:p>
    <w:p w14:paraId="2A25E20B" w14:textId="77777777" w:rsidR="00737645" w:rsidRDefault="00737645">
      <w:pPr>
        <w:spacing w:line="240" w:lineRule="auto"/>
        <w:ind w:left="2835"/>
        <w:jc w:val="both"/>
        <w:rPr>
          <w:b/>
          <w:bCs/>
          <w:sz w:val="20"/>
          <w:szCs w:val="20"/>
        </w:rPr>
      </w:pPr>
    </w:p>
    <w:p w14:paraId="0A5D7B45" w14:textId="77777777" w:rsidR="00737645" w:rsidRDefault="00000000">
      <w:pPr>
        <w:spacing w:line="240" w:lineRule="auto"/>
        <w:ind w:left="2835"/>
        <w:jc w:val="both"/>
        <w:rPr>
          <w:b/>
          <w:bCs/>
          <w:sz w:val="20"/>
          <w:szCs w:val="20"/>
        </w:rPr>
      </w:pPr>
      <w:r>
        <w:rPr>
          <w:b/>
          <w:bCs/>
          <w:sz w:val="20"/>
          <w:szCs w:val="20"/>
        </w:rPr>
        <w:t>Resumo</w:t>
      </w:r>
    </w:p>
    <w:p w14:paraId="3F4EAD2E" w14:textId="77777777" w:rsidR="00737645" w:rsidRDefault="00000000">
      <w:pPr>
        <w:spacing w:line="240" w:lineRule="auto"/>
        <w:ind w:left="2835"/>
        <w:jc w:val="both"/>
        <w:rPr>
          <w:sz w:val="20"/>
          <w:szCs w:val="20"/>
        </w:rPr>
      </w:pPr>
      <w:r>
        <w:rPr>
          <w:sz w:val="20"/>
          <w:szCs w:val="20"/>
        </w:rPr>
        <w:t xml:space="preserve">Ao completarem 18 anos, adolescentes que passaram por acolhimento institucional são compulsoriamente desligados dos serviços de proteção, enfrentando a vida adulta com poucas garantias e quase nenhum suporte. Este artigo analisa criticamente esse processo de transição, com foco nas desigualdades estruturais que moldam os projetos de vida desses jovens. </w:t>
      </w:r>
      <w:proofErr w:type="gramStart"/>
      <w:r>
        <w:rPr>
          <w:sz w:val="20"/>
          <w:szCs w:val="20"/>
          <w:lang w:val="en-US"/>
        </w:rPr>
        <w:t>A</w:t>
      </w:r>
      <w:proofErr w:type="gramEnd"/>
      <w:r>
        <w:rPr>
          <w:sz w:val="20"/>
          <w:szCs w:val="20"/>
        </w:rPr>
        <w:t xml:space="preserve"> institucionalização no Brasil segue uma lógica seletiva e racializada, que atinge majoritariamente a juventude negra e pobre. A partir de revisão bibliográfica e análise documental, discute-se a desconexão entre a legislação protetiva e a prática cotidiana das instituições, bem como os limites e disputas em torno da construção da autonomia juvenil. O artigo aponta para a urgência de políticas públicas específicas e integradas, que garantam o direito </w:t>
      </w:r>
      <w:r>
        <w:rPr>
          <w:sz w:val="20"/>
          <w:szCs w:val="20"/>
          <w:lang w:val="en-US"/>
        </w:rPr>
        <w:t xml:space="preserve">a </w:t>
      </w:r>
      <w:proofErr w:type="spellStart"/>
      <w:r>
        <w:rPr>
          <w:sz w:val="20"/>
          <w:szCs w:val="20"/>
          <w:lang w:val="en-US"/>
        </w:rPr>
        <w:t>uma</w:t>
      </w:r>
      <w:proofErr w:type="spellEnd"/>
      <w:r>
        <w:rPr>
          <w:sz w:val="20"/>
          <w:szCs w:val="20"/>
        </w:rPr>
        <w:t xml:space="preserve"> transição </w:t>
      </w:r>
      <w:proofErr w:type="spellStart"/>
      <w:r>
        <w:rPr>
          <w:sz w:val="20"/>
          <w:szCs w:val="20"/>
          <w:lang w:val="en-US"/>
        </w:rPr>
        <w:t>protegida</w:t>
      </w:r>
      <w:proofErr w:type="spellEnd"/>
      <w:r>
        <w:rPr>
          <w:sz w:val="20"/>
          <w:szCs w:val="20"/>
          <w:lang w:val="en-US"/>
        </w:rPr>
        <w:t xml:space="preserve"> para a </w:t>
      </w:r>
      <w:proofErr w:type="spellStart"/>
      <w:r>
        <w:rPr>
          <w:sz w:val="20"/>
          <w:szCs w:val="20"/>
          <w:lang w:val="en-US"/>
        </w:rPr>
        <w:t>vida</w:t>
      </w:r>
      <w:proofErr w:type="spellEnd"/>
      <w:r>
        <w:rPr>
          <w:sz w:val="20"/>
          <w:szCs w:val="20"/>
          <w:lang w:val="en-US"/>
        </w:rPr>
        <w:t xml:space="preserve"> </w:t>
      </w:r>
      <w:proofErr w:type="spellStart"/>
      <w:r>
        <w:rPr>
          <w:sz w:val="20"/>
          <w:szCs w:val="20"/>
          <w:lang w:val="en-US"/>
        </w:rPr>
        <w:t>adulta</w:t>
      </w:r>
      <w:proofErr w:type="spellEnd"/>
      <w:r>
        <w:rPr>
          <w:sz w:val="20"/>
          <w:szCs w:val="20"/>
        </w:rPr>
        <w:t>. Por fim, defende-se o reconhecimento do protagonismo dos jovens egressos como sujeitos de direito, cujas trajetórias são marcadas tanto pela exclusão quanto pela resistência.</w:t>
      </w:r>
    </w:p>
    <w:p w14:paraId="48569082" w14:textId="77777777" w:rsidR="00737645" w:rsidRDefault="00000000">
      <w:pPr>
        <w:spacing w:line="240" w:lineRule="auto"/>
        <w:ind w:left="2835"/>
        <w:jc w:val="both"/>
      </w:pPr>
      <w:r>
        <w:rPr>
          <w:b/>
          <w:bCs/>
          <w:sz w:val="20"/>
          <w:szCs w:val="20"/>
        </w:rPr>
        <w:t>Palavras-chave</w:t>
      </w:r>
      <w:r>
        <w:rPr>
          <w:sz w:val="20"/>
          <w:szCs w:val="20"/>
        </w:rPr>
        <w:t>: acolhimento institucional; juventude negra; projetos de vida.</w:t>
      </w:r>
    </w:p>
    <w:p w14:paraId="3BF29A0D" w14:textId="77777777" w:rsidR="00737645" w:rsidRDefault="00000000">
      <w:pPr>
        <w:spacing w:line="240" w:lineRule="auto"/>
        <w:ind w:left="2835"/>
        <w:jc w:val="both"/>
        <w:rPr>
          <w:b/>
          <w:bCs/>
          <w:sz w:val="20"/>
          <w:szCs w:val="20"/>
          <w:lang w:val="en-US"/>
        </w:rPr>
      </w:pPr>
      <w:r>
        <w:rPr>
          <w:b/>
          <w:bCs/>
          <w:sz w:val="20"/>
          <w:szCs w:val="20"/>
          <w:lang w:val="en-US"/>
        </w:rPr>
        <w:t>Abstract</w:t>
      </w:r>
    </w:p>
    <w:p w14:paraId="650CC1DB" w14:textId="77777777" w:rsidR="00737645" w:rsidRDefault="00000000">
      <w:pPr>
        <w:spacing w:line="240" w:lineRule="auto"/>
        <w:ind w:left="2835"/>
        <w:jc w:val="both"/>
        <w:rPr>
          <w:sz w:val="20"/>
          <w:szCs w:val="20"/>
          <w:lang w:val="en-US"/>
        </w:rPr>
      </w:pPr>
      <w:r>
        <w:rPr>
          <w:sz w:val="20"/>
          <w:szCs w:val="20"/>
          <w:lang w:val="en-US"/>
        </w:rPr>
        <w:t xml:space="preserve">Upon turning 18, adolescents who have lived in institutional care are compulsorily discharged from protection services, facing adulthood with few guarantees and almost no support. This article critically analyzes this transition process, focusing on the structural inequalities that shape these young people's life projects. Institutionalization in Brazil follows a selective and racialized logic, affecting predominantly poor Black youth. Based on a literature review and documentary analysis, the article discusses the disconnection between protective legislation and the everyday practices of institutions, as well as the limits and disputes surrounding the construction of youth autonomy. It argues for the urgency of specific and integrated public policies that ensure the right to a protected transition into adulthood. Finally, it advocates for the recognition of the protagonism of care leavers as rights-bearing </w:t>
      </w:r>
      <w:r>
        <w:rPr>
          <w:sz w:val="20"/>
          <w:szCs w:val="20"/>
          <w:lang w:val="en-US"/>
        </w:rPr>
        <w:lastRenderedPageBreak/>
        <w:t>subjects, whose trajectories are marked both by exclusion and by resistance.</w:t>
      </w:r>
    </w:p>
    <w:p w14:paraId="3575E64C" w14:textId="77777777" w:rsidR="00737645" w:rsidRDefault="00000000">
      <w:pPr>
        <w:spacing w:line="240" w:lineRule="auto"/>
        <w:ind w:left="2835"/>
        <w:jc w:val="both"/>
        <w:rPr>
          <w:sz w:val="20"/>
          <w:szCs w:val="20"/>
          <w:lang w:val="en-US"/>
        </w:rPr>
      </w:pPr>
      <w:r>
        <w:rPr>
          <w:b/>
          <w:bCs/>
          <w:sz w:val="20"/>
          <w:szCs w:val="20"/>
          <w:lang w:val="en-US"/>
        </w:rPr>
        <w:t>Keywords</w:t>
      </w:r>
      <w:r>
        <w:rPr>
          <w:sz w:val="20"/>
          <w:szCs w:val="20"/>
          <w:lang w:val="en-US"/>
        </w:rPr>
        <w:t>: institutional care; Black youth; life projects.</w:t>
      </w:r>
    </w:p>
    <w:p w14:paraId="0710AF21" w14:textId="77777777" w:rsidR="00737645" w:rsidRPr="00637124" w:rsidRDefault="00737645">
      <w:pPr>
        <w:spacing w:line="240" w:lineRule="auto"/>
        <w:ind w:left="2835"/>
        <w:jc w:val="both"/>
        <w:rPr>
          <w:sz w:val="20"/>
          <w:szCs w:val="20"/>
          <w:lang w:val="fr-FR"/>
        </w:rPr>
      </w:pPr>
    </w:p>
    <w:p w14:paraId="261B3D56" w14:textId="77777777" w:rsidR="00737645" w:rsidRPr="00637124" w:rsidRDefault="00737645">
      <w:pPr>
        <w:spacing w:line="360" w:lineRule="auto"/>
        <w:jc w:val="both"/>
        <w:rPr>
          <w:sz w:val="24"/>
          <w:szCs w:val="24"/>
          <w:lang w:val="fr-FR"/>
        </w:rPr>
      </w:pPr>
    </w:p>
    <w:p w14:paraId="7E0CD67E" w14:textId="77777777" w:rsidR="00737645" w:rsidRPr="00637124" w:rsidRDefault="00737645">
      <w:pPr>
        <w:spacing w:line="360" w:lineRule="auto"/>
        <w:jc w:val="both"/>
        <w:rPr>
          <w:sz w:val="24"/>
          <w:szCs w:val="24"/>
          <w:lang w:val="fr-FR"/>
        </w:rPr>
      </w:pPr>
    </w:p>
    <w:p w14:paraId="4D8DA033" w14:textId="77777777" w:rsidR="00737645" w:rsidRPr="00637124" w:rsidRDefault="00737645">
      <w:pPr>
        <w:spacing w:line="360" w:lineRule="auto"/>
        <w:jc w:val="both"/>
        <w:rPr>
          <w:sz w:val="24"/>
          <w:szCs w:val="24"/>
          <w:lang w:val="fr-FR"/>
        </w:rPr>
      </w:pPr>
    </w:p>
    <w:p w14:paraId="4D47AB41" w14:textId="77777777" w:rsidR="00737645" w:rsidRPr="00637124" w:rsidRDefault="00000000">
      <w:pPr>
        <w:spacing w:line="360" w:lineRule="auto"/>
        <w:rPr>
          <w:lang w:val="fr-FR"/>
        </w:rPr>
      </w:pPr>
      <w:r w:rsidRPr="00637124">
        <w:rPr>
          <w:rFonts w:ascii="Arial Unicode MS" w:hAnsi="Arial Unicode MS"/>
          <w:sz w:val="24"/>
          <w:szCs w:val="24"/>
          <w:lang w:val="fr-FR"/>
        </w:rPr>
        <w:br w:type="page"/>
      </w:r>
    </w:p>
    <w:p w14:paraId="5181B793" w14:textId="77777777" w:rsidR="00737645" w:rsidRDefault="00000000">
      <w:pPr>
        <w:spacing w:line="360" w:lineRule="auto"/>
        <w:rPr>
          <w:b/>
          <w:bCs/>
          <w:sz w:val="24"/>
          <w:szCs w:val="24"/>
        </w:rPr>
      </w:pPr>
      <w:r>
        <w:rPr>
          <w:b/>
          <w:bCs/>
          <w:sz w:val="24"/>
          <w:szCs w:val="24"/>
        </w:rPr>
        <w:lastRenderedPageBreak/>
        <w:t>1</w:t>
      </w:r>
      <w:r>
        <w:rPr>
          <w:b/>
          <w:bCs/>
          <w:sz w:val="24"/>
          <w:szCs w:val="24"/>
        </w:rPr>
        <w:tab/>
        <w:t>INTRODUÇÃO</w:t>
      </w:r>
    </w:p>
    <w:p w14:paraId="786C6FDF" w14:textId="77777777" w:rsidR="00737645" w:rsidRDefault="00737645">
      <w:pPr>
        <w:spacing w:line="360" w:lineRule="auto"/>
        <w:jc w:val="both"/>
        <w:rPr>
          <w:sz w:val="24"/>
          <w:szCs w:val="24"/>
        </w:rPr>
      </w:pPr>
    </w:p>
    <w:p w14:paraId="730CA64F" w14:textId="77777777" w:rsidR="00737645" w:rsidRDefault="00000000">
      <w:pPr>
        <w:spacing w:line="360" w:lineRule="auto"/>
        <w:ind w:firstLine="709"/>
        <w:jc w:val="both"/>
        <w:rPr>
          <w:sz w:val="24"/>
          <w:szCs w:val="24"/>
        </w:rPr>
      </w:pPr>
      <w:r>
        <w:rPr>
          <w:sz w:val="24"/>
          <w:szCs w:val="24"/>
        </w:rPr>
        <w:t xml:space="preserve">Ao completarem 18 anos, adolescentes que vivenciaram longos períodos em instituições de acolhimento são </w:t>
      </w:r>
      <w:proofErr w:type="spellStart"/>
      <w:r>
        <w:rPr>
          <w:sz w:val="24"/>
          <w:szCs w:val="24"/>
          <w:lang w:val="en-US"/>
        </w:rPr>
        <w:t>apresentados</w:t>
      </w:r>
      <w:proofErr w:type="spellEnd"/>
      <w:r>
        <w:rPr>
          <w:sz w:val="24"/>
          <w:szCs w:val="24"/>
        </w:rPr>
        <w:t xml:space="preserve"> a um</w:t>
      </w:r>
      <w:r>
        <w:rPr>
          <w:sz w:val="24"/>
          <w:szCs w:val="24"/>
          <w:lang w:val="en-US"/>
        </w:rPr>
        <w:t xml:space="preserve">a </w:t>
      </w:r>
      <w:proofErr w:type="spellStart"/>
      <w:r>
        <w:rPr>
          <w:sz w:val="24"/>
          <w:szCs w:val="24"/>
          <w:lang w:val="en-US"/>
        </w:rPr>
        <w:t>exigência</w:t>
      </w:r>
      <w:proofErr w:type="spellEnd"/>
      <w:r>
        <w:rPr>
          <w:sz w:val="24"/>
          <w:szCs w:val="24"/>
        </w:rPr>
        <w:t xml:space="preserve"> </w:t>
      </w:r>
      <w:r>
        <w:rPr>
          <w:sz w:val="24"/>
          <w:szCs w:val="24"/>
          <w:lang w:val="en-US"/>
        </w:rPr>
        <w:t>d</w:t>
      </w:r>
      <w:r>
        <w:rPr>
          <w:sz w:val="24"/>
          <w:szCs w:val="24"/>
        </w:rPr>
        <w:t>e autonomia sem que lhes tenha sido assegurado um percurso efetivo de construção da cidadania. Em sua maioria, jovens negros e pobres, esses sujeitos emergem de uma trajetória marcada por violações e desproteção, para enfrentar um novo ciclo de invisibilidade e abandono. Este artigo parte da análise das contradições presentes na política de acolhimento institucional e, especialmente, da ausência de estratégias efetivas de transição para a vida adulta. Apoiado nos debates sobre racismo estrutural, juventude e políticas públicas, o texto propõe refletir sobre os limites e possibilidades da construção de projetos de vida para adolescentes egressos das instituições, em um país cuja estrutura social reproduz desigualdades raciais, de classe e de gênero. O objetivo é contribuir para o fortalecimento de práticas que respeitem o protagonismo juvenil e promovam a construção de percursos emancipatórios.</w:t>
      </w:r>
    </w:p>
    <w:p w14:paraId="47551EE8" w14:textId="77777777" w:rsidR="00737645" w:rsidRDefault="00000000">
      <w:pPr>
        <w:spacing w:line="360" w:lineRule="auto"/>
        <w:ind w:firstLine="709"/>
        <w:jc w:val="both"/>
        <w:rPr>
          <w:sz w:val="24"/>
          <w:szCs w:val="24"/>
        </w:rPr>
      </w:pPr>
      <w:r>
        <w:rPr>
          <w:sz w:val="24"/>
          <w:szCs w:val="24"/>
          <w:lang w:val="en-US"/>
        </w:rPr>
        <w:t>O</w:t>
      </w:r>
      <w:r>
        <w:rPr>
          <w:sz w:val="24"/>
          <w:szCs w:val="24"/>
        </w:rPr>
        <w:t xml:space="preserve"> artigo tem como objetivo principal analisar criticamente o processo de desligamento de adolescentes dos serviços de acolhimento institucional ao completarem 18 anos, destacando os desafios enfrentados por esses jovens na construção de projetos de vida autônomos. Para tanto, </w:t>
      </w:r>
      <w:proofErr w:type="spellStart"/>
      <w:r>
        <w:rPr>
          <w:sz w:val="24"/>
          <w:szCs w:val="24"/>
          <w:lang w:val="en-US"/>
        </w:rPr>
        <w:t>busca</w:t>
      </w:r>
      <w:proofErr w:type="spellEnd"/>
      <w:r>
        <w:rPr>
          <w:sz w:val="24"/>
          <w:szCs w:val="24"/>
          <w:lang w:val="en-US"/>
        </w:rPr>
        <w:t xml:space="preserve"> </w:t>
      </w:r>
      <w:proofErr w:type="spellStart"/>
      <w:r>
        <w:rPr>
          <w:sz w:val="24"/>
          <w:szCs w:val="24"/>
          <w:lang w:val="en-US"/>
        </w:rPr>
        <w:t>problematizar</w:t>
      </w:r>
      <w:proofErr w:type="spellEnd"/>
      <w:r>
        <w:rPr>
          <w:sz w:val="24"/>
          <w:szCs w:val="24"/>
          <w:lang w:val="en-US"/>
        </w:rPr>
        <w:t xml:space="preserve"> </w:t>
      </w:r>
      <w:r>
        <w:rPr>
          <w:sz w:val="24"/>
          <w:szCs w:val="24"/>
        </w:rPr>
        <w:t>como o racismo estrutural e a desigualdade social moldam as trajetórias de crianças e adolescentes institucionalizados, especialmente no momento da transição para a vida adulta, marcando negativamente suas possibilidades de inserção social, educacional e profissional.</w:t>
      </w:r>
      <w:r>
        <w:rPr>
          <w:sz w:val="24"/>
          <w:szCs w:val="24"/>
          <w:lang w:val="en-US"/>
        </w:rPr>
        <w:t xml:space="preserve"> O</w:t>
      </w:r>
      <w:r>
        <w:rPr>
          <w:sz w:val="24"/>
          <w:szCs w:val="24"/>
        </w:rPr>
        <w:t>s limites e omissões das políticas públicas existentes</w:t>
      </w:r>
      <w:r>
        <w:rPr>
          <w:sz w:val="24"/>
          <w:szCs w:val="24"/>
          <w:lang w:val="en-US"/>
        </w:rPr>
        <w:t xml:space="preserve"> </w:t>
      </w:r>
      <w:proofErr w:type="spellStart"/>
      <w:r>
        <w:rPr>
          <w:sz w:val="24"/>
          <w:szCs w:val="24"/>
          <w:lang w:val="en-US"/>
        </w:rPr>
        <w:t>evidenciam</w:t>
      </w:r>
      <w:proofErr w:type="spellEnd"/>
      <w:r>
        <w:rPr>
          <w:sz w:val="24"/>
          <w:szCs w:val="24"/>
          <w:lang w:val="en-US"/>
        </w:rPr>
        <w:t xml:space="preserve"> </w:t>
      </w:r>
      <w:r>
        <w:rPr>
          <w:sz w:val="24"/>
          <w:szCs w:val="24"/>
        </w:rPr>
        <w:t>o hiato entre as normativas que preveem o acompanhamento e a preparação gradual para o desligamento, e a realidade enfrentada pelos jovens, muitas vezes marcadas pela ausência do Estado.</w:t>
      </w:r>
      <w:r>
        <w:rPr>
          <w:sz w:val="24"/>
          <w:szCs w:val="24"/>
          <w:lang w:val="en-US"/>
        </w:rPr>
        <w:t xml:space="preserve"> Importa </w:t>
      </w:r>
      <w:proofErr w:type="spellStart"/>
      <w:r>
        <w:rPr>
          <w:sz w:val="24"/>
          <w:szCs w:val="24"/>
          <w:lang w:val="en-US"/>
        </w:rPr>
        <w:t>também</w:t>
      </w:r>
      <w:proofErr w:type="spellEnd"/>
      <w:r>
        <w:rPr>
          <w:sz w:val="24"/>
          <w:szCs w:val="24"/>
          <w:lang w:val="en-US"/>
        </w:rPr>
        <w:t xml:space="preserve"> </w:t>
      </w:r>
      <w:proofErr w:type="spellStart"/>
      <w:r>
        <w:rPr>
          <w:sz w:val="24"/>
          <w:szCs w:val="24"/>
          <w:lang w:val="en-US"/>
        </w:rPr>
        <w:t>considerar</w:t>
      </w:r>
      <w:proofErr w:type="spellEnd"/>
      <w:r>
        <w:rPr>
          <w:sz w:val="24"/>
          <w:szCs w:val="24"/>
          <w:lang w:val="en-US"/>
        </w:rPr>
        <w:t xml:space="preserve"> </w:t>
      </w:r>
      <w:r>
        <w:rPr>
          <w:sz w:val="24"/>
          <w:szCs w:val="24"/>
        </w:rPr>
        <w:t>as formas de resistência e elaboração de projetos de vida por parte dos adolescentes egressos, reconhecendo a potência de suas experiências e estratégias diante das violências estruturais que os atravessam.</w:t>
      </w:r>
      <w:r>
        <w:rPr>
          <w:sz w:val="24"/>
          <w:szCs w:val="24"/>
          <w:lang w:val="en-US"/>
        </w:rPr>
        <w:t xml:space="preserve"> </w:t>
      </w:r>
      <w:proofErr w:type="spellStart"/>
      <w:r>
        <w:rPr>
          <w:sz w:val="24"/>
          <w:szCs w:val="24"/>
          <w:lang w:val="en-US"/>
        </w:rPr>
        <w:t>Finalmente</w:t>
      </w:r>
      <w:proofErr w:type="spellEnd"/>
      <w:r>
        <w:rPr>
          <w:sz w:val="24"/>
          <w:szCs w:val="24"/>
          <w:lang w:val="en-US"/>
        </w:rPr>
        <w:t xml:space="preserve"> </w:t>
      </w:r>
      <w:proofErr w:type="spellStart"/>
      <w:r>
        <w:rPr>
          <w:sz w:val="24"/>
          <w:szCs w:val="24"/>
          <w:lang w:val="en-US"/>
        </w:rPr>
        <w:t>buscamos</w:t>
      </w:r>
      <w:proofErr w:type="spellEnd"/>
      <w:r>
        <w:rPr>
          <w:sz w:val="24"/>
          <w:szCs w:val="24"/>
          <w:lang w:val="en-US"/>
        </w:rPr>
        <w:t xml:space="preserve"> c</w:t>
      </w:r>
      <w:r>
        <w:rPr>
          <w:sz w:val="24"/>
          <w:szCs w:val="24"/>
        </w:rPr>
        <w:t xml:space="preserve">ontribuir com a produção acadêmica na área do </w:t>
      </w:r>
      <w:r>
        <w:rPr>
          <w:sz w:val="24"/>
          <w:szCs w:val="24"/>
        </w:rPr>
        <w:lastRenderedPageBreak/>
        <w:t>Serviço Social e com a formulação de práticas profissionais inter</w:t>
      </w:r>
      <w:proofErr w:type="spellStart"/>
      <w:r>
        <w:rPr>
          <w:sz w:val="24"/>
          <w:szCs w:val="24"/>
          <w:lang w:val="en-US"/>
        </w:rPr>
        <w:t>disciplinares</w:t>
      </w:r>
      <w:proofErr w:type="spellEnd"/>
      <w:r>
        <w:rPr>
          <w:sz w:val="24"/>
          <w:szCs w:val="24"/>
          <w:lang w:val="en-US"/>
        </w:rPr>
        <w:t xml:space="preserve"> e inter</w:t>
      </w:r>
      <w:r>
        <w:rPr>
          <w:sz w:val="24"/>
          <w:szCs w:val="24"/>
        </w:rPr>
        <w:t>setoriais voltadas à efetivação do direito à convivência familiar, comunitária e à autonomia juvenil.</w:t>
      </w:r>
    </w:p>
    <w:p w14:paraId="278F8E03" w14:textId="77777777" w:rsidR="00737645" w:rsidRDefault="00000000">
      <w:pPr>
        <w:spacing w:line="360" w:lineRule="auto"/>
        <w:ind w:firstLine="709"/>
        <w:jc w:val="both"/>
        <w:rPr>
          <w:sz w:val="24"/>
          <w:szCs w:val="24"/>
        </w:rPr>
      </w:pPr>
      <w:r>
        <w:rPr>
          <w:sz w:val="24"/>
          <w:szCs w:val="24"/>
        </w:rPr>
        <w:t>Este artigo adota uma abordagem qualitativa, de caráter exploratório e crítico, fundamentada na revisão bibliográfica e documental. A opção metodológica parte do entendimento de que as trajetórias de adolescentes egressos de acolhimento institucional são atravessadas por múltiplas dimensões sociais, históricas e políticas que não podem ser apreendidas apenas por dados quantitativos, exigindo uma leitura interpretativa e situada da realidade. Nesta medida foi realizado levantamento bibliográfico em bases de dados científicas (Scielo, Periódicos CAPES, O Social em Questão, Serviço Social &amp; Sociedade) com os seguintes descritores: "acolhimento institucional", "desligamento institucional", "juventude", "projetos de vida", "proteção social", "racismo estrutural" e "cidadania juvenil". Foram priorizados textos das áreas de Serviço Social e Ciências Sociais aplicadas. Outra aproximação se deu através da análise documental de marcos legais e normativos nacionais e estaduais, como o Estatuto da Criança e do Adolescente (ECA), a Tipificação Nacional dos Serviços Socioassistenciais, as Orientações Técnicas para os Serviços de Acolhimento Institucional, e a Lei Estadual nº 9.152/20 (RJ), que institui o Programa de Transição do Acolhimento.</w:t>
      </w:r>
    </w:p>
    <w:p w14:paraId="4947D9DD" w14:textId="77777777" w:rsidR="00737645" w:rsidRDefault="00000000">
      <w:pPr>
        <w:spacing w:line="360" w:lineRule="auto"/>
        <w:ind w:firstLine="709"/>
        <w:jc w:val="both"/>
        <w:rPr>
          <w:sz w:val="24"/>
          <w:szCs w:val="24"/>
        </w:rPr>
      </w:pPr>
      <w:r>
        <w:rPr>
          <w:sz w:val="24"/>
          <w:szCs w:val="24"/>
        </w:rPr>
        <w:t>A leitura dos materiais foi orientada por uma perspectiva crítico-dialética, atenta às determinações estruturais que moldam a experiência institucional de crianças e adolescentes no Brasil. Buscou-se identificar não apenas os efeitos diretos da ausência de políticas públicas, mas também os mecanismos de reprodução das desigualdades que colocam a juventude negra e pobre em condição recorrente de institucionalização e abandono. Esse enfoque permite não apenas descrever uma realidade, mas compreendê-la à luz das contradições sociais que a produzem e mantêm.</w:t>
      </w:r>
    </w:p>
    <w:p w14:paraId="647DC5C8" w14:textId="77777777" w:rsidR="00737645" w:rsidRDefault="00737645">
      <w:pPr>
        <w:spacing w:line="360" w:lineRule="auto"/>
        <w:ind w:firstLine="709"/>
        <w:jc w:val="both"/>
        <w:rPr>
          <w:sz w:val="24"/>
          <w:szCs w:val="24"/>
        </w:rPr>
      </w:pPr>
    </w:p>
    <w:p w14:paraId="481962F8" w14:textId="77777777" w:rsidR="00737645" w:rsidRDefault="00737645">
      <w:pPr>
        <w:spacing w:line="360" w:lineRule="auto"/>
        <w:ind w:firstLine="709"/>
        <w:jc w:val="both"/>
        <w:rPr>
          <w:sz w:val="24"/>
          <w:szCs w:val="24"/>
        </w:rPr>
      </w:pPr>
    </w:p>
    <w:p w14:paraId="10F6B1B8" w14:textId="77777777" w:rsidR="00737645" w:rsidRDefault="00000000">
      <w:pPr>
        <w:spacing w:line="360" w:lineRule="auto"/>
        <w:rPr>
          <w:b/>
          <w:bCs/>
          <w:sz w:val="24"/>
          <w:szCs w:val="24"/>
        </w:rPr>
      </w:pPr>
      <w:r>
        <w:rPr>
          <w:b/>
          <w:bCs/>
          <w:sz w:val="24"/>
          <w:szCs w:val="24"/>
          <w:lang w:val="en-US"/>
        </w:rPr>
        <w:lastRenderedPageBreak/>
        <w:t>2</w:t>
      </w:r>
      <w:r>
        <w:rPr>
          <w:b/>
          <w:bCs/>
          <w:sz w:val="24"/>
          <w:szCs w:val="24"/>
        </w:rPr>
        <w:tab/>
      </w:r>
      <w:r>
        <w:rPr>
          <w:b/>
          <w:bCs/>
          <w:sz w:val="24"/>
          <w:szCs w:val="24"/>
          <w:lang w:val="en-US"/>
        </w:rPr>
        <w:t>JUVENTUDES E PERSPECTIVAS DESIGUAIS</w:t>
      </w:r>
    </w:p>
    <w:p w14:paraId="630C895A" w14:textId="77777777" w:rsidR="00737645" w:rsidRDefault="00000000">
      <w:pPr>
        <w:spacing w:line="360" w:lineRule="auto"/>
        <w:ind w:firstLine="709"/>
        <w:jc w:val="both"/>
        <w:rPr>
          <w:sz w:val="24"/>
          <w:szCs w:val="24"/>
        </w:rPr>
      </w:pPr>
      <w:r>
        <w:rPr>
          <w:sz w:val="24"/>
          <w:szCs w:val="24"/>
        </w:rPr>
        <w:t>A análise proposta neste artigo se apoia em um conjunto de aportes teóricos que permitem compreender a institucionalização da infância e adolescência como um fenômeno historicamente racializado e atravessado por relações desiguais de poder. A categoria racismo estrutural, conforme formulada por Silvio Almeida (201</w:t>
      </w:r>
      <w:r>
        <w:rPr>
          <w:sz w:val="24"/>
          <w:szCs w:val="24"/>
          <w:lang w:val="en-US"/>
        </w:rPr>
        <w:t>9</w:t>
      </w:r>
      <w:r>
        <w:rPr>
          <w:sz w:val="24"/>
          <w:szCs w:val="24"/>
        </w:rPr>
        <w:t xml:space="preserve">), é fundamental para compreender por que as medidas de acolhimento institucional, ainda que previstas como excepcionais, incidem com mais frequência sobre crianças e adolescentes negros e pobres. A trajetória institucional desses sujeitos não é </w:t>
      </w:r>
      <w:proofErr w:type="spellStart"/>
      <w:r>
        <w:rPr>
          <w:sz w:val="24"/>
          <w:szCs w:val="24"/>
          <w:lang w:val="en-US"/>
        </w:rPr>
        <w:t>fortuita</w:t>
      </w:r>
      <w:proofErr w:type="spellEnd"/>
      <w:r>
        <w:rPr>
          <w:sz w:val="24"/>
          <w:szCs w:val="24"/>
        </w:rPr>
        <w:t xml:space="preserve">, mas </w:t>
      </w:r>
      <w:proofErr w:type="spellStart"/>
      <w:r>
        <w:rPr>
          <w:sz w:val="24"/>
          <w:szCs w:val="24"/>
          <w:lang w:val="en-US"/>
        </w:rPr>
        <w:t>fruto</w:t>
      </w:r>
      <w:proofErr w:type="spellEnd"/>
      <w:r>
        <w:rPr>
          <w:sz w:val="24"/>
          <w:szCs w:val="24"/>
          <w:lang w:val="en-US"/>
        </w:rPr>
        <w:t xml:space="preserve"> </w:t>
      </w:r>
      <w:r>
        <w:rPr>
          <w:sz w:val="24"/>
          <w:szCs w:val="24"/>
        </w:rPr>
        <w:t>da reprodução de uma lógica histórica de exclusão racial e social que estrutura o Estado e suas políticas públicas. O acolhimento, nesse contexto, não é</w:t>
      </w:r>
      <w:r>
        <w:rPr>
          <w:sz w:val="24"/>
          <w:szCs w:val="24"/>
          <w:lang w:val="en-US"/>
        </w:rPr>
        <w:t xml:space="preserve"> - </w:t>
      </w:r>
      <w:proofErr w:type="spellStart"/>
      <w:r>
        <w:rPr>
          <w:sz w:val="24"/>
          <w:szCs w:val="24"/>
          <w:lang w:val="en-US"/>
        </w:rPr>
        <w:t>como</w:t>
      </w:r>
      <w:proofErr w:type="spellEnd"/>
      <w:r>
        <w:rPr>
          <w:sz w:val="24"/>
          <w:szCs w:val="24"/>
          <w:lang w:val="en-US"/>
        </w:rPr>
        <w:t xml:space="preserve"> se </w:t>
      </w:r>
      <w:proofErr w:type="spellStart"/>
      <w:r>
        <w:rPr>
          <w:sz w:val="24"/>
          <w:szCs w:val="24"/>
          <w:lang w:val="en-US"/>
        </w:rPr>
        <w:t>intitula</w:t>
      </w:r>
      <w:proofErr w:type="spellEnd"/>
      <w:r>
        <w:rPr>
          <w:sz w:val="24"/>
          <w:szCs w:val="24"/>
          <w:lang w:val="en-US"/>
        </w:rPr>
        <w:t xml:space="preserve"> -</w:t>
      </w:r>
      <w:r>
        <w:rPr>
          <w:sz w:val="24"/>
          <w:szCs w:val="24"/>
        </w:rPr>
        <w:t xml:space="preserve"> um dispositivo protetivo, mas uma forma de controle e contenção da juventude negra.</w:t>
      </w:r>
    </w:p>
    <w:p w14:paraId="72FE33A9" w14:textId="77777777" w:rsidR="00737645" w:rsidRDefault="00000000">
      <w:pPr>
        <w:spacing w:line="360" w:lineRule="auto"/>
        <w:ind w:firstLine="709"/>
        <w:jc w:val="both"/>
        <w:rPr>
          <w:sz w:val="24"/>
          <w:szCs w:val="24"/>
        </w:rPr>
      </w:pPr>
      <w:r>
        <w:rPr>
          <w:sz w:val="24"/>
          <w:szCs w:val="24"/>
        </w:rPr>
        <w:t>A juventude, longe de ser uma fase apenas biológica ou etária, é compreendida aqui como uma categoria social e política, construída a partir de intersecções entre classe, raça, território e gênero. Autores como Carles Feixa, José Machado Pais</w:t>
      </w:r>
      <w:r>
        <w:rPr>
          <w:sz w:val="24"/>
          <w:szCs w:val="24"/>
          <w:lang w:val="en-US"/>
        </w:rPr>
        <w:t xml:space="preserve"> e</w:t>
      </w:r>
      <w:r>
        <w:rPr>
          <w:sz w:val="24"/>
          <w:szCs w:val="24"/>
        </w:rPr>
        <w:t xml:space="preserve"> Regina Novaes têm demonstrado como os projetos de vida dos jovens são profundamente moldados pelas condições de desigualdade e pela maneira como são (des)reconhecidos pelo Estado e pela sociedade. Em contextos de institucionalização, essa condição se agrava: jovens marcados pela ausência de vínculos familiares, por trajetórias de tutela e por políticas fragmentadas enfrentam um "vazio institucional" no momento de maior vulnerabilidade.</w:t>
      </w:r>
    </w:p>
    <w:p w14:paraId="1D10BECD" w14:textId="77777777" w:rsidR="00737645" w:rsidRDefault="00000000">
      <w:pPr>
        <w:spacing w:line="360" w:lineRule="auto"/>
        <w:jc w:val="both"/>
        <w:rPr>
          <w:sz w:val="24"/>
          <w:szCs w:val="24"/>
        </w:rPr>
      </w:pPr>
      <w:r>
        <w:rPr>
          <w:sz w:val="24"/>
          <w:szCs w:val="24"/>
          <w:lang w:val="en-US"/>
        </w:rPr>
        <w:t>2.1</w:t>
      </w:r>
      <w:r>
        <w:rPr>
          <w:sz w:val="24"/>
          <w:szCs w:val="24"/>
        </w:rPr>
        <w:t xml:space="preserve"> Cidadania tutelada e transição inconclusa</w:t>
      </w:r>
    </w:p>
    <w:p w14:paraId="2674813C" w14:textId="77777777" w:rsidR="00737645" w:rsidRDefault="00000000">
      <w:pPr>
        <w:spacing w:line="360" w:lineRule="auto"/>
        <w:ind w:firstLine="709"/>
        <w:jc w:val="both"/>
        <w:rPr>
          <w:sz w:val="24"/>
          <w:szCs w:val="24"/>
        </w:rPr>
      </w:pPr>
      <w:r>
        <w:rPr>
          <w:sz w:val="24"/>
          <w:szCs w:val="24"/>
        </w:rPr>
        <w:t>Inspirad</w:t>
      </w:r>
      <w:r>
        <w:rPr>
          <w:sz w:val="24"/>
          <w:szCs w:val="24"/>
          <w:lang w:val="en-US"/>
        </w:rPr>
        <w:t>as</w:t>
      </w:r>
      <w:r>
        <w:rPr>
          <w:sz w:val="24"/>
          <w:szCs w:val="24"/>
        </w:rPr>
        <w:t xml:space="preserve"> nas reflexões </w:t>
      </w:r>
      <w:r>
        <w:rPr>
          <w:sz w:val="24"/>
          <w:szCs w:val="24"/>
          <w:lang w:val="en-US"/>
        </w:rPr>
        <w:t xml:space="preserve">de Carvalho (2001) que </w:t>
      </w:r>
      <w:proofErr w:type="spellStart"/>
      <w:r>
        <w:rPr>
          <w:sz w:val="24"/>
          <w:szCs w:val="24"/>
          <w:lang w:val="en-US"/>
        </w:rPr>
        <w:t>apontam</w:t>
      </w:r>
      <w:proofErr w:type="spellEnd"/>
      <w:r>
        <w:rPr>
          <w:sz w:val="24"/>
          <w:szCs w:val="24"/>
        </w:rPr>
        <w:t xml:space="preserve"> a cidadania incompleta no Brasil, e de Evelina Dagnino </w:t>
      </w:r>
      <w:r>
        <w:rPr>
          <w:sz w:val="24"/>
          <w:szCs w:val="24"/>
          <w:lang w:val="en-US"/>
        </w:rPr>
        <w:t xml:space="preserve">(2004) </w:t>
      </w:r>
      <w:r>
        <w:rPr>
          <w:sz w:val="24"/>
          <w:szCs w:val="24"/>
        </w:rPr>
        <w:t xml:space="preserve">sobre a disputa em torno do conceito de cidadania, este artigo </w:t>
      </w:r>
      <w:proofErr w:type="spellStart"/>
      <w:r>
        <w:rPr>
          <w:sz w:val="24"/>
          <w:szCs w:val="24"/>
          <w:lang w:val="en-US"/>
        </w:rPr>
        <w:t>sustenta</w:t>
      </w:r>
      <w:proofErr w:type="spellEnd"/>
      <w:r>
        <w:rPr>
          <w:sz w:val="24"/>
          <w:szCs w:val="24"/>
          <w:lang w:val="en-US"/>
        </w:rPr>
        <w:t xml:space="preserve"> que</w:t>
      </w:r>
      <w:r>
        <w:rPr>
          <w:sz w:val="24"/>
          <w:szCs w:val="24"/>
        </w:rPr>
        <w:t xml:space="preserve"> que os adolescentes institucionalizados vivenciam uma forma de cidadania tutelada – restrita, precária, condicionada à intervenção estatal. O desligamento aos 18 anos representa uma ruptura em que o jovem </w:t>
      </w:r>
      <w:proofErr w:type="spellStart"/>
      <w:r>
        <w:rPr>
          <w:sz w:val="24"/>
          <w:szCs w:val="24"/>
          <w:lang w:val="en-US"/>
        </w:rPr>
        <w:t>transita</w:t>
      </w:r>
      <w:proofErr w:type="spellEnd"/>
      <w:r>
        <w:rPr>
          <w:sz w:val="24"/>
          <w:szCs w:val="24"/>
          <w:lang w:val="en-US"/>
        </w:rPr>
        <w:t xml:space="preserve"> para a</w:t>
      </w:r>
      <w:r>
        <w:rPr>
          <w:sz w:val="24"/>
          <w:szCs w:val="24"/>
        </w:rPr>
        <w:t xml:space="preserve"> condição de adulto sem rede, sem renda e sem garantias. A cidadania, nesse caso, revela-se contingente e regressiva: aquilo </w:t>
      </w:r>
      <w:r>
        <w:rPr>
          <w:sz w:val="24"/>
          <w:szCs w:val="24"/>
        </w:rPr>
        <w:lastRenderedPageBreak/>
        <w:t xml:space="preserve">que era direito se </w:t>
      </w:r>
      <w:proofErr w:type="spellStart"/>
      <w:r>
        <w:rPr>
          <w:sz w:val="24"/>
          <w:szCs w:val="24"/>
          <w:lang w:val="en-US"/>
        </w:rPr>
        <w:t>dilui</w:t>
      </w:r>
      <w:proofErr w:type="spellEnd"/>
      <w:r>
        <w:rPr>
          <w:sz w:val="24"/>
          <w:szCs w:val="24"/>
          <w:lang w:val="en-US"/>
        </w:rPr>
        <w:t xml:space="preserve"> </w:t>
      </w:r>
      <w:proofErr w:type="spellStart"/>
      <w:r>
        <w:rPr>
          <w:sz w:val="24"/>
          <w:szCs w:val="24"/>
          <w:lang w:val="en-US"/>
        </w:rPr>
        <w:t>em</w:t>
      </w:r>
      <w:proofErr w:type="spellEnd"/>
      <w:r>
        <w:rPr>
          <w:sz w:val="24"/>
          <w:szCs w:val="24"/>
          <w:lang w:val="en-US"/>
        </w:rPr>
        <w:t xml:space="preserve"> um </w:t>
      </w:r>
      <w:proofErr w:type="spellStart"/>
      <w:r>
        <w:rPr>
          <w:sz w:val="24"/>
          <w:szCs w:val="24"/>
          <w:lang w:val="en-US"/>
        </w:rPr>
        <w:t>sistema</w:t>
      </w:r>
      <w:proofErr w:type="spellEnd"/>
      <w:r>
        <w:rPr>
          <w:sz w:val="24"/>
          <w:szCs w:val="24"/>
          <w:lang w:val="en-US"/>
        </w:rPr>
        <w:t xml:space="preserve"> </w:t>
      </w:r>
      <w:proofErr w:type="spellStart"/>
      <w:r>
        <w:rPr>
          <w:sz w:val="24"/>
          <w:szCs w:val="24"/>
          <w:lang w:val="en-US"/>
        </w:rPr>
        <w:t>seletivo</w:t>
      </w:r>
      <w:proofErr w:type="spellEnd"/>
      <w:r>
        <w:rPr>
          <w:sz w:val="24"/>
          <w:szCs w:val="24"/>
          <w:lang w:val="en-US"/>
        </w:rPr>
        <w:t xml:space="preserve"> e </w:t>
      </w:r>
      <w:proofErr w:type="spellStart"/>
      <w:r>
        <w:rPr>
          <w:sz w:val="24"/>
          <w:szCs w:val="24"/>
          <w:lang w:val="en-US"/>
        </w:rPr>
        <w:t>discricionário</w:t>
      </w:r>
      <w:proofErr w:type="spellEnd"/>
      <w:r>
        <w:rPr>
          <w:sz w:val="24"/>
          <w:szCs w:val="24"/>
        </w:rPr>
        <w:t>, e a lógica do mérito se sobrepõe à da proteção.</w:t>
      </w:r>
    </w:p>
    <w:p w14:paraId="5E8EAE91" w14:textId="77777777" w:rsidR="00737645" w:rsidRDefault="00000000">
      <w:pPr>
        <w:spacing w:line="360" w:lineRule="auto"/>
        <w:ind w:firstLine="709"/>
        <w:jc w:val="both"/>
        <w:rPr>
          <w:sz w:val="24"/>
          <w:szCs w:val="24"/>
        </w:rPr>
      </w:pPr>
      <w:r>
        <w:rPr>
          <w:sz w:val="24"/>
          <w:szCs w:val="24"/>
        </w:rPr>
        <w:t>A análise das trajetórias de adolescentes acolhidos e egressos das instituições de acolhimento revela, de forma inequívoca, a seletividade racial e classista que marca o sistema de proteção brasileiro. Apesar de o acolhimento institucional ser, na letra da lei, uma medida excepcional, o perfil dos sujeitos institucionalizados mostra que, na prática, ele incide com maior frequência sobre crianças e adolescentes negros, pobres e oriundos de territórios periféricos. Essa constatação está longe de ser acidental: ela expressa a lógica do racismo estrutural que organiza as políticas sociais e a própria atuação do Estado.</w:t>
      </w:r>
    </w:p>
    <w:p w14:paraId="22CBCD5D" w14:textId="77777777" w:rsidR="00737645" w:rsidRDefault="00000000">
      <w:pPr>
        <w:spacing w:line="360" w:lineRule="auto"/>
        <w:ind w:firstLine="709"/>
        <w:jc w:val="both"/>
        <w:rPr>
          <w:sz w:val="24"/>
          <w:szCs w:val="24"/>
        </w:rPr>
      </w:pPr>
      <w:r>
        <w:rPr>
          <w:sz w:val="24"/>
          <w:szCs w:val="24"/>
          <w:lang w:val="en-US"/>
        </w:rPr>
        <w:t>O</w:t>
      </w:r>
      <w:r>
        <w:rPr>
          <w:sz w:val="24"/>
          <w:szCs w:val="24"/>
        </w:rPr>
        <w:t xml:space="preserve"> discurso de proteção frequentemente opera como mecanismo de contenção social, desqualificando a capacidade das famílias pobres, especialmente as mulheres negras, de cuidarem de seus filhos. A suposta negligência — argumento jurídico principal para a aplicação da medida protetiva — não é compreendida em seu contexto social mais amplo, mas naturalizada como um desvio moral ou cultural, como o “modo de ser” inerente à pobreza. Essa prática escancara o afastamento entre a norma e a realidade, visto que segundo o Estatuto da Criança e do Adolescente, a insuficiência de recursos materiais, por si só, não deve justificar a institucionalização de crianças e adolescentes. O resultado de tal contradição</w:t>
      </w:r>
      <w:r>
        <w:rPr>
          <w:sz w:val="24"/>
          <w:szCs w:val="24"/>
          <w:lang w:val="en-US"/>
        </w:rPr>
        <w:t xml:space="preserve"> é </w:t>
      </w:r>
      <w:r>
        <w:rPr>
          <w:sz w:val="24"/>
          <w:szCs w:val="24"/>
        </w:rPr>
        <w:t>a destituição sistemática do poder familiar em nome de uma lógica de salvação tutelar, que reafirma a desconfiança histórica do Estado em relação à parentalidade negra e periférica.</w:t>
      </w:r>
    </w:p>
    <w:p w14:paraId="7F9236B5" w14:textId="77777777" w:rsidR="00737645" w:rsidRDefault="00000000">
      <w:pPr>
        <w:spacing w:line="360" w:lineRule="auto"/>
        <w:ind w:firstLine="709"/>
        <w:jc w:val="both"/>
        <w:rPr>
          <w:sz w:val="24"/>
          <w:szCs w:val="24"/>
        </w:rPr>
      </w:pPr>
      <w:r>
        <w:rPr>
          <w:sz w:val="24"/>
          <w:szCs w:val="24"/>
        </w:rPr>
        <w:t>Essa seletividade não se manifesta apenas na entrada, mas também na forma de vivenciar o acolhimento. Jovens negros passam longos períodos institucionalizados, com menor chance de reintegração familiar ou adoção. Ao completarem 18 anos, são os que mais frequentemente enfrentam o desligamento compulsório sem garantia de moradia, trabalho ou rede de apoio. Aqui, o conceito de cidadania tutelada se conecta com o de necropolítica (Mbembe, 201</w:t>
      </w:r>
      <w:r>
        <w:rPr>
          <w:sz w:val="24"/>
          <w:szCs w:val="24"/>
          <w:lang w:val="en-US"/>
        </w:rPr>
        <w:t>8</w:t>
      </w:r>
      <w:r>
        <w:rPr>
          <w:sz w:val="24"/>
          <w:szCs w:val="24"/>
        </w:rPr>
        <w:t>), pois a ausência do Estado na transição para a vida adulta expõe esses jovens não apenas à precariedade, mas também ao risco concreto da violência e da morte.</w:t>
      </w:r>
    </w:p>
    <w:p w14:paraId="2749BA5D" w14:textId="77777777" w:rsidR="00737645" w:rsidRDefault="00000000">
      <w:pPr>
        <w:spacing w:line="360" w:lineRule="auto"/>
        <w:ind w:firstLine="709"/>
        <w:jc w:val="both"/>
        <w:rPr>
          <w:sz w:val="24"/>
          <w:szCs w:val="24"/>
        </w:rPr>
      </w:pPr>
      <w:r>
        <w:rPr>
          <w:sz w:val="24"/>
          <w:szCs w:val="24"/>
        </w:rPr>
        <w:lastRenderedPageBreak/>
        <w:t>Jovens negros que passaram por instituições carregam uma marca simbólica que dificulta o acesso ao trabalho formal</w:t>
      </w:r>
      <w:r>
        <w:rPr>
          <w:sz w:val="24"/>
          <w:szCs w:val="24"/>
          <w:lang w:val="en-US"/>
        </w:rPr>
        <w:t xml:space="preserve"> e</w:t>
      </w:r>
      <w:r>
        <w:rPr>
          <w:sz w:val="24"/>
          <w:szCs w:val="24"/>
        </w:rPr>
        <w:t xml:space="preserve"> à universidade. A racialização da infância institucionalizada opera, portanto, como um duplo dispositivo de exclusão: primeiro, retira o jovem do convívio familiar sob o pretexto de proteção; depois, o abandona à própria sorte sob a justificativa de que já atingiu a maioridade.</w:t>
      </w:r>
    </w:p>
    <w:p w14:paraId="527F37F5" w14:textId="77777777" w:rsidR="00737645" w:rsidRDefault="00000000">
      <w:pPr>
        <w:spacing w:line="360" w:lineRule="auto"/>
        <w:ind w:firstLine="709"/>
        <w:jc w:val="both"/>
        <w:rPr>
          <w:sz w:val="24"/>
          <w:szCs w:val="24"/>
        </w:rPr>
      </w:pPr>
      <w:r>
        <w:rPr>
          <w:sz w:val="24"/>
          <w:szCs w:val="24"/>
        </w:rPr>
        <w:t xml:space="preserve">A existência de apenas uma república estadual para egressos </w:t>
      </w:r>
      <w:proofErr w:type="spellStart"/>
      <w:r>
        <w:rPr>
          <w:sz w:val="24"/>
          <w:szCs w:val="24"/>
          <w:lang w:val="en-US"/>
        </w:rPr>
        <w:t>numa</w:t>
      </w:r>
      <w:proofErr w:type="spellEnd"/>
      <w:r>
        <w:rPr>
          <w:sz w:val="24"/>
          <w:szCs w:val="24"/>
          <w:lang w:val="en-US"/>
        </w:rPr>
        <w:t xml:space="preserve"> </w:t>
      </w:r>
      <w:proofErr w:type="spellStart"/>
      <w:r>
        <w:rPr>
          <w:sz w:val="24"/>
          <w:szCs w:val="24"/>
          <w:lang w:val="en-US"/>
        </w:rPr>
        <w:t>metrópole</w:t>
      </w:r>
      <w:proofErr w:type="spellEnd"/>
      <w:r>
        <w:rPr>
          <w:sz w:val="24"/>
          <w:szCs w:val="24"/>
          <w:lang w:val="en-US"/>
        </w:rPr>
        <w:t xml:space="preserve"> </w:t>
      </w:r>
      <w:proofErr w:type="spellStart"/>
      <w:r>
        <w:rPr>
          <w:sz w:val="24"/>
          <w:szCs w:val="24"/>
          <w:lang w:val="en-US"/>
        </w:rPr>
        <w:t>como</w:t>
      </w:r>
      <w:proofErr w:type="spellEnd"/>
      <w:r>
        <w:rPr>
          <w:sz w:val="24"/>
          <w:szCs w:val="24"/>
          <w:lang w:val="en-US"/>
        </w:rPr>
        <w:t xml:space="preserve"> o</w:t>
      </w:r>
      <w:r>
        <w:rPr>
          <w:sz w:val="24"/>
          <w:szCs w:val="24"/>
        </w:rPr>
        <w:t xml:space="preserve"> Rio de Janeiro — voltada exclusivamente a homens — escancara o descaso com essa população. O número é irrisório diante da demanda, e a inexistência de alternativa para meninas evidencia como a interseccionalidade entre raça, gênero e classe produz desigualdades acumuladas. A ausência de políticas específicas para esses jovens não é apenas negligência: é um sintoma do modo como o Estado administra as vidas que considera descartáveis.</w:t>
      </w:r>
    </w:p>
    <w:p w14:paraId="7592985A" w14:textId="77777777" w:rsidR="00737645" w:rsidRDefault="00000000">
      <w:pPr>
        <w:spacing w:line="360" w:lineRule="auto"/>
        <w:ind w:firstLine="709"/>
        <w:jc w:val="both"/>
        <w:rPr>
          <w:sz w:val="24"/>
          <w:szCs w:val="24"/>
        </w:rPr>
      </w:pPr>
      <w:r>
        <w:rPr>
          <w:sz w:val="24"/>
          <w:szCs w:val="24"/>
        </w:rPr>
        <w:t>Dessa forma, a análise do perfil racializado da institucionalização convida à crítica da lógica meritocrática e individualizante presente nas ações (ou omissões) do Estado. A ausência de políticas de transição adequadas não é um problema técnico: é a expressão de uma estrutura social que naturaliza a exclusão e não reconhece os jovens negros institucionalizados como sujeitos plenos de direitos, mas como corpos a serem controlados, gerenciados ou esquecidos.</w:t>
      </w:r>
    </w:p>
    <w:p w14:paraId="13EBB98C" w14:textId="77777777" w:rsidR="00737645" w:rsidRDefault="00000000">
      <w:pPr>
        <w:spacing w:line="360" w:lineRule="auto"/>
        <w:jc w:val="both"/>
        <w:rPr>
          <w:sz w:val="24"/>
          <w:szCs w:val="24"/>
        </w:rPr>
      </w:pPr>
      <w:r>
        <w:rPr>
          <w:sz w:val="24"/>
          <w:szCs w:val="24"/>
          <w:lang w:val="en-US"/>
        </w:rPr>
        <w:t>2.2</w:t>
      </w:r>
      <w:r>
        <w:rPr>
          <w:sz w:val="24"/>
          <w:szCs w:val="24"/>
        </w:rPr>
        <w:t xml:space="preserve"> A desconexão entre norma e prática na transição</w:t>
      </w:r>
    </w:p>
    <w:p w14:paraId="5539E548" w14:textId="77777777" w:rsidR="00737645" w:rsidRDefault="00000000">
      <w:pPr>
        <w:spacing w:line="360" w:lineRule="auto"/>
        <w:ind w:firstLine="709"/>
        <w:jc w:val="both"/>
        <w:rPr>
          <w:sz w:val="24"/>
          <w:szCs w:val="24"/>
        </w:rPr>
      </w:pPr>
      <w:r>
        <w:rPr>
          <w:sz w:val="24"/>
          <w:szCs w:val="24"/>
        </w:rPr>
        <w:t>O Estatuto da Criança e do Adolescente (ECA), as Orientações Técnicas para os Serviços de Acolhimento Institucional e a própria Lei Estadual 9.152/2020 no Rio de Janeiro estabelecem diretrizes claras quanto à preparação gradual dos adolescentes institucionalizados para o desligamento aos 18 anos. Entre as ações previstas estão: a elaboração e o acompanhamento de um Plano Individual de Atendimento (PIA), o fortalecimento de vínculos comunitários, a inserção na escola e na formação profissional, além do estímulo à autonomia cotidiana. No entanto, a prática institucional revela um cenário de descontinuidade, improviso e negligência, que transforma o momento de transição em um marco de ruptura e desamparo.</w:t>
      </w:r>
    </w:p>
    <w:p w14:paraId="291DE88E" w14:textId="77777777" w:rsidR="00737645" w:rsidRDefault="00000000">
      <w:pPr>
        <w:spacing w:line="360" w:lineRule="auto"/>
        <w:ind w:firstLine="709"/>
        <w:jc w:val="both"/>
        <w:rPr>
          <w:sz w:val="24"/>
          <w:szCs w:val="24"/>
        </w:rPr>
      </w:pPr>
      <w:r>
        <w:rPr>
          <w:sz w:val="24"/>
          <w:szCs w:val="24"/>
        </w:rPr>
        <w:lastRenderedPageBreak/>
        <w:t xml:space="preserve">Como demonstra </w:t>
      </w:r>
      <w:proofErr w:type="spellStart"/>
      <w:r>
        <w:rPr>
          <w:sz w:val="24"/>
          <w:szCs w:val="24"/>
          <w:lang w:val="en-US"/>
        </w:rPr>
        <w:t>estudos</w:t>
      </w:r>
      <w:proofErr w:type="spellEnd"/>
      <w:r>
        <w:rPr>
          <w:sz w:val="24"/>
          <w:szCs w:val="24"/>
          <w:lang w:val="en-US"/>
        </w:rPr>
        <w:t xml:space="preserve"> </w:t>
      </w:r>
      <w:proofErr w:type="spellStart"/>
      <w:r>
        <w:rPr>
          <w:sz w:val="24"/>
          <w:szCs w:val="24"/>
          <w:lang w:val="en-US"/>
        </w:rPr>
        <w:t>prévios</w:t>
      </w:r>
      <w:proofErr w:type="spellEnd"/>
      <w:r>
        <w:rPr>
          <w:sz w:val="24"/>
          <w:szCs w:val="24"/>
        </w:rPr>
        <w:t xml:space="preserve"> </w:t>
      </w:r>
      <w:r>
        <w:rPr>
          <w:sz w:val="24"/>
          <w:szCs w:val="24"/>
          <w:lang w:val="en-US"/>
        </w:rPr>
        <w:t>(Lima</w:t>
      </w:r>
      <w:r>
        <w:rPr>
          <w:sz w:val="24"/>
          <w:szCs w:val="24"/>
        </w:rPr>
        <w:t>,</w:t>
      </w:r>
      <w:r>
        <w:rPr>
          <w:sz w:val="24"/>
          <w:szCs w:val="24"/>
          <w:lang w:val="en-US"/>
        </w:rPr>
        <w:t xml:space="preserve"> 2024)</w:t>
      </w:r>
      <w:r>
        <w:rPr>
          <w:sz w:val="24"/>
          <w:szCs w:val="24"/>
        </w:rPr>
        <w:t xml:space="preserve"> a preparação para o desligamento é frequentemente inexistente ou reduzida a ações pontuais e emergenciais. Muitos adolescentes chegam à maioridade sem compreender o que acontecerá no dia seguinte, sem saber para onde irão, sem renda, sem vínculo familiar restaurado e sem apoio efetivo da rede pública. O que deveria ser um processo cuidadosamente planejado — desde o momento do acolhimento — se transforma em uma contagem regressiva silenciosa para a desproteção.</w:t>
      </w:r>
    </w:p>
    <w:p w14:paraId="7B6F4A8D" w14:textId="77777777" w:rsidR="00737645" w:rsidRDefault="00000000">
      <w:pPr>
        <w:spacing w:line="360" w:lineRule="auto"/>
        <w:ind w:firstLine="709"/>
        <w:jc w:val="both"/>
        <w:rPr>
          <w:sz w:val="24"/>
          <w:szCs w:val="24"/>
        </w:rPr>
      </w:pPr>
      <w:r>
        <w:rPr>
          <w:sz w:val="24"/>
          <w:szCs w:val="24"/>
        </w:rPr>
        <w:t>Essa desconexão não é fruto apenas de falhas administrativas, mas de uma concepção assistencialista e punitiva das políticas públicas, nas quais o jovem deixa de ser sujeito de direitos e passa a ser visto como alguém que “já recebeu demais”. A lógica da compensação — muito presente na prática institucional — substitui o princípio da proteção integral: espera-se que o jovem "retribua" o acolhimento com autonomia imediata, mesmo quando lhe foram negadas condições básicas para sua formação integral.</w:t>
      </w:r>
    </w:p>
    <w:p w14:paraId="778C018C" w14:textId="77777777" w:rsidR="00737645" w:rsidRDefault="00000000">
      <w:pPr>
        <w:spacing w:line="360" w:lineRule="auto"/>
        <w:ind w:firstLine="709"/>
        <w:jc w:val="both"/>
        <w:rPr>
          <w:sz w:val="24"/>
          <w:szCs w:val="24"/>
        </w:rPr>
      </w:pPr>
      <w:r>
        <w:rPr>
          <w:sz w:val="24"/>
          <w:szCs w:val="24"/>
        </w:rPr>
        <w:t>Outro aspecto crítico é a fragilidade da articulação intersetorial, fundamental para o sucesso do processo de transição. Embora a Tipificação Nacional de Serviços Socioassistenciais destaque a importância da rede (SUAS, saúde, educação, habitação, trabalho), na prática há um jogo de empurra entre os equipamentos, com sobrecarga nos técnicos das instituições e ausência de responsabilização efetiva por parte dos órgãos do Estado. O que deveria ser uma transição coordenada, apoiada e monitorada, transforma-se em um corte abrupto, onde o jovem desaparece dos registros formais do sistema.</w:t>
      </w:r>
    </w:p>
    <w:p w14:paraId="512461A7" w14:textId="77777777" w:rsidR="00737645" w:rsidRDefault="00000000">
      <w:pPr>
        <w:spacing w:line="360" w:lineRule="auto"/>
        <w:ind w:firstLine="709"/>
        <w:jc w:val="both"/>
        <w:rPr>
          <w:sz w:val="24"/>
          <w:szCs w:val="24"/>
        </w:rPr>
      </w:pPr>
      <w:r>
        <w:rPr>
          <w:sz w:val="24"/>
          <w:szCs w:val="24"/>
        </w:rPr>
        <w:t xml:space="preserve">A ausência de moradia segura, por exemplo, é uma das maiores inquietações dos jovens no momento do desligamento. Apesar da previsão de repúblicas e aluguel social, como aponta a monografia, os dados revelam a total insuficiência e invisibilidade desses programas. A maioria dos jovens precisa recorrer a soluções precárias: retornar a laços familiares frágeis, ocupar espaços informais, ou depender da solidariedade de terceiros. Em muitos casos, essa vulnerabilidade leva à </w:t>
      </w:r>
      <w:r>
        <w:rPr>
          <w:sz w:val="24"/>
          <w:szCs w:val="24"/>
        </w:rPr>
        <w:lastRenderedPageBreak/>
        <w:t>revitimização: violência urbana, exploração sexual, envolvimento com o tráfico ou ciclos de institucionalização no sistema penal.</w:t>
      </w:r>
    </w:p>
    <w:p w14:paraId="7BC31F01" w14:textId="77777777" w:rsidR="00737645" w:rsidRDefault="00000000">
      <w:pPr>
        <w:spacing w:line="360" w:lineRule="auto"/>
        <w:ind w:firstLine="709"/>
        <w:jc w:val="both"/>
        <w:rPr>
          <w:sz w:val="24"/>
          <w:szCs w:val="24"/>
        </w:rPr>
      </w:pPr>
      <w:r>
        <w:rPr>
          <w:sz w:val="24"/>
          <w:szCs w:val="24"/>
        </w:rPr>
        <w:t>Nesse cenário, o PIA — que deveria ser a principal ferramenta de planejamento da autonomia — é frequentemente tratado como documento burocrático, preenchido sem escuta ativa, sem acompanhamento contínuo e sem considerar os projetos subjetivos dos adolescentes. Em vez de ser um instrumento de afirmação de direitos, o PIA muitas vezes naturaliza as ausências, projetando soluções genéricas e descoladas da realidade dos jovens, como cursos rápidos ou encaminhamentos improvisados.</w:t>
      </w:r>
    </w:p>
    <w:p w14:paraId="07895351" w14:textId="77777777" w:rsidR="00737645" w:rsidRDefault="00000000">
      <w:pPr>
        <w:spacing w:line="360" w:lineRule="auto"/>
        <w:ind w:firstLine="709"/>
        <w:jc w:val="both"/>
        <w:rPr>
          <w:sz w:val="24"/>
          <w:szCs w:val="24"/>
        </w:rPr>
      </w:pPr>
      <w:r>
        <w:rPr>
          <w:sz w:val="24"/>
          <w:szCs w:val="24"/>
        </w:rPr>
        <w:t>A desconexão entre norma e prática revela, portanto, a fragilidade do compromisso estatal com a autonomia juvenil, especialmente quando essa juventude é negra, periférica e marcada pela institucionalização. O desligamento, que deveria ser um rito de passagem protegido, se converte em expulsão silenciosa, denunciando a precariedade de uma política que fala em direitos, mas opera sob a lógica da escassez e da seletividade.</w:t>
      </w:r>
    </w:p>
    <w:p w14:paraId="3A4DF7E8" w14:textId="77777777" w:rsidR="00737645" w:rsidRDefault="00000000">
      <w:pPr>
        <w:spacing w:line="360" w:lineRule="auto"/>
        <w:jc w:val="both"/>
        <w:rPr>
          <w:sz w:val="24"/>
          <w:szCs w:val="24"/>
        </w:rPr>
      </w:pPr>
      <w:r>
        <w:rPr>
          <w:sz w:val="24"/>
          <w:szCs w:val="24"/>
          <w:lang w:val="en-US"/>
        </w:rPr>
        <w:t>2</w:t>
      </w:r>
      <w:r>
        <w:rPr>
          <w:sz w:val="24"/>
          <w:szCs w:val="24"/>
        </w:rPr>
        <w:t>.3 Os projetos de vida em disputa</w:t>
      </w:r>
    </w:p>
    <w:p w14:paraId="5C2C62EF" w14:textId="77777777" w:rsidR="00737645" w:rsidRDefault="00000000">
      <w:pPr>
        <w:spacing w:line="360" w:lineRule="auto"/>
        <w:ind w:firstLine="709"/>
        <w:jc w:val="both"/>
        <w:rPr>
          <w:sz w:val="24"/>
          <w:szCs w:val="24"/>
        </w:rPr>
      </w:pPr>
      <w:r>
        <w:rPr>
          <w:sz w:val="24"/>
          <w:szCs w:val="24"/>
        </w:rPr>
        <w:t>A construção de um projeto de vida pressupõe a existência de horizontes possíveis, de vínculos, referências, oportunidades e um mínimo de segurança material e simbólica. No entanto, para os adolescentes egressos das instituições de acolhimento — majoritariamente negros, pobres e marcados por longos períodos de tutela — o que se apresenta não é uma trajetória de emancipação, mas um campo de disputas em que o futuro é frequentemente condicionado por estruturas de exclusão.</w:t>
      </w:r>
    </w:p>
    <w:p w14:paraId="2DDC5AFE" w14:textId="77777777" w:rsidR="00737645" w:rsidRDefault="00000000">
      <w:pPr>
        <w:spacing w:line="360" w:lineRule="auto"/>
        <w:ind w:firstLine="709"/>
        <w:jc w:val="both"/>
        <w:rPr>
          <w:sz w:val="24"/>
          <w:szCs w:val="24"/>
        </w:rPr>
      </w:pPr>
      <w:r>
        <w:rPr>
          <w:sz w:val="24"/>
          <w:szCs w:val="24"/>
        </w:rPr>
        <w:t xml:space="preserve">A pesquisa de </w:t>
      </w:r>
      <w:r>
        <w:rPr>
          <w:sz w:val="24"/>
          <w:szCs w:val="24"/>
          <w:lang w:val="en-US"/>
        </w:rPr>
        <w:t>Lima (2024)</w:t>
      </w:r>
      <w:r>
        <w:rPr>
          <w:sz w:val="24"/>
          <w:szCs w:val="24"/>
        </w:rPr>
        <w:t xml:space="preserve"> evidencia que, embora os jovens demonstrem desejo de autonomia e capacidade de reflexão sobre seus percursos, suas possibilidades são severamente limitadas pela falta de políticas públicas, pela estigmatização social e pela ausência de redes de apoio. Ao deixarem o acolhimento, encontram-se em um cenário de precariedade: sem moradia, sem trabalho formal, sem continuidade educacional e, muitas vezes, sem qualquer vínculo familiar viável. </w:t>
      </w:r>
      <w:r>
        <w:rPr>
          <w:sz w:val="24"/>
          <w:szCs w:val="24"/>
        </w:rPr>
        <w:lastRenderedPageBreak/>
        <w:t>A cidadania que lhes era parcialmente garantida pelo ECA entra em suspensão, passando a depender de uma lógica de favor ou da própria sorte.</w:t>
      </w:r>
    </w:p>
    <w:p w14:paraId="799B98E3" w14:textId="77777777" w:rsidR="00737645" w:rsidRDefault="00000000">
      <w:pPr>
        <w:spacing w:line="360" w:lineRule="auto"/>
        <w:ind w:firstLine="709"/>
        <w:jc w:val="both"/>
        <w:rPr>
          <w:sz w:val="24"/>
          <w:szCs w:val="24"/>
        </w:rPr>
      </w:pPr>
      <w:r>
        <w:rPr>
          <w:sz w:val="24"/>
          <w:szCs w:val="24"/>
        </w:rPr>
        <w:t xml:space="preserve">Diante disso, os projetos de vida se tornam estratégias de sobrevivência, frequentemente organizadas em torno de </w:t>
      </w:r>
      <w:proofErr w:type="spellStart"/>
      <w:r>
        <w:rPr>
          <w:sz w:val="24"/>
          <w:szCs w:val="24"/>
          <w:lang w:val="en-US"/>
        </w:rPr>
        <w:t>quatro</w:t>
      </w:r>
      <w:proofErr w:type="spellEnd"/>
      <w:r>
        <w:rPr>
          <w:sz w:val="24"/>
          <w:szCs w:val="24"/>
        </w:rPr>
        <w:t xml:space="preserve"> caminhos principais:</w:t>
      </w:r>
      <w:r>
        <w:rPr>
          <w:sz w:val="24"/>
          <w:szCs w:val="24"/>
          <w:lang w:val="en-US"/>
        </w:rPr>
        <w:t xml:space="preserve"> </w:t>
      </w:r>
      <w:r>
        <w:rPr>
          <w:sz w:val="24"/>
          <w:szCs w:val="24"/>
        </w:rPr>
        <w:t xml:space="preserve">O mercado informal como alternativa imediata, mesmo que marcado por instabilidade, baixos rendimentos e ausência de direitos. Muitos jovens são empurrados para “bicos”, subempregos e atividades de risco — como o trabalho em aplicativos, vendas ambulantes ou o </w:t>
      </w:r>
      <w:r>
        <w:rPr>
          <w:sz w:val="24"/>
          <w:szCs w:val="24"/>
          <w:lang w:val="en-US"/>
        </w:rPr>
        <w:t xml:space="preserve">mercado </w:t>
      </w:r>
      <w:proofErr w:type="spellStart"/>
      <w:r>
        <w:rPr>
          <w:sz w:val="24"/>
          <w:szCs w:val="24"/>
          <w:lang w:val="en-US"/>
        </w:rPr>
        <w:t>ilegal</w:t>
      </w:r>
      <w:proofErr w:type="spellEnd"/>
      <w:r>
        <w:rPr>
          <w:sz w:val="24"/>
          <w:szCs w:val="24"/>
        </w:rPr>
        <w:t xml:space="preserve"> de drogas. Este último, embora criminalizado, se apresenta como espaço de pertencimento, rendimento e reconhecimento, especialmente para os meninos negros oriundos das periferias. Trata-se de uma inserção ambígua, marcada por altos riscos de violência, morte ou encarceramento, mas também pela busca por identidade em um mundo que os rejeita.</w:t>
      </w:r>
      <w:r>
        <w:rPr>
          <w:sz w:val="24"/>
          <w:szCs w:val="24"/>
          <w:lang w:val="en-US"/>
        </w:rPr>
        <w:t xml:space="preserve"> Como </w:t>
      </w:r>
      <w:proofErr w:type="spellStart"/>
      <w:r>
        <w:rPr>
          <w:sz w:val="24"/>
          <w:szCs w:val="24"/>
          <w:lang w:val="en-US"/>
        </w:rPr>
        <w:t>estratégia</w:t>
      </w:r>
      <w:proofErr w:type="spellEnd"/>
      <w:r>
        <w:rPr>
          <w:sz w:val="24"/>
          <w:szCs w:val="24"/>
          <w:lang w:val="en-US"/>
        </w:rPr>
        <w:t xml:space="preserve"> de </w:t>
      </w:r>
      <w:proofErr w:type="spellStart"/>
      <w:r>
        <w:rPr>
          <w:sz w:val="24"/>
          <w:szCs w:val="24"/>
          <w:lang w:val="en-US"/>
        </w:rPr>
        <w:t>inserção</w:t>
      </w:r>
      <w:proofErr w:type="spellEnd"/>
      <w:r>
        <w:rPr>
          <w:sz w:val="24"/>
          <w:szCs w:val="24"/>
          <w:lang w:val="en-US"/>
        </w:rPr>
        <w:t xml:space="preserve"> no mercado de </w:t>
      </w:r>
      <w:proofErr w:type="spellStart"/>
      <w:r>
        <w:rPr>
          <w:sz w:val="24"/>
          <w:szCs w:val="24"/>
          <w:lang w:val="en-US"/>
        </w:rPr>
        <w:t>trabalho</w:t>
      </w:r>
      <w:proofErr w:type="spellEnd"/>
      <w:r>
        <w:rPr>
          <w:sz w:val="24"/>
          <w:szCs w:val="24"/>
          <w:lang w:val="en-US"/>
        </w:rPr>
        <w:t xml:space="preserve"> formal, </w:t>
      </w:r>
      <w:proofErr w:type="spellStart"/>
      <w:r>
        <w:rPr>
          <w:sz w:val="24"/>
          <w:szCs w:val="24"/>
          <w:lang w:val="en-US"/>
        </w:rPr>
        <w:t>muitos</w:t>
      </w:r>
      <w:proofErr w:type="spellEnd"/>
      <w:r>
        <w:rPr>
          <w:sz w:val="24"/>
          <w:szCs w:val="24"/>
          <w:lang w:val="en-US"/>
        </w:rPr>
        <w:t xml:space="preserve"> </w:t>
      </w:r>
      <w:proofErr w:type="spellStart"/>
      <w:r>
        <w:rPr>
          <w:sz w:val="24"/>
          <w:szCs w:val="24"/>
          <w:lang w:val="en-US"/>
        </w:rPr>
        <w:t>homens</w:t>
      </w:r>
      <w:proofErr w:type="spellEnd"/>
      <w:r>
        <w:rPr>
          <w:sz w:val="24"/>
          <w:szCs w:val="24"/>
          <w:lang w:val="en-US"/>
        </w:rPr>
        <w:t xml:space="preserve"> </w:t>
      </w:r>
      <w:proofErr w:type="spellStart"/>
      <w:r>
        <w:rPr>
          <w:sz w:val="24"/>
          <w:szCs w:val="24"/>
          <w:lang w:val="en-US"/>
        </w:rPr>
        <w:t>recorrem</w:t>
      </w:r>
      <w:proofErr w:type="spellEnd"/>
      <w:r>
        <w:rPr>
          <w:sz w:val="24"/>
          <w:szCs w:val="24"/>
          <w:lang w:val="en-US"/>
        </w:rPr>
        <w:t xml:space="preserve"> à </w:t>
      </w:r>
      <w:proofErr w:type="spellStart"/>
      <w:r>
        <w:rPr>
          <w:sz w:val="24"/>
          <w:szCs w:val="24"/>
          <w:lang w:val="en-US"/>
        </w:rPr>
        <w:t>carreira</w:t>
      </w:r>
      <w:proofErr w:type="spellEnd"/>
      <w:r>
        <w:rPr>
          <w:sz w:val="24"/>
          <w:szCs w:val="24"/>
          <w:lang w:val="en-US"/>
        </w:rPr>
        <w:t xml:space="preserve"> </w:t>
      </w:r>
      <w:proofErr w:type="spellStart"/>
      <w:r>
        <w:rPr>
          <w:sz w:val="24"/>
          <w:szCs w:val="24"/>
          <w:lang w:val="en-US"/>
        </w:rPr>
        <w:t>militar</w:t>
      </w:r>
      <w:proofErr w:type="spellEnd"/>
      <w:r>
        <w:rPr>
          <w:sz w:val="24"/>
          <w:szCs w:val="24"/>
          <w:lang w:val="en-US"/>
        </w:rPr>
        <w:t xml:space="preserve">. Diante da </w:t>
      </w:r>
      <w:proofErr w:type="spellStart"/>
      <w:r>
        <w:rPr>
          <w:sz w:val="24"/>
          <w:szCs w:val="24"/>
          <w:lang w:val="en-US"/>
        </w:rPr>
        <w:t>escassez</w:t>
      </w:r>
      <w:proofErr w:type="spellEnd"/>
      <w:r>
        <w:rPr>
          <w:sz w:val="24"/>
          <w:szCs w:val="24"/>
          <w:lang w:val="en-US"/>
        </w:rPr>
        <w:t xml:space="preserve"> de </w:t>
      </w:r>
      <w:proofErr w:type="spellStart"/>
      <w:r>
        <w:rPr>
          <w:sz w:val="24"/>
          <w:szCs w:val="24"/>
          <w:lang w:val="en-US"/>
        </w:rPr>
        <w:t>oportunidades</w:t>
      </w:r>
      <w:proofErr w:type="spellEnd"/>
      <w:r>
        <w:rPr>
          <w:sz w:val="24"/>
          <w:szCs w:val="24"/>
          <w:lang w:val="en-US"/>
        </w:rPr>
        <w:t xml:space="preserve">, o </w:t>
      </w:r>
      <w:proofErr w:type="spellStart"/>
      <w:r>
        <w:rPr>
          <w:sz w:val="24"/>
          <w:szCs w:val="24"/>
          <w:lang w:val="en-US"/>
        </w:rPr>
        <w:t>serviço</w:t>
      </w:r>
      <w:proofErr w:type="spellEnd"/>
      <w:r>
        <w:rPr>
          <w:sz w:val="24"/>
          <w:szCs w:val="24"/>
          <w:lang w:val="en-US"/>
        </w:rPr>
        <w:t xml:space="preserve"> </w:t>
      </w:r>
      <w:proofErr w:type="spellStart"/>
      <w:r>
        <w:rPr>
          <w:sz w:val="24"/>
          <w:szCs w:val="24"/>
          <w:lang w:val="en-US"/>
        </w:rPr>
        <w:t>militar</w:t>
      </w:r>
      <w:proofErr w:type="spellEnd"/>
      <w:r>
        <w:rPr>
          <w:sz w:val="24"/>
          <w:szCs w:val="24"/>
          <w:lang w:val="en-US"/>
        </w:rPr>
        <w:t xml:space="preserve"> surge </w:t>
      </w:r>
      <w:proofErr w:type="spellStart"/>
      <w:r>
        <w:rPr>
          <w:sz w:val="24"/>
          <w:szCs w:val="24"/>
          <w:lang w:val="en-US"/>
        </w:rPr>
        <w:t>como</w:t>
      </w:r>
      <w:proofErr w:type="spellEnd"/>
      <w:r>
        <w:rPr>
          <w:sz w:val="24"/>
          <w:szCs w:val="24"/>
          <w:lang w:val="en-US"/>
        </w:rPr>
        <w:t xml:space="preserve"> </w:t>
      </w:r>
      <w:proofErr w:type="spellStart"/>
      <w:r>
        <w:rPr>
          <w:sz w:val="24"/>
          <w:szCs w:val="24"/>
          <w:lang w:val="en-US"/>
        </w:rPr>
        <w:t>uma</w:t>
      </w:r>
      <w:proofErr w:type="spellEnd"/>
      <w:r>
        <w:rPr>
          <w:sz w:val="24"/>
          <w:szCs w:val="24"/>
          <w:lang w:val="en-US"/>
        </w:rPr>
        <w:t xml:space="preserve"> </w:t>
      </w:r>
      <w:proofErr w:type="spellStart"/>
      <w:r>
        <w:rPr>
          <w:sz w:val="24"/>
          <w:szCs w:val="24"/>
          <w:lang w:val="en-US"/>
        </w:rPr>
        <w:t>alternativa</w:t>
      </w:r>
      <w:proofErr w:type="spellEnd"/>
      <w:r>
        <w:rPr>
          <w:sz w:val="24"/>
          <w:szCs w:val="24"/>
          <w:lang w:val="en-US"/>
        </w:rPr>
        <w:t xml:space="preserve"> para </w:t>
      </w:r>
      <w:proofErr w:type="spellStart"/>
      <w:r>
        <w:rPr>
          <w:sz w:val="24"/>
          <w:szCs w:val="24"/>
          <w:lang w:val="en-US"/>
        </w:rPr>
        <w:t>escapar</w:t>
      </w:r>
      <w:proofErr w:type="spellEnd"/>
      <w:r>
        <w:rPr>
          <w:sz w:val="24"/>
          <w:szCs w:val="24"/>
          <w:lang w:val="en-US"/>
        </w:rPr>
        <w:t xml:space="preserve"> da </w:t>
      </w:r>
      <w:proofErr w:type="spellStart"/>
      <w:r>
        <w:rPr>
          <w:sz w:val="24"/>
          <w:szCs w:val="24"/>
          <w:lang w:val="en-US"/>
        </w:rPr>
        <w:t>pobreza</w:t>
      </w:r>
      <w:proofErr w:type="spellEnd"/>
      <w:r>
        <w:rPr>
          <w:sz w:val="24"/>
          <w:szCs w:val="24"/>
          <w:lang w:val="en-US"/>
        </w:rPr>
        <w:t xml:space="preserve">. No </w:t>
      </w:r>
      <w:proofErr w:type="spellStart"/>
      <w:r>
        <w:rPr>
          <w:sz w:val="24"/>
          <w:szCs w:val="24"/>
          <w:lang w:val="en-US"/>
        </w:rPr>
        <w:t>entanto</w:t>
      </w:r>
      <w:proofErr w:type="spellEnd"/>
      <w:r>
        <w:rPr>
          <w:sz w:val="24"/>
          <w:szCs w:val="24"/>
          <w:lang w:val="en-US"/>
        </w:rPr>
        <w:t xml:space="preserve">, </w:t>
      </w:r>
      <w:proofErr w:type="spellStart"/>
      <w:r>
        <w:rPr>
          <w:sz w:val="24"/>
          <w:szCs w:val="24"/>
          <w:lang w:val="en-US"/>
        </w:rPr>
        <w:t>apesar</w:t>
      </w:r>
      <w:proofErr w:type="spellEnd"/>
      <w:r>
        <w:rPr>
          <w:sz w:val="24"/>
          <w:szCs w:val="24"/>
          <w:lang w:val="en-US"/>
        </w:rPr>
        <w:t xml:space="preserve"> da </w:t>
      </w:r>
      <w:proofErr w:type="spellStart"/>
      <w:r>
        <w:rPr>
          <w:sz w:val="24"/>
          <w:szCs w:val="24"/>
          <w:lang w:val="en-US"/>
        </w:rPr>
        <w:t>promessa</w:t>
      </w:r>
      <w:proofErr w:type="spellEnd"/>
      <w:r>
        <w:rPr>
          <w:sz w:val="24"/>
          <w:szCs w:val="24"/>
          <w:lang w:val="en-US"/>
        </w:rPr>
        <w:t xml:space="preserve"> de </w:t>
      </w:r>
      <w:proofErr w:type="spellStart"/>
      <w:r>
        <w:rPr>
          <w:sz w:val="24"/>
          <w:szCs w:val="24"/>
          <w:lang w:val="en-US"/>
        </w:rPr>
        <w:t>ascensão</w:t>
      </w:r>
      <w:proofErr w:type="spellEnd"/>
      <w:r>
        <w:rPr>
          <w:sz w:val="24"/>
          <w:szCs w:val="24"/>
          <w:lang w:val="en-US"/>
        </w:rPr>
        <w:t xml:space="preserve"> social, </w:t>
      </w:r>
      <w:proofErr w:type="spellStart"/>
      <w:r>
        <w:rPr>
          <w:sz w:val="24"/>
          <w:szCs w:val="24"/>
          <w:lang w:val="en-US"/>
        </w:rPr>
        <w:t>essa</w:t>
      </w:r>
      <w:proofErr w:type="spellEnd"/>
      <w:r>
        <w:rPr>
          <w:sz w:val="24"/>
          <w:szCs w:val="24"/>
          <w:lang w:val="en-US"/>
        </w:rPr>
        <w:t xml:space="preserve"> </w:t>
      </w:r>
      <w:proofErr w:type="spellStart"/>
      <w:r>
        <w:rPr>
          <w:sz w:val="24"/>
          <w:szCs w:val="24"/>
          <w:lang w:val="en-US"/>
        </w:rPr>
        <w:t>mobilidade</w:t>
      </w:r>
      <w:proofErr w:type="spellEnd"/>
      <w:r>
        <w:rPr>
          <w:sz w:val="24"/>
          <w:szCs w:val="24"/>
          <w:lang w:val="en-US"/>
        </w:rPr>
        <w:t xml:space="preserve"> se </w:t>
      </w:r>
      <w:proofErr w:type="spellStart"/>
      <w:r>
        <w:rPr>
          <w:sz w:val="24"/>
          <w:szCs w:val="24"/>
          <w:lang w:val="en-US"/>
        </w:rPr>
        <w:t>mostra</w:t>
      </w:r>
      <w:proofErr w:type="spellEnd"/>
      <w:r>
        <w:rPr>
          <w:sz w:val="24"/>
          <w:szCs w:val="24"/>
          <w:lang w:val="en-US"/>
        </w:rPr>
        <w:t xml:space="preserve"> </w:t>
      </w:r>
      <w:proofErr w:type="spellStart"/>
      <w:r>
        <w:rPr>
          <w:sz w:val="24"/>
          <w:szCs w:val="24"/>
          <w:lang w:val="en-US"/>
        </w:rPr>
        <w:t>limitada</w:t>
      </w:r>
      <w:proofErr w:type="spellEnd"/>
      <w:r>
        <w:rPr>
          <w:sz w:val="24"/>
          <w:szCs w:val="24"/>
          <w:lang w:val="en-US"/>
        </w:rPr>
        <w:t xml:space="preserve">, </w:t>
      </w:r>
      <w:proofErr w:type="spellStart"/>
      <w:r>
        <w:rPr>
          <w:sz w:val="24"/>
          <w:szCs w:val="24"/>
          <w:lang w:val="en-US"/>
        </w:rPr>
        <w:t>temporária</w:t>
      </w:r>
      <w:proofErr w:type="spellEnd"/>
      <w:r>
        <w:rPr>
          <w:sz w:val="24"/>
          <w:szCs w:val="24"/>
          <w:lang w:val="en-US"/>
        </w:rPr>
        <w:t xml:space="preserve"> e </w:t>
      </w:r>
      <w:proofErr w:type="spellStart"/>
      <w:r>
        <w:rPr>
          <w:sz w:val="24"/>
          <w:szCs w:val="24"/>
          <w:lang w:val="en-US"/>
        </w:rPr>
        <w:t>acessível</w:t>
      </w:r>
      <w:proofErr w:type="spellEnd"/>
      <w:r>
        <w:rPr>
          <w:sz w:val="24"/>
          <w:szCs w:val="24"/>
          <w:lang w:val="en-US"/>
        </w:rPr>
        <w:t xml:space="preserve"> a </w:t>
      </w:r>
      <w:proofErr w:type="spellStart"/>
      <w:r>
        <w:rPr>
          <w:sz w:val="24"/>
          <w:szCs w:val="24"/>
          <w:lang w:val="en-US"/>
        </w:rPr>
        <w:t>poucos</w:t>
      </w:r>
      <w:proofErr w:type="spellEnd"/>
      <w:r>
        <w:rPr>
          <w:sz w:val="24"/>
          <w:szCs w:val="24"/>
          <w:lang w:val="en-US"/>
        </w:rPr>
        <w:t xml:space="preserve">. </w:t>
      </w:r>
      <w:proofErr w:type="spellStart"/>
      <w:r>
        <w:rPr>
          <w:sz w:val="24"/>
          <w:szCs w:val="24"/>
          <w:lang w:val="en-US"/>
        </w:rPr>
        <w:t>Muitos</w:t>
      </w:r>
      <w:proofErr w:type="spellEnd"/>
      <w:r>
        <w:rPr>
          <w:sz w:val="24"/>
          <w:szCs w:val="24"/>
          <w:lang w:val="en-US"/>
        </w:rPr>
        <w:t xml:space="preserve"> </w:t>
      </w:r>
      <w:proofErr w:type="spellStart"/>
      <w:r>
        <w:rPr>
          <w:sz w:val="24"/>
          <w:szCs w:val="24"/>
          <w:lang w:val="en-US"/>
        </w:rPr>
        <w:t>jovens</w:t>
      </w:r>
      <w:proofErr w:type="spellEnd"/>
      <w:r>
        <w:rPr>
          <w:sz w:val="24"/>
          <w:szCs w:val="24"/>
          <w:lang w:val="en-US"/>
        </w:rPr>
        <w:t xml:space="preserve"> </w:t>
      </w:r>
      <w:proofErr w:type="spellStart"/>
      <w:r>
        <w:rPr>
          <w:sz w:val="24"/>
          <w:szCs w:val="24"/>
          <w:lang w:val="en-US"/>
        </w:rPr>
        <w:t>deixam</w:t>
      </w:r>
      <w:proofErr w:type="spellEnd"/>
      <w:r>
        <w:rPr>
          <w:sz w:val="24"/>
          <w:szCs w:val="24"/>
          <w:lang w:val="en-US"/>
        </w:rPr>
        <w:t xml:space="preserve"> </w:t>
      </w:r>
      <w:proofErr w:type="spellStart"/>
      <w:r>
        <w:rPr>
          <w:sz w:val="24"/>
          <w:szCs w:val="24"/>
          <w:lang w:val="en-US"/>
        </w:rPr>
        <w:t>essas</w:t>
      </w:r>
      <w:proofErr w:type="spellEnd"/>
      <w:r>
        <w:rPr>
          <w:sz w:val="24"/>
          <w:szCs w:val="24"/>
          <w:lang w:val="en-US"/>
        </w:rPr>
        <w:t xml:space="preserve"> </w:t>
      </w:r>
      <w:proofErr w:type="spellStart"/>
      <w:r>
        <w:rPr>
          <w:sz w:val="24"/>
          <w:szCs w:val="24"/>
          <w:lang w:val="en-US"/>
        </w:rPr>
        <w:t>instituições</w:t>
      </w:r>
      <w:proofErr w:type="spellEnd"/>
      <w:r>
        <w:rPr>
          <w:sz w:val="24"/>
          <w:szCs w:val="24"/>
          <w:lang w:val="en-US"/>
        </w:rPr>
        <w:t xml:space="preserve"> </w:t>
      </w:r>
      <w:proofErr w:type="spellStart"/>
      <w:r>
        <w:rPr>
          <w:sz w:val="24"/>
          <w:szCs w:val="24"/>
          <w:lang w:val="en-US"/>
        </w:rPr>
        <w:t>sem</w:t>
      </w:r>
      <w:proofErr w:type="spellEnd"/>
      <w:r>
        <w:rPr>
          <w:sz w:val="24"/>
          <w:szCs w:val="24"/>
          <w:lang w:val="en-US"/>
        </w:rPr>
        <w:t xml:space="preserve"> </w:t>
      </w:r>
      <w:proofErr w:type="spellStart"/>
      <w:r>
        <w:rPr>
          <w:sz w:val="24"/>
          <w:szCs w:val="24"/>
          <w:lang w:val="en-US"/>
        </w:rPr>
        <w:t>qualificação</w:t>
      </w:r>
      <w:proofErr w:type="spellEnd"/>
      <w:r>
        <w:rPr>
          <w:sz w:val="24"/>
          <w:szCs w:val="24"/>
          <w:lang w:val="en-US"/>
        </w:rPr>
        <w:t xml:space="preserve"> </w:t>
      </w:r>
      <w:proofErr w:type="spellStart"/>
      <w:r>
        <w:rPr>
          <w:sz w:val="24"/>
          <w:szCs w:val="24"/>
          <w:lang w:val="en-US"/>
        </w:rPr>
        <w:t>profissional</w:t>
      </w:r>
      <w:proofErr w:type="spellEnd"/>
      <w:r>
        <w:rPr>
          <w:sz w:val="24"/>
          <w:szCs w:val="24"/>
          <w:lang w:val="en-US"/>
        </w:rPr>
        <w:t xml:space="preserve"> </w:t>
      </w:r>
      <w:proofErr w:type="spellStart"/>
      <w:r>
        <w:rPr>
          <w:sz w:val="24"/>
          <w:szCs w:val="24"/>
          <w:lang w:val="en-US"/>
        </w:rPr>
        <w:t>significativa</w:t>
      </w:r>
      <w:proofErr w:type="spellEnd"/>
      <w:r>
        <w:rPr>
          <w:sz w:val="24"/>
          <w:szCs w:val="24"/>
          <w:lang w:val="en-US"/>
        </w:rPr>
        <w:t xml:space="preserve"> </w:t>
      </w:r>
      <w:proofErr w:type="spellStart"/>
      <w:r>
        <w:rPr>
          <w:sz w:val="24"/>
          <w:szCs w:val="24"/>
          <w:lang w:val="en-US"/>
        </w:rPr>
        <w:t>ou</w:t>
      </w:r>
      <w:proofErr w:type="spellEnd"/>
      <w:r>
        <w:rPr>
          <w:sz w:val="24"/>
          <w:szCs w:val="24"/>
          <w:lang w:val="en-US"/>
        </w:rPr>
        <w:t xml:space="preserve"> </w:t>
      </w:r>
      <w:proofErr w:type="spellStart"/>
      <w:r>
        <w:rPr>
          <w:sz w:val="24"/>
          <w:szCs w:val="24"/>
          <w:lang w:val="en-US"/>
        </w:rPr>
        <w:t>inserção</w:t>
      </w:r>
      <w:proofErr w:type="spellEnd"/>
      <w:r>
        <w:rPr>
          <w:sz w:val="24"/>
          <w:szCs w:val="24"/>
          <w:lang w:val="en-US"/>
        </w:rPr>
        <w:t xml:space="preserve"> </w:t>
      </w:r>
      <w:proofErr w:type="spellStart"/>
      <w:r>
        <w:rPr>
          <w:sz w:val="24"/>
          <w:szCs w:val="24"/>
          <w:lang w:val="en-US"/>
        </w:rPr>
        <w:t>efetiva</w:t>
      </w:r>
      <w:proofErr w:type="spellEnd"/>
      <w:r>
        <w:rPr>
          <w:sz w:val="24"/>
          <w:szCs w:val="24"/>
          <w:lang w:val="en-US"/>
        </w:rPr>
        <w:t xml:space="preserve"> no mercado de </w:t>
      </w:r>
      <w:proofErr w:type="spellStart"/>
      <w:r>
        <w:rPr>
          <w:sz w:val="24"/>
          <w:szCs w:val="24"/>
          <w:lang w:val="en-US"/>
        </w:rPr>
        <w:t>trabalho</w:t>
      </w:r>
      <w:proofErr w:type="spellEnd"/>
      <w:r>
        <w:rPr>
          <w:sz w:val="24"/>
          <w:szCs w:val="24"/>
          <w:lang w:val="en-US"/>
        </w:rPr>
        <w:t xml:space="preserve">. </w:t>
      </w:r>
      <w:proofErr w:type="spellStart"/>
      <w:r>
        <w:rPr>
          <w:sz w:val="24"/>
          <w:szCs w:val="24"/>
          <w:lang w:val="en-US"/>
        </w:rPr>
        <w:t>Além</w:t>
      </w:r>
      <w:proofErr w:type="spellEnd"/>
      <w:r>
        <w:rPr>
          <w:sz w:val="24"/>
          <w:szCs w:val="24"/>
          <w:lang w:val="en-US"/>
        </w:rPr>
        <w:t xml:space="preserve"> </w:t>
      </w:r>
      <w:proofErr w:type="spellStart"/>
      <w:r>
        <w:rPr>
          <w:sz w:val="24"/>
          <w:szCs w:val="24"/>
          <w:lang w:val="en-US"/>
        </w:rPr>
        <w:t>disso</w:t>
      </w:r>
      <w:proofErr w:type="spellEnd"/>
      <w:r>
        <w:rPr>
          <w:sz w:val="24"/>
          <w:szCs w:val="24"/>
          <w:lang w:val="en-US"/>
        </w:rPr>
        <w:t xml:space="preserve">, o </w:t>
      </w:r>
      <w:proofErr w:type="spellStart"/>
      <w:r>
        <w:rPr>
          <w:sz w:val="24"/>
          <w:szCs w:val="24"/>
          <w:lang w:val="en-US"/>
        </w:rPr>
        <w:t>ingresso</w:t>
      </w:r>
      <w:proofErr w:type="spellEnd"/>
      <w:r>
        <w:rPr>
          <w:sz w:val="24"/>
          <w:szCs w:val="24"/>
          <w:lang w:val="en-US"/>
        </w:rPr>
        <w:t xml:space="preserve"> </w:t>
      </w:r>
      <w:proofErr w:type="spellStart"/>
      <w:r>
        <w:rPr>
          <w:sz w:val="24"/>
          <w:szCs w:val="24"/>
          <w:lang w:val="en-US"/>
        </w:rPr>
        <w:t>nas</w:t>
      </w:r>
      <w:proofErr w:type="spellEnd"/>
      <w:r>
        <w:rPr>
          <w:sz w:val="24"/>
          <w:szCs w:val="24"/>
          <w:lang w:val="en-US"/>
        </w:rPr>
        <w:t xml:space="preserve"> </w:t>
      </w:r>
      <w:proofErr w:type="spellStart"/>
      <w:r>
        <w:rPr>
          <w:sz w:val="24"/>
          <w:szCs w:val="24"/>
          <w:lang w:val="en-US"/>
        </w:rPr>
        <w:t>Forças</w:t>
      </w:r>
      <w:proofErr w:type="spellEnd"/>
      <w:r>
        <w:rPr>
          <w:sz w:val="24"/>
          <w:szCs w:val="24"/>
          <w:lang w:val="en-US"/>
        </w:rPr>
        <w:t xml:space="preserve"> Armadas </w:t>
      </w:r>
      <w:proofErr w:type="spellStart"/>
      <w:r>
        <w:rPr>
          <w:sz w:val="24"/>
          <w:szCs w:val="24"/>
          <w:lang w:val="en-US"/>
        </w:rPr>
        <w:t>representa</w:t>
      </w:r>
      <w:proofErr w:type="spellEnd"/>
      <w:r>
        <w:rPr>
          <w:sz w:val="24"/>
          <w:szCs w:val="24"/>
          <w:lang w:val="en-US"/>
        </w:rPr>
        <w:t xml:space="preserve">, para esses </w:t>
      </w:r>
      <w:proofErr w:type="spellStart"/>
      <w:r>
        <w:rPr>
          <w:sz w:val="24"/>
          <w:szCs w:val="24"/>
          <w:lang w:val="en-US"/>
        </w:rPr>
        <w:t>jovens</w:t>
      </w:r>
      <w:proofErr w:type="spellEnd"/>
      <w:r>
        <w:rPr>
          <w:sz w:val="24"/>
          <w:szCs w:val="24"/>
          <w:lang w:val="en-US"/>
        </w:rPr>
        <w:t xml:space="preserve"> negros, um </w:t>
      </w:r>
      <w:proofErr w:type="spellStart"/>
      <w:r>
        <w:rPr>
          <w:sz w:val="24"/>
          <w:szCs w:val="24"/>
          <w:lang w:val="en-US"/>
        </w:rPr>
        <w:t>retorno</w:t>
      </w:r>
      <w:proofErr w:type="spellEnd"/>
      <w:r>
        <w:rPr>
          <w:sz w:val="24"/>
          <w:szCs w:val="24"/>
          <w:lang w:val="en-US"/>
        </w:rPr>
        <w:t xml:space="preserve"> </w:t>
      </w:r>
      <w:proofErr w:type="spellStart"/>
      <w:r>
        <w:rPr>
          <w:sz w:val="24"/>
          <w:szCs w:val="24"/>
          <w:lang w:val="en-US"/>
        </w:rPr>
        <w:t>ao</w:t>
      </w:r>
      <w:proofErr w:type="spellEnd"/>
      <w:r>
        <w:rPr>
          <w:sz w:val="24"/>
          <w:szCs w:val="24"/>
          <w:lang w:val="en-US"/>
        </w:rPr>
        <w:t xml:space="preserve"> </w:t>
      </w:r>
      <w:proofErr w:type="spellStart"/>
      <w:r>
        <w:rPr>
          <w:sz w:val="24"/>
          <w:szCs w:val="24"/>
          <w:lang w:val="en-US"/>
        </w:rPr>
        <w:t>ambiente</w:t>
      </w:r>
      <w:proofErr w:type="spellEnd"/>
      <w:r>
        <w:rPr>
          <w:sz w:val="24"/>
          <w:szCs w:val="24"/>
          <w:lang w:val="en-US"/>
        </w:rPr>
        <w:t xml:space="preserve"> </w:t>
      </w:r>
      <w:proofErr w:type="spellStart"/>
      <w:r>
        <w:rPr>
          <w:sz w:val="24"/>
          <w:szCs w:val="24"/>
          <w:lang w:val="en-US"/>
        </w:rPr>
        <w:t>institucional</w:t>
      </w:r>
      <w:proofErr w:type="spellEnd"/>
      <w:r>
        <w:rPr>
          <w:sz w:val="24"/>
          <w:szCs w:val="24"/>
          <w:lang w:val="en-US"/>
        </w:rPr>
        <w:t xml:space="preserve">, </w:t>
      </w:r>
      <w:proofErr w:type="spellStart"/>
      <w:r>
        <w:rPr>
          <w:sz w:val="24"/>
          <w:szCs w:val="24"/>
          <w:lang w:val="en-US"/>
        </w:rPr>
        <w:t>perpetuando</w:t>
      </w:r>
      <w:proofErr w:type="spellEnd"/>
      <w:r>
        <w:rPr>
          <w:sz w:val="24"/>
          <w:szCs w:val="24"/>
          <w:lang w:val="en-US"/>
        </w:rPr>
        <w:t xml:space="preserve"> </w:t>
      </w:r>
      <w:proofErr w:type="spellStart"/>
      <w:r>
        <w:rPr>
          <w:sz w:val="24"/>
          <w:szCs w:val="24"/>
          <w:lang w:val="en-US"/>
        </w:rPr>
        <w:t>trajetórias</w:t>
      </w:r>
      <w:proofErr w:type="spellEnd"/>
      <w:r>
        <w:rPr>
          <w:sz w:val="24"/>
          <w:szCs w:val="24"/>
          <w:lang w:val="en-US"/>
        </w:rPr>
        <w:t xml:space="preserve"> </w:t>
      </w:r>
      <w:proofErr w:type="spellStart"/>
      <w:r>
        <w:rPr>
          <w:sz w:val="24"/>
          <w:szCs w:val="24"/>
          <w:lang w:val="en-US"/>
        </w:rPr>
        <w:t>marcadas</w:t>
      </w:r>
      <w:proofErr w:type="spellEnd"/>
      <w:r>
        <w:rPr>
          <w:sz w:val="24"/>
          <w:szCs w:val="24"/>
          <w:lang w:val="en-US"/>
        </w:rPr>
        <w:t xml:space="preserve"> </w:t>
      </w:r>
      <w:proofErr w:type="spellStart"/>
      <w:r>
        <w:rPr>
          <w:sz w:val="24"/>
          <w:szCs w:val="24"/>
          <w:lang w:val="en-US"/>
        </w:rPr>
        <w:t>por</w:t>
      </w:r>
      <w:proofErr w:type="spellEnd"/>
      <w:r>
        <w:rPr>
          <w:sz w:val="24"/>
          <w:szCs w:val="24"/>
          <w:lang w:val="en-US"/>
        </w:rPr>
        <w:t xml:space="preserve"> </w:t>
      </w:r>
      <w:proofErr w:type="spellStart"/>
      <w:r>
        <w:rPr>
          <w:sz w:val="24"/>
          <w:szCs w:val="24"/>
          <w:lang w:val="en-US"/>
        </w:rPr>
        <w:t>sucessivas</w:t>
      </w:r>
      <w:proofErr w:type="spellEnd"/>
      <w:r>
        <w:rPr>
          <w:sz w:val="24"/>
          <w:szCs w:val="24"/>
          <w:lang w:val="en-US"/>
        </w:rPr>
        <w:t xml:space="preserve"> </w:t>
      </w:r>
      <w:proofErr w:type="spellStart"/>
      <w:r>
        <w:rPr>
          <w:sz w:val="24"/>
          <w:szCs w:val="24"/>
          <w:lang w:val="en-US"/>
        </w:rPr>
        <w:t>institucionalizações</w:t>
      </w:r>
      <w:proofErr w:type="spellEnd"/>
      <w:r>
        <w:rPr>
          <w:sz w:val="24"/>
          <w:szCs w:val="24"/>
          <w:lang w:val="en-US"/>
        </w:rPr>
        <w:t xml:space="preserve">, </w:t>
      </w:r>
      <w:proofErr w:type="spellStart"/>
      <w:r>
        <w:rPr>
          <w:sz w:val="24"/>
          <w:szCs w:val="24"/>
          <w:lang w:val="en-US"/>
        </w:rPr>
        <w:t>inseridas</w:t>
      </w:r>
      <w:proofErr w:type="spellEnd"/>
      <w:r>
        <w:rPr>
          <w:sz w:val="24"/>
          <w:szCs w:val="24"/>
          <w:lang w:val="en-US"/>
        </w:rPr>
        <w:t xml:space="preserve"> </w:t>
      </w:r>
      <w:proofErr w:type="spellStart"/>
      <w:r>
        <w:rPr>
          <w:sz w:val="24"/>
          <w:szCs w:val="24"/>
          <w:lang w:val="en-US"/>
        </w:rPr>
        <w:t>em</w:t>
      </w:r>
      <w:proofErr w:type="spellEnd"/>
      <w:r>
        <w:rPr>
          <w:sz w:val="24"/>
          <w:szCs w:val="24"/>
          <w:lang w:val="en-US"/>
        </w:rPr>
        <w:t xml:space="preserve"> </w:t>
      </w:r>
      <w:proofErr w:type="spellStart"/>
      <w:r>
        <w:rPr>
          <w:sz w:val="24"/>
          <w:szCs w:val="24"/>
          <w:lang w:val="en-US"/>
        </w:rPr>
        <w:t>uma</w:t>
      </w:r>
      <w:proofErr w:type="spellEnd"/>
      <w:r>
        <w:rPr>
          <w:sz w:val="24"/>
          <w:szCs w:val="24"/>
          <w:lang w:val="en-US"/>
        </w:rPr>
        <w:t xml:space="preserve"> </w:t>
      </w:r>
      <w:proofErr w:type="spellStart"/>
      <w:r>
        <w:rPr>
          <w:sz w:val="24"/>
          <w:szCs w:val="24"/>
          <w:lang w:val="en-US"/>
        </w:rPr>
        <w:t>lógica</w:t>
      </w:r>
      <w:proofErr w:type="spellEnd"/>
      <w:r>
        <w:rPr>
          <w:sz w:val="24"/>
          <w:szCs w:val="24"/>
          <w:lang w:val="en-US"/>
        </w:rPr>
        <w:t xml:space="preserve"> de </w:t>
      </w:r>
      <w:proofErr w:type="spellStart"/>
      <w:r>
        <w:rPr>
          <w:sz w:val="24"/>
          <w:szCs w:val="24"/>
          <w:lang w:val="en-US"/>
        </w:rPr>
        <w:t>contenção</w:t>
      </w:r>
      <w:proofErr w:type="spellEnd"/>
      <w:r>
        <w:rPr>
          <w:sz w:val="24"/>
          <w:szCs w:val="24"/>
          <w:lang w:val="en-US"/>
        </w:rPr>
        <w:t xml:space="preserve"> e </w:t>
      </w:r>
      <w:proofErr w:type="spellStart"/>
      <w:r>
        <w:rPr>
          <w:sz w:val="24"/>
          <w:szCs w:val="24"/>
          <w:lang w:val="en-US"/>
        </w:rPr>
        <w:t>vigilância</w:t>
      </w:r>
      <w:proofErr w:type="spellEnd"/>
      <w:r>
        <w:rPr>
          <w:sz w:val="24"/>
          <w:szCs w:val="24"/>
          <w:lang w:val="en-US"/>
        </w:rPr>
        <w:t xml:space="preserve"> social </w:t>
      </w:r>
      <w:proofErr w:type="spellStart"/>
      <w:r>
        <w:rPr>
          <w:sz w:val="24"/>
          <w:szCs w:val="24"/>
          <w:lang w:val="en-US"/>
        </w:rPr>
        <w:t>desses</w:t>
      </w:r>
      <w:proofErr w:type="spellEnd"/>
      <w:r>
        <w:rPr>
          <w:sz w:val="24"/>
          <w:szCs w:val="24"/>
          <w:lang w:val="en-US"/>
        </w:rPr>
        <w:t xml:space="preserve"> </w:t>
      </w:r>
      <w:proofErr w:type="spellStart"/>
      <w:r>
        <w:rPr>
          <w:sz w:val="24"/>
          <w:szCs w:val="24"/>
          <w:lang w:val="en-US"/>
        </w:rPr>
        <w:t>corpos</w:t>
      </w:r>
      <w:proofErr w:type="spellEnd"/>
      <w:r>
        <w:rPr>
          <w:sz w:val="24"/>
          <w:szCs w:val="24"/>
          <w:lang w:val="en-US"/>
        </w:rPr>
        <w:t xml:space="preserve">. Outro </w:t>
      </w:r>
      <w:proofErr w:type="spellStart"/>
      <w:r>
        <w:rPr>
          <w:sz w:val="24"/>
          <w:szCs w:val="24"/>
          <w:lang w:val="en-US"/>
        </w:rPr>
        <w:t>caminho</w:t>
      </w:r>
      <w:proofErr w:type="spellEnd"/>
      <w:r>
        <w:rPr>
          <w:sz w:val="24"/>
          <w:szCs w:val="24"/>
          <w:lang w:val="en-US"/>
        </w:rPr>
        <w:t xml:space="preserve"> é a </w:t>
      </w:r>
      <w:r>
        <w:rPr>
          <w:sz w:val="24"/>
          <w:szCs w:val="24"/>
        </w:rPr>
        <w:t>maternidade precoce e os vínculos conjugais como via de inserção das meninas, muitas vezes em contextos de dependência emocional e econômica. A falta de suporte e políticas específicas para jovens mulheres egressas das instituições as expõe à desproteção e ao abandono. A maternidade, nesses casos, aparece como um projeto possível, mas também como imposição social e destino repetido de exclusão — gerando novos ciclos de pobreza, ausência de direitos e intervenções do próprio sistema de acolhimento.</w:t>
      </w:r>
      <w:r>
        <w:rPr>
          <w:sz w:val="24"/>
          <w:szCs w:val="24"/>
          <w:lang w:val="en-US"/>
        </w:rPr>
        <w:t xml:space="preserve"> </w:t>
      </w:r>
      <w:proofErr w:type="spellStart"/>
      <w:r>
        <w:rPr>
          <w:sz w:val="24"/>
          <w:szCs w:val="24"/>
          <w:lang w:val="en-US"/>
        </w:rPr>
        <w:t>Finalmente</w:t>
      </w:r>
      <w:proofErr w:type="spellEnd"/>
      <w:r>
        <w:rPr>
          <w:sz w:val="24"/>
          <w:szCs w:val="24"/>
          <w:lang w:val="en-US"/>
        </w:rPr>
        <w:t>, o</w:t>
      </w:r>
      <w:r>
        <w:rPr>
          <w:sz w:val="24"/>
          <w:szCs w:val="24"/>
        </w:rPr>
        <w:t xml:space="preserve"> esforço pela escolarização e profissionalização como caminho de exceção, trilhado por jovens que, apesar dos obstáculos, conseguem manter vínculos com </w:t>
      </w:r>
      <w:proofErr w:type="gramStart"/>
      <w:r>
        <w:rPr>
          <w:sz w:val="24"/>
          <w:szCs w:val="24"/>
        </w:rPr>
        <w:t>a</w:t>
      </w:r>
      <w:proofErr w:type="gramEnd"/>
      <w:r>
        <w:rPr>
          <w:sz w:val="24"/>
          <w:szCs w:val="24"/>
        </w:rPr>
        <w:t xml:space="preserve"> escola, </w:t>
      </w:r>
      <w:r>
        <w:rPr>
          <w:sz w:val="24"/>
          <w:szCs w:val="24"/>
        </w:rPr>
        <w:lastRenderedPageBreak/>
        <w:t>acessar cursinhos, programas de aprendizagem ou ações afirmativas. Esses trajetos, no entanto, são marcados por rupturas constantes, falta de acompanhamento psicológico, dificuldades financeiras e ausência de moradia segura. Quando bem-sucedidos, expressam mais a resiliência individual e o apoio de figuras específicas (professores, técnicos, ONGs) do que a presença estruturada do Estado.</w:t>
      </w:r>
    </w:p>
    <w:p w14:paraId="61453BC4" w14:textId="77777777" w:rsidR="00737645" w:rsidRDefault="00000000">
      <w:pPr>
        <w:spacing w:line="360" w:lineRule="auto"/>
        <w:ind w:firstLine="709"/>
        <w:jc w:val="both"/>
        <w:rPr>
          <w:sz w:val="24"/>
          <w:szCs w:val="24"/>
        </w:rPr>
      </w:pPr>
      <w:r>
        <w:rPr>
          <w:sz w:val="24"/>
          <w:szCs w:val="24"/>
        </w:rPr>
        <w:t>Esses cenários demonstram que os projetos de vida dos jovens egressos do acolhimento institucional não se constroem no vazio, mas em meio a disputas simbólicas e materiais, onde o racismo, o patriarcado e a lógica neoliberal operam como forças que restringem sonhos, limitam percursos e criminalizam tentativas de existência autônoma. O Estado, que deveria garantir o direito à transição segura e ao desenvolvimento integral, atua ora pela omissão, ora pelo controle e punição, reiterando a seletividade histórica que marca a institucionalização de corpos negros e pobres.</w:t>
      </w:r>
    </w:p>
    <w:p w14:paraId="3812BF6C" w14:textId="77777777" w:rsidR="00737645" w:rsidRDefault="00000000">
      <w:pPr>
        <w:spacing w:line="360" w:lineRule="auto"/>
        <w:ind w:firstLine="709"/>
        <w:jc w:val="both"/>
        <w:rPr>
          <w:sz w:val="24"/>
          <w:szCs w:val="24"/>
        </w:rPr>
      </w:pPr>
      <w:r>
        <w:rPr>
          <w:sz w:val="24"/>
          <w:szCs w:val="24"/>
        </w:rPr>
        <w:t>Contudo, é preciso reconhecer também os sinais de resistência e reinvenção: jovens que, apesar das adversidades, constroem coletivos, ocupam espaços educacionais, acessam políticas de cotas, participam de movimentos sociais e elaboram formas de subjetivação e pertencimento que rompem com os destinos previsíveis. A possibilidade de projetos de vida não está ausente — mas depende de uma combinação entre políticas públicas efetivas, apoio institucional continuado e valorização do protagonismo juvenil.</w:t>
      </w:r>
    </w:p>
    <w:p w14:paraId="42465752" w14:textId="77777777" w:rsidR="00737645" w:rsidRDefault="00000000">
      <w:pPr>
        <w:spacing w:line="360" w:lineRule="auto"/>
        <w:ind w:firstLine="709"/>
        <w:jc w:val="both"/>
        <w:rPr>
          <w:sz w:val="24"/>
          <w:szCs w:val="24"/>
        </w:rPr>
      </w:pPr>
      <w:r>
        <w:rPr>
          <w:sz w:val="24"/>
          <w:szCs w:val="24"/>
        </w:rPr>
        <w:t xml:space="preserve">A construção de um projeto de vida para adolescentes egressos de longa permanência em instituições de acolhimento exige o reconhecimento das marcas profundas deixadas por trajetórias atravessadas pela institucionalização e pelo racismo estrutural. Como destacam Saraiva, Basílio e Neves (2025), crianças e adolescentes negros são frequentemente objetificados, descartados e privados de proteção, mesmo em contextos que deveriam assegurar seus direitos fundamentais. A adultização precoce, somada à racialização da infância e à incompletude institucional das políticas públicas, compromete não apenas o presente, mas também as possibilidades de futuro desses jovens. Nesse sentido, pensar projetos de vida não </w:t>
      </w:r>
      <w:r>
        <w:rPr>
          <w:sz w:val="24"/>
          <w:szCs w:val="24"/>
        </w:rPr>
        <w:lastRenderedPageBreak/>
        <w:t>pode ser uma tarefa individualizada, mas deve ser compreendida como parte de uma estratégia coletiva de resistência e afirmação de direitos. Para isso, é fundamental fortalecer o Sistema de Garantia de Direitos da Criança e do Adolescente (SGDCA), investir na formação crítica e antirracista dos profissionais da rede e reconhecer, como afirmam as autoras, que “a educação permanente é condição para mudança” (Saraiva et al., 2025, p. 9), especialmente quando se trata de romper com lógicas penalizadoras e racializadas que ainda persistem nas práticas institucionais.</w:t>
      </w:r>
    </w:p>
    <w:p w14:paraId="1F90AA66" w14:textId="77777777" w:rsidR="00737645" w:rsidRDefault="00737645">
      <w:pPr>
        <w:spacing w:line="360" w:lineRule="auto"/>
        <w:ind w:firstLine="709"/>
        <w:jc w:val="both"/>
        <w:rPr>
          <w:sz w:val="24"/>
          <w:szCs w:val="24"/>
        </w:rPr>
      </w:pPr>
    </w:p>
    <w:p w14:paraId="0BE5DB15" w14:textId="77777777" w:rsidR="00737645" w:rsidRDefault="00000000">
      <w:pPr>
        <w:spacing w:line="360" w:lineRule="auto"/>
        <w:jc w:val="both"/>
        <w:rPr>
          <w:b/>
          <w:bCs/>
          <w:sz w:val="24"/>
          <w:szCs w:val="24"/>
        </w:rPr>
      </w:pPr>
      <w:r>
        <w:rPr>
          <w:b/>
          <w:bCs/>
          <w:sz w:val="24"/>
          <w:szCs w:val="24"/>
        </w:rPr>
        <w:t>3</w:t>
      </w:r>
      <w:r>
        <w:rPr>
          <w:b/>
          <w:bCs/>
          <w:sz w:val="24"/>
          <w:szCs w:val="24"/>
        </w:rPr>
        <w:tab/>
        <w:t>CONCLUSÃO</w:t>
      </w:r>
    </w:p>
    <w:p w14:paraId="0C1267CF" w14:textId="77777777" w:rsidR="00737645" w:rsidRDefault="00000000">
      <w:pPr>
        <w:spacing w:line="360" w:lineRule="auto"/>
        <w:ind w:firstLine="709"/>
        <w:jc w:val="both"/>
        <w:rPr>
          <w:sz w:val="24"/>
          <w:szCs w:val="24"/>
        </w:rPr>
      </w:pPr>
      <w:r>
        <w:rPr>
          <w:sz w:val="24"/>
          <w:szCs w:val="24"/>
        </w:rPr>
        <w:t>Este artigo procurou problematizar a construção de projetos de vida por parte de adolescentes e jovens que vivenciaram a institucionalização e, ao completarem 18 anos, são compulsoriamente desligados dos serviços de acolhimento, muitas vezes sem preparação, suporte ou garantia de continuidade de direitos. A análise demonstrou que a vivência institucional, longe de ser neutra ou protetiva por definição, é marcada por desigualdades estruturais que se expressam de forma mais aguda sobre a juventude negra, pobre, periférica e, no caso das meninas, também sobre corpos atravessados por gênero e sexualidade.</w:t>
      </w:r>
    </w:p>
    <w:p w14:paraId="39252600" w14:textId="77777777" w:rsidR="00737645" w:rsidRDefault="00000000">
      <w:pPr>
        <w:spacing w:line="360" w:lineRule="auto"/>
        <w:ind w:firstLine="709"/>
        <w:jc w:val="both"/>
        <w:rPr>
          <w:sz w:val="24"/>
          <w:szCs w:val="24"/>
        </w:rPr>
      </w:pPr>
      <w:r>
        <w:rPr>
          <w:sz w:val="24"/>
          <w:szCs w:val="24"/>
        </w:rPr>
        <w:t>Ainda que a legislação brasileira aponte para a proteção integral e para o caráter excepcional do acolhimento institucional, o cotidiano revela uma política marcada por omissões, fragmentações e seletividades. O que deveria ser um processo de transição gradual e planejado se configura, na prática, como um rompimento abrupto, no qual o jovem é lançado à vida adulta sem o devido preparo, apoio psicossocial ou inserção em políticas habitacionais, educacionais e de trabalho. A desconexão entre norma e prática é um traço estrutural das políticas sociais brasileiras — e, no caso dos egressos da institucionalização, ela se traduz em cidadania interrompida.</w:t>
      </w:r>
    </w:p>
    <w:p w14:paraId="612F9182" w14:textId="77777777" w:rsidR="00737645" w:rsidRDefault="00000000">
      <w:pPr>
        <w:spacing w:line="360" w:lineRule="auto"/>
        <w:ind w:firstLine="709"/>
        <w:jc w:val="both"/>
        <w:rPr>
          <w:sz w:val="24"/>
          <w:szCs w:val="24"/>
        </w:rPr>
      </w:pPr>
      <w:r>
        <w:rPr>
          <w:sz w:val="24"/>
          <w:szCs w:val="24"/>
        </w:rPr>
        <w:t xml:space="preserve">O debate sobre racismo estrutural revelou-se central para compreender por que certos corpos — negros, pobres, oriundos de territórios estigmatizados — são mais frequentemente institucionalizados e mais facilmente abandonados. A seletividade da </w:t>
      </w:r>
      <w:r>
        <w:rPr>
          <w:sz w:val="24"/>
          <w:szCs w:val="24"/>
        </w:rPr>
        <w:lastRenderedPageBreak/>
        <w:t>intervenção estatal é visível tanto na entrada quanto na saída das instituições. De forma sintomática, o mesmo Estado que julga as famílias negras como "incapazes" de cuidar de seus filhos, mostra-se igualmente incapaz de garantir o direito à autonomia e à vida digna desses jovens ao final do acolhimento.</w:t>
      </w:r>
    </w:p>
    <w:p w14:paraId="78EE1B50" w14:textId="77777777" w:rsidR="00737645" w:rsidRDefault="00000000">
      <w:pPr>
        <w:spacing w:line="360" w:lineRule="auto"/>
        <w:ind w:firstLine="709"/>
        <w:jc w:val="both"/>
        <w:rPr>
          <w:sz w:val="24"/>
          <w:szCs w:val="24"/>
        </w:rPr>
      </w:pPr>
      <w:r>
        <w:rPr>
          <w:sz w:val="24"/>
          <w:szCs w:val="24"/>
        </w:rPr>
        <w:t>Entretanto, mesmo diante de tanta precariedade, os jovens constroem formas de resistência e (re)invenção. Alguns conseguem acessar redes de apoio, construir trajetórias educativas, se engajar em ações coletivas ou criar narrativas de pertencimento a partir da escuta, do afeto e da solidariedade. Essas experiências, ainda que minoritárias, desafiam os destinos pré-fabricados e demonstram que projetos de vida são possíveis — desde que haja políticas públicas consistentes e sensíveis à singularidade dessas trajetórias.</w:t>
      </w:r>
    </w:p>
    <w:p w14:paraId="619ACC43" w14:textId="77777777" w:rsidR="00737645" w:rsidRDefault="00000000">
      <w:pPr>
        <w:spacing w:line="360" w:lineRule="auto"/>
        <w:ind w:firstLine="709"/>
        <w:jc w:val="both"/>
        <w:rPr>
          <w:sz w:val="24"/>
          <w:szCs w:val="24"/>
        </w:rPr>
      </w:pPr>
      <w:r>
        <w:rPr>
          <w:sz w:val="24"/>
          <w:szCs w:val="24"/>
        </w:rPr>
        <w:t>Dessa forma, é urgente</w:t>
      </w:r>
      <w:r>
        <w:rPr>
          <w:sz w:val="24"/>
          <w:szCs w:val="24"/>
          <w:lang w:val="en-US"/>
        </w:rPr>
        <w:t xml:space="preserve"> a </w:t>
      </w:r>
      <w:r>
        <w:rPr>
          <w:sz w:val="24"/>
          <w:szCs w:val="24"/>
        </w:rPr>
        <w:t>criação de programas específicos de transição para jovens egressos, com ações intersetoriais permanentes em moradia, trabalho, educação, saúde mental e acompanhamento psicossocial</w:t>
      </w:r>
      <w:r>
        <w:rPr>
          <w:sz w:val="24"/>
          <w:szCs w:val="24"/>
          <w:lang w:val="en-US"/>
        </w:rPr>
        <w:t>; a</w:t>
      </w:r>
      <w:r>
        <w:rPr>
          <w:sz w:val="24"/>
          <w:szCs w:val="24"/>
        </w:rPr>
        <w:t xml:space="preserve"> ampliação e qualificação das repúblicas e auxílios de aluguel, com atenção às desigualdades de gênero, raça e orientação sexual</w:t>
      </w:r>
      <w:r>
        <w:rPr>
          <w:sz w:val="24"/>
          <w:szCs w:val="24"/>
          <w:lang w:val="en-US"/>
        </w:rPr>
        <w:t>; a</w:t>
      </w:r>
      <w:r>
        <w:rPr>
          <w:sz w:val="24"/>
          <w:szCs w:val="24"/>
        </w:rPr>
        <w:t xml:space="preserve"> valorização do Plano Individual de Atendimento (PIA) como ferramenta real de escuta, planejamento e construção conjunta de percursos</w:t>
      </w:r>
      <w:r>
        <w:rPr>
          <w:sz w:val="24"/>
          <w:szCs w:val="24"/>
          <w:lang w:val="en-US"/>
        </w:rPr>
        <w:t>; o</w:t>
      </w:r>
      <w:r>
        <w:rPr>
          <w:sz w:val="24"/>
          <w:szCs w:val="24"/>
        </w:rPr>
        <w:t xml:space="preserve"> fortalecimento da formação profissional crítica de assistentes sociais e demais técnicos envolvidos na rede de acolhimento, com ênfase em antirracismo, interseccionalidade e direitos humanos</w:t>
      </w:r>
      <w:r>
        <w:rPr>
          <w:sz w:val="24"/>
          <w:szCs w:val="24"/>
          <w:lang w:val="en-US"/>
        </w:rPr>
        <w:t>; a</w:t>
      </w:r>
      <w:r>
        <w:rPr>
          <w:sz w:val="24"/>
          <w:szCs w:val="24"/>
        </w:rPr>
        <w:t xml:space="preserve"> ampliação da produção de conhecimento sobre o tema, incluindo as vozes e experiências dos próprios jovens egressos como parte central da análise.</w:t>
      </w:r>
      <w:r>
        <w:rPr>
          <w:sz w:val="24"/>
          <w:szCs w:val="24"/>
          <w:lang w:val="en-US"/>
        </w:rPr>
        <w:t xml:space="preserve"> </w:t>
      </w:r>
      <w:r>
        <w:rPr>
          <w:sz w:val="24"/>
          <w:szCs w:val="24"/>
        </w:rPr>
        <w:t>A atuação junto a adolescentes egressos das instituições de acolhimento exige uma intervenção qualificada, interdisciplinar e comprometida com os direitos humanos, capaz de denunciar o desmonte das políticas sociais e articular ações concretas de apoio à juventude negra, periférica e institucionalizada.</w:t>
      </w:r>
    </w:p>
    <w:p w14:paraId="0A9B1E74" w14:textId="77777777" w:rsidR="00737645" w:rsidRDefault="00000000">
      <w:pPr>
        <w:spacing w:line="360" w:lineRule="auto"/>
        <w:ind w:firstLine="709"/>
        <w:jc w:val="both"/>
        <w:rPr>
          <w:sz w:val="24"/>
          <w:szCs w:val="24"/>
        </w:rPr>
      </w:pPr>
      <w:r>
        <w:rPr>
          <w:sz w:val="24"/>
          <w:szCs w:val="24"/>
        </w:rPr>
        <w:t xml:space="preserve">Por fim, reafirma-se o papel do Serviço Social e de outros campos comprometidos com a justiça social como agentes fundamentais na defesa intransigente dos direitos dessa juventude. Não se trata apenas de evitar a desproteção após os 18 anos, mas de reconhecer o valor e o potencial de vidas que </w:t>
      </w:r>
      <w:r>
        <w:rPr>
          <w:sz w:val="24"/>
          <w:szCs w:val="24"/>
        </w:rPr>
        <w:lastRenderedPageBreak/>
        <w:t>o Estado historicamente tutela, controla e descarta. Garantir o direito a sonhar, a planejar e a existir com dignidade é uma tarefa coletiva e urgente — que exige mais do que normativas: exige ação, escuta, política e reparação.</w:t>
      </w:r>
    </w:p>
    <w:p w14:paraId="7BEC0222" w14:textId="77777777" w:rsidR="00737645" w:rsidRDefault="00737645">
      <w:pPr>
        <w:spacing w:line="360" w:lineRule="auto"/>
        <w:jc w:val="center"/>
        <w:rPr>
          <w:b/>
          <w:bCs/>
          <w:sz w:val="24"/>
          <w:szCs w:val="24"/>
        </w:rPr>
      </w:pPr>
    </w:p>
    <w:p w14:paraId="281AC2D2" w14:textId="77777777" w:rsidR="00737645" w:rsidRDefault="00000000">
      <w:pPr>
        <w:spacing w:line="360" w:lineRule="auto"/>
        <w:jc w:val="center"/>
        <w:rPr>
          <w:b/>
          <w:bCs/>
          <w:sz w:val="24"/>
          <w:szCs w:val="24"/>
        </w:rPr>
      </w:pPr>
      <w:r>
        <w:rPr>
          <w:b/>
          <w:bCs/>
          <w:sz w:val="24"/>
          <w:szCs w:val="24"/>
        </w:rPr>
        <w:t>REFERÊNCIAS</w:t>
      </w:r>
    </w:p>
    <w:p w14:paraId="25B0BE7E" w14:textId="77777777" w:rsidR="00737645" w:rsidRDefault="00737645">
      <w:pPr>
        <w:spacing w:line="360" w:lineRule="auto"/>
        <w:jc w:val="center"/>
      </w:pPr>
    </w:p>
    <w:p w14:paraId="0888B733" w14:textId="77777777" w:rsidR="00737645" w:rsidRDefault="00000000">
      <w:pPr>
        <w:spacing w:line="240" w:lineRule="auto"/>
        <w:jc w:val="both"/>
        <w:rPr>
          <w:sz w:val="24"/>
          <w:szCs w:val="24"/>
        </w:rPr>
      </w:pPr>
      <w:r>
        <w:rPr>
          <w:sz w:val="24"/>
          <w:szCs w:val="24"/>
        </w:rPr>
        <w:t xml:space="preserve">ALMEIDA, S. </w:t>
      </w:r>
      <w:r w:rsidRPr="00140524">
        <w:rPr>
          <w:b/>
          <w:bCs/>
          <w:sz w:val="24"/>
          <w:szCs w:val="24"/>
        </w:rPr>
        <w:t>Racismo Estrutural</w:t>
      </w:r>
      <w:r>
        <w:rPr>
          <w:sz w:val="24"/>
          <w:szCs w:val="24"/>
        </w:rPr>
        <w:t>. São Paulo: Sueli Carneiro / Editora Jandaíra, 2019.</w:t>
      </w:r>
    </w:p>
    <w:p w14:paraId="7FE8E7AE" w14:textId="77777777" w:rsidR="00737645" w:rsidRDefault="00737645">
      <w:pPr>
        <w:spacing w:line="240" w:lineRule="auto"/>
        <w:jc w:val="both"/>
        <w:rPr>
          <w:sz w:val="24"/>
          <w:szCs w:val="24"/>
        </w:rPr>
      </w:pPr>
    </w:p>
    <w:p w14:paraId="250CFB58" w14:textId="77777777" w:rsidR="00737645" w:rsidRDefault="00000000">
      <w:pPr>
        <w:spacing w:line="240" w:lineRule="auto"/>
        <w:jc w:val="both"/>
        <w:rPr>
          <w:sz w:val="24"/>
          <w:szCs w:val="24"/>
        </w:rPr>
      </w:pPr>
      <w:r>
        <w:rPr>
          <w:sz w:val="24"/>
          <w:szCs w:val="24"/>
          <w:lang w:val="en-US"/>
        </w:rPr>
        <w:t xml:space="preserve">LIMA, E. </w:t>
      </w:r>
      <w:r w:rsidRPr="0082509D">
        <w:rPr>
          <w:b/>
          <w:bCs/>
          <w:sz w:val="24"/>
          <w:szCs w:val="24"/>
        </w:rPr>
        <w:t>Acolhimento Institucional:</w:t>
      </w:r>
      <w:r w:rsidRPr="0082509D">
        <w:rPr>
          <w:b/>
          <w:bCs/>
          <w:sz w:val="24"/>
          <w:szCs w:val="24"/>
          <w:lang w:val="en-US"/>
        </w:rPr>
        <w:t xml:space="preserve"> </w:t>
      </w:r>
      <w:r w:rsidRPr="0082509D">
        <w:rPr>
          <w:b/>
          <w:bCs/>
          <w:sz w:val="24"/>
          <w:szCs w:val="24"/>
        </w:rPr>
        <w:t>cidadania em contagem regressiva</w:t>
      </w:r>
      <w:r>
        <w:rPr>
          <w:sz w:val="24"/>
          <w:szCs w:val="24"/>
          <w:lang w:val="en-US"/>
        </w:rPr>
        <w:t xml:space="preserve">. </w:t>
      </w:r>
      <w:proofErr w:type="spellStart"/>
      <w:r>
        <w:rPr>
          <w:sz w:val="24"/>
          <w:szCs w:val="24"/>
          <w:lang w:val="en-US"/>
        </w:rPr>
        <w:t>Trabalho</w:t>
      </w:r>
      <w:proofErr w:type="spellEnd"/>
      <w:r>
        <w:rPr>
          <w:sz w:val="24"/>
          <w:szCs w:val="24"/>
          <w:lang w:val="en-US"/>
        </w:rPr>
        <w:t xml:space="preserve"> de </w:t>
      </w:r>
      <w:proofErr w:type="spellStart"/>
      <w:r>
        <w:rPr>
          <w:sz w:val="24"/>
          <w:szCs w:val="24"/>
          <w:lang w:val="en-US"/>
        </w:rPr>
        <w:t>Conclusão</w:t>
      </w:r>
      <w:proofErr w:type="spellEnd"/>
      <w:r>
        <w:rPr>
          <w:sz w:val="24"/>
          <w:szCs w:val="24"/>
          <w:lang w:val="en-US"/>
        </w:rPr>
        <w:t xml:space="preserve"> de </w:t>
      </w:r>
      <w:proofErr w:type="spellStart"/>
      <w:r>
        <w:rPr>
          <w:sz w:val="24"/>
          <w:szCs w:val="24"/>
          <w:lang w:val="en-US"/>
        </w:rPr>
        <w:t>Curso</w:t>
      </w:r>
      <w:proofErr w:type="spellEnd"/>
      <w:r>
        <w:rPr>
          <w:sz w:val="24"/>
          <w:szCs w:val="24"/>
          <w:lang w:val="en-US"/>
        </w:rPr>
        <w:t xml:space="preserve">, Escola de </w:t>
      </w:r>
      <w:proofErr w:type="spellStart"/>
      <w:r>
        <w:rPr>
          <w:sz w:val="24"/>
          <w:szCs w:val="24"/>
          <w:lang w:val="en-US"/>
        </w:rPr>
        <w:t>Serviço</w:t>
      </w:r>
      <w:proofErr w:type="spellEnd"/>
      <w:r>
        <w:rPr>
          <w:sz w:val="24"/>
          <w:szCs w:val="24"/>
          <w:lang w:val="en-US"/>
        </w:rPr>
        <w:t xml:space="preserve"> Social, UFRJ, 2024.</w:t>
      </w:r>
    </w:p>
    <w:p w14:paraId="7E131FA1" w14:textId="77777777" w:rsidR="00737645" w:rsidRDefault="00737645">
      <w:pPr>
        <w:spacing w:line="240" w:lineRule="auto"/>
        <w:jc w:val="both"/>
        <w:rPr>
          <w:sz w:val="24"/>
          <w:szCs w:val="24"/>
        </w:rPr>
      </w:pPr>
    </w:p>
    <w:p w14:paraId="3EB15A53" w14:textId="77777777" w:rsidR="00737645" w:rsidRDefault="00000000">
      <w:pPr>
        <w:spacing w:line="240" w:lineRule="auto"/>
        <w:jc w:val="both"/>
        <w:rPr>
          <w:sz w:val="24"/>
          <w:szCs w:val="24"/>
        </w:rPr>
      </w:pPr>
      <w:r>
        <w:rPr>
          <w:sz w:val="24"/>
          <w:szCs w:val="24"/>
        </w:rPr>
        <w:t xml:space="preserve">CARVALHO, J M. </w:t>
      </w:r>
      <w:r w:rsidRPr="0082509D">
        <w:rPr>
          <w:b/>
          <w:bCs/>
          <w:sz w:val="24"/>
          <w:szCs w:val="24"/>
        </w:rPr>
        <w:t xml:space="preserve">Cidadania no Brasil: o longo caminho. </w:t>
      </w:r>
      <w:r>
        <w:rPr>
          <w:sz w:val="24"/>
          <w:szCs w:val="24"/>
        </w:rPr>
        <w:t>Rio de Janeiro: Civilização Brasileira, 2001. </w:t>
      </w:r>
    </w:p>
    <w:p w14:paraId="34E2FF4A" w14:textId="77777777" w:rsidR="00737645" w:rsidRDefault="00737645">
      <w:pPr>
        <w:spacing w:line="240" w:lineRule="auto"/>
        <w:jc w:val="both"/>
        <w:rPr>
          <w:sz w:val="24"/>
          <w:szCs w:val="24"/>
        </w:rPr>
      </w:pPr>
    </w:p>
    <w:p w14:paraId="03688B42" w14:textId="77777777" w:rsidR="00737645" w:rsidRDefault="00000000">
      <w:pPr>
        <w:spacing w:line="240" w:lineRule="auto"/>
        <w:jc w:val="both"/>
        <w:rPr>
          <w:sz w:val="24"/>
          <w:szCs w:val="24"/>
        </w:rPr>
      </w:pPr>
      <w:r>
        <w:rPr>
          <w:caps/>
          <w:sz w:val="24"/>
          <w:szCs w:val="24"/>
        </w:rPr>
        <w:t>Dagnino</w:t>
      </w:r>
      <w:r>
        <w:rPr>
          <w:sz w:val="24"/>
          <w:szCs w:val="24"/>
        </w:rPr>
        <w:t>, E</w:t>
      </w:r>
      <w:r>
        <w:rPr>
          <w:sz w:val="24"/>
          <w:szCs w:val="24"/>
          <w:lang w:val="en-US"/>
        </w:rPr>
        <w:t>.</w:t>
      </w:r>
      <w:r>
        <w:rPr>
          <w:sz w:val="24"/>
          <w:szCs w:val="24"/>
        </w:rPr>
        <w:t xml:space="preserve"> </w:t>
      </w:r>
      <w:r w:rsidRPr="0082509D">
        <w:rPr>
          <w:b/>
          <w:bCs/>
          <w:sz w:val="24"/>
          <w:szCs w:val="24"/>
        </w:rPr>
        <w:t>“¿Sociedade civil, participação e cidadania: de que estamos falando?”</w:t>
      </w:r>
      <w:r w:rsidRPr="0082509D">
        <w:rPr>
          <w:b/>
          <w:bCs/>
          <w:sz w:val="24"/>
          <w:szCs w:val="24"/>
          <w:lang w:val="en-US"/>
        </w:rPr>
        <w:t xml:space="preserve"> </w:t>
      </w:r>
      <w:r>
        <w:rPr>
          <w:sz w:val="24"/>
          <w:szCs w:val="24"/>
        </w:rPr>
        <w:t>En Daniel Mato (coord.), Políticas de ciudadanía y sociedad civil en tiempos de globalización.</w:t>
      </w:r>
      <w:r>
        <w:rPr>
          <w:sz w:val="24"/>
          <w:szCs w:val="24"/>
          <w:lang w:val="en-US"/>
        </w:rPr>
        <w:t xml:space="preserve"> </w:t>
      </w:r>
      <w:r>
        <w:rPr>
          <w:sz w:val="24"/>
          <w:szCs w:val="24"/>
        </w:rPr>
        <w:t xml:space="preserve">Caracas: FACES, Universidad Central de Venezuela, </w:t>
      </w:r>
      <w:r>
        <w:rPr>
          <w:sz w:val="24"/>
          <w:szCs w:val="24"/>
          <w:lang w:val="en-US"/>
        </w:rPr>
        <w:t>2004</w:t>
      </w:r>
      <w:r>
        <w:rPr>
          <w:sz w:val="24"/>
          <w:szCs w:val="24"/>
        </w:rPr>
        <w:t>.</w:t>
      </w:r>
    </w:p>
    <w:p w14:paraId="5CB3207E" w14:textId="77777777" w:rsidR="00737645" w:rsidRDefault="00737645">
      <w:pPr>
        <w:spacing w:line="240" w:lineRule="auto"/>
        <w:jc w:val="both"/>
        <w:rPr>
          <w:sz w:val="24"/>
          <w:szCs w:val="24"/>
        </w:rPr>
      </w:pPr>
    </w:p>
    <w:p w14:paraId="5EF2607B" w14:textId="77777777" w:rsidR="00737645" w:rsidRDefault="00000000">
      <w:pPr>
        <w:spacing w:line="240" w:lineRule="auto"/>
        <w:jc w:val="both"/>
        <w:rPr>
          <w:sz w:val="24"/>
          <w:szCs w:val="24"/>
        </w:rPr>
      </w:pPr>
      <w:r>
        <w:rPr>
          <w:sz w:val="24"/>
          <w:szCs w:val="24"/>
        </w:rPr>
        <w:t xml:space="preserve">MBEMBE, A. </w:t>
      </w:r>
      <w:r w:rsidRPr="0082509D">
        <w:rPr>
          <w:b/>
          <w:bCs/>
          <w:sz w:val="24"/>
          <w:szCs w:val="24"/>
        </w:rPr>
        <w:t>Necropolítica: biopoder, soberania, estado de exceção, política da morte</w:t>
      </w:r>
      <w:r>
        <w:rPr>
          <w:sz w:val="24"/>
          <w:szCs w:val="24"/>
        </w:rPr>
        <w:t xml:space="preserve">. São Paulo: n-1 edições, 2018. </w:t>
      </w:r>
    </w:p>
    <w:p w14:paraId="136C3F4E" w14:textId="77777777" w:rsidR="00737645" w:rsidRDefault="00737645">
      <w:pPr>
        <w:spacing w:line="240" w:lineRule="auto"/>
        <w:jc w:val="both"/>
        <w:rPr>
          <w:sz w:val="24"/>
          <w:szCs w:val="24"/>
        </w:rPr>
      </w:pPr>
    </w:p>
    <w:p w14:paraId="3AC54709" w14:textId="5B88FB9C" w:rsidR="00737645" w:rsidRDefault="00000000">
      <w:pPr>
        <w:spacing w:line="240" w:lineRule="auto"/>
        <w:jc w:val="both"/>
        <w:rPr>
          <w:sz w:val="24"/>
          <w:szCs w:val="24"/>
        </w:rPr>
      </w:pPr>
      <w:r>
        <w:rPr>
          <w:sz w:val="24"/>
          <w:szCs w:val="24"/>
        </w:rPr>
        <w:t>OLIVEIRA, V. H. N. et al. Culturas juvenis e temas sensíveis ao contemporâneo: uma entrevista com Carles Feixa Pampols</w:t>
      </w:r>
      <w:r w:rsidRPr="0082509D">
        <w:rPr>
          <w:b/>
          <w:bCs/>
          <w:sz w:val="24"/>
          <w:szCs w:val="24"/>
        </w:rPr>
        <w:t>. Educar em Revista</w:t>
      </w:r>
      <w:r>
        <w:rPr>
          <w:sz w:val="24"/>
          <w:szCs w:val="24"/>
        </w:rPr>
        <w:t xml:space="preserve">, v. 34, n. 70, p. 311–325, jul. 2018. </w:t>
      </w:r>
      <w:r>
        <w:rPr>
          <w:sz w:val="24"/>
          <w:szCs w:val="24"/>
        </w:rPr>
        <w:br/>
      </w:r>
    </w:p>
    <w:p w14:paraId="3D430AD9" w14:textId="77777777" w:rsidR="00737645" w:rsidRDefault="00000000">
      <w:pPr>
        <w:spacing w:line="240" w:lineRule="auto"/>
        <w:jc w:val="both"/>
        <w:rPr>
          <w:sz w:val="24"/>
          <w:szCs w:val="24"/>
        </w:rPr>
      </w:pPr>
      <w:r>
        <w:rPr>
          <w:sz w:val="24"/>
          <w:szCs w:val="24"/>
        </w:rPr>
        <w:t xml:space="preserve">OLIVEIRA, V. H. N.; LACERDA, M. P. C. DE .; NOVAES, R. C. R.. Juventudes, educação, política e violência: uma entrevista com Regina Novaes. </w:t>
      </w:r>
      <w:r w:rsidRPr="0082509D">
        <w:rPr>
          <w:b/>
          <w:bCs/>
          <w:sz w:val="24"/>
          <w:szCs w:val="24"/>
        </w:rPr>
        <w:t>Educar em Revista</w:t>
      </w:r>
      <w:r>
        <w:rPr>
          <w:sz w:val="24"/>
          <w:szCs w:val="24"/>
        </w:rPr>
        <w:t xml:space="preserve">, v. 37, p. e71209, 2021. </w:t>
      </w:r>
    </w:p>
    <w:p w14:paraId="5003F3DC" w14:textId="77777777" w:rsidR="00737645" w:rsidRDefault="00737645">
      <w:pPr>
        <w:spacing w:line="240" w:lineRule="auto"/>
        <w:jc w:val="both"/>
        <w:rPr>
          <w:sz w:val="24"/>
          <w:szCs w:val="24"/>
        </w:rPr>
      </w:pPr>
    </w:p>
    <w:p w14:paraId="42AF0E45" w14:textId="77777777" w:rsidR="00737645" w:rsidRDefault="00000000">
      <w:pPr>
        <w:spacing w:line="240" w:lineRule="auto"/>
        <w:jc w:val="both"/>
        <w:rPr>
          <w:sz w:val="24"/>
          <w:szCs w:val="24"/>
        </w:rPr>
      </w:pPr>
      <w:r>
        <w:rPr>
          <w:sz w:val="24"/>
          <w:szCs w:val="24"/>
          <w:lang w:val="en-US"/>
        </w:rPr>
        <w:t xml:space="preserve">PAIS, J.M. </w:t>
      </w:r>
      <w:r w:rsidRPr="0082509D">
        <w:rPr>
          <w:b/>
          <w:bCs/>
          <w:sz w:val="24"/>
          <w:szCs w:val="24"/>
        </w:rPr>
        <w:t>Culturas Juvenis</w:t>
      </w:r>
      <w:r>
        <w:rPr>
          <w:sz w:val="24"/>
          <w:szCs w:val="24"/>
          <w:lang w:val="en-US"/>
        </w:rPr>
        <w:t xml:space="preserve">. </w:t>
      </w:r>
      <w:proofErr w:type="spellStart"/>
      <w:r>
        <w:rPr>
          <w:sz w:val="24"/>
          <w:szCs w:val="24"/>
          <w:lang w:val="en-US"/>
        </w:rPr>
        <w:t>Coleção</w:t>
      </w:r>
      <w:proofErr w:type="spellEnd"/>
      <w:r>
        <w:rPr>
          <w:sz w:val="24"/>
          <w:szCs w:val="24"/>
          <w:lang w:val="en-US"/>
        </w:rPr>
        <w:t xml:space="preserve"> Temas </w:t>
      </w:r>
      <w:proofErr w:type="spellStart"/>
      <w:r>
        <w:rPr>
          <w:sz w:val="24"/>
          <w:szCs w:val="24"/>
          <w:lang w:val="en-US"/>
        </w:rPr>
        <w:t>Portugueses</w:t>
      </w:r>
      <w:proofErr w:type="spellEnd"/>
      <w:r>
        <w:rPr>
          <w:sz w:val="24"/>
          <w:szCs w:val="24"/>
          <w:lang w:val="en-US"/>
        </w:rPr>
        <w:t>. Lisboa, 1993.</w:t>
      </w:r>
    </w:p>
    <w:p w14:paraId="50C3549E" w14:textId="77777777" w:rsidR="00737645" w:rsidRDefault="00737645">
      <w:pPr>
        <w:spacing w:line="240" w:lineRule="auto"/>
        <w:jc w:val="both"/>
        <w:rPr>
          <w:sz w:val="24"/>
          <w:szCs w:val="24"/>
        </w:rPr>
      </w:pPr>
    </w:p>
    <w:p w14:paraId="70920C49" w14:textId="77777777" w:rsidR="00737645" w:rsidRDefault="00000000">
      <w:pPr>
        <w:spacing w:line="240" w:lineRule="auto"/>
        <w:jc w:val="both"/>
      </w:pPr>
      <w:r>
        <w:rPr>
          <w:sz w:val="24"/>
          <w:szCs w:val="24"/>
          <w:lang w:val="en-US"/>
        </w:rPr>
        <w:t xml:space="preserve">SARAIVA, V., BASILIO, C., NEVES, C. </w:t>
      </w:r>
      <w:r>
        <w:rPr>
          <w:sz w:val="24"/>
          <w:szCs w:val="24"/>
        </w:rPr>
        <w:t>Direitos da criança e do adolescente na interface do racismo</w:t>
      </w:r>
      <w:r>
        <w:rPr>
          <w:sz w:val="24"/>
          <w:szCs w:val="24"/>
          <w:lang w:val="en-US"/>
        </w:rPr>
        <w:t xml:space="preserve">, in </w:t>
      </w:r>
      <w:r w:rsidRPr="0082509D">
        <w:rPr>
          <w:b/>
          <w:bCs/>
          <w:sz w:val="24"/>
          <w:szCs w:val="24"/>
        </w:rPr>
        <w:t>Argum</w:t>
      </w:r>
      <w:r>
        <w:rPr>
          <w:sz w:val="24"/>
          <w:szCs w:val="24"/>
        </w:rPr>
        <w:t>., Vitória, v. 17, p. 1-13, e-42638, 2025.</w:t>
      </w:r>
    </w:p>
    <w:sectPr w:rsidR="00737645">
      <w:headerReference w:type="default" r:id="rId7"/>
      <w:footerReference w:type="default" r:id="rId8"/>
      <w:pgSz w:w="11900" w:h="16840"/>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5F474" w14:textId="77777777" w:rsidR="00BD027E" w:rsidRDefault="00BD027E">
      <w:pPr>
        <w:spacing w:line="240" w:lineRule="auto"/>
      </w:pPr>
      <w:r>
        <w:separator/>
      </w:r>
    </w:p>
  </w:endnote>
  <w:endnote w:type="continuationSeparator" w:id="0">
    <w:p w14:paraId="43FBA69F" w14:textId="77777777" w:rsidR="00BD027E" w:rsidRDefault="00BD02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B562" w14:textId="77777777" w:rsidR="00737645" w:rsidRDefault="00737645">
    <w:pPr>
      <w:pStyle w:val="Cabealhoe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8EA7D" w14:textId="77777777" w:rsidR="00BD027E" w:rsidRDefault="00BD027E">
      <w:pPr>
        <w:spacing w:line="240" w:lineRule="auto"/>
      </w:pPr>
      <w:r>
        <w:separator/>
      </w:r>
    </w:p>
  </w:footnote>
  <w:footnote w:type="continuationSeparator" w:id="0">
    <w:p w14:paraId="4B4B971A" w14:textId="77777777" w:rsidR="00BD027E" w:rsidRDefault="00BD027E">
      <w:pPr>
        <w:spacing w:line="240" w:lineRule="auto"/>
      </w:pPr>
      <w:r>
        <w:continuationSeparator/>
      </w:r>
    </w:p>
  </w:footnote>
  <w:footnote w:id="1">
    <w:p w14:paraId="78CFA08A" w14:textId="71ADB610" w:rsidR="00591162" w:rsidRPr="00591162" w:rsidRDefault="00591162">
      <w:pPr>
        <w:pStyle w:val="Textodenotaderodap"/>
      </w:pPr>
      <w:r>
        <w:rPr>
          <w:rStyle w:val="Refdenotaderodap"/>
        </w:rPr>
        <w:footnoteRef/>
      </w:r>
      <w:r>
        <w:t xml:space="preserve"> </w:t>
      </w:r>
      <w:r w:rsidR="004C559A" w:rsidRPr="004C559A">
        <w:t>Pontifícia Universidade Católica do Rio de Janeiro (PUC-Rio)</w:t>
      </w:r>
      <w:r w:rsidR="004C559A">
        <w:t xml:space="preserve">, </w:t>
      </w:r>
      <w:r w:rsidR="004D669A">
        <w:t xml:space="preserve">Mestranda do </w:t>
      </w:r>
      <w:r w:rsidR="004C559A">
        <w:t xml:space="preserve">Programa de Pós graduação em Serviço Social. Email: </w:t>
      </w:r>
      <w:hyperlink r:id="rId1" w:history="1">
        <w:r w:rsidR="004D669A" w:rsidRPr="00E304D8">
          <w:rPr>
            <w:rStyle w:val="Hyperlink"/>
          </w:rPr>
          <w:t>elisacorreadeazevedo@gmail.com</w:t>
        </w:r>
      </w:hyperlink>
      <w:r w:rsidR="004D669A">
        <w:t xml:space="preserve"> </w:t>
      </w:r>
    </w:p>
  </w:footnote>
  <w:footnote w:id="2">
    <w:p w14:paraId="38A834D2" w14:textId="0E2B28E5" w:rsidR="00536D6F" w:rsidRPr="00536D6F" w:rsidRDefault="00536D6F">
      <w:pPr>
        <w:pStyle w:val="Textodenotaderodap"/>
      </w:pPr>
      <w:r>
        <w:rPr>
          <w:rStyle w:val="Refdenotaderodap"/>
        </w:rPr>
        <w:footnoteRef/>
      </w:r>
      <w:r>
        <w:t xml:space="preserve"> </w:t>
      </w:r>
      <w:r>
        <w:t xml:space="preserve">Universidade Federal do Rio de Janeiro, Departamento de </w:t>
      </w:r>
      <w:r>
        <w:t>Métodos e Técnicas</w:t>
      </w:r>
      <w:r>
        <w:t>, Escola de Serviço Social. Doutora em Serviço Social. E-mail:</w:t>
      </w:r>
      <w:r w:rsidR="004D669A">
        <w:t xml:space="preserve"> </w:t>
      </w:r>
      <w:hyperlink r:id="rId2" w:history="1">
        <w:r w:rsidR="004D669A" w:rsidRPr="00E304D8">
          <w:rPr>
            <w:rStyle w:val="Hyperlink"/>
          </w:rPr>
          <w:t>joanag@hotmail.com</w:t>
        </w:r>
      </w:hyperlink>
      <w:r w:rsidR="004D669A">
        <w:t xml:space="preserve"> </w:t>
      </w:r>
    </w:p>
  </w:footnote>
  <w:footnote w:id="3">
    <w:p w14:paraId="05F5C2A6" w14:textId="1D6E5F4A" w:rsidR="003B512A" w:rsidRPr="003B512A" w:rsidRDefault="003B512A">
      <w:pPr>
        <w:pStyle w:val="Textodenotaderodap"/>
        <w:rPr>
          <w:lang w:val="pt-BR"/>
        </w:rPr>
      </w:pPr>
      <w:r>
        <w:rPr>
          <w:rStyle w:val="Refdenotaderodap"/>
        </w:rPr>
        <w:footnoteRef/>
      </w:r>
      <w:r>
        <w:t xml:space="preserve"> </w:t>
      </w:r>
      <w:r>
        <w:t xml:space="preserve">Universidade Federal do Rio de Janeiro, Departamento de Fundamentos, Escola de Serviço Social. Doutora em Serviço Social. E-mail: </w:t>
      </w:r>
      <w:hyperlink r:id="rId3">
        <w:r>
          <w:rPr>
            <w:color w:val="0000FF"/>
            <w:u w:val="single"/>
          </w:rPr>
          <w:t>v.saraiva@ess.ufrj.br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2AFF" w14:textId="77777777" w:rsidR="00737645" w:rsidRDefault="00000000">
    <w:r>
      <w:rPr>
        <w:noProof/>
      </w:rPr>
      <w:drawing>
        <wp:anchor distT="152400" distB="152400" distL="152400" distR="152400" simplePos="0" relativeHeight="251658240" behindDoc="1" locked="0" layoutInCell="1" allowOverlap="1" wp14:anchorId="5022CB12" wp14:editId="61D5503F">
          <wp:simplePos x="0" y="0"/>
          <wp:positionH relativeFrom="page">
            <wp:posOffset>0</wp:posOffset>
          </wp:positionH>
          <wp:positionV relativeFrom="page">
            <wp:posOffset>6983</wp:posOffset>
          </wp:positionV>
          <wp:extent cx="7563485" cy="10727691"/>
          <wp:effectExtent l="0" t="0" r="0" b="0"/>
          <wp:wrapNone/>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1"/>
                  <a:stretch>
                    <a:fillRect/>
                  </a:stretch>
                </pic:blipFill>
                <pic:spPr>
                  <a:xfrm>
                    <a:off x="0" y="0"/>
                    <a:ext cx="7563485" cy="1072769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645"/>
    <w:rsid w:val="00117389"/>
    <w:rsid w:val="00140524"/>
    <w:rsid w:val="001F3634"/>
    <w:rsid w:val="0035519D"/>
    <w:rsid w:val="003B512A"/>
    <w:rsid w:val="004C559A"/>
    <w:rsid w:val="004D669A"/>
    <w:rsid w:val="00536D6F"/>
    <w:rsid w:val="00591162"/>
    <w:rsid w:val="00637124"/>
    <w:rsid w:val="00737645"/>
    <w:rsid w:val="0082509D"/>
    <w:rsid w:val="00BD027E"/>
    <w:rsid w:val="00CD71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33BED"/>
  <w15:docId w15:val="{210E9FC7-8AA6-4596-A170-9209F11F0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ascii="Arial" w:hAnsi="Arial" w:cs="Arial Unicode MS"/>
      <w:color w:val="000000"/>
      <w:sz w:val="22"/>
      <w:szCs w:val="22"/>
      <w:u w:color="000000"/>
      <w:lang w:val="pt-PT"/>
      <w14:textOutline w14:w="12700" w14:cap="flat" w14:cmpd="sng" w14:algn="ctr">
        <w14:noFill/>
        <w14:prstDash w14:val="solid"/>
        <w14:miter w14:lim="400000"/>
      </w14:textOutli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extodenotaderodap">
    <w:name w:val="footnote text"/>
    <w:basedOn w:val="Normal"/>
    <w:link w:val="TextodenotaderodapChar"/>
    <w:uiPriority w:val="99"/>
    <w:semiHidden/>
    <w:unhideWhenUsed/>
    <w:rsid w:val="003B512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3B512A"/>
    <w:rPr>
      <w:rFonts w:ascii="Arial" w:hAnsi="Arial" w:cs="Arial Unicode MS"/>
      <w:color w:val="000000"/>
      <w:u w:color="000000"/>
      <w:lang w:val="pt-PT"/>
      <w14:textOutline w14:w="12700" w14:cap="flat" w14:cmpd="sng" w14:algn="ctr">
        <w14:noFill/>
        <w14:prstDash w14:val="solid"/>
        <w14:miter w14:lim="400000"/>
      </w14:textOutline>
    </w:rPr>
  </w:style>
  <w:style w:type="character" w:styleId="Refdenotaderodap">
    <w:name w:val="footnote reference"/>
    <w:basedOn w:val="Fontepargpadro"/>
    <w:uiPriority w:val="99"/>
    <w:semiHidden/>
    <w:unhideWhenUsed/>
    <w:rsid w:val="003B512A"/>
    <w:rPr>
      <w:vertAlign w:val="superscript"/>
    </w:rPr>
  </w:style>
  <w:style w:type="character" w:styleId="MenoPendente">
    <w:name w:val="Unresolved Mention"/>
    <w:basedOn w:val="Fontepargpadro"/>
    <w:uiPriority w:val="99"/>
    <w:semiHidden/>
    <w:unhideWhenUsed/>
    <w:rsid w:val="004D6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v.saraiva@ess.ufrj.br" TargetMode="External"/><Relationship Id="rId2" Type="http://schemas.openxmlformats.org/officeDocument/2006/relationships/hyperlink" Target="mailto:joanag@hotmail.com" TargetMode="External"/><Relationship Id="rId1" Type="http://schemas.openxmlformats.org/officeDocument/2006/relationships/hyperlink" Target="mailto:elisacorreadeazeved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42EB0-7F84-4EEF-AC8A-8B106FBA8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4297</Words>
  <Characters>23208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Vanessa Cristina dos Santos Saraiva</cp:lastModifiedBy>
  <cp:revision>7</cp:revision>
  <dcterms:created xsi:type="dcterms:W3CDTF">2025-06-24T19:56:00Z</dcterms:created>
  <dcterms:modified xsi:type="dcterms:W3CDTF">2025-06-24T20:12:00Z</dcterms:modified>
</cp:coreProperties>
</file>