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jc w:val="center"/>
        <w:rPr>
          <w:rFonts w:ascii="Arial" w:cs="Arial" w:eastAsia="Arial" w:hAnsi="Arial"/>
          <w:b w:val="1"/>
        </w:rPr>
      </w:pPr>
      <w:r w:rsidDel="00000000" w:rsidR="00000000" w:rsidRPr="00000000">
        <w:rPr>
          <w:rFonts w:ascii="Arial" w:cs="Arial" w:eastAsia="Arial" w:hAnsi="Arial"/>
          <w:b w:val="1"/>
          <w:rtl w:val="0"/>
        </w:rPr>
        <w:t xml:space="preserve">A COR DA CADEIA FOI ESCOLHIDA A DEDO</w:t>
      </w:r>
    </w:p>
    <w:p w:rsidR="00000000" w:rsidDel="00000000" w:rsidP="00000000" w:rsidRDefault="00000000" w:rsidRPr="00000000" w14:paraId="00000002">
      <w:pPr>
        <w:spacing w:after="0" w:line="360" w:lineRule="auto"/>
        <w:ind w:left="4536" w:firstLine="0"/>
        <w:jc w:val="right"/>
        <w:rPr>
          <w:rFonts w:ascii="Arial" w:cs="Arial" w:eastAsia="Arial" w:hAnsi="Arial"/>
        </w:rPr>
      </w:pPr>
      <w:r w:rsidDel="00000000" w:rsidR="00000000" w:rsidRPr="00000000">
        <w:rPr>
          <w:rFonts w:ascii="Arial" w:cs="Arial" w:eastAsia="Arial" w:hAnsi="Arial"/>
          <w:rtl w:val="0"/>
        </w:rPr>
        <w:t xml:space="preserve">Rosiane Ferreira de Castro</w:t>
      </w:r>
      <w:r w:rsidDel="00000000" w:rsidR="00000000" w:rsidRPr="00000000">
        <w:rPr>
          <w:rFonts w:ascii="Arial" w:cs="Arial" w:eastAsia="Arial" w:hAnsi="Arial"/>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after="0" w:line="360" w:lineRule="auto"/>
        <w:ind w:left="2835"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Resumo</w:t>
      </w:r>
    </w:p>
    <w:p w:rsidR="00000000" w:rsidDel="00000000" w:rsidP="00000000" w:rsidRDefault="00000000" w:rsidRPr="00000000" w14:paraId="00000004">
      <w:pPr>
        <w:spacing w:after="0" w:line="240" w:lineRule="auto"/>
        <w:ind w:left="2835"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 escravismo no Brasil deixou heranças profundas, marcadas pela desumanização dos negros e pela exclusão estrutural após a abolição. Sem acesso à terra e à cidadania, à população negra foi empurrada para a marginalização urbana e simbólica, perpetuando desigualdades que ainda moldam o espaço social. Esse legado se reflete no racismo estrutural e no sistema penal, que criminaliza os corpos negros desde o período escravista. A prisão substitui o pelourinho como forma de controle social, e o encarceramento em massa atinge principalmente negros pobres, revelando a seletividade racial da justiça. A cadeia, assim como as periferias, torna-se espaço de exclusão e reprodução das desigualdades históricas.</w:t>
      </w:r>
    </w:p>
    <w:p w:rsidR="00000000" w:rsidDel="00000000" w:rsidP="00000000" w:rsidRDefault="00000000" w:rsidRPr="00000000" w14:paraId="00000005">
      <w:pPr>
        <w:spacing w:after="0" w:line="240" w:lineRule="auto"/>
        <w:ind w:left="2835"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6">
      <w:pPr>
        <w:spacing w:after="0" w:line="240" w:lineRule="auto"/>
        <w:ind w:left="2835"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Palavras-chave: processo escravista; racismo estrutural; controle penal.</w:t>
      </w:r>
    </w:p>
    <w:p w:rsidR="00000000" w:rsidDel="00000000" w:rsidP="00000000" w:rsidRDefault="00000000" w:rsidRPr="00000000" w14:paraId="00000007">
      <w:pPr>
        <w:spacing w:after="0" w:line="360" w:lineRule="auto"/>
        <w:ind w:left="2835"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8">
      <w:pPr>
        <w:spacing w:after="0" w:line="360" w:lineRule="auto"/>
        <w:ind w:left="2835"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Abstract</w:t>
      </w:r>
    </w:p>
    <w:p w:rsidR="00000000" w:rsidDel="00000000" w:rsidP="00000000" w:rsidRDefault="00000000" w:rsidRPr="00000000" w14:paraId="00000009">
      <w:pPr>
        <w:spacing w:after="0" w:line="240" w:lineRule="auto"/>
        <w:ind w:left="2835"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Slavery in Brazil left a profound legacy, marked by the dehumanization of black people and structural exclusion after abolition. Without access to land and citizenship, the black population was pushed into urban and symbolic marginalization, perpetuating inequalities that still shape social space. This legacy is reflected in structural racism and in the penal system, which has criminalized black bodies since the slavery period. Prison replaced the pillory as a form of social control, and mass incarceration mainly affects poor black people, revealing the racial selectivity of justice. Prison, like the outskirts of cities, became a space for exclusion and reproduction of historical inequalities.</w:t>
      </w:r>
    </w:p>
    <w:p w:rsidR="00000000" w:rsidDel="00000000" w:rsidP="00000000" w:rsidRDefault="00000000" w:rsidRPr="00000000" w14:paraId="0000000A">
      <w:pPr>
        <w:spacing w:after="0" w:line="240" w:lineRule="auto"/>
        <w:ind w:left="2835"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B">
      <w:pPr>
        <w:spacing w:after="0" w:line="360" w:lineRule="auto"/>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keyword: slavery process; structural racism; penal control.</w:t>
      </w:r>
    </w:p>
    <w:p w:rsidR="00000000" w:rsidDel="00000000" w:rsidP="00000000" w:rsidRDefault="00000000" w:rsidRPr="00000000" w14:paraId="0000000C">
      <w:pPr>
        <w:spacing w:after="0" w:line="360" w:lineRule="auto"/>
        <w:rPr>
          <w:rFonts w:ascii="Arial" w:cs="Arial" w:eastAsia="Arial" w:hAnsi="Arial"/>
          <w:b w:val="1"/>
        </w:rPr>
      </w:pPr>
      <w:r w:rsidDel="00000000" w:rsidR="00000000" w:rsidRPr="00000000">
        <w:rPr>
          <w:rtl w:val="0"/>
        </w:rPr>
      </w:r>
    </w:p>
    <w:p w:rsidR="00000000" w:rsidDel="00000000" w:rsidP="00000000" w:rsidRDefault="00000000" w:rsidRPr="00000000" w14:paraId="0000000D">
      <w:pPr>
        <w:spacing w:after="0" w:line="360" w:lineRule="auto"/>
        <w:rPr>
          <w:rFonts w:ascii="Arial" w:cs="Arial" w:eastAsia="Arial" w:hAnsi="Arial"/>
          <w:b w:val="1"/>
        </w:rPr>
      </w:pPr>
      <w:r w:rsidDel="00000000" w:rsidR="00000000" w:rsidRPr="00000000">
        <w:rPr>
          <w:rFonts w:ascii="Arial" w:cs="Arial" w:eastAsia="Arial" w:hAnsi="Arial"/>
          <w:b w:val="1"/>
          <w:rtl w:val="0"/>
        </w:rPr>
        <w:t xml:space="preserve">1 INTRODUÇÃO</w:t>
      </w:r>
    </w:p>
    <w:p w:rsidR="00000000" w:rsidDel="00000000" w:rsidP="00000000" w:rsidRDefault="00000000" w:rsidRPr="00000000" w14:paraId="0000000E">
      <w:pPr>
        <w:spacing w:after="0" w:line="360" w:lineRule="auto"/>
        <w:rPr>
          <w:rFonts w:ascii="Arial" w:cs="Arial" w:eastAsia="Arial" w:hAnsi="Arial"/>
          <w:b w:val="1"/>
        </w:rPr>
      </w:pPr>
      <w:r w:rsidDel="00000000" w:rsidR="00000000" w:rsidRPr="00000000">
        <w:rPr>
          <w:rtl w:val="0"/>
        </w:rPr>
      </w:r>
    </w:p>
    <w:p w:rsidR="00000000" w:rsidDel="00000000" w:rsidP="00000000" w:rsidRDefault="00000000" w:rsidRPr="00000000" w14:paraId="0000000F">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A história do Brasil é atravessada por mais de três séculos de escravidão, cujas marcas estruturais ainda moldam profundamente a sociedade contemporânea. A lógica da dominação colonial, que definiu quem era ou não digno de humanidade, estabeleceu bases duradouras para a exclusão racial, territorial e social da população negra. A abolição formal da escravidão, em 1888, não representou a inclusão dos negros na cidadania plena, mas sim um processo de abandono institucional, em que a liberdade legal não se traduziu em igualdade material. Ao contrário, novas formas de controle surgiram para manter a hierarquia racial, como revela a transição do pelourinho ao cárcere.</w:t>
      </w:r>
    </w:p>
    <w:p w:rsidR="00000000" w:rsidDel="00000000" w:rsidP="00000000" w:rsidRDefault="00000000" w:rsidRPr="00000000" w14:paraId="00000010">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Este trabalho propõe uma reflexão crítica e teórica sobre as heranças do escravismo no Brasil, analisando como a desigualdade racial se perpetua por meio do racismo estrutural e da seletividade penal. Uma vez que a crítica questiona as ideologias dominantes e seu modelo de legitimação a partir das contradições internas da própria sociedade (Pinzani, 2012). A partir de autores como Elias, Bourdieu, Foucault e Almeida, descreve-se como o sistema penal se tornou um dos principais instrumentos de reprodução da exclusão, evidenciando que o controle dos corpos negros, antes legitimado pela escravidão, segue operando nas práticas punitivas do Estado contemporâneo.</w:t>
      </w:r>
    </w:p>
    <w:p w:rsidR="00000000" w:rsidDel="00000000" w:rsidP="00000000" w:rsidRDefault="00000000" w:rsidRPr="00000000" w14:paraId="00000011">
      <w:pPr>
        <w:spacing w:after="0" w:line="360" w:lineRule="auto"/>
        <w:ind w:firstLine="709"/>
        <w:jc w:val="both"/>
        <w:rPr>
          <w:rFonts w:ascii="Arial" w:cs="Arial" w:eastAsia="Arial" w:hAnsi="Arial"/>
        </w:rPr>
      </w:pPr>
      <w:r w:rsidDel="00000000" w:rsidR="00000000" w:rsidRPr="00000000">
        <w:rPr>
          <w:rtl w:val="0"/>
        </w:rPr>
      </w:r>
    </w:p>
    <w:p w:rsidR="00000000" w:rsidDel="00000000" w:rsidP="00000000" w:rsidRDefault="00000000" w:rsidRPr="00000000" w14:paraId="00000012">
      <w:pPr>
        <w:spacing w:after="0" w:line="360" w:lineRule="auto"/>
        <w:rPr>
          <w:rFonts w:ascii="Arial" w:cs="Arial" w:eastAsia="Arial" w:hAnsi="Arial"/>
          <w:b w:val="1"/>
        </w:rPr>
      </w:pPr>
      <w:r w:rsidDel="00000000" w:rsidR="00000000" w:rsidRPr="00000000">
        <w:rPr>
          <w:rFonts w:ascii="Arial" w:cs="Arial" w:eastAsia="Arial" w:hAnsi="Arial"/>
          <w:b w:val="1"/>
          <w:rtl w:val="0"/>
        </w:rPr>
        <w:t xml:space="preserve">2 O ESCRAVISMO TEM SUAS HERANÇAS</w:t>
      </w:r>
    </w:p>
    <w:p w:rsidR="00000000" w:rsidDel="00000000" w:rsidP="00000000" w:rsidRDefault="00000000" w:rsidRPr="00000000" w14:paraId="00000013">
      <w:pPr>
        <w:spacing w:after="0" w:line="360" w:lineRule="auto"/>
        <w:rPr>
          <w:rFonts w:ascii="Arial" w:cs="Arial" w:eastAsia="Arial" w:hAnsi="Arial"/>
          <w:b w:val="1"/>
        </w:rPr>
      </w:pPr>
      <w:r w:rsidDel="00000000" w:rsidR="00000000" w:rsidRPr="00000000">
        <w:rPr>
          <w:rtl w:val="0"/>
        </w:rPr>
      </w:r>
    </w:p>
    <w:p w:rsidR="00000000" w:rsidDel="00000000" w:rsidP="00000000" w:rsidRDefault="00000000" w:rsidRPr="00000000" w14:paraId="00000014">
      <w:pPr>
        <w:spacing w:after="0" w:line="360" w:lineRule="auto"/>
        <w:ind w:firstLine="709"/>
        <w:jc w:val="both"/>
        <w:rPr>
          <w:rFonts w:ascii="Arial" w:cs="Arial" w:eastAsia="Arial" w:hAnsi="Arial"/>
          <w:color w:val="000000"/>
        </w:rPr>
      </w:pPr>
      <w:r w:rsidDel="00000000" w:rsidR="00000000" w:rsidRPr="00000000">
        <w:rPr>
          <w:rFonts w:ascii="Arial" w:cs="Arial" w:eastAsia="Arial" w:hAnsi="Arial"/>
          <w:color w:val="000000"/>
          <w:rtl w:val="0"/>
        </w:rPr>
        <w:t xml:space="preserve">Vivemos no Brasil 400 anos amargos de escravidão, da subjugação do indivíduo ao estado máximo de exploração e desumanidade. </w:t>
      </w:r>
    </w:p>
    <w:p w:rsidR="00000000" w:rsidDel="00000000" w:rsidP="00000000" w:rsidRDefault="00000000" w:rsidRPr="00000000" w14:paraId="00000015">
      <w:pPr>
        <w:spacing w:after="0" w:line="360" w:lineRule="auto"/>
        <w:ind w:firstLine="709"/>
        <w:jc w:val="both"/>
        <w:rPr>
          <w:rFonts w:ascii="Arial" w:cs="Arial" w:eastAsia="Arial" w:hAnsi="Arial"/>
          <w:color w:val="000000"/>
        </w:rPr>
      </w:pPr>
      <w:r w:rsidDel="00000000" w:rsidR="00000000" w:rsidRPr="00000000">
        <w:rPr>
          <w:rFonts w:ascii="Arial" w:cs="Arial" w:eastAsia="Arial" w:hAnsi="Arial"/>
          <w:color w:val="000000"/>
          <w:rtl w:val="0"/>
        </w:rPr>
        <w:t xml:space="preserve">O processo escravista no Brasil teve suas raízes nas grandes navegações, no sistema das capitanias hereditárias e na falácia das “grandes descobertas das novas terras” o que já refletia a estrutura de poder.  Nesse contexto colonizador um questionamento crucial segundo Laplantine (2003, p. 25), era se os nativos das terras apropriadas eram humanos, por que cabia ao colonizador definir o outro e dar a ele civilidade ou selvageria, já que a “Superioridade social e moral, autopercepção e reconhecimento, pertencimento e exclusão são elementos dessa dimensão da vida social que o par estabelecidos-outsiders ilumina exemplarmente” (Elias, 2000, p. 8).</w:t>
      </w:r>
    </w:p>
    <w:p w:rsidR="00000000" w:rsidDel="00000000" w:rsidP="00000000" w:rsidRDefault="00000000" w:rsidRPr="00000000" w14:paraId="00000016">
      <w:pPr>
        <w:spacing w:after="0" w:line="360" w:lineRule="auto"/>
        <w:ind w:firstLine="709"/>
        <w:jc w:val="both"/>
        <w:rPr>
          <w:rFonts w:ascii="Arial" w:cs="Arial" w:eastAsia="Arial" w:hAnsi="Arial"/>
        </w:rPr>
      </w:pPr>
      <w:r w:rsidDel="00000000" w:rsidR="00000000" w:rsidRPr="00000000">
        <w:rPr>
          <w:rFonts w:ascii="Arial" w:cs="Arial" w:eastAsia="Arial" w:hAnsi="Arial"/>
          <w:color w:val="000000"/>
          <w:rtl w:val="0"/>
        </w:rPr>
        <w:t xml:space="preserve">É nesse questionamento do colonizador sobre o colonizado descrito </w:t>
      </w:r>
      <w:r w:rsidDel="00000000" w:rsidR="00000000" w:rsidRPr="00000000">
        <w:rPr>
          <w:rFonts w:ascii="Arial" w:cs="Arial" w:eastAsia="Arial" w:hAnsi="Arial"/>
          <w:rtl w:val="0"/>
        </w:rPr>
        <w:t xml:space="preserve">por Laplantine (2003) e Elias (2000) que se achará o discurso austero e hegemônico “do nós e do outro”, de quem pertence ao conceito de civilidade e de quem está fora dele. Os primeiros a serem brutalmente colocados nessa lógica colonial que opunha o “eu civilizado” ao “outro selvagem” foram os povos indígenas. Submetidos ao poder dos jesuítas, sua força de trabalho foi inicialmente explorada na coleta das chamadas drogas do sertão, posteriormente essa força de trabalho foi empregada no serviço público – sob a lei do Diretório dos Índios. Com a falência do processo escravista indígena que quase exterminou esse povo nativo - os negros da terra foram “substituídos” pelo negro africano escravizado. Interessante salientar que chamar o indígena de negro da terra era considerado abuso, infâmia, por que “ser negro” automaticamente era determinar que sua natureza estava destinada a escravidão e assim a todas as mazelas a ele atribuída (Mello, 1755). </w:t>
      </w:r>
    </w:p>
    <w:p w:rsidR="00000000" w:rsidDel="00000000" w:rsidP="00000000" w:rsidRDefault="00000000" w:rsidRPr="00000000" w14:paraId="00000017">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No Brasil como em tantos outros países a escravidão foi um processo lícito e naturalizado, justificado pela ausência de alma como dizia a igreja e principalmente pela mão de obra que sustentava a economia escravocrata do Brasil.</w:t>
      </w:r>
    </w:p>
    <w:p w:rsidR="00000000" w:rsidDel="00000000" w:rsidP="00000000" w:rsidRDefault="00000000" w:rsidRPr="00000000" w14:paraId="00000018">
      <w:pPr>
        <w:spacing w:after="120" w:line="240" w:lineRule="auto"/>
        <w:ind w:left="2268"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Constantemente realizando o trabalho dos braços "super-numerosos", a indústria moderna, em todos os países em que ela deitou raízes, estimula a emigração e a colonização de terras estrangeiras, que são, desse modo, convertidas em colônias para o cultivo de matérias-primas para a pátria-mãe (Smith, 1984, p. 166).</w:t>
      </w:r>
    </w:p>
    <w:p w:rsidR="00000000" w:rsidDel="00000000" w:rsidP="00000000" w:rsidRDefault="00000000" w:rsidRPr="00000000" w14:paraId="00000019">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Os braços “superpoderosos” e as raízes do qual se deitou a economia da matéria prima no Brasil descrita por Smith (1984), foram as dos negros africanos escravizados transformados em simples instrumentos de trabalho, em máquina, sem intelecto, sem educação, sem moral, sem religião e por isso a ele todos os direitos eram negados, até mesmo os de família, pois não passavam de coisa, irracionais (Malheiro, 1976, p. 31).</w:t>
      </w:r>
    </w:p>
    <w:p w:rsidR="00000000" w:rsidDel="00000000" w:rsidP="00000000" w:rsidRDefault="00000000" w:rsidRPr="00000000" w14:paraId="0000001A">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A falência do sistema escravista no Brasil foi resultado de múltiplos fatores, entre eles a resistência dos quilombos, a crescente pressão do movimento abolicionista e das exigências do mercado europeu, do qual o país dependia para sua relação comercial e financeira. Nesse contexto foi promulgada a Lei</w:t>
      </w:r>
      <w:r w:rsidDel="00000000" w:rsidR="00000000" w:rsidRPr="00000000">
        <w:rPr>
          <w:rFonts w:ascii="Arial" w:cs="Arial" w:eastAsia="Arial" w:hAnsi="Arial"/>
          <w:sz w:val="23"/>
          <w:szCs w:val="23"/>
          <w:rtl w:val="0"/>
        </w:rPr>
        <w:t xml:space="preserve"> </w:t>
      </w:r>
      <w:r w:rsidDel="00000000" w:rsidR="00000000" w:rsidRPr="00000000">
        <w:rPr>
          <w:rFonts w:ascii="Arial" w:cs="Arial" w:eastAsia="Arial" w:hAnsi="Arial"/>
          <w:rtl w:val="0"/>
        </w:rPr>
        <w:t xml:space="preserve">nº 3.353, de 13 de maio de 1888, que declarou extinta a escravidão no território nacional. No entanto tal extinção não significou a ruptura imediata com a lógica escravocrata. A sociedade que sustentava e era sustentada por esse sistema resistiu fortemente a perda dos privilégios dentre tais os econômicos e de dominação que a escravidão proporcionava em específico àqueles cujo objetivo era a manutenção de uma suposta superioridade racial.  A historiografia respalda essa fala ao descrever que houve uma tentativa de manter o quanto puderam o regime de escravidão, aceitando apenas a imigração e a abolição, pressionadas pela “onda negra”</w:t>
      </w:r>
      <w:r w:rsidDel="00000000" w:rsidR="00000000" w:rsidRPr="00000000">
        <w:rPr>
          <w:rFonts w:ascii="Arial" w:cs="Arial" w:eastAsia="Arial" w:hAnsi="Arial"/>
          <w:sz w:val="23"/>
          <w:szCs w:val="23"/>
          <w:rtl w:val="0"/>
        </w:rPr>
        <w:t xml:space="preserve"> (</w:t>
      </w:r>
      <w:r w:rsidDel="00000000" w:rsidR="00000000" w:rsidRPr="00000000">
        <w:rPr>
          <w:rFonts w:ascii="Arial" w:cs="Arial" w:eastAsia="Arial" w:hAnsi="Arial"/>
          <w:rtl w:val="0"/>
        </w:rPr>
        <w:t xml:space="preserve">Faria, 2012, p. 288).</w:t>
      </w:r>
    </w:p>
    <w:p w:rsidR="00000000" w:rsidDel="00000000" w:rsidP="00000000" w:rsidRDefault="00000000" w:rsidRPr="00000000" w14:paraId="0000001B">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O processo escravista se findou, mas deixou como herança milhões de negros lançados a indigência, aos moldes da escravidão. A abolição se tornou em um grande abandono, não foram criadas condições para que esse povo alcançasse a igualdade, a cidadania plena, a real liberdade (Menezes, 2009, p. 99-100).  Nessa conjuntura de abandonos também ficou o povo negro sem terras, uma vez que estas, foram intencionalmente regulamentadas pela Lei nº 601, de 18 de janeiro de 1850, que atribuía direito de posse a terra a quem poderia comprá-la. Ora, como escravizados, ou mesmo os libertos poderiam adquirir algo por compra se estavam subjugados à miséria do sistema escravista? Bem, esse projeto não foi pensado para o curto prazo, mas com vistas ao longo prazo a “tal libertação de 1888”. </w:t>
      </w:r>
    </w:p>
    <w:p w:rsidR="00000000" w:rsidDel="00000000" w:rsidP="00000000" w:rsidRDefault="00000000" w:rsidRPr="00000000" w14:paraId="0000001C">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E pensar que Jonh Locke (1994) em sua obra datada de 1789, dizia que a propriedade era um direito natural adquirido justificado pelo trabalho empreendido nela, talvez tenha ele esquecido de olhar para o negro escravizado/livre- não houve quem trabalhasse mais e terra que este, só que dela não se apossou, por ser ela um espaço de interesses, logo, não é neutro é produzida socialmente e economicamente, refletindo o interesse de classe (Smith, 1984). E o interesse da classe dominante ainda era dominar, excluir estigmatizar para dominar. Esse interesse também está em Locke como um bom pai do liberalismo, questionado por sua justificação a escravidão.</w:t>
      </w:r>
    </w:p>
    <w:p w:rsidR="00000000" w:rsidDel="00000000" w:rsidP="00000000" w:rsidRDefault="00000000" w:rsidRPr="00000000" w14:paraId="0000001D">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Quando a estrutura social agrária se decompõe, a população migra para os centros urbanos, o que possibilitou o emprego de sua força de trabalho nas indústrias, provocando a urbanização. Porém, uma grande parcela dessa população com menor poder aquisitivo migra para as periferias, nas quais as terras são mais acessíveis. Enquanto uma minoria usufrui da modernização das cidades, a grande parcela se vê em desespero pela falta de condições de sobrevivência, esse é um quadro bem detalhado da desigualdade social, em que o indivíduo, em situação econômica vulnerável, empobrecida vive, no limite entre a marginalidade e a criminalidade, cometendo pequenos delitos para sobreviver. Essas ações são atribuídas às chamadas classes perigosas, cuja raiz vai do escravismo da Colônia à Independência, e o da Monarquia ao da República. (Pires, 1985). </w:t>
      </w:r>
    </w:p>
    <w:p w:rsidR="00000000" w:rsidDel="00000000" w:rsidP="00000000" w:rsidRDefault="00000000" w:rsidRPr="00000000" w14:paraId="0000001E">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É nesse espaço apropriado construído historicamente que se reproduz, o poder simbólico e o efeito da naturalização da desigualdade, do racismo expressada no “mito da democracia racial” que tenta silenciar as periferias como espaço apropriado “[...] onde o poder se afirma e se exerce, e provavelmente sob a forma mais sutil, a da violência simbólica como violência despercebida” (Bourdieu, 2013, p. 135). O impacto das políticas governamentais, especialmente as macroeconômicas, no desenvolvimento urbano, com foco nas mudanças desde o final dos anos 1980, trouxeram processos importantes como a urbanização, a desigualdade social e as transformações urbanas (Singer, 2002). De um lado os bairros elitizados e de outro as periferias. </w:t>
      </w:r>
    </w:p>
    <w:p w:rsidR="00000000" w:rsidDel="00000000" w:rsidP="00000000" w:rsidRDefault="00000000" w:rsidRPr="00000000" w14:paraId="0000001F">
      <w:pPr>
        <w:spacing w:after="0" w:line="360" w:lineRule="auto"/>
        <w:ind w:firstLine="709"/>
        <w:jc w:val="both"/>
        <w:rPr>
          <w:rFonts w:ascii="Arial" w:cs="Arial" w:eastAsia="Arial" w:hAnsi="Arial"/>
        </w:rPr>
      </w:pPr>
      <w:r w:rsidDel="00000000" w:rsidR="00000000" w:rsidRPr="00000000">
        <w:rPr>
          <w:rtl w:val="0"/>
        </w:rPr>
      </w:r>
    </w:p>
    <w:p w:rsidR="00000000" w:rsidDel="00000000" w:rsidP="00000000" w:rsidRDefault="00000000" w:rsidRPr="00000000" w14:paraId="00000020">
      <w:pPr>
        <w:spacing w:after="0" w:line="360" w:lineRule="auto"/>
        <w:jc w:val="both"/>
        <w:rPr>
          <w:rFonts w:ascii="Arial" w:cs="Arial" w:eastAsia="Arial" w:hAnsi="Arial"/>
          <w:b w:val="1"/>
        </w:rPr>
      </w:pPr>
      <w:r w:rsidDel="00000000" w:rsidR="00000000" w:rsidRPr="00000000">
        <w:rPr>
          <w:rFonts w:ascii="Arial" w:cs="Arial" w:eastAsia="Arial" w:hAnsi="Arial"/>
          <w:b w:val="1"/>
          <w:rtl w:val="0"/>
        </w:rPr>
        <w:t xml:space="preserve">3 RACISMO ESTRUTURAL E CONTROLE PENAL</w:t>
      </w:r>
    </w:p>
    <w:p w:rsidR="00000000" w:rsidDel="00000000" w:rsidP="00000000" w:rsidRDefault="00000000" w:rsidRPr="00000000" w14:paraId="00000021">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22">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Na discussão anterior, observou-se como a população negra dentro do projeto das relações de poder foram “conduzidas” silenciosamente a se organizarem a margem da sociedade, numa divisão desigual espacial, onde “[...] viam-se membros de um grupo estigmatizando os de outro, não por suas qualidades individuais como pessoas, mas por eles pertencerem a um grupo coletivamente considerado diferente e inferior ao próprio grupo” (Elias, 2000, p. 23). </w:t>
      </w:r>
    </w:p>
    <w:p w:rsidR="00000000" w:rsidDel="00000000" w:rsidP="00000000" w:rsidRDefault="00000000" w:rsidRPr="00000000" w14:paraId="00000023">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O racismo estrutural se apoia em estruturas de poder que transpassaram o tempo e a história enraizado nas estruturas sociais, políticas, econômicas, jurídicas, culturais, educacionais e familiares que produzem e reproduzem as desigualdades de forma naturalizada e sistêmica (Almeida, 2018). Corroborando com Almeida, Bourdieu (2013, p. 134) acrescenta que “A estrutura do espaço social se manifesta assim, nos mais diversos contextos, sob a forma de oposições espaciais, o espaço habitado (ou apropriado) funcionando como uma espécie de metáfora espontânea do espaço social”. As controvérsias dos espaços apropriados e como eles são percebidas pelo silêncio do racismo estrutural que se manifesta não somente no espaço, mas na condução do indivíduo, dos seus corpos. </w:t>
      </w:r>
    </w:p>
    <w:p w:rsidR="00000000" w:rsidDel="00000000" w:rsidP="00000000" w:rsidRDefault="00000000" w:rsidRPr="00000000" w14:paraId="00000024">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Durante séculos o ordenamento social se deu pela imputação do suplício, uma pena corporal cruel e dolorosa, uma arte de submeter o corpo e a vida ao sofrimento onde a intensidade deste era medida conforme o crime, gritos e gemidos eram parte do cerimonial público que servia para a manifestação do poder que pune expressada no corpo do condenado em suplício servindo também como ato de intimidação, de controle social e até de confissão (Foucault, 1987).   No Brasil, essa manifestação de poder punitivo a partir do castigo se deu nos corpos dos negros escravizados, açoitados em praça pública, acusados e sentenciados pela palavra irrevogável do “senhor”.</w:t>
      </w:r>
    </w:p>
    <w:p w:rsidR="00000000" w:rsidDel="00000000" w:rsidP="00000000" w:rsidRDefault="00000000" w:rsidRPr="00000000" w14:paraId="00000025">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O primeiro Código Criminal do Brasil datado de 1830, é um código instituído cujo castigo, ato punitivo ainda resvala sobre os corpos do indivíduo. </w:t>
      </w:r>
    </w:p>
    <w:p w:rsidR="00000000" w:rsidDel="00000000" w:rsidP="00000000" w:rsidRDefault="00000000" w:rsidRPr="00000000" w14:paraId="00000026">
      <w:pPr>
        <w:spacing w:after="0" w:line="240" w:lineRule="auto"/>
        <w:ind w:left="1701"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Art. 1º Serão punidos com a pena de morte os escravos ou escravas, que matarem por qualquer maneira que seja, propinarem veneno, ferirem gravemente ou fizerem outra qualquer grave offensa physica a seu senhor, a sua mulher, a descendentes ou ascendentes, que em sua companhia morarem, a administrador, feitor e às suas mulheres, que com elles viverem. </w:t>
      </w:r>
    </w:p>
    <w:p w:rsidR="00000000" w:rsidDel="00000000" w:rsidP="00000000" w:rsidRDefault="00000000" w:rsidRPr="00000000" w14:paraId="00000027">
      <w:pPr>
        <w:spacing w:after="120" w:line="240" w:lineRule="auto"/>
        <w:ind w:left="1701"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o ferimento, ou offensa physica forem leves, a pena será de açoutes a proporção das circumstancias mais ou menos agravantes (Brasil, 1830).</w:t>
      </w:r>
    </w:p>
    <w:p w:rsidR="00000000" w:rsidDel="00000000" w:rsidP="00000000" w:rsidRDefault="00000000" w:rsidRPr="00000000" w14:paraId="00000028">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Com a constituição do Código Criminal de 1830, o Estado passa então a controlar esse suplício, é ele agora que julga e aplica a lei, nesse sistema é o magistrado que tem o pleno poder da verdade sobre um acusado alheio a sua própria condenação, porque acredita o código que não há nenhuma presunção de inocência em um “ato criminoso”, porque inquestionavelmente o ato já é um crime que se constitui de uma má fé, do pleno desejo em praticar o mal.  A selvageria dos castigos pelo suplício deixa de ser um cerimonial público de manifestação do poder punitivo dos corpos para se tornarem aos olhos “mais humanizados” grandes escândalo e selvageria, parte de um tempo tradicional que não se sustentava mais nas reformas e pensamentos do século XIX.</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(Foucault, 1987; Brasil, 1830). </w:t>
      </w:r>
    </w:p>
    <w:p w:rsidR="00000000" w:rsidDel="00000000" w:rsidP="00000000" w:rsidRDefault="00000000" w:rsidRPr="00000000" w14:paraId="00000029">
      <w:pPr>
        <w:spacing w:after="0" w:line="360" w:lineRule="auto"/>
        <w:ind w:firstLine="709"/>
        <w:jc w:val="both"/>
        <w:rPr>
          <w:rFonts w:ascii="Arial" w:cs="Arial" w:eastAsia="Arial" w:hAnsi="Arial"/>
          <w:color w:val="ff0000"/>
        </w:rPr>
      </w:pPr>
      <w:r w:rsidDel="00000000" w:rsidR="00000000" w:rsidRPr="00000000">
        <w:rPr>
          <w:rFonts w:ascii="Arial" w:cs="Arial" w:eastAsia="Arial" w:hAnsi="Arial"/>
          <w:rtl w:val="0"/>
        </w:rPr>
        <w:t xml:space="preserve">Em 1888, essas mudanças advindas da Europa, foram percebidas no sistema social, econômico e político brasileiro. Como dito anteriormente, economia decadente, processo escravista, pressão abolicionista, trouxeram uma nova configuração ao Brasil o de um país de “libertos”. Com tudo, há de chamar atenção para o fato que foi nos pós abolição em 1890 que se promulgou o código Penal do Brasil, cujo em seu texto trazia como crime a desocupação, a falta de um trabalho para gerar sustento. </w:t>
      </w:r>
      <w:r w:rsidDel="00000000" w:rsidR="00000000" w:rsidRPr="00000000">
        <w:rPr>
          <w:rtl w:val="0"/>
        </w:rPr>
      </w:r>
    </w:p>
    <w:p w:rsidR="00000000" w:rsidDel="00000000" w:rsidP="00000000" w:rsidRDefault="00000000" w:rsidRPr="00000000" w14:paraId="0000002A">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Vejam: apenas dois anos após a abolição da escravatura, os negros — abandonados à miséria, à exclusão e à violência — tornam-se alvo de um novo ordenamento jurídico, o código penal que já não punia mais os corpos como no regime escravista, mas agora a alma, cujo castigo, a pena imputada será a restrição de liberdade pelo encarceramento dos “vândalos e vagabundos” , exatamente os recém libertos, marcados não somente na pele, mas também na mente,  na alma pelos traumas e pela brutalidade do escravismo. Então, o suplício, o sofrimento, o castigo e a própria escravidão deixam de ser algo público para ser algo velado que burle o escancaro dos corpos escravizados em corpos disciplinados, assim o carrasco foi substituído por um exército inteiro de técnicos (Foucault, 1987). O que se percebe é uma descaracterização de certas terminologias que foram reestruturadas para se adequarem ao contexto do negro. Desse modo, surgem termos como “delinquentes” e “criminosos” como estigmas. </w:t>
      </w:r>
    </w:p>
    <w:p w:rsidR="00000000" w:rsidDel="00000000" w:rsidP="00000000" w:rsidRDefault="00000000" w:rsidRPr="00000000" w14:paraId="0000002B">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Nesse movimento dos conceitos e dos interesses nasce as prisões, substituindo os pelourinhos por um sistema penal disciplinar estruturado pelo legislativo, executivo e judiciário que através do discurso de ordem e justiça legitima a privação de liberdade e quem por ela será privado desta, ou seja, encarcerado como ato punitivo imposto por um Estado supremo que não pode tolerar a desordem, já que é ele a “representatividade” de uma nação que deve  ser sadia e segura – ao menos é o que diz a Constituição do Brasil (1988) que além do direito de igualdade e liberdade temos todos o direito à “sadia qualidade de vida”, o que é embaraçoso quando se pensa nas periferias que sofrem com a ausência do Estado, não o do punitivo, mas o do “bem comum”.  Para Foucault, a prisão é um instrumento de vigilância constante que visa docilizar os corpos a partir das regras e normativas instituídas nesse espaço, sua estrutura define sua finalidade e sua localização marcam lugares e indicam valores (Foucaul, 1987), revelando a seletividade racial da justiça.</w:t>
      </w:r>
    </w:p>
    <w:p w:rsidR="00000000" w:rsidDel="00000000" w:rsidP="00000000" w:rsidRDefault="00000000" w:rsidRPr="00000000" w14:paraId="0000002C">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Sobre a prisão, os corpos que ela “dociliza” e sua localização há nesse sentido uma “metáfora espontânea das oposições espaciais” conceitos significativos tratados por Bourdieu (2013). Uma constatação se dá em como o sistema carcerário gera um ciclo de movimentação financeira e anima o mercado com sua rede de dependência de prestação de serviços que vão desde as empresas que fornecem os materiais de limpeza a um sistema privado ou público de agentes de defesa ou acusação desse indivíduo, consistindo em interesses diversos.  E isso é um fato, só em 2023 foram gastos o equivalente a R$46.178.900.540,96 com policiamento (Anuário Brasileiro de Segurança Pública, 2023, p. 273).</w:t>
      </w:r>
    </w:p>
    <w:p w:rsidR="00000000" w:rsidDel="00000000" w:rsidP="00000000" w:rsidRDefault="00000000" w:rsidRPr="00000000" w14:paraId="0000002D">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No Brasil de acordo com o </w:t>
      </w:r>
      <w:r w:rsidDel="00000000" w:rsidR="00000000" w:rsidRPr="00000000">
        <w:rPr>
          <w:rFonts w:ascii="Arial" w:cs="Arial" w:eastAsia="Arial" w:hAnsi="Arial"/>
          <w:color w:val="000000"/>
          <w:rtl w:val="0"/>
        </w:rPr>
        <w:t xml:space="preserve">Anuário Brasileiro de segurança Pública (2024), </w:t>
      </w:r>
      <w:r w:rsidDel="00000000" w:rsidR="00000000" w:rsidRPr="00000000">
        <w:rPr>
          <w:rFonts w:ascii="Arial" w:cs="Arial" w:eastAsia="Arial" w:hAnsi="Arial"/>
          <w:rtl w:val="0"/>
        </w:rPr>
        <w:t xml:space="preserve">a população negra (pretos e pardos) totaliza 112.739.744 de habitantes, destes 472.850 estão privados de liberdade no Sistema Penitenciário, ou seja, das 846. 021 pessoas privadas de liberdade, 69,1% são pessoas negras. Em se tratando das vítimas de morte violenta, a maioria é negra (78%). Em se tratando da mortalidade por intervenções policiais, raça e cor são fatores determinantes para a taxa de mortalidade.</w:t>
      </w:r>
    </w:p>
    <w:p w:rsidR="00000000" w:rsidDel="00000000" w:rsidP="00000000" w:rsidRDefault="00000000" w:rsidRPr="00000000" w14:paraId="0000002E">
      <w:pPr>
        <w:spacing w:after="120" w:line="240" w:lineRule="auto"/>
        <w:ind w:left="1701"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Enquanto a taxa de mortalidade de pessoas brancas foi de 0,9 mortos para cada grupo de 100 mil pessoas brancas, a taxa de negros foi de 3,5 para cada grupo de 100 mil pessoas negras. Isto significa dizer que a taxa de mortalidade de pessoas negras em intervenções policiais é 289% superior à taxa verificada entre pessoas brancas, na evidência do viés racial nas abordagens e no uso da força das polícias brasileiras. Em relação à proporção, 82,7% das vítimas eram negras, 17% brancas, 0,2% indígenas e 0,1% amarelos (Anuário Brasileiro de segurança Pública, 2024).</w:t>
      </w:r>
    </w:p>
    <w:p w:rsidR="00000000" w:rsidDel="00000000" w:rsidP="00000000" w:rsidRDefault="00000000" w:rsidRPr="00000000" w14:paraId="0000002F">
      <w:pPr>
        <w:spacing w:after="120" w:line="360" w:lineRule="auto"/>
        <w:ind w:firstLine="709"/>
        <w:jc w:val="both"/>
        <w:rPr>
          <w:rFonts w:ascii="Arial" w:cs="Arial" w:eastAsia="Arial" w:hAnsi="Arial"/>
        </w:rPr>
      </w:pPr>
      <w:r w:rsidDel="00000000" w:rsidR="00000000" w:rsidRPr="00000000">
        <w:rPr>
          <w:rFonts w:ascii="Arial" w:cs="Arial" w:eastAsia="Arial" w:hAnsi="Arial"/>
          <w:rtl w:val="0"/>
        </w:rPr>
        <w:t xml:space="preserve">As incursões policiais nas favelas têm ratificado constantemente a narrativa de um espaço marginalizado, de violência. A favela é constantemente estigmatizada como lugar de bandido, a forma como a ação dessa estrutura penal nas favelas é divulgada reforça esse estigma - abre-se aqui um paralelo para “o novo cangaço” (visto pelo sistema criminal como prática de bandido) para entender como o Estado punitivo caracteriza ou descaracteriza aqueles que fogem do seu controle, da subalternidade do seu poder. Entender esse contexto é entender o que Bourdieu (2013) chama de efeito de gueto.</w:t>
      </w:r>
    </w:p>
    <w:p w:rsidR="00000000" w:rsidDel="00000000" w:rsidP="00000000" w:rsidRDefault="00000000" w:rsidRPr="00000000" w14:paraId="00000030">
      <w:pPr>
        <w:spacing w:after="120" w:line="240" w:lineRule="auto"/>
        <w:ind w:left="1701"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 efeito de gueto é o inverso exato do efeito de clube: enquanto o bairro chique, funcionando como um clube fundado na exclusão ativa das pessoas indesejáveis, consagra simbolicamente cada um de seus habitantes permitindo-lhe participar do capital acumulado pelo conjunto dos residentes, o gueto degrada simbolicamente seus habitantes, ajuntando em uma espécie de reserva um conjunto de agentes que, estando privados de todos os trunfos necessários para participar dos diferentes jogos sociais, só partilham de sua comum excomunicação. Além do efeito de estigmatização, o ajuntamento, em um mesmo lugar, de uma população homogênea na despossessão tem também por efeito redobrar a despossessão, notadamente em termos de cultura e de prática cultural (assim como, inversamente, ele reforça a prática cultural dos mais abastados)</w:t>
      </w:r>
    </w:p>
    <w:p w:rsidR="00000000" w:rsidDel="00000000" w:rsidP="00000000" w:rsidRDefault="00000000" w:rsidRPr="00000000" w14:paraId="00000031">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Empregado ao sistema prisional, o efeito do gueto é visto na população encarcerada em maioria negra e pobre, advindos muitas vezes de espaços marcados pela violência, opressão e omissão do Estado.  A guetificação prisional, então, reproduz o que ocorre no gueto, a privação de liberdade, a excomunhão social, a privação dos capitais.  Mesmo quando estão fora das cadeias essas pessoas não são livres, porque liberdade não é o direito de ir e vir, isso é locomoção, liberdade é o direito de usufruir e participar da sociedade de forma igual.</w:t>
      </w:r>
    </w:p>
    <w:p w:rsidR="00000000" w:rsidDel="00000000" w:rsidP="00000000" w:rsidRDefault="00000000" w:rsidRPr="00000000" w14:paraId="00000032">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Ao reproduzir o espaço social dos guetos/periferias o sistema prisional se transforma em um grande gueto, um campo onde as lutas também acontecem, mas quem ganha é sempre quem tem o capital cultural, econômico e simbólico e quem os tiver, será também quem determinará quem "o outro" será.  Ele fortalece os estigmas sobre a população negra e em específico pobres e periféricos, o próprio lugar onde as prisões foram e são construídas, resultam desse pensamento - construídas nas periferias para as periferias. Se antes era o movimento eugenista que tentava “exterminar” o povo negro pela justificativa do sanitarismo, hoje é a biopolítica do encarceramento que extermina o povo negro, sob a justificativa da manutenção da ordem pública e combate à criminalidade.</w:t>
      </w:r>
    </w:p>
    <w:p w:rsidR="00000000" w:rsidDel="00000000" w:rsidP="00000000" w:rsidRDefault="00000000" w:rsidRPr="00000000" w14:paraId="00000033">
      <w:pPr>
        <w:spacing w:after="0" w:line="240" w:lineRule="auto"/>
        <w:ind w:left="1701"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população prisional segue sendo majoritariamente negra [...].</w:t>
      </w:r>
    </w:p>
    <w:p w:rsidR="00000000" w:rsidDel="00000000" w:rsidP="00000000" w:rsidRDefault="00000000" w:rsidRPr="00000000" w14:paraId="00000034">
      <w:pPr>
        <w:spacing w:after="120" w:line="240" w:lineRule="auto"/>
        <w:ind w:left="1701"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Em nenhum momento da série histórica, que cobre o período entre 2005 e 2023, a representação racial se deu de modo diferente. Estamos lidando, portanto, com um processo criminal que tem cor. É razoável supor, a partir daí, que a decisão de quem será parado, revistado, detido e condenado é guiada pela raça (Anuário Brasileiro de segurança Pública, 2024, p. 360).</w:t>
      </w:r>
    </w:p>
    <w:p w:rsidR="00000000" w:rsidDel="00000000" w:rsidP="00000000" w:rsidRDefault="00000000" w:rsidRPr="00000000" w14:paraId="00000035">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A cadeia tem cor e ela é preta e parda, enquanto isso, o sistema formado historicamente por uma classe dominante tem a cor do branco, o que pensa, que estudou que adquiriu todos os capitais manifestados simbolicamente ao decidir qual é o lugar do negro no espaço e tomada essa decisão é o negro novamente marcado não a ferro, mas com a palavra “o delinquente, o bandido, o marginal” – a própria sentença. Negros que são julgados a sombra das causas, por que não são julgados sozinhos, ali também se apesentam os elementos circunstancias e também a coisa diversa juridicamente não codificável., não é assim o sistema penal neutro, ou seja, a justiça nem sempre é realmente cega (Foucault, 1987).</w:t>
      </w:r>
    </w:p>
    <w:p w:rsidR="00000000" w:rsidDel="00000000" w:rsidP="00000000" w:rsidRDefault="00000000" w:rsidRPr="00000000" w14:paraId="00000036">
      <w:pPr>
        <w:spacing w:after="0" w:line="360" w:lineRule="auto"/>
        <w:ind w:firstLine="709"/>
        <w:jc w:val="both"/>
        <w:rPr>
          <w:rFonts w:ascii="Arial" w:cs="Arial" w:eastAsia="Arial" w:hAnsi="Arial"/>
        </w:rPr>
      </w:pPr>
      <w:r w:rsidDel="00000000" w:rsidR="00000000" w:rsidRPr="00000000">
        <w:rPr>
          <w:rtl w:val="0"/>
        </w:rPr>
      </w:r>
    </w:p>
    <w:p w:rsidR="00000000" w:rsidDel="00000000" w:rsidP="00000000" w:rsidRDefault="00000000" w:rsidRPr="00000000" w14:paraId="00000037">
      <w:pPr>
        <w:spacing w:after="0" w:line="360" w:lineRule="auto"/>
        <w:jc w:val="both"/>
        <w:rPr>
          <w:rFonts w:ascii="Arial" w:cs="Arial" w:eastAsia="Arial" w:hAnsi="Arial"/>
          <w:b w:val="1"/>
        </w:rPr>
      </w:pPr>
      <w:r w:rsidDel="00000000" w:rsidR="00000000" w:rsidRPr="00000000">
        <w:rPr>
          <w:rFonts w:ascii="Arial" w:cs="Arial" w:eastAsia="Arial" w:hAnsi="Arial"/>
          <w:b w:val="1"/>
          <w:rtl w:val="0"/>
        </w:rPr>
        <w:t xml:space="preserve">4 CONCLUSÃO</w:t>
      </w:r>
    </w:p>
    <w:p w:rsidR="00000000" w:rsidDel="00000000" w:rsidP="00000000" w:rsidRDefault="00000000" w:rsidRPr="00000000" w14:paraId="00000038">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39">
      <w:pPr>
        <w:spacing w:after="0" w:line="360" w:lineRule="auto"/>
        <w:ind w:firstLine="709"/>
        <w:jc w:val="both"/>
        <w:rPr>
          <w:rFonts w:ascii="Arial" w:cs="Arial" w:eastAsia="Arial" w:hAnsi="Arial"/>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As relações de poder constituídas desde o período escravista atravessaram os tempos, reformularam-se, camuflaram-se e reestruturaram-se, corrompendo — como erva daninha — os alicerces do Estado democrático. As desigualdades históricas não romperam o ciclo hegemônico das classes dominantes; ao contrário, aprofundaram a cisão na estrutura social. Os subalternos, como afirma Alonso (2009), permanecem em constante litígio: são questionados, interrogados, vigiados por um Estado que se apresenta como cuidador, mas que opera, de fato, por meio de aparatos de vigilância e punição — como o sistema carcerário e a polícia — para controlar e docilizar corpos.</w:t>
      </w:r>
    </w:p>
    <w:p w:rsidR="00000000" w:rsidDel="00000000" w:rsidP="00000000" w:rsidRDefault="00000000" w:rsidRPr="00000000" w14:paraId="0000003A">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Esta abordagem científica buscou analisar o encarceramento e o encarcerado a partir do processo histórico do escravismo e a atual realidade penal, observando como os mecanismos de controle e opressão se ressignificam ao longo do tempo e buscando entender a partir de Foucault e Bourdieu como a dominação simbólica e o racismo se perpetuam nas instituições.</w:t>
      </w:r>
    </w:p>
    <w:p w:rsidR="00000000" w:rsidDel="00000000" w:rsidP="00000000" w:rsidRDefault="00000000" w:rsidRPr="00000000" w14:paraId="0000003B">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Corpos que, majoritariamente são negros. Corpos punidos e vigiados por um ciclo vicioso de violência simbólica. O sistema prisional, nesse contexto, revela-se como um projeto social, econômico e político de uma nova eugenia — agora sustentada sob o véu da legalidade e da racionalidade institucional.</w:t>
      </w:r>
    </w:p>
    <w:p w:rsidR="00000000" w:rsidDel="00000000" w:rsidP="00000000" w:rsidRDefault="00000000" w:rsidRPr="00000000" w14:paraId="0000003C">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A cor da cadeia foi, de fato, escolhida a dedo. A dedo de uma classe que atravessou os séculos moldando discursos carregados de intenções e interesses, enquanto consolidava, simbolicamente, sua cadeia de poder — hereditariamente reproduzindo quem domina e quem é destinado a ser dominado.</w:t>
      </w:r>
    </w:p>
    <w:p w:rsidR="00000000" w:rsidDel="00000000" w:rsidP="00000000" w:rsidRDefault="00000000" w:rsidRPr="00000000" w14:paraId="0000003D">
      <w:pPr>
        <w:spacing w:after="120" w:line="36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3E">
      <w:pPr>
        <w:spacing w:after="0" w:line="360" w:lineRule="auto"/>
        <w:jc w:val="center"/>
        <w:rPr>
          <w:rFonts w:ascii="Arial" w:cs="Arial" w:eastAsia="Arial" w:hAnsi="Arial"/>
          <w:b w:val="1"/>
        </w:rPr>
      </w:pPr>
      <w:r w:rsidDel="00000000" w:rsidR="00000000" w:rsidRPr="00000000">
        <w:rPr>
          <w:rFonts w:ascii="Arial" w:cs="Arial" w:eastAsia="Arial" w:hAnsi="Arial"/>
          <w:b w:val="1"/>
          <w:rtl w:val="0"/>
        </w:rPr>
        <w:t xml:space="preserve">REFERÊNCIAS</w:t>
      </w:r>
    </w:p>
    <w:p w:rsidR="00000000" w:rsidDel="00000000" w:rsidP="00000000" w:rsidRDefault="00000000" w:rsidRPr="00000000" w14:paraId="0000003F">
      <w:pPr>
        <w:spacing w:after="0" w:line="36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40">
      <w:pPr>
        <w:spacing w:after="0" w:line="240" w:lineRule="auto"/>
        <w:rPr>
          <w:rFonts w:ascii="Arial" w:cs="Arial" w:eastAsia="Arial" w:hAnsi="Arial"/>
        </w:rPr>
      </w:pPr>
      <w:r w:rsidDel="00000000" w:rsidR="00000000" w:rsidRPr="00000000">
        <w:rPr>
          <w:rFonts w:ascii="Arial" w:cs="Arial" w:eastAsia="Arial" w:hAnsi="Arial"/>
          <w:rtl w:val="0"/>
        </w:rPr>
        <w:t xml:space="preserve">ALONSO, Angela.</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As teorias dos movimentos sociais: um balanço do debate. </w:t>
      </w:r>
      <w:r w:rsidDel="00000000" w:rsidR="00000000" w:rsidRPr="00000000">
        <w:rPr>
          <w:rFonts w:ascii="Arial" w:cs="Arial" w:eastAsia="Arial" w:hAnsi="Arial"/>
          <w:b w:val="1"/>
          <w:rtl w:val="0"/>
        </w:rPr>
        <w:t xml:space="preserve">Lua Nova</w:t>
      </w:r>
      <w:r w:rsidDel="00000000" w:rsidR="00000000" w:rsidRPr="00000000">
        <w:rPr>
          <w:rFonts w:ascii="Arial" w:cs="Arial" w:eastAsia="Arial" w:hAnsi="Arial"/>
          <w:rtl w:val="0"/>
        </w:rPr>
        <w:t xml:space="preserve">, São Paulo, n. 76, p. 49-86, 2009.</w:t>
      </w:r>
    </w:p>
    <w:p w:rsidR="00000000" w:rsidDel="00000000" w:rsidP="00000000" w:rsidRDefault="00000000" w:rsidRPr="00000000" w14:paraId="0000004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2">
      <w:pPr>
        <w:spacing w:after="0" w:line="240" w:lineRule="auto"/>
        <w:rPr>
          <w:rFonts w:ascii="Arial" w:cs="Arial" w:eastAsia="Arial" w:hAnsi="Arial"/>
        </w:rPr>
      </w:pPr>
      <w:r w:rsidDel="00000000" w:rsidR="00000000" w:rsidRPr="00000000">
        <w:rPr>
          <w:rFonts w:ascii="Arial" w:cs="Arial" w:eastAsia="Arial" w:hAnsi="Arial"/>
          <w:rtl w:val="0"/>
        </w:rPr>
        <w:t xml:space="preserve">BOURDIEU, Pierre. Espaço físico, espaço social e espaço físico apropriado. </w:t>
      </w:r>
      <w:r w:rsidDel="00000000" w:rsidR="00000000" w:rsidRPr="00000000">
        <w:rPr>
          <w:rFonts w:ascii="Arial" w:cs="Arial" w:eastAsia="Arial" w:hAnsi="Arial"/>
          <w:b w:val="1"/>
          <w:rtl w:val="0"/>
        </w:rPr>
        <w:t xml:space="preserve">Estudos avançados</w:t>
      </w:r>
      <w:r w:rsidDel="00000000" w:rsidR="00000000" w:rsidRPr="00000000">
        <w:rPr>
          <w:rFonts w:ascii="Arial" w:cs="Arial" w:eastAsia="Arial" w:hAnsi="Arial"/>
          <w:rtl w:val="0"/>
        </w:rPr>
        <w:t xml:space="preserve">, São Paulo, v. 27, n. 79, p. 133-144, 2013.</w:t>
      </w:r>
    </w:p>
    <w:p w:rsidR="00000000" w:rsidDel="00000000" w:rsidP="00000000" w:rsidRDefault="00000000" w:rsidRPr="00000000" w14:paraId="0000004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4">
      <w:pPr>
        <w:spacing w:after="0" w:line="240" w:lineRule="auto"/>
        <w:rPr>
          <w:rFonts w:ascii="Arial" w:cs="Arial" w:eastAsia="Arial" w:hAnsi="Arial"/>
        </w:rPr>
      </w:pPr>
      <w:r w:rsidDel="00000000" w:rsidR="00000000" w:rsidRPr="00000000">
        <w:rPr>
          <w:rFonts w:ascii="Arial" w:cs="Arial" w:eastAsia="Arial" w:hAnsi="Arial"/>
          <w:rtl w:val="0"/>
        </w:rPr>
        <w:t xml:space="preserve">BRASIL IMPERIAL. </w:t>
      </w:r>
      <w:r w:rsidDel="00000000" w:rsidR="00000000" w:rsidRPr="00000000">
        <w:rPr>
          <w:rFonts w:ascii="Arial" w:cs="Arial" w:eastAsia="Arial" w:hAnsi="Arial"/>
          <w:b w:val="1"/>
          <w:rtl w:val="0"/>
        </w:rPr>
        <w:t xml:space="preserve">Código Criminal: </w:t>
      </w:r>
      <w:r w:rsidDel="00000000" w:rsidR="00000000" w:rsidRPr="00000000">
        <w:rPr>
          <w:rFonts w:ascii="Arial" w:cs="Arial" w:eastAsia="Arial" w:hAnsi="Arial"/>
          <w:rtl w:val="0"/>
        </w:rPr>
        <w:t xml:space="preserve">com as leis, decretos, avisos e portarias publicado desde a sua data até o presente... Recife: Typographia Universal, 29 out. 1858, 142p. Disponível em: http://www2.senado.leg.br/bdsf/discover?query=C%C3%B3digo+Criminal+de+Imp%C3%A9rio&amp;submit=Ir&amp;filter_relational_operator_2=contains&amp;filtertype_1=type&amp;filter_relational_operator_1=notequals&amp;filter_1=not%C3%ADcia+de+jornal. Acesso em: 12 set. 2018.</w:t>
      </w:r>
    </w:p>
    <w:p w:rsidR="00000000" w:rsidDel="00000000" w:rsidP="00000000" w:rsidRDefault="00000000" w:rsidRPr="00000000" w14:paraId="0000004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6">
      <w:pPr>
        <w:spacing w:after="0" w:line="240" w:lineRule="auto"/>
        <w:rPr>
          <w:rFonts w:ascii="Arial" w:cs="Arial" w:eastAsia="Arial" w:hAnsi="Arial"/>
        </w:rPr>
      </w:pPr>
      <w:r w:rsidDel="00000000" w:rsidR="00000000" w:rsidRPr="00000000">
        <w:rPr>
          <w:rFonts w:ascii="Arial" w:cs="Arial" w:eastAsia="Arial" w:hAnsi="Arial"/>
          <w:rtl w:val="0"/>
        </w:rPr>
        <w:t xml:space="preserve">ELIAS, Norbert; SCOTSON, John L. </w:t>
      </w:r>
      <w:r w:rsidDel="00000000" w:rsidR="00000000" w:rsidRPr="00000000">
        <w:rPr>
          <w:rFonts w:ascii="Arial" w:cs="Arial" w:eastAsia="Arial" w:hAnsi="Arial"/>
          <w:b w:val="1"/>
          <w:rtl w:val="0"/>
        </w:rPr>
        <w:t xml:space="preserve">Os estabelecidos e os outsiders:</w:t>
      </w:r>
      <w:r w:rsidDel="00000000" w:rsidR="00000000" w:rsidRPr="00000000">
        <w:rPr>
          <w:rFonts w:ascii="Arial" w:cs="Arial" w:eastAsia="Arial" w:hAnsi="Arial"/>
          <w:rtl w:val="0"/>
        </w:rPr>
        <w:t xml:space="preserve"> sociologia das relações de poder a partir de uma pequena comunidade. Rio de Janeiro: Jorge Zahar, 2000. Publicada pela primeira vez em 1994 por Sage Publications,de Londres, Inglaterra.</w:t>
      </w:r>
    </w:p>
    <w:p w:rsidR="00000000" w:rsidDel="00000000" w:rsidP="00000000" w:rsidRDefault="00000000" w:rsidRPr="00000000" w14:paraId="0000004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8">
      <w:pPr>
        <w:spacing w:after="0" w:line="240" w:lineRule="auto"/>
        <w:rPr>
          <w:rFonts w:ascii="Arial" w:cs="Arial" w:eastAsia="Arial" w:hAnsi="Arial"/>
        </w:rPr>
      </w:pPr>
      <w:r w:rsidDel="00000000" w:rsidR="00000000" w:rsidRPr="00000000">
        <w:rPr>
          <w:rFonts w:ascii="Arial" w:cs="Arial" w:eastAsia="Arial" w:hAnsi="Arial"/>
          <w:rtl w:val="0"/>
        </w:rPr>
        <w:t xml:space="preserve">FARIA, Regina Helena Martins de. </w:t>
      </w:r>
      <w:r w:rsidDel="00000000" w:rsidR="00000000" w:rsidRPr="00000000">
        <w:rPr>
          <w:rFonts w:ascii="Arial" w:cs="Arial" w:eastAsia="Arial" w:hAnsi="Arial"/>
          <w:b w:val="1"/>
          <w:rtl w:val="0"/>
        </w:rPr>
        <w:t xml:space="preserve">Mundos do trabalho no Maranhão oitocentista: </w:t>
      </w:r>
      <w:r w:rsidDel="00000000" w:rsidR="00000000" w:rsidRPr="00000000">
        <w:rPr>
          <w:rFonts w:ascii="Arial" w:cs="Arial" w:eastAsia="Arial" w:hAnsi="Arial"/>
          <w:rtl w:val="0"/>
        </w:rPr>
        <w:t xml:space="preserve">os descaminhos da liberdade. São Luís: Edufma, 2012. 318p.</w:t>
      </w:r>
    </w:p>
    <w:p w:rsidR="00000000" w:rsidDel="00000000" w:rsidP="00000000" w:rsidRDefault="00000000" w:rsidRPr="00000000" w14:paraId="00000049">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A">
      <w:pPr>
        <w:spacing w:after="0" w:line="240" w:lineRule="auto"/>
        <w:rPr>
          <w:rFonts w:ascii="Arial" w:cs="Arial" w:eastAsia="Arial" w:hAnsi="Arial"/>
          <w:b w:val="1"/>
        </w:rPr>
      </w:pPr>
      <w:r w:rsidDel="00000000" w:rsidR="00000000" w:rsidRPr="00000000">
        <w:rPr>
          <w:rFonts w:ascii="Arial" w:cs="Arial" w:eastAsia="Arial" w:hAnsi="Arial"/>
          <w:rtl w:val="0"/>
        </w:rPr>
        <w:t xml:space="preserve">FÓRUM BRASILEIRO DE SEGURANÇA PÚBLICA.</w:t>
      </w:r>
      <w:r w:rsidDel="00000000" w:rsidR="00000000" w:rsidRPr="00000000">
        <w:rPr>
          <w:rFonts w:ascii="Arial" w:cs="Arial" w:eastAsia="Arial" w:hAnsi="Arial"/>
          <w:b w:val="1"/>
          <w:rtl w:val="0"/>
        </w:rPr>
        <w:t xml:space="preserve"> Anuário Brasileiro de Segurança, 18. Pública.</w:t>
      </w:r>
      <w:r w:rsidDel="00000000" w:rsidR="00000000" w:rsidRPr="00000000">
        <w:rPr>
          <w:rFonts w:ascii="Arial" w:cs="Arial" w:eastAsia="Arial" w:hAnsi="Arial"/>
          <w:rtl w:val="0"/>
        </w:rPr>
        <w:t xml:space="preserve"> São Paulo: Fórum brasileiro de Segurança Pública, 2024, 404 p. Ilustrado. Disponível em: https://forumseguranca.org.br/publicacoes/anuario-brasileiro-de-seguranca-publica/. Acesso em: 8 jan. 2025.</w:t>
      </w:r>
      <w:r w:rsidDel="00000000" w:rsidR="00000000" w:rsidRPr="00000000">
        <w:rPr>
          <w:rtl w:val="0"/>
        </w:rPr>
      </w:r>
    </w:p>
    <w:p w:rsidR="00000000" w:rsidDel="00000000" w:rsidP="00000000" w:rsidRDefault="00000000" w:rsidRPr="00000000" w14:paraId="0000004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C">
      <w:pPr>
        <w:spacing w:after="0" w:line="240" w:lineRule="auto"/>
        <w:rPr>
          <w:rFonts w:ascii="Arial" w:cs="Arial" w:eastAsia="Arial" w:hAnsi="Arial"/>
        </w:rPr>
      </w:pPr>
      <w:r w:rsidDel="00000000" w:rsidR="00000000" w:rsidRPr="00000000">
        <w:rPr>
          <w:rFonts w:ascii="Arial" w:cs="Arial" w:eastAsia="Arial" w:hAnsi="Arial"/>
          <w:rtl w:val="0"/>
        </w:rPr>
        <w:t xml:space="preserve">FOUCAULT, Michel. </w:t>
      </w:r>
      <w:r w:rsidDel="00000000" w:rsidR="00000000" w:rsidRPr="00000000">
        <w:rPr>
          <w:rFonts w:ascii="Arial" w:cs="Arial" w:eastAsia="Arial" w:hAnsi="Arial"/>
          <w:b w:val="1"/>
          <w:rtl w:val="0"/>
        </w:rPr>
        <w:t xml:space="preserve">Vigiar e punir:</w:t>
      </w:r>
      <w:r w:rsidDel="00000000" w:rsidR="00000000" w:rsidRPr="00000000">
        <w:rPr>
          <w:rFonts w:ascii="Arial" w:cs="Arial" w:eastAsia="Arial" w:hAnsi="Arial"/>
          <w:rtl w:val="0"/>
        </w:rPr>
        <w:t xml:space="preserve"> nascimento da prisão; tradução de Raquel Ramalhete. Petrópolis, Vozes, 1987. 288p.</w:t>
      </w:r>
    </w:p>
    <w:p w:rsidR="00000000" w:rsidDel="00000000" w:rsidP="00000000" w:rsidRDefault="00000000" w:rsidRPr="00000000" w14:paraId="0000004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E">
      <w:pPr>
        <w:spacing w:after="0" w:line="240" w:lineRule="auto"/>
        <w:rPr>
          <w:rFonts w:ascii="Arial" w:cs="Arial" w:eastAsia="Arial" w:hAnsi="Arial"/>
        </w:rPr>
      </w:pPr>
      <w:r w:rsidDel="00000000" w:rsidR="00000000" w:rsidRPr="00000000">
        <w:rPr>
          <w:rFonts w:ascii="Arial" w:cs="Arial" w:eastAsia="Arial" w:hAnsi="Arial"/>
          <w:rtl w:val="0"/>
        </w:rPr>
        <w:t xml:space="preserve">LAPLANTINE, François. </w:t>
      </w:r>
      <w:r w:rsidDel="00000000" w:rsidR="00000000" w:rsidRPr="00000000">
        <w:rPr>
          <w:rFonts w:ascii="Arial" w:cs="Arial" w:eastAsia="Arial" w:hAnsi="Arial"/>
          <w:b w:val="1"/>
          <w:rtl w:val="0"/>
        </w:rPr>
        <w:t xml:space="preserve">Aprender antropologia. </w:t>
      </w:r>
      <w:r w:rsidDel="00000000" w:rsidR="00000000" w:rsidRPr="00000000">
        <w:rPr>
          <w:rFonts w:ascii="Arial" w:cs="Arial" w:eastAsia="Arial" w:hAnsi="Arial"/>
          <w:rtl w:val="0"/>
        </w:rPr>
        <w:t xml:space="preserve">São Paulo: Brasiliense, 2003. p. 25.</w:t>
      </w:r>
    </w:p>
    <w:p w:rsidR="00000000" w:rsidDel="00000000" w:rsidP="00000000" w:rsidRDefault="00000000" w:rsidRPr="00000000" w14:paraId="0000004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50">
      <w:pPr>
        <w:spacing w:after="0" w:line="240" w:lineRule="auto"/>
        <w:rPr>
          <w:rFonts w:ascii="Arial" w:cs="Arial" w:eastAsia="Arial" w:hAnsi="Arial"/>
        </w:rPr>
      </w:pPr>
      <w:r w:rsidDel="00000000" w:rsidR="00000000" w:rsidRPr="00000000">
        <w:rPr>
          <w:rFonts w:ascii="Arial" w:cs="Arial" w:eastAsia="Arial" w:hAnsi="Arial"/>
          <w:rtl w:val="0"/>
        </w:rPr>
        <w:t xml:space="preserve">MALHEIRO, Perdigão. </w:t>
      </w:r>
      <w:r w:rsidDel="00000000" w:rsidR="00000000" w:rsidRPr="00000000">
        <w:rPr>
          <w:rFonts w:ascii="Arial" w:cs="Arial" w:eastAsia="Arial" w:hAnsi="Arial"/>
          <w:b w:val="1"/>
          <w:rtl w:val="0"/>
        </w:rPr>
        <w:t xml:space="preserve">A escravidão no Brasil: </w:t>
      </w:r>
      <w:r w:rsidDel="00000000" w:rsidR="00000000" w:rsidRPr="00000000">
        <w:rPr>
          <w:rFonts w:ascii="Arial" w:cs="Arial" w:eastAsia="Arial" w:hAnsi="Arial"/>
          <w:rtl w:val="0"/>
        </w:rPr>
        <w:t xml:space="preserve">ensaio histórico, jurídico, social. 3. ed. Petrópolis: Vozes, 1976. 322p. </w:t>
      </w:r>
    </w:p>
    <w:p w:rsidR="00000000" w:rsidDel="00000000" w:rsidP="00000000" w:rsidRDefault="00000000" w:rsidRPr="00000000" w14:paraId="0000005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52">
      <w:pPr>
        <w:spacing w:after="0" w:line="240" w:lineRule="auto"/>
        <w:rPr>
          <w:rFonts w:ascii="Arial" w:cs="Arial" w:eastAsia="Arial" w:hAnsi="Arial"/>
        </w:rPr>
      </w:pPr>
      <w:r w:rsidDel="00000000" w:rsidR="00000000" w:rsidRPr="00000000">
        <w:rPr>
          <w:rFonts w:ascii="Arial" w:cs="Arial" w:eastAsia="Arial" w:hAnsi="Arial"/>
          <w:rtl w:val="0"/>
        </w:rPr>
        <w:t xml:space="preserve">MELLO, Sebastião Joseph de Carvalho (Marquês de Pombal). </w:t>
      </w:r>
      <w:r w:rsidDel="00000000" w:rsidR="00000000" w:rsidRPr="00000000">
        <w:rPr>
          <w:rFonts w:ascii="Arial" w:cs="Arial" w:eastAsia="Arial" w:hAnsi="Arial"/>
          <w:b w:val="1"/>
          <w:rtl w:val="0"/>
        </w:rPr>
        <w:t xml:space="preserve">Diretório dos índios [1755]</w:t>
      </w:r>
      <w:r w:rsidDel="00000000" w:rsidR="00000000" w:rsidRPr="00000000">
        <w:rPr>
          <w:rFonts w:ascii="Arial" w:cs="Arial" w:eastAsia="Arial" w:hAnsi="Arial"/>
          <w:rtl w:val="0"/>
        </w:rPr>
        <w:t xml:space="preserve">. Disponível em:&lt; https://www.nacaomestica.org/diretorio_dos_indios.htm&gt;. Acesso em: 16 jul. 2018.</w:t>
      </w:r>
    </w:p>
    <w:p w:rsidR="00000000" w:rsidDel="00000000" w:rsidP="00000000" w:rsidRDefault="00000000" w:rsidRPr="00000000" w14:paraId="0000005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54">
      <w:pPr>
        <w:spacing w:after="0" w:line="240" w:lineRule="auto"/>
        <w:rPr>
          <w:rFonts w:ascii="Arial" w:cs="Arial" w:eastAsia="Arial" w:hAnsi="Arial"/>
        </w:rPr>
      </w:pPr>
      <w:r w:rsidDel="00000000" w:rsidR="00000000" w:rsidRPr="00000000">
        <w:rPr>
          <w:rFonts w:ascii="Arial" w:cs="Arial" w:eastAsia="Arial" w:hAnsi="Arial"/>
          <w:rtl w:val="0"/>
        </w:rPr>
        <w:t xml:space="preserve">MENEZES, Jaci Maria Ferraz de. Abolição no Brasil: a construção da liberdade. </w:t>
      </w:r>
      <w:r w:rsidDel="00000000" w:rsidR="00000000" w:rsidRPr="00000000">
        <w:rPr>
          <w:rFonts w:ascii="Arial" w:cs="Arial" w:eastAsia="Arial" w:hAnsi="Arial"/>
          <w:b w:val="1"/>
          <w:rtl w:val="0"/>
        </w:rPr>
        <w:t xml:space="preserve">Revista Histedbr On-line, </w:t>
      </w:r>
      <w:r w:rsidDel="00000000" w:rsidR="00000000" w:rsidRPr="00000000">
        <w:rPr>
          <w:rFonts w:ascii="Arial" w:cs="Arial" w:eastAsia="Arial" w:hAnsi="Arial"/>
          <w:rtl w:val="0"/>
        </w:rPr>
        <w:t xml:space="preserve">Campinas, n.36, p. 99-100, dez.2009. Disponível em: http://www.histedbr.fe.unicamp.br/revista/edicoes/36/art07_36.pdf. Acesso em: 16 set. 2018.</w:t>
      </w:r>
    </w:p>
    <w:p w:rsidR="00000000" w:rsidDel="00000000" w:rsidP="00000000" w:rsidRDefault="00000000" w:rsidRPr="00000000" w14:paraId="0000005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56">
      <w:pPr>
        <w:spacing w:after="0" w:line="240" w:lineRule="auto"/>
        <w:rPr>
          <w:rFonts w:ascii="Arial" w:cs="Arial" w:eastAsia="Arial" w:hAnsi="Arial"/>
        </w:rPr>
      </w:pPr>
      <w:r w:rsidDel="00000000" w:rsidR="00000000" w:rsidRPr="00000000">
        <w:rPr>
          <w:rFonts w:ascii="Arial" w:cs="Arial" w:eastAsia="Arial" w:hAnsi="Arial"/>
          <w:rtl w:val="0"/>
        </w:rPr>
        <w:t xml:space="preserve">PINZANI, Alessandro. Teoria crítica e justiça social. </w:t>
      </w:r>
      <w:r w:rsidDel="00000000" w:rsidR="00000000" w:rsidRPr="00000000">
        <w:rPr>
          <w:rFonts w:ascii="Arial" w:cs="Arial" w:eastAsia="Arial" w:hAnsi="Arial"/>
          <w:b w:val="1"/>
          <w:rtl w:val="0"/>
        </w:rPr>
        <w:t xml:space="preserve">Civitas</w:t>
      </w:r>
      <w:r w:rsidDel="00000000" w:rsidR="00000000" w:rsidRPr="00000000">
        <w:rPr>
          <w:rFonts w:ascii="Arial" w:cs="Arial" w:eastAsia="Arial" w:hAnsi="Arial"/>
          <w:rtl w:val="0"/>
        </w:rPr>
        <w:t xml:space="preserve">, Porto Alegre, v. 12, n. 1, p. 88-106, jan./abr. 2012.</w:t>
      </w:r>
    </w:p>
    <w:p w:rsidR="00000000" w:rsidDel="00000000" w:rsidP="00000000" w:rsidRDefault="00000000" w:rsidRPr="00000000" w14:paraId="0000005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58">
      <w:pPr>
        <w:spacing w:after="0" w:line="240" w:lineRule="auto"/>
        <w:rPr>
          <w:rFonts w:ascii="Arial" w:cs="Arial" w:eastAsia="Arial" w:hAnsi="Arial"/>
        </w:rPr>
      </w:pPr>
      <w:r w:rsidDel="00000000" w:rsidR="00000000" w:rsidRPr="00000000">
        <w:rPr>
          <w:rFonts w:ascii="Arial" w:cs="Arial" w:eastAsia="Arial" w:hAnsi="Arial"/>
          <w:rtl w:val="0"/>
        </w:rPr>
        <w:t xml:space="preserve">PIRES, Cecília. A violência no Brasil. 6. ed. São Paulo: Editora Moderna, 1985. 72p. (Coleção Polêmica).</w:t>
      </w:r>
    </w:p>
    <w:p w:rsidR="00000000" w:rsidDel="00000000" w:rsidP="00000000" w:rsidRDefault="00000000" w:rsidRPr="00000000" w14:paraId="00000059">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5A">
      <w:pPr>
        <w:spacing w:after="0" w:line="240" w:lineRule="auto"/>
        <w:rPr>
          <w:rFonts w:ascii="Arial" w:cs="Arial" w:eastAsia="Arial" w:hAnsi="Arial"/>
        </w:rPr>
      </w:pPr>
      <w:r w:rsidDel="00000000" w:rsidR="00000000" w:rsidRPr="00000000">
        <w:rPr>
          <w:rFonts w:ascii="Arial" w:cs="Arial" w:eastAsia="Arial" w:hAnsi="Arial"/>
          <w:rtl w:val="0"/>
        </w:rPr>
        <w:t xml:space="preserve">SINGER, Paul. </w:t>
      </w:r>
      <w:r w:rsidDel="00000000" w:rsidR="00000000" w:rsidRPr="00000000">
        <w:rPr>
          <w:rFonts w:ascii="Arial" w:cs="Arial" w:eastAsia="Arial" w:hAnsi="Arial"/>
          <w:b w:val="1"/>
          <w:rtl w:val="0"/>
        </w:rPr>
        <w:t xml:space="preserve">Economia política da urbanização</w:t>
      </w:r>
      <w:r w:rsidDel="00000000" w:rsidR="00000000" w:rsidRPr="00000000">
        <w:rPr>
          <w:rFonts w:ascii="Arial" w:cs="Arial" w:eastAsia="Arial" w:hAnsi="Arial"/>
          <w:rtl w:val="0"/>
        </w:rPr>
        <w:t xml:space="preserve">. 2. ed. São Paulo: Editora Contexto. 2002. p. 1-27. </w:t>
      </w:r>
    </w:p>
    <w:p w:rsidR="00000000" w:rsidDel="00000000" w:rsidP="00000000" w:rsidRDefault="00000000" w:rsidRPr="00000000" w14:paraId="0000005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5C">
      <w:pPr>
        <w:spacing w:after="0" w:line="240" w:lineRule="auto"/>
        <w:rPr>
          <w:rFonts w:ascii="Arial" w:cs="Arial" w:eastAsia="Arial" w:hAnsi="Arial"/>
        </w:rPr>
      </w:pPr>
      <w:r w:rsidDel="00000000" w:rsidR="00000000" w:rsidRPr="00000000">
        <w:rPr>
          <w:rFonts w:ascii="Arial" w:cs="Arial" w:eastAsia="Arial" w:hAnsi="Arial"/>
          <w:rtl w:val="0"/>
        </w:rPr>
        <w:t xml:space="preserve">SMITH, Neil. </w:t>
      </w:r>
      <w:r w:rsidDel="00000000" w:rsidR="00000000" w:rsidRPr="00000000">
        <w:rPr>
          <w:rFonts w:ascii="Arial" w:cs="Arial" w:eastAsia="Arial" w:hAnsi="Arial"/>
          <w:b w:val="1"/>
          <w:rtl w:val="0"/>
        </w:rPr>
        <w:t xml:space="preserve">Desenvolvimento desigual</w:t>
      </w:r>
      <w:r w:rsidDel="00000000" w:rsidR="00000000" w:rsidRPr="00000000">
        <w:rPr>
          <w:rFonts w:ascii="Arial" w:cs="Arial" w:eastAsia="Arial" w:hAnsi="Arial"/>
          <w:rtl w:val="0"/>
        </w:rPr>
        <w:t xml:space="preserve">. Rio de Janeiro: Editora Bertrand Brasil S.A. 1988. p. 22- 217. ISBN 85-286-0072-6. Título Original: Uneven Development. ISBN 978-0-8203-3590-2.</w:t>
      </w:r>
    </w:p>
    <w:p w:rsidR="00000000" w:rsidDel="00000000" w:rsidP="00000000" w:rsidRDefault="00000000" w:rsidRPr="00000000" w14:paraId="0000005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5E">
      <w:pPr>
        <w:spacing w:after="0" w:line="240" w:lineRule="auto"/>
        <w:rPr>
          <w:rFonts w:ascii="Times New Roman" w:cs="Times New Roman" w:eastAsia="Times New Roman" w:hAnsi="Times New Roman"/>
        </w:rPr>
      </w:pPr>
      <w:r w:rsidDel="00000000" w:rsidR="00000000" w:rsidRPr="00000000">
        <w:rPr>
          <w:rtl w:val="0"/>
        </w:rPr>
      </w:r>
    </w:p>
    <w:sectPr>
      <w:headerReference r:id="rId8" w:type="default"/>
      <w:pgSz w:h="16838" w:w="11906" w:orient="portrait"/>
      <w:pgMar w:bottom="1134" w:top="1701" w:left="1701"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Aptos"/>
  <w:font w:name="Play">
    <w:embedRegular w:fontKey="{00000000-0000-0000-0000-000000000000}" r:id="rId1" w:subsetted="0"/>
    <w:embedBold w:fontKey="{00000000-0000-0000-0000-000000000000}" r:id="rId2"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Bibliotecária Especialista em Arquivologia. Mestranda no Programa de Desenvolvimento Socioespacial e Regional da Universidade Estadual do Maranhão</w:t>
      </w:r>
      <w:r w:rsidDel="00000000" w:rsidR="00000000" w:rsidRPr="00000000">
        <w:rPr>
          <w:color w:val="000000"/>
          <w:sz w:val="20"/>
          <w:szCs w:val="20"/>
          <w:rtl w:val="0"/>
        </w:rPr>
        <w:t xml:space="preserve">.  E-mail: castrofbibliotecaria@gmail.com</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align>left</wp:align>
          </wp:positionH>
          <wp:positionV relativeFrom="page">
            <wp:posOffset>9525</wp:posOffset>
          </wp:positionV>
          <wp:extent cx="7534275" cy="10877550"/>
          <wp:effectExtent b="0" l="0" r="0" t="0"/>
          <wp:wrapNone/>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34275" cy="10877550"/>
                  </a:xfrm>
                  <a:prstGeom prst="rect"/>
                  <a:ln/>
                </pic:spPr>
              </pic:pic>
            </a:graphicData>
          </a:graphic>
        </wp:anchor>
      </w:drawing>
    </w: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pt-BR"/>
      </w:rPr>
    </w:rPrDefault>
    <w:pPrDefault>
      <w:pPr>
        <w:spacing w:after="160" w:line="278.0000000000000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Ttulo1">
    <w:name w:val="heading 1"/>
    <w:basedOn w:val="Normal"/>
    <w:next w:val="Normal"/>
    <w:link w:val="Ttulo1Char"/>
    <w:uiPriority w:val="9"/>
    <w:qFormat w:val="1"/>
    <w:rsid w:val="00EF0637"/>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Ttulo2">
    <w:name w:val="heading 2"/>
    <w:basedOn w:val="Normal"/>
    <w:next w:val="Normal"/>
    <w:link w:val="Ttulo2Char"/>
    <w:uiPriority w:val="9"/>
    <w:semiHidden w:val="1"/>
    <w:unhideWhenUsed w:val="1"/>
    <w:qFormat w:val="1"/>
    <w:rsid w:val="00EF0637"/>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Ttulo3">
    <w:name w:val="heading 3"/>
    <w:basedOn w:val="Normal"/>
    <w:next w:val="Normal"/>
    <w:link w:val="Ttulo3Char"/>
    <w:uiPriority w:val="9"/>
    <w:semiHidden w:val="1"/>
    <w:unhideWhenUsed w:val="1"/>
    <w:qFormat w:val="1"/>
    <w:rsid w:val="00EF0637"/>
    <w:pPr>
      <w:keepNext w:val="1"/>
      <w:keepLines w:val="1"/>
      <w:spacing w:after="80" w:before="160"/>
      <w:outlineLvl w:val="2"/>
    </w:pPr>
    <w:rPr>
      <w:rFonts w:cstheme="majorBidi" w:eastAsiaTheme="majorEastAsia"/>
      <w:color w:val="0f4761" w:themeColor="accent1" w:themeShade="0000BF"/>
      <w:sz w:val="28"/>
      <w:szCs w:val="28"/>
    </w:rPr>
  </w:style>
  <w:style w:type="paragraph" w:styleId="Ttulo4">
    <w:name w:val="heading 4"/>
    <w:basedOn w:val="Normal"/>
    <w:next w:val="Normal"/>
    <w:link w:val="Ttulo4Char"/>
    <w:uiPriority w:val="9"/>
    <w:semiHidden w:val="1"/>
    <w:unhideWhenUsed w:val="1"/>
    <w:qFormat w:val="1"/>
    <w:rsid w:val="00EF0637"/>
    <w:pPr>
      <w:keepNext w:val="1"/>
      <w:keepLines w:val="1"/>
      <w:spacing w:after="40" w:before="80"/>
      <w:outlineLvl w:val="3"/>
    </w:pPr>
    <w:rPr>
      <w:rFonts w:cstheme="majorBidi" w:eastAsiaTheme="majorEastAsia"/>
      <w:i w:val="1"/>
      <w:iCs w:val="1"/>
      <w:color w:val="0f4761" w:themeColor="accent1" w:themeShade="0000BF"/>
    </w:rPr>
  </w:style>
  <w:style w:type="paragraph" w:styleId="Ttulo5">
    <w:name w:val="heading 5"/>
    <w:basedOn w:val="Normal"/>
    <w:next w:val="Normal"/>
    <w:link w:val="Ttulo5Char"/>
    <w:uiPriority w:val="9"/>
    <w:semiHidden w:val="1"/>
    <w:unhideWhenUsed w:val="1"/>
    <w:qFormat w:val="1"/>
    <w:rsid w:val="00EF0637"/>
    <w:pPr>
      <w:keepNext w:val="1"/>
      <w:keepLines w:val="1"/>
      <w:spacing w:after="40" w:before="80"/>
      <w:outlineLvl w:val="4"/>
    </w:pPr>
    <w:rPr>
      <w:rFonts w:cstheme="majorBidi" w:eastAsiaTheme="majorEastAsia"/>
      <w:color w:val="0f4761" w:themeColor="accent1" w:themeShade="0000BF"/>
    </w:rPr>
  </w:style>
  <w:style w:type="paragraph" w:styleId="Ttulo6">
    <w:name w:val="heading 6"/>
    <w:basedOn w:val="Normal"/>
    <w:next w:val="Normal"/>
    <w:link w:val="Ttulo6Char"/>
    <w:uiPriority w:val="9"/>
    <w:semiHidden w:val="1"/>
    <w:unhideWhenUsed w:val="1"/>
    <w:qFormat w:val="1"/>
    <w:rsid w:val="00EF0637"/>
    <w:pPr>
      <w:keepNext w:val="1"/>
      <w:keepLines w:val="1"/>
      <w:spacing w:after="0" w:before="40"/>
      <w:outlineLvl w:val="5"/>
    </w:pPr>
    <w:rPr>
      <w:rFonts w:cstheme="majorBidi" w:eastAsiaTheme="majorEastAsia"/>
      <w:i w:val="1"/>
      <w:iCs w:val="1"/>
      <w:color w:val="595959" w:themeColor="text1" w:themeTint="0000A6"/>
    </w:rPr>
  </w:style>
  <w:style w:type="paragraph" w:styleId="Ttulo7">
    <w:name w:val="heading 7"/>
    <w:basedOn w:val="Normal"/>
    <w:next w:val="Normal"/>
    <w:link w:val="Ttulo7Char"/>
    <w:uiPriority w:val="9"/>
    <w:semiHidden w:val="1"/>
    <w:unhideWhenUsed w:val="1"/>
    <w:qFormat w:val="1"/>
    <w:rsid w:val="00EF0637"/>
    <w:pPr>
      <w:keepNext w:val="1"/>
      <w:keepLines w:val="1"/>
      <w:spacing w:after="0" w:before="40"/>
      <w:outlineLvl w:val="6"/>
    </w:pPr>
    <w:rPr>
      <w:rFonts w:cstheme="majorBidi" w:eastAsiaTheme="majorEastAsia"/>
      <w:color w:val="595959" w:themeColor="text1" w:themeTint="0000A6"/>
    </w:rPr>
  </w:style>
  <w:style w:type="paragraph" w:styleId="Ttulo8">
    <w:name w:val="heading 8"/>
    <w:basedOn w:val="Normal"/>
    <w:next w:val="Normal"/>
    <w:link w:val="Ttulo8Char"/>
    <w:uiPriority w:val="9"/>
    <w:semiHidden w:val="1"/>
    <w:unhideWhenUsed w:val="1"/>
    <w:qFormat w:val="1"/>
    <w:rsid w:val="00EF0637"/>
    <w:pPr>
      <w:keepNext w:val="1"/>
      <w:keepLines w:val="1"/>
      <w:spacing w:after="0"/>
      <w:outlineLvl w:val="7"/>
    </w:pPr>
    <w:rPr>
      <w:rFonts w:cstheme="majorBidi" w:eastAsiaTheme="majorEastAsia"/>
      <w:i w:val="1"/>
      <w:iCs w:val="1"/>
      <w:color w:val="272727" w:themeColor="text1" w:themeTint="0000D8"/>
    </w:rPr>
  </w:style>
  <w:style w:type="paragraph" w:styleId="Ttulo9">
    <w:name w:val="heading 9"/>
    <w:basedOn w:val="Normal"/>
    <w:next w:val="Normal"/>
    <w:link w:val="Ttulo9Char"/>
    <w:uiPriority w:val="9"/>
    <w:semiHidden w:val="1"/>
    <w:unhideWhenUsed w:val="1"/>
    <w:qFormat w:val="1"/>
    <w:rsid w:val="00EF0637"/>
    <w:pPr>
      <w:keepNext w:val="1"/>
      <w:keepLines w:val="1"/>
      <w:spacing w:after="0"/>
      <w:outlineLvl w:val="8"/>
    </w:pPr>
    <w:rPr>
      <w:rFonts w:cstheme="majorBidi" w:eastAsiaTheme="majorEastAsia"/>
      <w:color w:val="272727" w:themeColor="text1" w:themeTint="0000D8"/>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paragraph" w:styleId="Ttulo">
    <w:name w:val="Title"/>
    <w:basedOn w:val="Normal"/>
    <w:next w:val="Normal"/>
    <w:link w:val="TtuloChar"/>
    <w:uiPriority w:val="10"/>
    <w:qFormat w:val="1"/>
    <w:rsid w:val="00EF0637"/>
    <w:pPr>
      <w:spacing w:after="80" w:line="240" w:lineRule="auto"/>
      <w:contextualSpacing w:val="1"/>
    </w:pPr>
    <w:rPr>
      <w:rFonts w:asciiTheme="majorHAnsi" w:cstheme="majorBidi" w:eastAsiaTheme="majorEastAsia" w:hAnsiTheme="majorHAnsi"/>
      <w:spacing w:val="-10"/>
      <w:kern w:val="28"/>
      <w:sz w:val="56"/>
      <w:szCs w:val="56"/>
    </w:rPr>
  </w:style>
  <w:style w:type="character" w:styleId="Ttulo1Char" w:customStyle="1">
    <w:name w:val="Título 1 Char"/>
    <w:basedOn w:val="Fontepargpadro"/>
    <w:link w:val="Ttulo1"/>
    <w:uiPriority w:val="9"/>
    <w:rsid w:val="00EF0637"/>
    <w:rPr>
      <w:rFonts w:asciiTheme="majorHAnsi" w:cstheme="majorBidi" w:eastAsiaTheme="majorEastAsia" w:hAnsiTheme="majorHAnsi"/>
      <w:color w:val="0f4761" w:themeColor="accent1" w:themeShade="0000BF"/>
      <w:sz w:val="40"/>
      <w:szCs w:val="40"/>
    </w:rPr>
  </w:style>
  <w:style w:type="character" w:styleId="Ttulo2Char" w:customStyle="1">
    <w:name w:val="Título 2 Char"/>
    <w:basedOn w:val="Fontepargpadro"/>
    <w:link w:val="Ttulo2"/>
    <w:uiPriority w:val="9"/>
    <w:rsid w:val="00EF0637"/>
    <w:rPr>
      <w:rFonts w:asciiTheme="majorHAnsi" w:cstheme="majorBidi" w:eastAsiaTheme="majorEastAsia" w:hAnsiTheme="majorHAnsi"/>
      <w:color w:val="0f4761" w:themeColor="accent1" w:themeShade="0000BF"/>
      <w:sz w:val="32"/>
      <w:szCs w:val="32"/>
    </w:rPr>
  </w:style>
  <w:style w:type="character" w:styleId="Ttulo3Char" w:customStyle="1">
    <w:name w:val="Título 3 Char"/>
    <w:basedOn w:val="Fontepargpadro"/>
    <w:link w:val="Ttulo3"/>
    <w:uiPriority w:val="9"/>
    <w:semiHidden w:val="1"/>
    <w:rsid w:val="00EF0637"/>
    <w:rPr>
      <w:rFonts w:cstheme="majorBidi" w:eastAsiaTheme="majorEastAsia"/>
      <w:color w:val="0f4761" w:themeColor="accent1" w:themeShade="0000BF"/>
      <w:sz w:val="28"/>
      <w:szCs w:val="28"/>
    </w:rPr>
  </w:style>
  <w:style w:type="character" w:styleId="Ttulo4Char" w:customStyle="1">
    <w:name w:val="Título 4 Char"/>
    <w:basedOn w:val="Fontepargpadro"/>
    <w:link w:val="Ttulo4"/>
    <w:uiPriority w:val="9"/>
    <w:semiHidden w:val="1"/>
    <w:rsid w:val="00EF0637"/>
    <w:rPr>
      <w:rFonts w:cstheme="majorBidi" w:eastAsiaTheme="majorEastAsia"/>
      <w:i w:val="1"/>
      <w:iCs w:val="1"/>
      <w:color w:val="0f4761" w:themeColor="accent1" w:themeShade="0000BF"/>
    </w:rPr>
  </w:style>
  <w:style w:type="character" w:styleId="Ttulo5Char" w:customStyle="1">
    <w:name w:val="Título 5 Char"/>
    <w:basedOn w:val="Fontepargpadro"/>
    <w:link w:val="Ttulo5"/>
    <w:uiPriority w:val="9"/>
    <w:semiHidden w:val="1"/>
    <w:rsid w:val="00EF0637"/>
    <w:rPr>
      <w:rFonts w:cstheme="majorBidi" w:eastAsiaTheme="majorEastAsia"/>
      <w:color w:val="0f4761" w:themeColor="accent1" w:themeShade="0000BF"/>
    </w:rPr>
  </w:style>
  <w:style w:type="character" w:styleId="Ttulo6Char" w:customStyle="1">
    <w:name w:val="Título 6 Char"/>
    <w:basedOn w:val="Fontepargpadro"/>
    <w:link w:val="Ttulo6"/>
    <w:uiPriority w:val="9"/>
    <w:semiHidden w:val="1"/>
    <w:rsid w:val="00EF0637"/>
    <w:rPr>
      <w:rFonts w:cstheme="majorBidi" w:eastAsiaTheme="majorEastAsia"/>
      <w:i w:val="1"/>
      <w:iCs w:val="1"/>
      <w:color w:val="595959" w:themeColor="text1" w:themeTint="0000A6"/>
    </w:rPr>
  </w:style>
  <w:style w:type="character" w:styleId="Ttulo7Char" w:customStyle="1">
    <w:name w:val="Título 7 Char"/>
    <w:basedOn w:val="Fontepargpadro"/>
    <w:link w:val="Ttulo7"/>
    <w:uiPriority w:val="9"/>
    <w:semiHidden w:val="1"/>
    <w:rsid w:val="00EF0637"/>
    <w:rPr>
      <w:rFonts w:cstheme="majorBidi" w:eastAsiaTheme="majorEastAsia"/>
      <w:color w:val="595959" w:themeColor="text1" w:themeTint="0000A6"/>
    </w:rPr>
  </w:style>
  <w:style w:type="character" w:styleId="Ttulo8Char" w:customStyle="1">
    <w:name w:val="Título 8 Char"/>
    <w:basedOn w:val="Fontepargpadro"/>
    <w:link w:val="Ttulo8"/>
    <w:uiPriority w:val="9"/>
    <w:semiHidden w:val="1"/>
    <w:rsid w:val="00EF0637"/>
    <w:rPr>
      <w:rFonts w:cstheme="majorBidi" w:eastAsiaTheme="majorEastAsia"/>
      <w:i w:val="1"/>
      <w:iCs w:val="1"/>
      <w:color w:val="272727" w:themeColor="text1" w:themeTint="0000D8"/>
    </w:rPr>
  </w:style>
  <w:style w:type="character" w:styleId="Ttulo9Char" w:customStyle="1">
    <w:name w:val="Título 9 Char"/>
    <w:basedOn w:val="Fontepargpadro"/>
    <w:link w:val="Ttulo9"/>
    <w:uiPriority w:val="9"/>
    <w:semiHidden w:val="1"/>
    <w:rsid w:val="00EF0637"/>
    <w:rPr>
      <w:rFonts w:cstheme="majorBidi" w:eastAsiaTheme="majorEastAsia"/>
      <w:color w:val="272727" w:themeColor="text1" w:themeTint="0000D8"/>
    </w:rPr>
  </w:style>
  <w:style w:type="character" w:styleId="TtuloChar" w:customStyle="1">
    <w:name w:val="Título Char"/>
    <w:basedOn w:val="Fontepargpadro"/>
    <w:link w:val="Ttulo"/>
    <w:uiPriority w:val="10"/>
    <w:rsid w:val="00EF0637"/>
    <w:rPr>
      <w:rFonts w:asciiTheme="majorHAnsi" w:cstheme="majorBidi" w:eastAsiaTheme="majorEastAsia" w:hAnsiTheme="majorHAnsi"/>
      <w:spacing w:val="-10"/>
      <w:kern w:val="28"/>
      <w:sz w:val="56"/>
      <w:szCs w:val="56"/>
    </w:rPr>
  </w:style>
  <w:style w:type="paragraph" w:styleId="Subttulo">
    <w:name w:val="Subtitle"/>
    <w:basedOn w:val="Normal"/>
    <w:next w:val="Normal"/>
    <w:link w:val="SubttuloChar"/>
    <w:uiPriority w:val="11"/>
    <w:qFormat w:val="1"/>
    <w:rPr>
      <w:color w:val="595959"/>
      <w:sz w:val="28"/>
      <w:szCs w:val="28"/>
    </w:rPr>
  </w:style>
  <w:style w:type="character" w:styleId="SubttuloChar" w:customStyle="1">
    <w:name w:val="Subtítulo Char"/>
    <w:basedOn w:val="Fontepargpadro"/>
    <w:link w:val="Subttulo"/>
    <w:uiPriority w:val="11"/>
    <w:rsid w:val="00EF0637"/>
    <w:rPr>
      <w:rFonts w:cstheme="majorBidi" w:eastAsiaTheme="majorEastAsia"/>
      <w:color w:val="595959" w:themeColor="text1" w:themeTint="0000A6"/>
      <w:spacing w:val="15"/>
      <w:sz w:val="28"/>
      <w:szCs w:val="28"/>
    </w:rPr>
  </w:style>
  <w:style w:type="paragraph" w:styleId="Citao">
    <w:name w:val="Quote"/>
    <w:basedOn w:val="Normal"/>
    <w:next w:val="Normal"/>
    <w:link w:val="CitaoChar"/>
    <w:uiPriority w:val="29"/>
    <w:qFormat w:val="1"/>
    <w:rsid w:val="00EF0637"/>
    <w:pPr>
      <w:spacing w:before="160"/>
      <w:jc w:val="center"/>
    </w:pPr>
    <w:rPr>
      <w:i w:val="1"/>
      <w:iCs w:val="1"/>
      <w:color w:val="404040" w:themeColor="text1" w:themeTint="0000BF"/>
    </w:rPr>
  </w:style>
  <w:style w:type="character" w:styleId="CitaoChar" w:customStyle="1">
    <w:name w:val="Citação Char"/>
    <w:basedOn w:val="Fontepargpadro"/>
    <w:link w:val="Citao"/>
    <w:uiPriority w:val="29"/>
    <w:rsid w:val="00EF0637"/>
    <w:rPr>
      <w:i w:val="1"/>
      <w:iCs w:val="1"/>
      <w:color w:val="404040" w:themeColor="text1" w:themeTint="0000BF"/>
    </w:rPr>
  </w:style>
  <w:style w:type="paragraph" w:styleId="PargrafodaLista">
    <w:name w:val="List Paragraph"/>
    <w:basedOn w:val="Normal"/>
    <w:uiPriority w:val="34"/>
    <w:qFormat w:val="1"/>
    <w:rsid w:val="00EF0637"/>
    <w:pPr>
      <w:ind w:left="720"/>
      <w:contextualSpacing w:val="1"/>
    </w:pPr>
  </w:style>
  <w:style w:type="character" w:styleId="nfaseIntensa">
    <w:name w:val="Intense Emphasis"/>
    <w:basedOn w:val="Fontepargpadro"/>
    <w:uiPriority w:val="21"/>
    <w:qFormat w:val="1"/>
    <w:rsid w:val="00EF0637"/>
    <w:rPr>
      <w:i w:val="1"/>
      <w:iCs w:val="1"/>
      <w:color w:val="0f4761" w:themeColor="accent1" w:themeShade="0000BF"/>
    </w:rPr>
  </w:style>
  <w:style w:type="paragraph" w:styleId="CitaoIntensa">
    <w:name w:val="Intense Quote"/>
    <w:basedOn w:val="Normal"/>
    <w:next w:val="Normal"/>
    <w:link w:val="CitaoIntensaChar"/>
    <w:uiPriority w:val="30"/>
    <w:qFormat w:val="1"/>
    <w:rsid w:val="00EF0637"/>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CitaoIntensaChar" w:customStyle="1">
    <w:name w:val="Citação Intensa Char"/>
    <w:basedOn w:val="Fontepargpadro"/>
    <w:link w:val="CitaoIntensa"/>
    <w:uiPriority w:val="30"/>
    <w:rsid w:val="00EF0637"/>
    <w:rPr>
      <w:i w:val="1"/>
      <w:iCs w:val="1"/>
      <w:color w:val="0f4761" w:themeColor="accent1" w:themeShade="0000BF"/>
    </w:rPr>
  </w:style>
  <w:style w:type="character" w:styleId="RefernciaIntensa">
    <w:name w:val="Intense Reference"/>
    <w:basedOn w:val="Fontepargpadro"/>
    <w:uiPriority w:val="32"/>
    <w:qFormat w:val="1"/>
    <w:rsid w:val="00EF0637"/>
    <w:rPr>
      <w:b w:val="1"/>
      <w:bCs w:val="1"/>
      <w:smallCaps w:val="1"/>
      <w:color w:val="0f4761" w:themeColor="accent1" w:themeShade="0000BF"/>
      <w:spacing w:val="5"/>
    </w:rPr>
  </w:style>
  <w:style w:type="paragraph" w:styleId="Textodenotaderodap">
    <w:name w:val="footnote text"/>
    <w:basedOn w:val="Normal"/>
    <w:link w:val="TextodenotaderodapChar"/>
    <w:uiPriority w:val="99"/>
    <w:semiHidden w:val="1"/>
    <w:unhideWhenUsed w:val="1"/>
    <w:rsid w:val="00BD0111"/>
    <w:pPr>
      <w:spacing w:after="0" w:line="240" w:lineRule="auto"/>
    </w:pPr>
    <w:rPr>
      <w:sz w:val="20"/>
      <w:szCs w:val="20"/>
    </w:rPr>
  </w:style>
  <w:style w:type="character" w:styleId="TextodenotaderodapChar" w:customStyle="1">
    <w:name w:val="Texto de nota de rodapé Char"/>
    <w:basedOn w:val="Fontepargpadro"/>
    <w:link w:val="Textodenotaderodap"/>
    <w:uiPriority w:val="99"/>
    <w:semiHidden w:val="1"/>
    <w:rsid w:val="00BD0111"/>
    <w:rPr>
      <w:sz w:val="20"/>
      <w:szCs w:val="20"/>
    </w:rPr>
  </w:style>
  <w:style w:type="character" w:styleId="Refdenotaderodap">
    <w:name w:val="footnote reference"/>
    <w:basedOn w:val="Fontepargpadro"/>
    <w:uiPriority w:val="99"/>
    <w:semiHidden w:val="1"/>
    <w:unhideWhenUsed w:val="1"/>
    <w:rsid w:val="00BD0111"/>
    <w:rPr>
      <w:vertAlign w:val="superscript"/>
    </w:rPr>
  </w:style>
  <w:style w:type="character" w:styleId="Hyperlink">
    <w:name w:val="Hyperlink"/>
    <w:basedOn w:val="Fontepargpadro"/>
    <w:uiPriority w:val="99"/>
    <w:unhideWhenUsed w:val="1"/>
    <w:rsid w:val="008C0F69"/>
    <w:rPr>
      <w:color w:val="467886" w:themeColor="hyperlink"/>
      <w:u w:val="single"/>
    </w:rPr>
  </w:style>
  <w:style w:type="character" w:styleId="MenoPendente">
    <w:name w:val="Unresolved Mention"/>
    <w:basedOn w:val="Fontepargpadro"/>
    <w:uiPriority w:val="99"/>
    <w:semiHidden w:val="1"/>
    <w:unhideWhenUsed w:val="1"/>
    <w:rsid w:val="008C0F69"/>
    <w:rPr>
      <w:color w:val="605e5c"/>
      <w:shd w:color="auto" w:fill="e1dfdd" w:val="clear"/>
    </w:rPr>
  </w:style>
  <w:style w:type="character" w:styleId="Refdecomentrio">
    <w:name w:val="annotation reference"/>
    <w:basedOn w:val="Fontepargpadro"/>
    <w:uiPriority w:val="99"/>
    <w:semiHidden w:val="1"/>
    <w:unhideWhenUsed w:val="1"/>
    <w:rsid w:val="00F266A9"/>
    <w:rPr>
      <w:sz w:val="16"/>
      <w:szCs w:val="16"/>
    </w:rPr>
  </w:style>
  <w:style w:type="paragraph" w:styleId="Textodecomentrio">
    <w:name w:val="annotation text"/>
    <w:basedOn w:val="Normal"/>
    <w:link w:val="TextodecomentrioChar"/>
    <w:uiPriority w:val="99"/>
    <w:semiHidden w:val="1"/>
    <w:unhideWhenUsed w:val="1"/>
    <w:rsid w:val="00F266A9"/>
    <w:pPr>
      <w:spacing w:line="240" w:lineRule="auto"/>
    </w:pPr>
    <w:rPr>
      <w:sz w:val="20"/>
      <w:szCs w:val="20"/>
    </w:rPr>
  </w:style>
  <w:style w:type="character" w:styleId="TextodecomentrioChar" w:customStyle="1">
    <w:name w:val="Texto de comentário Char"/>
    <w:basedOn w:val="Fontepargpadro"/>
    <w:link w:val="Textodecomentrio"/>
    <w:uiPriority w:val="99"/>
    <w:semiHidden w:val="1"/>
    <w:rsid w:val="00F266A9"/>
    <w:rPr>
      <w:sz w:val="20"/>
      <w:szCs w:val="20"/>
    </w:rPr>
  </w:style>
  <w:style w:type="paragraph" w:styleId="Assuntodocomentrio">
    <w:name w:val="annotation subject"/>
    <w:basedOn w:val="Textodecomentrio"/>
    <w:next w:val="Textodecomentrio"/>
    <w:link w:val="AssuntodocomentrioChar"/>
    <w:uiPriority w:val="99"/>
    <w:semiHidden w:val="1"/>
    <w:unhideWhenUsed w:val="1"/>
    <w:rsid w:val="00F266A9"/>
    <w:rPr>
      <w:b w:val="1"/>
      <w:bCs w:val="1"/>
    </w:rPr>
  </w:style>
  <w:style w:type="character" w:styleId="AssuntodocomentrioChar" w:customStyle="1">
    <w:name w:val="Assunto do comentário Char"/>
    <w:basedOn w:val="TextodecomentrioChar"/>
    <w:link w:val="Assuntodocomentrio"/>
    <w:uiPriority w:val="99"/>
    <w:semiHidden w:val="1"/>
    <w:rsid w:val="00F266A9"/>
    <w:rPr>
      <w:b w:val="1"/>
      <w:bCs w:val="1"/>
      <w:sz w:val="20"/>
      <w:szCs w:val="20"/>
    </w:rPr>
  </w:style>
  <w:style w:type="paragraph" w:styleId="NormalWeb">
    <w:name w:val="Normal (Web)"/>
    <w:basedOn w:val="Normal"/>
    <w:uiPriority w:val="99"/>
    <w:semiHidden w:val="1"/>
    <w:unhideWhenUsed w:val="1"/>
    <w:rsid w:val="00FA554B"/>
    <w:rPr>
      <w:rFonts w:ascii="Times New Roman" w:cs="Times New Roman" w:hAnsi="Times New Roman"/>
    </w:rPr>
  </w:style>
  <w:style w:type="paragraph" w:styleId="Cabealho">
    <w:name w:val="header"/>
    <w:basedOn w:val="Normal"/>
    <w:link w:val="CabealhoChar"/>
    <w:uiPriority w:val="99"/>
    <w:unhideWhenUsed w:val="1"/>
    <w:rsid w:val="00185C54"/>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185C54"/>
  </w:style>
  <w:style w:type="paragraph" w:styleId="Rodap">
    <w:name w:val="footer"/>
    <w:basedOn w:val="Normal"/>
    <w:link w:val="RodapChar"/>
    <w:uiPriority w:val="99"/>
    <w:unhideWhenUsed w:val="1"/>
    <w:rsid w:val="00185C54"/>
    <w:pPr>
      <w:tabs>
        <w:tab w:val="center" w:pos="4252"/>
        <w:tab w:val="right" w:pos="8504"/>
      </w:tabs>
      <w:spacing w:after="0" w:line="240" w:lineRule="auto"/>
    </w:pPr>
  </w:style>
  <w:style w:type="character" w:styleId="RodapChar" w:customStyle="1">
    <w:name w:val="Rodapé Char"/>
    <w:basedOn w:val="Fontepargpadro"/>
    <w:link w:val="Rodap"/>
    <w:uiPriority w:val="99"/>
    <w:rsid w:val="00185C54"/>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FR250zDPxKb5+nSJ0IBkzGfHEQ==">CgMxLjA4AHIhMXNkMkVNSk1hXzVtWm41V2pvVjV3YWc4ZXhNNEdSb3dT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2025-06-07T12:27:00Z</dcterms:created>
  <dc:creator>USER</dc:creator>
</cp:coreProperties>
</file>