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ED0B" w14:textId="6452B6B0" w:rsidR="0060788A" w:rsidRDefault="002E2FDB" w:rsidP="002E2FDB">
      <w:pPr>
        <w:spacing w:line="360" w:lineRule="auto"/>
        <w:jc w:val="center"/>
        <w:rPr>
          <w:b/>
          <w:sz w:val="24"/>
          <w:szCs w:val="24"/>
        </w:rPr>
        <w:sectPr w:rsidR="0060788A" w:rsidSect="008C0CBE">
          <w:headerReference w:type="default" r:id="rId8"/>
          <w:footerReference w:type="default" r:id="rId9"/>
          <w:pgSz w:w="11906" w:h="16838"/>
          <w:pgMar w:top="1701" w:right="1134" w:bottom="1134" w:left="1701" w:header="0" w:footer="57" w:gutter="0"/>
          <w:cols w:space="708"/>
          <w:docGrid w:linePitch="360"/>
        </w:sectPr>
      </w:pPr>
      <w:r>
        <w:rPr>
          <w:b/>
          <w:sz w:val="24"/>
          <w:szCs w:val="24"/>
        </w:rPr>
        <w:t>ELEMENTOS DE UMA TRANSIÇÃO RACIAL EM SAÚDE</w:t>
      </w:r>
      <w:r w:rsidR="005900E4">
        <w:rPr>
          <w:b/>
          <w:sz w:val="24"/>
          <w:szCs w:val="24"/>
        </w:rPr>
        <w:t>*</w:t>
      </w:r>
    </w:p>
    <w:p w14:paraId="63C7904C" w14:textId="67B3A96D" w:rsidR="002E2FDB" w:rsidRDefault="0060788A" w:rsidP="002E2FDB">
      <w:pPr>
        <w:spacing w:line="360" w:lineRule="auto"/>
        <w:jc w:val="center"/>
      </w:pPr>
      <w:r>
        <w:rPr>
          <w:rStyle w:val="Refdenotaderodap"/>
          <w:b/>
          <w:sz w:val="24"/>
          <w:szCs w:val="24"/>
        </w:rPr>
        <w:footnoteReference w:id="1"/>
      </w:r>
    </w:p>
    <w:p w14:paraId="79F7ABDE" w14:textId="77777777" w:rsidR="002E2FDB" w:rsidRDefault="002E2FDB" w:rsidP="002E2FDB">
      <w:pPr>
        <w:spacing w:line="240" w:lineRule="auto"/>
        <w:ind w:left="2835"/>
        <w:jc w:val="both"/>
        <w:rPr>
          <w:b/>
          <w:sz w:val="20"/>
          <w:szCs w:val="20"/>
        </w:rPr>
      </w:pPr>
    </w:p>
    <w:p w14:paraId="2D8951F2" w14:textId="77777777" w:rsidR="002E2FDB" w:rsidRDefault="002E2FDB" w:rsidP="002E2FDB">
      <w:pPr>
        <w:spacing w:line="240" w:lineRule="auto"/>
        <w:ind w:left="2835"/>
        <w:jc w:val="both"/>
        <w:rPr>
          <w:b/>
          <w:sz w:val="20"/>
          <w:szCs w:val="20"/>
        </w:rPr>
      </w:pPr>
    </w:p>
    <w:p w14:paraId="081972C8" w14:textId="77777777" w:rsidR="002E2FDB" w:rsidRDefault="002E2FDB" w:rsidP="002E2FDB">
      <w:pPr>
        <w:spacing w:line="240" w:lineRule="auto"/>
        <w:ind w:left="2835"/>
        <w:jc w:val="both"/>
      </w:pPr>
      <w:r>
        <w:rPr>
          <w:b/>
          <w:sz w:val="20"/>
          <w:szCs w:val="20"/>
        </w:rPr>
        <w:t>Resumo</w:t>
      </w:r>
    </w:p>
    <w:p w14:paraId="5355092B" w14:textId="38751A47" w:rsidR="002E2FDB" w:rsidRDefault="004A2025" w:rsidP="002E2FDB">
      <w:pPr>
        <w:spacing w:line="240" w:lineRule="auto"/>
        <w:ind w:left="2835"/>
        <w:jc w:val="both"/>
      </w:pPr>
      <w:r>
        <w:rPr>
          <w:sz w:val="20"/>
          <w:szCs w:val="20"/>
        </w:rPr>
        <w:t xml:space="preserve">O presente </w:t>
      </w:r>
      <w:r w:rsidR="00E0767E">
        <w:rPr>
          <w:sz w:val="20"/>
          <w:szCs w:val="20"/>
        </w:rPr>
        <w:t>texto</w:t>
      </w:r>
      <w:r>
        <w:rPr>
          <w:sz w:val="20"/>
          <w:szCs w:val="20"/>
        </w:rPr>
        <w:t xml:space="preserve"> </w:t>
      </w:r>
      <w:r w:rsidR="00E0767E">
        <w:rPr>
          <w:sz w:val="20"/>
          <w:szCs w:val="20"/>
        </w:rPr>
        <w:t>aborda o fenômeno da transição racial, caracterizado pela redução percentual de brancos em paralelo ao crescimento percentual de pardos, verificado no tratamento quimioterápico no Estado do Rio de Janeiro pelo S</w:t>
      </w:r>
      <w:r w:rsidR="00AD69D0">
        <w:rPr>
          <w:sz w:val="20"/>
          <w:szCs w:val="20"/>
        </w:rPr>
        <w:t>istema Único de Saúde</w:t>
      </w:r>
      <w:r w:rsidR="00E0767E">
        <w:rPr>
          <w:sz w:val="20"/>
          <w:szCs w:val="20"/>
        </w:rPr>
        <w:t xml:space="preserve"> nos último 17 anos.</w:t>
      </w:r>
      <w:r>
        <w:rPr>
          <w:sz w:val="20"/>
          <w:szCs w:val="20"/>
        </w:rPr>
        <w:t xml:space="preserve"> </w:t>
      </w:r>
      <w:r w:rsidR="00E0767E">
        <w:rPr>
          <w:sz w:val="20"/>
          <w:szCs w:val="20"/>
        </w:rPr>
        <w:t>Objetivo do estudo é tratar quantitativamente o fenômeno. Empregou-se técnicas de análise de séries temporais. O melhor modelo utilizado estima que nos próximos dozes meses a tendência crescente da razão entre pardos e brancos deva se manter</w:t>
      </w:r>
      <w:r w:rsidR="00B05C20">
        <w:rPr>
          <w:sz w:val="20"/>
          <w:szCs w:val="20"/>
        </w:rPr>
        <w:t>, ao fim desse período o percentual de pardos deve superar em mais de 20,00%</w:t>
      </w:r>
      <w:r w:rsidR="0085394D">
        <w:rPr>
          <w:sz w:val="20"/>
          <w:szCs w:val="20"/>
        </w:rPr>
        <w:t xml:space="preserve"> o de brancos</w:t>
      </w:r>
      <w:r w:rsidR="00B05C20">
        <w:rPr>
          <w:sz w:val="20"/>
          <w:szCs w:val="20"/>
        </w:rPr>
        <w:t>. Os objetivos do estudo foram alcançados. A pesquisa é promissora. Precisa avançar no sentido incluir variáveis explicativas, outras unidades da federação e outros conjuntos de dados.</w:t>
      </w:r>
    </w:p>
    <w:p w14:paraId="004D9E67" w14:textId="77777777" w:rsidR="002E2FDB" w:rsidRDefault="002E2FDB" w:rsidP="002E2FDB">
      <w:pPr>
        <w:spacing w:line="240" w:lineRule="auto"/>
        <w:ind w:left="2835"/>
        <w:jc w:val="both"/>
      </w:pPr>
      <w:r>
        <w:rPr>
          <w:b/>
          <w:sz w:val="20"/>
          <w:szCs w:val="20"/>
        </w:rPr>
        <w:t>Palavras-chave</w:t>
      </w:r>
      <w:r>
        <w:rPr>
          <w:sz w:val="20"/>
          <w:szCs w:val="20"/>
        </w:rPr>
        <w:t xml:space="preserve">: Sistema Único de Saúde; </w:t>
      </w:r>
      <w:r>
        <w:rPr>
          <w:sz w:val="20"/>
          <w:szCs w:val="20"/>
          <w:lang w:val="en-US"/>
        </w:rPr>
        <w:t>Quimioterapia; Grupos Racias; Séries Temporais; Elementos de Transição.</w:t>
      </w:r>
    </w:p>
    <w:p w14:paraId="3CC2787C" w14:textId="77777777" w:rsidR="002E2FDB" w:rsidRDefault="002E2FDB" w:rsidP="002E2FDB">
      <w:pPr>
        <w:spacing w:line="240" w:lineRule="auto"/>
        <w:ind w:left="2835"/>
        <w:jc w:val="both"/>
        <w:rPr>
          <w:sz w:val="20"/>
          <w:szCs w:val="20"/>
          <w:lang w:val="en-US"/>
        </w:rPr>
      </w:pPr>
    </w:p>
    <w:p w14:paraId="0B950731" w14:textId="77777777" w:rsidR="002E2FDB" w:rsidRDefault="002E2FDB" w:rsidP="002E2FDB">
      <w:pPr>
        <w:spacing w:line="240" w:lineRule="auto"/>
        <w:ind w:left="2835"/>
        <w:jc w:val="both"/>
      </w:pPr>
      <w:r>
        <w:rPr>
          <w:b/>
          <w:sz w:val="20"/>
          <w:szCs w:val="20"/>
          <w:lang w:val="en-US"/>
        </w:rPr>
        <w:t>Abstract</w:t>
      </w:r>
    </w:p>
    <w:p w14:paraId="0871A6DB" w14:textId="227A9A89" w:rsidR="00AD69D0" w:rsidRPr="00AD69D0" w:rsidRDefault="00AD69D0" w:rsidP="00AD69D0">
      <w:pPr>
        <w:spacing w:line="240" w:lineRule="auto"/>
        <w:ind w:left="2835"/>
        <w:jc w:val="both"/>
        <w:rPr>
          <w:sz w:val="20"/>
          <w:szCs w:val="20"/>
        </w:rPr>
      </w:pPr>
      <w:r w:rsidRPr="00AD69D0">
        <w:rPr>
          <w:sz w:val="20"/>
          <w:szCs w:val="20"/>
          <w:lang w:val="en"/>
        </w:rPr>
        <w:t xml:space="preserve">This text addresses the phenomenon of racial transition, characterized by the percentage reduction of whites in parallel with the percentage growth of </w:t>
      </w:r>
      <w:r>
        <w:rPr>
          <w:sz w:val="20"/>
          <w:szCs w:val="20"/>
          <w:lang w:val="en"/>
        </w:rPr>
        <w:t>brown</w:t>
      </w:r>
      <w:r w:rsidRPr="00AD69D0">
        <w:rPr>
          <w:sz w:val="20"/>
          <w:szCs w:val="20"/>
          <w:lang w:val="en"/>
        </w:rPr>
        <w:t xml:space="preserve">, observed in chemotherapy treatment in the State of Rio de Janeiro by the </w:t>
      </w:r>
      <w:r>
        <w:rPr>
          <w:sz w:val="20"/>
          <w:szCs w:val="20"/>
        </w:rPr>
        <w:t>Unified Health System</w:t>
      </w:r>
      <w:r w:rsidRPr="00AD69D0">
        <w:rPr>
          <w:sz w:val="20"/>
          <w:szCs w:val="20"/>
          <w:lang w:val="en"/>
        </w:rPr>
        <w:t xml:space="preserve"> over the last 17 years. The objective of the study is to quantitatively address the phenomenon. Time series analysis techniques were used. The best model used estimates that in the next twelve months the increasing trend in the ratio between </w:t>
      </w:r>
      <w:r w:rsidR="0011434F">
        <w:rPr>
          <w:sz w:val="20"/>
          <w:szCs w:val="20"/>
          <w:lang w:val="en"/>
        </w:rPr>
        <w:t>brown</w:t>
      </w:r>
      <w:r w:rsidRPr="00AD69D0">
        <w:rPr>
          <w:sz w:val="20"/>
          <w:szCs w:val="20"/>
          <w:lang w:val="en"/>
        </w:rPr>
        <w:t xml:space="preserve"> and whites should continue, and at the end of this period the percentage of </w:t>
      </w:r>
      <w:r w:rsidR="0085394D">
        <w:rPr>
          <w:sz w:val="20"/>
          <w:szCs w:val="20"/>
          <w:lang w:val="en"/>
        </w:rPr>
        <w:t>browns</w:t>
      </w:r>
      <w:r w:rsidRPr="00AD69D0">
        <w:rPr>
          <w:sz w:val="20"/>
          <w:szCs w:val="20"/>
          <w:lang w:val="en"/>
        </w:rPr>
        <w:t xml:space="preserve"> people should exceed 20.00%</w:t>
      </w:r>
      <w:r w:rsidR="0085394D">
        <w:rPr>
          <w:sz w:val="20"/>
          <w:szCs w:val="20"/>
          <w:lang w:val="en"/>
        </w:rPr>
        <w:t xml:space="preserve"> to the white</w:t>
      </w:r>
      <w:r w:rsidRPr="00AD69D0">
        <w:rPr>
          <w:sz w:val="20"/>
          <w:szCs w:val="20"/>
          <w:lang w:val="en"/>
        </w:rPr>
        <w:t>. The objectives of the study were achieved. The research is promising. It needs to advance in the sense of including explanatory variables, other states of the federation and other data sets.</w:t>
      </w:r>
    </w:p>
    <w:p w14:paraId="418B1AD6" w14:textId="77777777" w:rsidR="002E2FDB" w:rsidRDefault="002E2FDB" w:rsidP="002E2FDB">
      <w:pPr>
        <w:spacing w:line="240" w:lineRule="auto"/>
        <w:ind w:left="2835"/>
        <w:jc w:val="both"/>
      </w:pPr>
      <w:r>
        <w:rPr>
          <w:b/>
          <w:sz w:val="20"/>
          <w:szCs w:val="20"/>
          <w:lang w:val="en-US"/>
        </w:rPr>
        <w:t>Keywords</w:t>
      </w:r>
      <w:r>
        <w:rPr>
          <w:sz w:val="20"/>
          <w:szCs w:val="20"/>
          <w:lang w:val="en-US"/>
        </w:rPr>
        <w:t xml:space="preserve">: </w:t>
      </w:r>
      <w:r>
        <w:rPr>
          <w:sz w:val="20"/>
          <w:szCs w:val="20"/>
        </w:rPr>
        <w:t>Unified Health System; Chemotherapy; Racial Groups; Transition Elements.</w:t>
      </w:r>
    </w:p>
    <w:p w14:paraId="109161EE" w14:textId="77777777" w:rsidR="002E2FDB" w:rsidRDefault="002E2FDB" w:rsidP="002E2FDB">
      <w:pPr>
        <w:spacing w:line="360" w:lineRule="auto"/>
        <w:jc w:val="both"/>
        <w:rPr>
          <w:sz w:val="24"/>
          <w:szCs w:val="24"/>
        </w:rPr>
      </w:pPr>
    </w:p>
    <w:p w14:paraId="3466A74D" w14:textId="77777777" w:rsidR="002E2FDB" w:rsidRDefault="002E2FDB" w:rsidP="002E2FDB">
      <w:pPr>
        <w:spacing w:line="360" w:lineRule="auto"/>
        <w:jc w:val="both"/>
        <w:rPr>
          <w:sz w:val="24"/>
          <w:szCs w:val="24"/>
        </w:rPr>
      </w:pPr>
    </w:p>
    <w:p w14:paraId="612D0585" w14:textId="77777777" w:rsidR="002E2FDB" w:rsidRDefault="002E2FDB" w:rsidP="002E2FDB">
      <w:pPr>
        <w:spacing w:line="360" w:lineRule="auto"/>
        <w:jc w:val="both"/>
        <w:rPr>
          <w:sz w:val="24"/>
          <w:szCs w:val="24"/>
        </w:rPr>
      </w:pPr>
    </w:p>
    <w:p w14:paraId="1739A346" w14:textId="77777777" w:rsidR="002E2FDB" w:rsidRDefault="002E2FDB" w:rsidP="002E2FDB">
      <w:pPr>
        <w:pageBreakBefore/>
        <w:spacing w:line="360" w:lineRule="auto"/>
      </w:pPr>
      <w:r>
        <w:rPr>
          <w:b/>
          <w:sz w:val="24"/>
          <w:szCs w:val="24"/>
        </w:rPr>
        <w:lastRenderedPageBreak/>
        <w:t>1</w:t>
      </w:r>
      <w:r>
        <w:rPr>
          <w:b/>
          <w:sz w:val="24"/>
          <w:szCs w:val="24"/>
        </w:rPr>
        <w:tab/>
        <w:t>INTRODUÇÃO</w:t>
      </w:r>
    </w:p>
    <w:p w14:paraId="193973BF" w14:textId="77777777" w:rsidR="002E2FDB" w:rsidRDefault="002E2FDB" w:rsidP="002E2FDB">
      <w:pPr>
        <w:spacing w:line="360" w:lineRule="auto"/>
        <w:jc w:val="both"/>
        <w:rPr>
          <w:b/>
          <w:sz w:val="24"/>
          <w:szCs w:val="24"/>
        </w:rPr>
      </w:pPr>
    </w:p>
    <w:p w14:paraId="714498F7" w14:textId="511FC162" w:rsidR="00B1314D" w:rsidRDefault="00B1314D" w:rsidP="00B1314D">
      <w:pPr>
        <w:spacing w:line="360" w:lineRule="auto"/>
        <w:ind w:firstLine="709"/>
        <w:jc w:val="both"/>
        <w:rPr>
          <w:sz w:val="24"/>
          <w:szCs w:val="24"/>
        </w:rPr>
      </w:pPr>
      <w:r>
        <w:rPr>
          <w:sz w:val="24"/>
          <w:szCs w:val="24"/>
        </w:rPr>
        <w:t>A pseudociência eugenista predizia erradamente, há mais de cem anos, que ante a política pública do embranquecimento</w:t>
      </w:r>
      <w:r w:rsidR="00950FF7">
        <w:rPr>
          <w:sz w:val="24"/>
          <w:szCs w:val="24"/>
        </w:rPr>
        <w:t xml:space="preserve"> ou branqueamento</w:t>
      </w:r>
      <w:r>
        <w:rPr>
          <w:sz w:val="24"/>
          <w:szCs w:val="24"/>
        </w:rPr>
        <w:t>, a população negra brasileira – composta por africanos sequestrados para servidão no Brasil e sua descendência – considerada inferior a branca, deixaria de existir em cerca de cem anos pelas relações interraciais, cujo fruto miscigenado em gerações sucessivas tenderia a depurar-se pelo embranquecimento. Isso baseava-se numa ideia torcida de raça aplicada a seres humanos. Tal ideia sucumbiu, por sua inveracidade, sua (defi)ciência, seu vínculo indestrutível e, de um tempo para cá, inegável com o colonialismo. Prevalece, em contrapartida, as vezes à força, uma necessária ideia de raça enquanto construção social, não biológica, conforme bem coloca Guimarães (2002, 2009). Esse pensamento orienta o presente estudo.</w:t>
      </w:r>
    </w:p>
    <w:p w14:paraId="6FAD1D22" w14:textId="54EBED31" w:rsidR="00B1314D" w:rsidRPr="007D3D19" w:rsidRDefault="00B1314D" w:rsidP="00B1314D">
      <w:pPr>
        <w:spacing w:line="360" w:lineRule="auto"/>
        <w:ind w:firstLine="709"/>
        <w:jc w:val="both"/>
        <w:rPr>
          <w:sz w:val="24"/>
          <w:szCs w:val="24"/>
        </w:rPr>
      </w:pPr>
      <w:r>
        <w:rPr>
          <w:sz w:val="24"/>
          <w:szCs w:val="24"/>
        </w:rPr>
        <w:t>O embranquecimento dizia respeito tanto ao acréscimo numérico mais imediato da população branca pela chegada do contingente de imigrantes europeus quanto pela posterior miscigenação que se daria com os negros, principalmente, e com os povos indígenas. Portanto, essa política pública operaria em dois estágios.</w:t>
      </w:r>
      <w:r w:rsidR="00260080">
        <w:rPr>
          <w:sz w:val="24"/>
          <w:szCs w:val="24"/>
        </w:rPr>
        <w:t xml:space="preserve"> Ela operava também na mentalidade de parte da população negra, que refutava suas origens, vendo no branqueamento, nos casamentos interraciais, um ideal. É válido mencionar que tal política não foi apenas empregada no Brasil, há variantes na América Latina ao longo dos anos. Como explica Hasenbalg (1996), o Brasil diferencia-se quanto ao mito da democracia racial, que esse pesquisador contribui para desmascarar e desmentir, tornando evidente a brutalidade do racismo nas terras brasileiras. </w:t>
      </w:r>
    </w:p>
    <w:p w14:paraId="5F43A6A6" w14:textId="350BB63B" w:rsidR="00B1314D" w:rsidRDefault="00B1314D" w:rsidP="00B1314D">
      <w:pPr>
        <w:spacing w:line="360" w:lineRule="auto"/>
        <w:ind w:firstLine="709"/>
        <w:jc w:val="both"/>
        <w:rPr>
          <w:sz w:val="24"/>
          <w:szCs w:val="24"/>
        </w:rPr>
      </w:pPr>
      <w:r>
        <w:rPr>
          <w:sz w:val="24"/>
          <w:szCs w:val="24"/>
        </w:rPr>
        <w:t>A política pública do embranquecimento abria o país a novas levas de europeus ao mesmo tempo que fechava as portas a população preta livre de África. Esta só interessava para o trabalho escravo. Prefiro escrever política pública de embranquecimento em vez de política de embranquecimento, como é mais conhecida. Isso para ressaltar o caráter estatal da ação, uma vez que tomei como suficiente a noção de política pública coma ação do governo do Estado.</w:t>
      </w:r>
    </w:p>
    <w:p w14:paraId="781CF254" w14:textId="1727231A" w:rsidR="00592AE9" w:rsidRDefault="00592AE9" w:rsidP="00B1314D">
      <w:pPr>
        <w:spacing w:line="360" w:lineRule="auto"/>
        <w:ind w:firstLine="709"/>
        <w:jc w:val="both"/>
      </w:pPr>
      <w:r>
        <w:rPr>
          <w:sz w:val="24"/>
          <w:szCs w:val="24"/>
        </w:rPr>
        <w:t xml:space="preserve">O dado quantitativo foi fundamental para o deslinde do prejuízo da população negra, e da proximidade das condições sociais de pretos e pardos, o que mais tarde </w:t>
      </w:r>
      <w:r>
        <w:rPr>
          <w:sz w:val="24"/>
          <w:szCs w:val="24"/>
        </w:rPr>
        <w:lastRenderedPageBreak/>
        <w:t>justificou a agregação desses grupo</w:t>
      </w:r>
      <w:r w:rsidR="00F149E7">
        <w:rPr>
          <w:sz w:val="24"/>
          <w:szCs w:val="24"/>
        </w:rPr>
        <w:t>s</w:t>
      </w:r>
      <w:r>
        <w:rPr>
          <w:sz w:val="24"/>
          <w:szCs w:val="24"/>
        </w:rPr>
        <w:t xml:space="preserve"> como negros. Souza (2024) observou uma mudança acentuada e em pouco tempo no sentido do empardecimento</w:t>
      </w:r>
      <w:r w:rsidR="00B96CB3">
        <w:rPr>
          <w:sz w:val="24"/>
          <w:szCs w:val="24"/>
        </w:rPr>
        <w:t>, portanto, no sentido contrário ao embranquecimento,</w:t>
      </w:r>
      <w:r w:rsidR="00F149E7">
        <w:rPr>
          <w:sz w:val="24"/>
          <w:szCs w:val="24"/>
        </w:rPr>
        <w:t xml:space="preserve"> nos dados de tratamento contra o câncer pelo Sistema Único de Saúde (SUS)</w:t>
      </w:r>
      <w:r>
        <w:rPr>
          <w:sz w:val="24"/>
          <w:szCs w:val="24"/>
        </w:rPr>
        <w:t xml:space="preserve"> no Estado do Rio de Janeiro (ERJ), o que dá ensejo a presente investigação.</w:t>
      </w:r>
    </w:p>
    <w:p w14:paraId="0E0E2C4D" w14:textId="415D0D8A" w:rsidR="006933D5" w:rsidRPr="006933D5" w:rsidRDefault="006933D5" w:rsidP="0049439F">
      <w:pPr>
        <w:spacing w:line="360" w:lineRule="auto"/>
        <w:ind w:firstLine="708"/>
        <w:jc w:val="both"/>
        <w:rPr>
          <w:bCs/>
          <w:sz w:val="24"/>
          <w:szCs w:val="24"/>
        </w:rPr>
      </w:pPr>
      <w:r>
        <w:rPr>
          <w:bCs/>
          <w:sz w:val="24"/>
          <w:szCs w:val="24"/>
        </w:rPr>
        <w:t xml:space="preserve">O objetivo geral do trabalho é estudar </w:t>
      </w:r>
      <w:r w:rsidR="00B63B95">
        <w:rPr>
          <w:bCs/>
          <w:sz w:val="24"/>
          <w:szCs w:val="24"/>
        </w:rPr>
        <w:t>o fenômeno da transição racial</w:t>
      </w:r>
      <w:r w:rsidR="00E75552">
        <w:rPr>
          <w:bCs/>
          <w:sz w:val="24"/>
          <w:szCs w:val="24"/>
        </w:rPr>
        <w:t xml:space="preserve"> percebido </w:t>
      </w:r>
      <w:r w:rsidR="00234EEF">
        <w:rPr>
          <w:bCs/>
          <w:sz w:val="24"/>
          <w:szCs w:val="24"/>
        </w:rPr>
        <w:t>entre paciente</w:t>
      </w:r>
      <w:r w:rsidR="00821658">
        <w:rPr>
          <w:bCs/>
          <w:sz w:val="24"/>
          <w:szCs w:val="24"/>
        </w:rPr>
        <w:t>s</w:t>
      </w:r>
      <w:r w:rsidR="00234EEF">
        <w:rPr>
          <w:bCs/>
          <w:sz w:val="24"/>
          <w:szCs w:val="24"/>
        </w:rPr>
        <w:t xml:space="preserve"> tratados com quimioterapia no</w:t>
      </w:r>
      <w:r w:rsidR="00B63B95">
        <w:rPr>
          <w:bCs/>
          <w:sz w:val="24"/>
          <w:szCs w:val="24"/>
        </w:rPr>
        <w:t xml:space="preserve"> ERJ</w:t>
      </w:r>
      <w:r w:rsidR="00E75552">
        <w:rPr>
          <w:bCs/>
          <w:sz w:val="24"/>
          <w:szCs w:val="24"/>
        </w:rPr>
        <w:t>.</w:t>
      </w:r>
      <w:r w:rsidR="00015818">
        <w:rPr>
          <w:bCs/>
          <w:sz w:val="24"/>
          <w:szCs w:val="24"/>
        </w:rPr>
        <w:t xml:space="preserve"> Os objetivos específicos são os seguintes: (i) </w:t>
      </w:r>
      <w:r w:rsidR="000310C1">
        <w:rPr>
          <w:bCs/>
          <w:sz w:val="24"/>
          <w:szCs w:val="24"/>
        </w:rPr>
        <w:t>conhecer a evolução d</w:t>
      </w:r>
      <w:r w:rsidR="00015818">
        <w:rPr>
          <w:bCs/>
          <w:sz w:val="24"/>
          <w:szCs w:val="24"/>
        </w:rPr>
        <w:t xml:space="preserve">as frequências da população </w:t>
      </w:r>
      <w:r w:rsidR="000310C1">
        <w:rPr>
          <w:bCs/>
          <w:sz w:val="24"/>
          <w:szCs w:val="24"/>
        </w:rPr>
        <w:t xml:space="preserve">usuária de quimioterapia no SUS </w:t>
      </w:r>
      <w:r w:rsidR="00015818">
        <w:rPr>
          <w:bCs/>
          <w:sz w:val="24"/>
          <w:szCs w:val="24"/>
        </w:rPr>
        <w:t xml:space="preserve">por cor ou raça; (ii) </w:t>
      </w:r>
      <w:r w:rsidR="00C01C80">
        <w:rPr>
          <w:bCs/>
          <w:sz w:val="24"/>
          <w:szCs w:val="24"/>
        </w:rPr>
        <w:t>propor modelos de análise de séries temporais para o tratamento da transição</w:t>
      </w:r>
      <w:r w:rsidR="00E72600">
        <w:rPr>
          <w:bCs/>
          <w:sz w:val="24"/>
          <w:szCs w:val="24"/>
        </w:rPr>
        <w:t>.</w:t>
      </w:r>
      <w:r w:rsidR="00015818">
        <w:rPr>
          <w:bCs/>
          <w:sz w:val="24"/>
          <w:szCs w:val="24"/>
        </w:rPr>
        <w:t xml:space="preserve"> </w:t>
      </w:r>
    </w:p>
    <w:p w14:paraId="1931464F" w14:textId="77777777" w:rsidR="002E2FDB" w:rsidRDefault="002E2FDB" w:rsidP="002E2FDB">
      <w:pPr>
        <w:spacing w:line="360" w:lineRule="auto"/>
        <w:jc w:val="both"/>
        <w:rPr>
          <w:sz w:val="24"/>
          <w:szCs w:val="24"/>
        </w:rPr>
      </w:pPr>
    </w:p>
    <w:p w14:paraId="1263054A" w14:textId="77777777" w:rsidR="002E2FDB" w:rsidRDefault="002E2FDB" w:rsidP="002E2FDB">
      <w:pPr>
        <w:spacing w:line="360" w:lineRule="auto"/>
        <w:jc w:val="both"/>
      </w:pPr>
      <w:r>
        <w:rPr>
          <w:b/>
          <w:sz w:val="24"/>
          <w:szCs w:val="24"/>
        </w:rPr>
        <w:t>2</w:t>
      </w:r>
      <w:r>
        <w:rPr>
          <w:b/>
          <w:sz w:val="24"/>
          <w:szCs w:val="24"/>
        </w:rPr>
        <w:tab/>
        <w:t>METODOLOGIA</w:t>
      </w:r>
    </w:p>
    <w:p w14:paraId="7BCEB162" w14:textId="77777777" w:rsidR="002E2FDB" w:rsidRDefault="002E2FDB" w:rsidP="002E2FDB">
      <w:pPr>
        <w:spacing w:line="360" w:lineRule="auto"/>
        <w:jc w:val="both"/>
        <w:rPr>
          <w:b/>
          <w:sz w:val="24"/>
          <w:szCs w:val="24"/>
        </w:rPr>
      </w:pPr>
    </w:p>
    <w:p w14:paraId="6E3706B9" w14:textId="34BDB48F" w:rsidR="00011446" w:rsidRDefault="003F6118" w:rsidP="002E2FDB">
      <w:pPr>
        <w:spacing w:line="360" w:lineRule="auto"/>
        <w:jc w:val="both"/>
        <w:rPr>
          <w:sz w:val="24"/>
          <w:szCs w:val="24"/>
        </w:rPr>
      </w:pPr>
      <w:r>
        <w:rPr>
          <w:sz w:val="24"/>
          <w:szCs w:val="24"/>
        </w:rPr>
        <w:tab/>
        <w:t>O estudo tem natureza quantitativa.</w:t>
      </w:r>
      <w:r w:rsidR="00011446">
        <w:rPr>
          <w:sz w:val="24"/>
          <w:szCs w:val="24"/>
        </w:rPr>
        <w:t xml:space="preserve"> Utiliza os microdados de autorização de procedimento de alta complexidade (Apac) de quimioterapia. A Apac é uma espécie da categoria instrumento de registro, que por sua vez, é espécie registro administrativo público. As Apacs, ao lado de outros instrumentos, são utilizadas pelo SUS com finalidade primária em custeio e controle. Além do emprego para o controle de quimioterapia no SUS, há Apacs para tratamento dialítico, para acompanhamento pós transplante de medula óssea, execução de alguns exames, dentre outros.</w:t>
      </w:r>
    </w:p>
    <w:p w14:paraId="4CFDB095" w14:textId="04C07850" w:rsidR="002E2FDB" w:rsidRDefault="00011446" w:rsidP="002E2FDB">
      <w:pPr>
        <w:spacing w:line="360" w:lineRule="auto"/>
        <w:jc w:val="both"/>
        <w:rPr>
          <w:sz w:val="24"/>
          <w:szCs w:val="24"/>
        </w:rPr>
      </w:pPr>
      <w:r>
        <w:rPr>
          <w:sz w:val="24"/>
          <w:szCs w:val="24"/>
        </w:rPr>
        <w:tab/>
      </w:r>
      <w:r w:rsidR="004E2EED">
        <w:rPr>
          <w:sz w:val="24"/>
          <w:szCs w:val="24"/>
        </w:rPr>
        <w:t xml:space="preserve">O banco de Apacs em mais de 70 variáveis. </w:t>
      </w:r>
      <w:r>
        <w:rPr>
          <w:sz w:val="24"/>
          <w:szCs w:val="24"/>
        </w:rPr>
        <w:t xml:space="preserve">As variáveis de interesse aqui são cor ou raça (no MS é tratada como raça/cor) e tempo. </w:t>
      </w:r>
      <w:r w:rsidR="00744FED">
        <w:rPr>
          <w:sz w:val="24"/>
          <w:szCs w:val="24"/>
        </w:rPr>
        <w:t>O preenchimento</w:t>
      </w:r>
      <w:r w:rsidR="004E2EED">
        <w:rPr>
          <w:sz w:val="24"/>
          <w:szCs w:val="24"/>
        </w:rPr>
        <w:t xml:space="preserve"> se dá com as seguintes categorias: 1 – Branca, 2 – Preta, 3 – Parda, 4 – Amarela e 5 – Indígena. Ao longo do tempo, verifica-se que houve, além dessas categorias consagradas, inclusive admitidas pelo Estatuto de Igualdade Racial (Brasil, 2010) e manejadas pelo Instituto Brasileiro de Geografia e Estatística (IBGE) há tempos, outros preenchimentos, como: 06, 87 e 99 – Sem informação. Dentre esses foi mais frequente a opção ou código 99. A imputação de outra categoria além das clássicas foi efetivamente impedida a partir maio de 2023, como consequência de interpretação da Portaria nº 344/2017 (Brasil, 2017; Souza, 2024).</w:t>
      </w:r>
    </w:p>
    <w:p w14:paraId="4FB01E58" w14:textId="7E76171C" w:rsidR="00571538" w:rsidRDefault="00571538" w:rsidP="00571538">
      <w:pPr>
        <w:spacing w:line="360" w:lineRule="auto"/>
        <w:ind w:firstLine="709"/>
        <w:jc w:val="both"/>
      </w:pPr>
      <w:r>
        <w:rPr>
          <w:sz w:val="24"/>
          <w:szCs w:val="24"/>
        </w:rPr>
        <w:t xml:space="preserve">A contagem das categorias raciais em Apacs de quimioterapia por mês dá origem a cinco variáveis, as quais denomino: </w:t>
      </w:r>
      <w:r>
        <w:rPr>
          <w:i/>
          <w:iCs/>
          <w:sz w:val="24"/>
          <w:szCs w:val="24"/>
        </w:rPr>
        <w:t>Brancos</w:t>
      </w:r>
      <w:r>
        <w:rPr>
          <w:sz w:val="24"/>
          <w:szCs w:val="24"/>
        </w:rPr>
        <w:t xml:space="preserve"> – total de pacientes registrados </w:t>
      </w:r>
      <w:r>
        <w:rPr>
          <w:sz w:val="24"/>
          <w:szCs w:val="24"/>
        </w:rPr>
        <w:lastRenderedPageBreak/>
        <w:t xml:space="preserve">em Apac cuja autodeclaração no campo Raça/cor é Branca. Analogamente se definem as variáveis </w:t>
      </w:r>
      <w:r>
        <w:rPr>
          <w:i/>
          <w:iCs/>
          <w:sz w:val="24"/>
          <w:szCs w:val="24"/>
        </w:rPr>
        <w:t>Pretos</w:t>
      </w:r>
      <w:r>
        <w:rPr>
          <w:sz w:val="24"/>
          <w:szCs w:val="24"/>
        </w:rPr>
        <w:t xml:space="preserve">, </w:t>
      </w:r>
      <w:r>
        <w:rPr>
          <w:i/>
          <w:iCs/>
          <w:sz w:val="24"/>
          <w:szCs w:val="24"/>
        </w:rPr>
        <w:t>Pardos</w:t>
      </w:r>
      <w:r>
        <w:rPr>
          <w:sz w:val="24"/>
          <w:szCs w:val="24"/>
        </w:rPr>
        <w:t xml:space="preserve">, </w:t>
      </w:r>
      <w:r>
        <w:rPr>
          <w:i/>
          <w:iCs/>
          <w:sz w:val="24"/>
          <w:szCs w:val="24"/>
        </w:rPr>
        <w:t>Amarelos</w:t>
      </w:r>
      <w:r>
        <w:rPr>
          <w:sz w:val="24"/>
          <w:szCs w:val="24"/>
        </w:rPr>
        <w:t xml:space="preserve"> e </w:t>
      </w:r>
      <w:r>
        <w:rPr>
          <w:i/>
          <w:iCs/>
          <w:sz w:val="24"/>
          <w:szCs w:val="24"/>
        </w:rPr>
        <w:t>Indígenas</w:t>
      </w:r>
      <w:r>
        <w:rPr>
          <w:sz w:val="24"/>
          <w:szCs w:val="24"/>
        </w:rPr>
        <w:t xml:space="preserve">. Além dessas, considera-se aqui o </w:t>
      </w:r>
      <w:r w:rsidRPr="002E07AA">
        <w:rPr>
          <w:i/>
          <w:iCs/>
          <w:sz w:val="24"/>
          <w:szCs w:val="24"/>
        </w:rPr>
        <w:t>Código 99</w:t>
      </w:r>
      <w:r>
        <w:rPr>
          <w:sz w:val="24"/>
          <w:szCs w:val="24"/>
        </w:rPr>
        <w:t xml:space="preserve"> – agregando todas as faltas de declaração. Isso foi feito para o ERJ com todos os dados disponíveis do banco de Apac até maio de 2025. Trata-se de um duplo censo, porque se observa o quesito racial de toda população assistida e registrada por Apac em determinado mês; depois, todos os meses são analisados. Oportuno destacar, se um mesmo paciente realizou dois procedimentos, deve haver duas Apacs correspondentes, e assim por diante.</w:t>
      </w:r>
    </w:p>
    <w:p w14:paraId="3288FA4D" w14:textId="77777777" w:rsidR="00571538" w:rsidRDefault="00571538" w:rsidP="00571538">
      <w:pPr>
        <w:spacing w:line="360" w:lineRule="auto"/>
        <w:ind w:firstLine="709"/>
        <w:jc w:val="both"/>
        <w:rPr>
          <w:sz w:val="24"/>
          <w:szCs w:val="24"/>
        </w:rPr>
      </w:pPr>
      <w:r>
        <w:rPr>
          <w:sz w:val="24"/>
          <w:szCs w:val="24"/>
        </w:rPr>
        <w:t xml:space="preserve">A variável de interesse neste estudo é a razão </w:t>
      </w:r>
      <w:r>
        <w:rPr>
          <w:i/>
          <w:iCs/>
          <w:sz w:val="24"/>
          <w:szCs w:val="24"/>
        </w:rPr>
        <w:t>Pardos/Brancos</w:t>
      </w:r>
      <w:r>
        <w:rPr>
          <w:sz w:val="24"/>
          <w:szCs w:val="24"/>
        </w:rPr>
        <w:t>, como será discutido adiante. Formalmente,</w:t>
      </w:r>
    </w:p>
    <w:p w14:paraId="4BF717C4" w14:textId="77777777" w:rsidR="00571538" w:rsidRDefault="00571538" w:rsidP="00571538">
      <w:pPr>
        <w:spacing w:line="360" w:lineRule="auto"/>
        <w:ind w:firstLine="709"/>
        <w:jc w:val="both"/>
      </w:pPr>
      <w:r w:rsidRPr="00917C00">
        <w:rPr>
          <w:i/>
          <w:iCs/>
          <w:sz w:val="24"/>
          <w:szCs w:val="24"/>
        </w:rPr>
        <w:t>RPB</w:t>
      </w:r>
      <w:r w:rsidRPr="00917C00">
        <w:rPr>
          <w:i/>
          <w:iCs/>
          <w:position w:val="-6"/>
          <w:sz w:val="24"/>
          <w:szCs w:val="24"/>
          <w:vertAlign w:val="subscript"/>
        </w:rPr>
        <w:t>t</w:t>
      </w:r>
      <w:r>
        <w:rPr>
          <w:sz w:val="24"/>
          <w:szCs w:val="24"/>
        </w:rPr>
        <w:t xml:space="preserve"> = </w:t>
      </w:r>
      <w:r w:rsidRPr="00917C00">
        <w:rPr>
          <w:i/>
          <w:iCs/>
          <w:sz w:val="24"/>
          <w:szCs w:val="24"/>
        </w:rPr>
        <w:t>Pardos</w:t>
      </w:r>
      <w:r w:rsidRPr="00917C00">
        <w:rPr>
          <w:i/>
          <w:iCs/>
          <w:position w:val="-6"/>
          <w:sz w:val="24"/>
          <w:szCs w:val="24"/>
          <w:vertAlign w:val="subscript"/>
        </w:rPr>
        <w:t>t</w:t>
      </w:r>
      <w:r>
        <w:rPr>
          <w:sz w:val="24"/>
          <w:szCs w:val="24"/>
        </w:rPr>
        <w:t>/</w:t>
      </w:r>
      <w:r w:rsidRPr="00917C00">
        <w:rPr>
          <w:i/>
          <w:iCs/>
          <w:sz w:val="24"/>
          <w:szCs w:val="24"/>
        </w:rPr>
        <w:t>Brancos</w:t>
      </w:r>
      <w:r w:rsidRPr="00917C00">
        <w:rPr>
          <w:i/>
          <w:iCs/>
          <w:position w:val="-6"/>
          <w:sz w:val="24"/>
          <w:szCs w:val="24"/>
          <w:vertAlign w:val="subscript"/>
        </w:rPr>
        <w:t>t</w:t>
      </w:r>
      <w:r>
        <w:rPr>
          <w:sz w:val="24"/>
          <w:szCs w:val="24"/>
        </w:rPr>
        <w:t xml:space="preserve">; </w:t>
      </w:r>
      <w:r w:rsidRPr="00917C00">
        <w:rPr>
          <w:i/>
          <w:iCs/>
          <w:sz w:val="24"/>
          <w:szCs w:val="24"/>
        </w:rPr>
        <w:t>t</w:t>
      </w:r>
      <w:r>
        <w:rPr>
          <w:sz w:val="24"/>
          <w:szCs w:val="24"/>
        </w:rPr>
        <w:t xml:space="preserve">: 1-jan/2008, 2-fev/2008, ..., 207-mar/2025. </w:t>
      </w:r>
    </w:p>
    <w:p w14:paraId="703CE692" w14:textId="59EFDD3A" w:rsidR="00571538" w:rsidRDefault="00571538" w:rsidP="00571538">
      <w:pPr>
        <w:spacing w:line="360" w:lineRule="auto"/>
        <w:jc w:val="both"/>
        <w:rPr>
          <w:sz w:val="24"/>
          <w:szCs w:val="24"/>
        </w:rPr>
      </w:pPr>
      <w:r w:rsidRPr="00474037">
        <w:rPr>
          <w:sz w:val="24"/>
          <w:szCs w:val="24"/>
        </w:rPr>
        <w:tab/>
      </w:r>
      <w:r>
        <w:rPr>
          <w:sz w:val="24"/>
          <w:szCs w:val="24"/>
        </w:rPr>
        <w:t xml:space="preserve">Tendo em vista a necessidade de algumas comparações, a razão de </w:t>
      </w:r>
      <w:r w:rsidR="007B0C9D" w:rsidRPr="007B0C9D">
        <w:rPr>
          <w:i/>
          <w:iCs/>
          <w:sz w:val="24"/>
          <w:szCs w:val="24"/>
        </w:rPr>
        <w:t>N</w:t>
      </w:r>
      <w:r w:rsidRPr="007B0C9D">
        <w:rPr>
          <w:i/>
          <w:iCs/>
          <w:sz w:val="24"/>
          <w:szCs w:val="24"/>
        </w:rPr>
        <w:t>egros</w:t>
      </w:r>
      <w:r>
        <w:rPr>
          <w:sz w:val="24"/>
          <w:szCs w:val="24"/>
        </w:rPr>
        <w:t xml:space="preserve"> e </w:t>
      </w:r>
      <w:r w:rsidR="007B0C9D" w:rsidRPr="007B0C9D">
        <w:rPr>
          <w:i/>
          <w:iCs/>
          <w:sz w:val="24"/>
          <w:szCs w:val="24"/>
        </w:rPr>
        <w:t>B</w:t>
      </w:r>
      <w:r w:rsidRPr="007B0C9D">
        <w:rPr>
          <w:i/>
          <w:iCs/>
          <w:sz w:val="24"/>
          <w:szCs w:val="24"/>
        </w:rPr>
        <w:t>rancos</w:t>
      </w:r>
      <w:r>
        <w:rPr>
          <w:sz w:val="24"/>
          <w:szCs w:val="24"/>
        </w:rPr>
        <w:t xml:space="preserve"> é definida como na expressão acima substituindo </w:t>
      </w:r>
      <w:r w:rsidRPr="00660655">
        <w:rPr>
          <w:i/>
          <w:iCs/>
          <w:sz w:val="24"/>
          <w:szCs w:val="24"/>
        </w:rPr>
        <w:t>Pardos</w:t>
      </w:r>
      <w:r>
        <w:rPr>
          <w:sz w:val="24"/>
          <w:szCs w:val="24"/>
        </w:rPr>
        <w:t xml:space="preserve"> por </w:t>
      </w:r>
      <w:r w:rsidRPr="00660655">
        <w:rPr>
          <w:i/>
          <w:iCs/>
          <w:sz w:val="24"/>
          <w:szCs w:val="24"/>
        </w:rPr>
        <w:t>Negros</w:t>
      </w:r>
      <w:r>
        <w:rPr>
          <w:sz w:val="24"/>
          <w:szCs w:val="24"/>
        </w:rPr>
        <w:t xml:space="preserve">, tem-se dessa forma, </w:t>
      </w:r>
      <w:r w:rsidRPr="001C02C2">
        <w:rPr>
          <w:i/>
          <w:iCs/>
          <w:sz w:val="24"/>
          <w:szCs w:val="24"/>
        </w:rPr>
        <w:t>RNB</w:t>
      </w:r>
      <w:r w:rsidRPr="00917C00">
        <w:rPr>
          <w:i/>
          <w:iCs/>
          <w:position w:val="-6"/>
          <w:sz w:val="24"/>
          <w:szCs w:val="24"/>
          <w:vertAlign w:val="subscript"/>
        </w:rPr>
        <w:t>t</w:t>
      </w:r>
      <w:r w:rsidR="007B0C9D">
        <w:rPr>
          <w:sz w:val="24"/>
          <w:szCs w:val="24"/>
        </w:rPr>
        <w:t xml:space="preserve">, em que </w:t>
      </w:r>
      <w:r w:rsidR="007B0C9D" w:rsidRPr="007B0C9D">
        <w:rPr>
          <w:i/>
          <w:iCs/>
          <w:sz w:val="24"/>
          <w:szCs w:val="24"/>
        </w:rPr>
        <w:t>Negros</w:t>
      </w:r>
      <w:r w:rsidR="007B0C9D">
        <w:rPr>
          <w:sz w:val="24"/>
          <w:szCs w:val="24"/>
        </w:rPr>
        <w:t xml:space="preserve"> = </w:t>
      </w:r>
      <w:r w:rsidR="007B0C9D" w:rsidRPr="007B0C9D">
        <w:rPr>
          <w:i/>
          <w:iCs/>
          <w:sz w:val="24"/>
          <w:szCs w:val="24"/>
        </w:rPr>
        <w:t>Pretos</w:t>
      </w:r>
      <w:r w:rsidR="007B0C9D">
        <w:rPr>
          <w:sz w:val="24"/>
          <w:szCs w:val="24"/>
        </w:rPr>
        <w:t xml:space="preserve"> + </w:t>
      </w:r>
      <w:r w:rsidR="007B0C9D" w:rsidRPr="007B0C9D">
        <w:rPr>
          <w:i/>
          <w:iCs/>
          <w:sz w:val="24"/>
          <w:szCs w:val="24"/>
        </w:rPr>
        <w:t>Pardos</w:t>
      </w:r>
      <w:r w:rsidR="007B0C9D">
        <w:rPr>
          <w:sz w:val="24"/>
          <w:szCs w:val="24"/>
        </w:rPr>
        <w:t>, dado que no Brasil prevalece a noção de que a população negra seja composta por sujeitos autodeclarados de cor ou raça preta ou parda, como está consubstanciado no Estatuto da Igualdade Racial (EIR) (Brasil, 2010).</w:t>
      </w:r>
    </w:p>
    <w:p w14:paraId="174EC575" w14:textId="0E646073" w:rsidR="00660655" w:rsidRDefault="00660655" w:rsidP="00571538">
      <w:pPr>
        <w:spacing w:line="360" w:lineRule="auto"/>
        <w:jc w:val="both"/>
        <w:rPr>
          <w:sz w:val="24"/>
          <w:szCs w:val="24"/>
        </w:rPr>
      </w:pPr>
      <w:r>
        <w:rPr>
          <w:sz w:val="24"/>
          <w:szCs w:val="24"/>
        </w:rPr>
        <w:tab/>
        <w:t>Os microdados de Apac compõe com outros o Sistema de Informações Ambulatoriais do SUS (SIASUS), disponíveis em: &lt;</w:t>
      </w:r>
      <w:r w:rsidRPr="00660655">
        <w:t xml:space="preserve"> </w:t>
      </w:r>
      <w:hyperlink r:id="rId10" w:history="1">
        <w:r w:rsidRPr="00CA3E76">
          <w:rPr>
            <w:rStyle w:val="Hyperlink"/>
            <w:sz w:val="24"/>
            <w:szCs w:val="24"/>
          </w:rPr>
          <w:t>https://datasus.saude.gov.br/transferencia-de-arquivos/</w:t>
        </w:r>
      </w:hyperlink>
      <w:r>
        <w:rPr>
          <w:sz w:val="24"/>
          <w:szCs w:val="24"/>
        </w:rPr>
        <w:t xml:space="preserve">&gt;. </w:t>
      </w:r>
      <w:r w:rsidR="00D40FBF">
        <w:rPr>
          <w:sz w:val="24"/>
          <w:szCs w:val="24"/>
        </w:rPr>
        <w:t>Os dados foram tratados com o programa R</w:t>
      </w:r>
      <w:r w:rsidR="009D24BC">
        <w:rPr>
          <w:sz w:val="24"/>
          <w:szCs w:val="24"/>
        </w:rPr>
        <w:t>, versão 4.2.3</w:t>
      </w:r>
      <w:r w:rsidR="00D40FBF">
        <w:rPr>
          <w:sz w:val="24"/>
          <w:szCs w:val="24"/>
        </w:rPr>
        <w:t xml:space="preserve"> (</w:t>
      </w:r>
      <w:r w:rsidR="004E6F5F" w:rsidRPr="006037B9">
        <w:rPr>
          <w:sz w:val="24"/>
          <w:szCs w:val="24"/>
        </w:rPr>
        <w:t>R Core Team</w:t>
      </w:r>
      <w:r w:rsidR="004E6F5F">
        <w:rPr>
          <w:sz w:val="24"/>
          <w:szCs w:val="24"/>
        </w:rPr>
        <w:t>, 2023</w:t>
      </w:r>
      <w:r w:rsidR="00D40FBF">
        <w:rPr>
          <w:sz w:val="24"/>
          <w:szCs w:val="24"/>
        </w:rPr>
        <w:t>).</w:t>
      </w:r>
    </w:p>
    <w:p w14:paraId="5710AF50" w14:textId="77777777" w:rsidR="002E2FDB" w:rsidRDefault="002E2FDB" w:rsidP="002E2FDB">
      <w:pPr>
        <w:spacing w:line="360" w:lineRule="auto"/>
        <w:jc w:val="both"/>
      </w:pPr>
      <w:r>
        <w:rPr>
          <w:sz w:val="24"/>
          <w:szCs w:val="24"/>
        </w:rPr>
        <w:tab/>
      </w:r>
    </w:p>
    <w:p w14:paraId="36226D59" w14:textId="085B6176" w:rsidR="002E2FDB" w:rsidRDefault="00EB68E2" w:rsidP="002E2FDB">
      <w:pPr>
        <w:spacing w:line="360" w:lineRule="auto"/>
        <w:jc w:val="both"/>
      </w:pPr>
      <w:r>
        <w:rPr>
          <w:b/>
          <w:sz w:val="24"/>
          <w:szCs w:val="24"/>
        </w:rPr>
        <w:t>3</w:t>
      </w:r>
      <w:r w:rsidR="002E2FDB">
        <w:rPr>
          <w:b/>
          <w:sz w:val="24"/>
          <w:szCs w:val="24"/>
        </w:rPr>
        <w:tab/>
        <w:t>DADOS E DISCUSSÃO</w:t>
      </w:r>
    </w:p>
    <w:p w14:paraId="61C9CEA4" w14:textId="77777777" w:rsidR="002E2FDB" w:rsidRDefault="002E2FDB" w:rsidP="002E2FDB">
      <w:pPr>
        <w:spacing w:line="360" w:lineRule="auto"/>
        <w:jc w:val="both"/>
        <w:rPr>
          <w:b/>
          <w:sz w:val="24"/>
          <w:szCs w:val="24"/>
        </w:rPr>
      </w:pPr>
    </w:p>
    <w:p w14:paraId="7CB12E70" w14:textId="26B3A938" w:rsidR="002E2FDB" w:rsidRDefault="002E2FDB" w:rsidP="002E2FDB">
      <w:pPr>
        <w:spacing w:line="360" w:lineRule="auto"/>
        <w:ind w:firstLine="720"/>
        <w:jc w:val="both"/>
        <w:rPr>
          <w:sz w:val="24"/>
          <w:szCs w:val="24"/>
        </w:rPr>
      </w:pPr>
      <w:r>
        <w:rPr>
          <w:sz w:val="24"/>
          <w:szCs w:val="24"/>
        </w:rPr>
        <w:t>A Figura 1 traz gráficos das séries temporais das frequências absoluta e relativa, respectivamente, (a) e (b), dos totais das autodeclaraç</w:t>
      </w:r>
      <w:r w:rsidR="000056B3">
        <w:rPr>
          <w:sz w:val="24"/>
          <w:szCs w:val="24"/>
        </w:rPr>
        <w:t>ões</w:t>
      </w:r>
      <w:r>
        <w:rPr>
          <w:sz w:val="24"/>
          <w:szCs w:val="24"/>
        </w:rPr>
        <w:t xml:space="preserve"> de cor ou raça, </w:t>
      </w:r>
      <w:r w:rsidR="00EB3713">
        <w:rPr>
          <w:sz w:val="24"/>
          <w:szCs w:val="24"/>
        </w:rPr>
        <w:t xml:space="preserve">em Apacs do ERJ </w:t>
      </w:r>
      <w:r>
        <w:rPr>
          <w:sz w:val="24"/>
          <w:szCs w:val="24"/>
        </w:rPr>
        <w:t>agregados por mês de</w:t>
      </w:r>
      <w:r w:rsidR="00EB3713">
        <w:rPr>
          <w:sz w:val="24"/>
          <w:szCs w:val="24"/>
        </w:rPr>
        <w:t xml:space="preserve"> apresentação, de janeiro de 2008 até março de 2025</w:t>
      </w:r>
      <w:r>
        <w:rPr>
          <w:sz w:val="24"/>
          <w:szCs w:val="24"/>
        </w:rPr>
        <w:t>. Como se vê na Figura 1 (a)</w:t>
      </w:r>
      <w:r w:rsidR="00523C1C">
        <w:rPr>
          <w:sz w:val="24"/>
          <w:szCs w:val="24"/>
        </w:rPr>
        <w:t>, de modo geral</w:t>
      </w:r>
      <w:r>
        <w:rPr>
          <w:sz w:val="24"/>
          <w:szCs w:val="24"/>
        </w:rPr>
        <w:t>, as séries</w:t>
      </w:r>
      <w:r w:rsidR="00E90DDE">
        <w:rPr>
          <w:sz w:val="24"/>
          <w:szCs w:val="24"/>
        </w:rPr>
        <w:t xml:space="preserve"> ou</w:t>
      </w:r>
      <w:r>
        <w:rPr>
          <w:sz w:val="24"/>
          <w:szCs w:val="24"/>
        </w:rPr>
        <w:t xml:space="preserve"> têm tendência crescente </w:t>
      </w:r>
      <w:r w:rsidR="00523C1C">
        <w:rPr>
          <w:sz w:val="24"/>
          <w:szCs w:val="24"/>
        </w:rPr>
        <w:t xml:space="preserve">– </w:t>
      </w:r>
      <w:r w:rsidR="00523C1C" w:rsidRPr="00523C1C">
        <w:rPr>
          <w:i/>
          <w:iCs/>
          <w:sz w:val="24"/>
          <w:szCs w:val="24"/>
        </w:rPr>
        <w:t>Brancos</w:t>
      </w:r>
      <w:r w:rsidR="00523C1C">
        <w:rPr>
          <w:sz w:val="24"/>
          <w:szCs w:val="24"/>
        </w:rPr>
        <w:t xml:space="preserve">, </w:t>
      </w:r>
      <w:r w:rsidR="00523C1C" w:rsidRPr="00523C1C">
        <w:rPr>
          <w:i/>
          <w:iCs/>
          <w:sz w:val="24"/>
          <w:szCs w:val="24"/>
        </w:rPr>
        <w:t>Pretos</w:t>
      </w:r>
      <w:r w:rsidR="00523C1C">
        <w:rPr>
          <w:sz w:val="24"/>
          <w:szCs w:val="24"/>
        </w:rPr>
        <w:t xml:space="preserve"> e </w:t>
      </w:r>
      <w:r w:rsidR="00523C1C" w:rsidRPr="00523C1C">
        <w:rPr>
          <w:i/>
          <w:iCs/>
          <w:sz w:val="24"/>
          <w:szCs w:val="24"/>
        </w:rPr>
        <w:t>Pardos</w:t>
      </w:r>
      <w:r w:rsidR="00523C1C">
        <w:rPr>
          <w:sz w:val="24"/>
          <w:szCs w:val="24"/>
        </w:rPr>
        <w:t xml:space="preserve"> – </w:t>
      </w:r>
      <w:r>
        <w:rPr>
          <w:sz w:val="24"/>
          <w:szCs w:val="24"/>
        </w:rPr>
        <w:t>ou à estabilidade</w:t>
      </w:r>
      <w:r w:rsidR="00523C1C">
        <w:rPr>
          <w:sz w:val="24"/>
          <w:szCs w:val="24"/>
        </w:rPr>
        <w:t xml:space="preserve"> – </w:t>
      </w:r>
      <w:r w:rsidR="00523C1C" w:rsidRPr="00523C1C">
        <w:rPr>
          <w:i/>
          <w:iCs/>
          <w:sz w:val="24"/>
          <w:szCs w:val="24"/>
        </w:rPr>
        <w:t>Amarelos</w:t>
      </w:r>
      <w:r w:rsidR="00523C1C">
        <w:rPr>
          <w:sz w:val="24"/>
          <w:szCs w:val="24"/>
        </w:rPr>
        <w:t xml:space="preserve"> e </w:t>
      </w:r>
      <w:r w:rsidR="00523C1C" w:rsidRPr="00523C1C">
        <w:rPr>
          <w:i/>
          <w:iCs/>
          <w:sz w:val="24"/>
          <w:szCs w:val="24"/>
        </w:rPr>
        <w:t>Indígenas</w:t>
      </w:r>
      <w:r w:rsidR="00523C1C">
        <w:rPr>
          <w:sz w:val="24"/>
          <w:szCs w:val="24"/>
        </w:rPr>
        <w:t xml:space="preserve"> –</w:t>
      </w:r>
      <w:r>
        <w:rPr>
          <w:sz w:val="24"/>
          <w:szCs w:val="24"/>
        </w:rPr>
        <w:t>, sobretudo depois do primeiro ano.</w:t>
      </w:r>
      <w:r w:rsidR="005211E8">
        <w:rPr>
          <w:sz w:val="24"/>
          <w:szCs w:val="24"/>
        </w:rPr>
        <w:t xml:space="preserve"> S</w:t>
      </w:r>
      <w:r w:rsidR="00523C1C">
        <w:rPr>
          <w:sz w:val="24"/>
          <w:szCs w:val="24"/>
        </w:rPr>
        <w:t>omad</w:t>
      </w:r>
      <w:r w:rsidR="005211E8">
        <w:rPr>
          <w:sz w:val="24"/>
          <w:szCs w:val="24"/>
        </w:rPr>
        <w:t>as,</w:t>
      </w:r>
      <w:r w:rsidR="00523C1C">
        <w:rPr>
          <w:sz w:val="24"/>
          <w:szCs w:val="24"/>
        </w:rPr>
        <w:t xml:space="preserve"> </w:t>
      </w:r>
      <w:r w:rsidR="005211E8">
        <w:rPr>
          <w:sz w:val="24"/>
          <w:szCs w:val="24"/>
        </w:rPr>
        <w:t>configura-se</w:t>
      </w:r>
      <w:r>
        <w:rPr>
          <w:sz w:val="24"/>
          <w:szCs w:val="24"/>
        </w:rPr>
        <w:t xml:space="preserve"> um contexto expansivo de quimioterapias, que variou de 8.953</w:t>
      </w:r>
      <w:r w:rsidR="00212B55">
        <w:rPr>
          <w:sz w:val="24"/>
          <w:szCs w:val="24"/>
        </w:rPr>
        <w:t xml:space="preserve"> Apacs</w:t>
      </w:r>
      <w:r>
        <w:rPr>
          <w:sz w:val="24"/>
          <w:szCs w:val="24"/>
        </w:rPr>
        <w:t xml:space="preserve"> em janeiro de 2008 para 29.673 em março de 2025, uma expansão de 231,43%. </w:t>
      </w:r>
      <w:r w:rsidR="00DF6AE8">
        <w:rPr>
          <w:sz w:val="24"/>
          <w:szCs w:val="24"/>
        </w:rPr>
        <w:t xml:space="preserve">O comportamento relativizado pelo total de </w:t>
      </w:r>
      <w:r w:rsidR="00DF6AE8">
        <w:rPr>
          <w:sz w:val="24"/>
          <w:szCs w:val="24"/>
        </w:rPr>
        <w:lastRenderedPageBreak/>
        <w:t xml:space="preserve">Apacs na Figura 1 (b) revela o fenômeno que se tem chamado de transição racial: decrescimento relativo de </w:t>
      </w:r>
      <w:r w:rsidR="00DF6AE8" w:rsidRPr="00DF6AE8">
        <w:rPr>
          <w:i/>
          <w:iCs/>
          <w:sz w:val="24"/>
          <w:szCs w:val="24"/>
        </w:rPr>
        <w:t>Brancos</w:t>
      </w:r>
      <w:r w:rsidR="00DF6AE8">
        <w:rPr>
          <w:sz w:val="24"/>
          <w:szCs w:val="24"/>
        </w:rPr>
        <w:t xml:space="preserve"> em paralelo em um aumento relativo de </w:t>
      </w:r>
      <w:r w:rsidR="00DF6AE8" w:rsidRPr="00DF6AE8">
        <w:rPr>
          <w:i/>
          <w:iCs/>
          <w:sz w:val="24"/>
          <w:szCs w:val="24"/>
        </w:rPr>
        <w:t>Pardos</w:t>
      </w:r>
      <w:r w:rsidR="00DF6AE8">
        <w:rPr>
          <w:sz w:val="24"/>
          <w:szCs w:val="24"/>
        </w:rPr>
        <w:t xml:space="preserve">. Um outro aspecto </w:t>
      </w:r>
      <w:r w:rsidR="00354492">
        <w:rPr>
          <w:sz w:val="24"/>
          <w:szCs w:val="24"/>
        </w:rPr>
        <w:t xml:space="preserve">trazido </w:t>
      </w:r>
      <w:r w:rsidR="00DF6AE8">
        <w:rPr>
          <w:sz w:val="24"/>
          <w:szCs w:val="24"/>
        </w:rPr>
        <w:t>é a redução da variabilidade</w:t>
      </w:r>
      <w:r w:rsidR="00551C44">
        <w:rPr>
          <w:sz w:val="24"/>
          <w:szCs w:val="24"/>
        </w:rPr>
        <w:t>: as curvas em (b) têm o formato suavizado.</w:t>
      </w:r>
      <w:r w:rsidR="00981508">
        <w:rPr>
          <w:sz w:val="24"/>
          <w:szCs w:val="24"/>
        </w:rPr>
        <w:t xml:space="preserve"> </w:t>
      </w:r>
    </w:p>
    <w:p w14:paraId="5A64E6AA" w14:textId="77777777" w:rsidR="00437300" w:rsidRDefault="00437300" w:rsidP="002E2FDB">
      <w:pPr>
        <w:spacing w:line="360" w:lineRule="auto"/>
        <w:ind w:firstLine="720"/>
        <w:jc w:val="both"/>
        <w:rPr>
          <w:sz w:val="24"/>
          <w:szCs w:val="24"/>
        </w:rPr>
      </w:pPr>
    </w:p>
    <w:tbl>
      <w:tblPr>
        <w:tblW w:w="0" w:type="auto"/>
        <w:tblInd w:w="-1026" w:type="dxa"/>
        <w:tblLayout w:type="fixed"/>
        <w:tblLook w:val="0000" w:firstRow="0" w:lastRow="0" w:firstColumn="0" w:lastColumn="0" w:noHBand="0" w:noVBand="0"/>
      </w:tblPr>
      <w:tblGrid>
        <w:gridCol w:w="5387"/>
        <w:gridCol w:w="5528"/>
      </w:tblGrid>
      <w:tr w:rsidR="002E2FDB" w14:paraId="655FA9A1" w14:textId="77777777" w:rsidTr="002115C3">
        <w:tc>
          <w:tcPr>
            <w:tcW w:w="10915" w:type="dxa"/>
            <w:gridSpan w:val="2"/>
            <w:shd w:val="clear" w:color="auto" w:fill="auto"/>
          </w:tcPr>
          <w:p w14:paraId="344F6843" w14:textId="77777777" w:rsidR="002E2FDB" w:rsidRDefault="002E2FDB" w:rsidP="002115C3">
            <w:pPr>
              <w:spacing w:line="240" w:lineRule="auto"/>
              <w:jc w:val="center"/>
            </w:pPr>
            <w:r>
              <w:rPr>
                <w:b/>
                <w:bCs/>
                <w:sz w:val="24"/>
                <w:szCs w:val="24"/>
              </w:rPr>
              <w:t>Figura 1</w:t>
            </w:r>
            <w:r>
              <w:rPr>
                <w:sz w:val="24"/>
                <w:szCs w:val="24"/>
              </w:rPr>
              <w:t>: Séries temporais das frequências de autodeclarações de raça/cor nas Apacs de quimioterapia do ERJ</w:t>
            </w:r>
          </w:p>
        </w:tc>
      </w:tr>
      <w:tr w:rsidR="002E2FDB" w14:paraId="3156E19B" w14:textId="77777777" w:rsidTr="002115C3">
        <w:tc>
          <w:tcPr>
            <w:tcW w:w="5387" w:type="dxa"/>
            <w:shd w:val="clear" w:color="auto" w:fill="auto"/>
          </w:tcPr>
          <w:p w14:paraId="21FB76C8" w14:textId="77777777" w:rsidR="002E2FDB" w:rsidRDefault="002E2FDB" w:rsidP="002E2FDB">
            <w:pPr>
              <w:numPr>
                <w:ilvl w:val="0"/>
                <w:numId w:val="1"/>
              </w:numPr>
              <w:spacing w:line="360" w:lineRule="auto"/>
              <w:jc w:val="center"/>
            </w:pPr>
            <w:r>
              <w:rPr>
                <w:sz w:val="24"/>
                <w:szCs w:val="24"/>
              </w:rPr>
              <w:t>Frequência absoluta</w:t>
            </w:r>
          </w:p>
        </w:tc>
        <w:tc>
          <w:tcPr>
            <w:tcW w:w="5528" w:type="dxa"/>
            <w:shd w:val="clear" w:color="auto" w:fill="auto"/>
          </w:tcPr>
          <w:p w14:paraId="4708A2B5" w14:textId="77777777" w:rsidR="002E2FDB" w:rsidRDefault="002E2FDB" w:rsidP="002E2FDB">
            <w:pPr>
              <w:numPr>
                <w:ilvl w:val="0"/>
                <w:numId w:val="1"/>
              </w:numPr>
              <w:spacing w:line="360" w:lineRule="auto"/>
              <w:jc w:val="center"/>
            </w:pPr>
            <w:r>
              <w:rPr>
                <w:sz w:val="24"/>
                <w:szCs w:val="24"/>
              </w:rPr>
              <w:t>Frequência relativa (%)</w:t>
            </w:r>
          </w:p>
        </w:tc>
      </w:tr>
      <w:tr w:rsidR="002E2FDB" w14:paraId="1134B37D" w14:textId="77777777" w:rsidTr="002115C3">
        <w:tc>
          <w:tcPr>
            <w:tcW w:w="5387" w:type="dxa"/>
            <w:shd w:val="clear" w:color="auto" w:fill="auto"/>
          </w:tcPr>
          <w:p w14:paraId="6D19C7B4" w14:textId="1F7B2CF6" w:rsidR="002E2FDB" w:rsidRDefault="002E2FDB" w:rsidP="002115C3">
            <w:pPr>
              <w:spacing w:line="360" w:lineRule="auto"/>
              <w:jc w:val="center"/>
            </w:pPr>
            <w:r>
              <w:rPr>
                <w:noProof/>
                <w:sz w:val="24"/>
                <w:szCs w:val="24"/>
                <w:lang w:eastAsia="pt-BR"/>
              </w:rPr>
              <w:drawing>
                <wp:inline distT="0" distB="0" distL="0" distR="0" wp14:anchorId="0A803095" wp14:editId="35C60A9F">
                  <wp:extent cx="3148965" cy="2361565"/>
                  <wp:effectExtent l="0" t="0" r="0" b="635"/>
                  <wp:docPr id="1531798884" name="Imagem 7"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98884" name="Imagem 7" descr="Gráfico&#10;&#10;O conteúdo gerado por IA pode estar incorreto."/>
                          <pic:cNvPicPr>
                            <a:picLocks noChangeAspect="1" noChangeArrowheads="1"/>
                          </pic:cNvPicPr>
                        </pic:nvPicPr>
                        <pic:blipFill>
                          <a:blip r:embed="rId11" cstate="print">
                            <a:extLst>
                              <a:ext uri="{28A0092B-C50C-407E-A947-70E740481C1C}">
                                <a14:useLocalDpi xmlns:a14="http://schemas.microsoft.com/office/drawing/2010/main" val="0"/>
                              </a:ext>
                            </a:extLst>
                          </a:blip>
                          <a:srcRect l="-8" t="-9" r="-8" b="-9"/>
                          <a:stretch>
                            <a:fillRect/>
                          </a:stretch>
                        </pic:blipFill>
                        <pic:spPr bwMode="auto">
                          <a:xfrm>
                            <a:off x="0" y="0"/>
                            <a:ext cx="3148965" cy="2361565"/>
                          </a:xfrm>
                          <a:prstGeom prst="rect">
                            <a:avLst/>
                          </a:prstGeom>
                          <a:solidFill>
                            <a:srgbClr val="FFFFFF"/>
                          </a:solidFill>
                          <a:ln>
                            <a:noFill/>
                          </a:ln>
                        </pic:spPr>
                      </pic:pic>
                    </a:graphicData>
                  </a:graphic>
                </wp:inline>
              </w:drawing>
            </w:r>
          </w:p>
        </w:tc>
        <w:tc>
          <w:tcPr>
            <w:tcW w:w="5528" w:type="dxa"/>
            <w:shd w:val="clear" w:color="auto" w:fill="auto"/>
          </w:tcPr>
          <w:p w14:paraId="110F40C6" w14:textId="20625FE9" w:rsidR="002E2FDB" w:rsidRDefault="002E2FDB" w:rsidP="002115C3">
            <w:pPr>
              <w:spacing w:line="360" w:lineRule="auto"/>
              <w:jc w:val="center"/>
              <w:rPr>
                <w:b/>
                <w:bCs/>
                <w:sz w:val="20"/>
                <w:szCs w:val="20"/>
                <w:lang w:eastAsia="pt-BR"/>
              </w:rPr>
            </w:pPr>
            <w:r w:rsidRPr="00DF12C5">
              <w:rPr>
                <w:noProof/>
              </w:rPr>
              <w:drawing>
                <wp:inline distT="0" distB="0" distL="0" distR="0" wp14:anchorId="72D485FD" wp14:editId="33A1B67A">
                  <wp:extent cx="3490595" cy="2353310"/>
                  <wp:effectExtent l="0" t="0" r="0" b="8890"/>
                  <wp:docPr id="489311402" name="Imagem 6"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11402" name="Imagem 6" descr="Gráfico, Gráfico de linhas&#10;&#10;O conteúdo gerado por IA pode estar incorre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90595" cy="2353310"/>
                          </a:xfrm>
                          <a:prstGeom prst="rect">
                            <a:avLst/>
                          </a:prstGeom>
                          <a:noFill/>
                          <a:ln>
                            <a:noFill/>
                          </a:ln>
                        </pic:spPr>
                      </pic:pic>
                    </a:graphicData>
                  </a:graphic>
                </wp:inline>
              </w:drawing>
            </w:r>
          </w:p>
        </w:tc>
      </w:tr>
      <w:tr w:rsidR="002E2FDB" w14:paraId="1A24583B" w14:textId="77777777" w:rsidTr="002115C3">
        <w:tc>
          <w:tcPr>
            <w:tcW w:w="10915" w:type="dxa"/>
            <w:gridSpan w:val="2"/>
            <w:shd w:val="clear" w:color="auto" w:fill="auto"/>
          </w:tcPr>
          <w:p w14:paraId="2DD687CC" w14:textId="77777777" w:rsidR="002E2FDB" w:rsidRDefault="002E2FDB" w:rsidP="00652DB0">
            <w:pPr>
              <w:spacing w:line="360" w:lineRule="auto"/>
              <w:jc w:val="center"/>
            </w:pPr>
            <w:r>
              <w:rPr>
                <w:b/>
                <w:bCs/>
                <w:sz w:val="20"/>
                <w:szCs w:val="20"/>
                <w:lang w:eastAsia="pt-BR"/>
              </w:rPr>
              <w:t>Fonte</w:t>
            </w:r>
            <w:r>
              <w:rPr>
                <w:sz w:val="20"/>
                <w:szCs w:val="20"/>
                <w:lang w:eastAsia="pt-BR"/>
              </w:rPr>
              <w:t>: elaborada pelo autor com base nos microdados do SIASUS</w:t>
            </w:r>
          </w:p>
        </w:tc>
      </w:tr>
    </w:tbl>
    <w:p w14:paraId="3E431927" w14:textId="77777777" w:rsidR="00B02B54" w:rsidRDefault="00B02B54" w:rsidP="00BD1F98">
      <w:pPr>
        <w:spacing w:line="360" w:lineRule="auto"/>
        <w:ind w:firstLine="720"/>
        <w:jc w:val="both"/>
        <w:rPr>
          <w:sz w:val="24"/>
          <w:szCs w:val="24"/>
        </w:rPr>
      </w:pPr>
    </w:p>
    <w:p w14:paraId="7A08FB5E" w14:textId="036469FF" w:rsidR="00BD1F98" w:rsidRDefault="00BD1F98" w:rsidP="00BD1F98">
      <w:pPr>
        <w:spacing w:line="360" w:lineRule="auto"/>
        <w:ind w:firstLine="720"/>
        <w:jc w:val="both"/>
        <w:rPr>
          <w:sz w:val="24"/>
          <w:szCs w:val="24"/>
        </w:rPr>
      </w:pPr>
      <w:r>
        <w:rPr>
          <w:sz w:val="24"/>
          <w:szCs w:val="24"/>
        </w:rPr>
        <w:t>Os gráficos na Figura 1 referem-se ao cuidado recebido. A expansão da oferta pode ser melhor atestada considerando-se que em 2008 havia 16 unidades hospitalares prestando serviço de quimioterapia pelo SUS em 8 municípios do ERJ, no fim do período sob análise, havia 29 em 16 municípios</w:t>
      </w:r>
      <w:r w:rsidR="00EF29F6">
        <w:rPr>
          <w:sz w:val="24"/>
          <w:szCs w:val="24"/>
        </w:rPr>
        <w:t xml:space="preserve"> (</w:t>
      </w:r>
      <w:r w:rsidR="00D5339A">
        <w:rPr>
          <w:sz w:val="24"/>
          <w:szCs w:val="24"/>
        </w:rPr>
        <w:t>Souza, 2024, 2025</w:t>
      </w:r>
      <w:r w:rsidR="00EF29F6">
        <w:rPr>
          <w:sz w:val="24"/>
          <w:szCs w:val="24"/>
        </w:rPr>
        <w:t>)</w:t>
      </w:r>
      <w:r>
        <w:rPr>
          <w:sz w:val="24"/>
          <w:szCs w:val="24"/>
        </w:rPr>
        <w:t>. Certamente o cenário expansivo é uma resposta à demanda por tratamentos oncológicos do SUS no ERJ, que poderia ser estatisticamente modelada em função das Apacs de quimioterapia e da incidência estimada, a qual cresce ano a ano, conforme dados do Instituto Nacional de Câncer (Inca) (</w:t>
      </w:r>
      <w:r w:rsidR="007F04C9">
        <w:rPr>
          <w:sz w:val="24"/>
          <w:szCs w:val="24"/>
        </w:rPr>
        <w:t>Souza, 2024</w:t>
      </w:r>
      <w:r>
        <w:rPr>
          <w:sz w:val="24"/>
          <w:szCs w:val="24"/>
        </w:rPr>
        <w:t>)</w:t>
      </w:r>
      <w:r w:rsidR="00324BEA">
        <w:rPr>
          <w:sz w:val="24"/>
          <w:szCs w:val="24"/>
        </w:rPr>
        <w:t>.</w:t>
      </w:r>
      <w:r>
        <w:rPr>
          <w:sz w:val="24"/>
          <w:szCs w:val="24"/>
        </w:rPr>
        <w:t xml:space="preserve"> </w:t>
      </w:r>
      <w:r w:rsidR="00324BEA">
        <w:rPr>
          <w:sz w:val="24"/>
          <w:szCs w:val="24"/>
        </w:rPr>
        <w:t>I</w:t>
      </w:r>
      <w:r>
        <w:rPr>
          <w:sz w:val="24"/>
          <w:szCs w:val="24"/>
        </w:rPr>
        <w:t>sso não é feito aqui.</w:t>
      </w:r>
    </w:p>
    <w:p w14:paraId="4562CAC0" w14:textId="2F758A84" w:rsidR="00BD1F98" w:rsidRDefault="00BD1F98" w:rsidP="002E2FDB">
      <w:pPr>
        <w:spacing w:line="360" w:lineRule="auto"/>
        <w:ind w:firstLine="720"/>
        <w:jc w:val="both"/>
        <w:rPr>
          <w:i/>
          <w:iCs/>
          <w:sz w:val="24"/>
          <w:szCs w:val="24"/>
        </w:rPr>
      </w:pPr>
      <w:r>
        <w:rPr>
          <w:sz w:val="24"/>
          <w:szCs w:val="24"/>
        </w:rPr>
        <w:t xml:space="preserve">A Tabela 1 traz medidas descritivas das Apacs de quimioterapia (construídas sobre os valores absolutos) e das frequências relativas das variáveis </w:t>
      </w:r>
      <w:r w:rsidRPr="009E10E5">
        <w:rPr>
          <w:sz w:val="24"/>
          <w:szCs w:val="24"/>
        </w:rPr>
        <w:t>definidas na Metodologi</w:t>
      </w:r>
      <w:r>
        <w:rPr>
          <w:sz w:val="24"/>
          <w:szCs w:val="24"/>
        </w:rPr>
        <w:t>a</w:t>
      </w:r>
      <w:r>
        <w:rPr>
          <w:i/>
          <w:iCs/>
          <w:sz w:val="24"/>
          <w:szCs w:val="24"/>
        </w:rPr>
        <w:t>.</w:t>
      </w:r>
    </w:p>
    <w:p w14:paraId="4B2240FE" w14:textId="77777777" w:rsidR="00B02B54" w:rsidRDefault="00B02B54" w:rsidP="002E2FDB">
      <w:pPr>
        <w:spacing w:line="360" w:lineRule="auto"/>
        <w:ind w:firstLine="720"/>
        <w:jc w:val="both"/>
        <w:rPr>
          <w:i/>
          <w:iCs/>
          <w:sz w:val="24"/>
          <w:szCs w:val="24"/>
        </w:rPr>
      </w:pPr>
    </w:p>
    <w:p w14:paraId="12790BD2" w14:textId="77777777" w:rsidR="00B02B54" w:rsidRDefault="00B02B54" w:rsidP="002E2FDB">
      <w:pPr>
        <w:spacing w:line="360" w:lineRule="auto"/>
        <w:ind w:firstLine="720"/>
        <w:jc w:val="both"/>
        <w:rPr>
          <w:sz w:val="24"/>
          <w:szCs w:val="24"/>
        </w:rPr>
      </w:pPr>
    </w:p>
    <w:tbl>
      <w:tblPr>
        <w:tblStyle w:val="Tabelacomgrade"/>
        <w:tblW w:w="10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4"/>
      </w:tblGrid>
      <w:tr w:rsidR="002E2FDB" w14:paraId="7BE1F349" w14:textId="77777777" w:rsidTr="006037B9">
        <w:trPr>
          <w:jc w:val="center"/>
        </w:trPr>
        <w:tc>
          <w:tcPr>
            <w:tcW w:w="10824" w:type="dxa"/>
          </w:tcPr>
          <w:p w14:paraId="29CEC17F" w14:textId="77777777" w:rsidR="002E2FDB" w:rsidRDefault="002E2FDB" w:rsidP="002115C3">
            <w:pPr>
              <w:spacing w:line="360" w:lineRule="auto"/>
              <w:jc w:val="center"/>
              <w:rPr>
                <w:sz w:val="24"/>
                <w:szCs w:val="24"/>
              </w:rPr>
            </w:pPr>
            <w:r w:rsidRPr="00E16C3C">
              <w:rPr>
                <w:b/>
                <w:bCs/>
                <w:sz w:val="24"/>
                <w:szCs w:val="24"/>
              </w:rPr>
              <w:lastRenderedPageBreak/>
              <w:t>Tabela 1</w:t>
            </w:r>
            <w:r>
              <w:rPr>
                <w:sz w:val="24"/>
                <w:szCs w:val="24"/>
              </w:rPr>
              <w:t>: Medidas descritivas</w:t>
            </w:r>
          </w:p>
        </w:tc>
      </w:tr>
      <w:tr w:rsidR="002E2FDB" w14:paraId="213B2B24" w14:textId="77777777" w:rsidTr="006037B9">
        <w:trPr>
          <w:jc w:val="center"/>
        </w:trPr>
        <w:tc>
          <w:tcPr>
            <w:tcW w:w="10824" w:type="dxa"/>
          </w:tcPr>
          <w:tbl>
            <w:tblPr>
              <w:tblW w:w="9820" w:type="dxa"/>
              <w:jc w:val="center"/>
              <w:tblCellMar>
                <w:left w:w="70" w:type="dxa"/>
                <w:right w:w="70" w:type="dxa"/>
              </w:tblCellMar>
              <w:tblLook w:val="04A0" w:firstRow="1" w:lastRow="0" w:firstColumn="1" w:lastColumn="0" w:noHBand="0" w:noVBand="1"/>
            </w:tblPr>
            <w:tblGrid>
              <w:gridCol w:w="1480"/>
              <w:gridCol w:w="1141"/>
              <w:gridCol w:w="863"/>
              <w:gridCol w:w="863"/>
              <w:gridCol w:w="863"/>
              <w:gridCol w:w="901"/>
              <w:gridCol w:w="931"/>
              <w:gridCol w:w="940"/>
              <w:gridCol w:w="863"/>
              <w:gridCol w:w="975"/>
            </w:tblGrid>
            <w:tr w:rsidR="00F55ECD" w:rsidRPr="00F55ECD" w14:paraId="1FEAD36B" w14:textId="77777777" w:rsidTr="006037B9">
              <w:trPr>
                <w:trHeight w:val="300"/>
                <w:jc w:val="center"/>
              </w:trPr>
              <w:tc>
                <w:tcPr>
                  <w:tcW w:w="1480" w:type="dxa"/>
                  <w:vMerge w:val="restart"/>
                  <w:tcBorders>
                    <w:top w:val="single" w:sz="4" w:space="0" w:color="auto"/>
                    <w:left w:val="nil"/>
                    <w:bottom w:val="single" w:sz="4" w:space="0" w:color="000000"/>
                    <w:right w:val="nil"/>
                  </w:tcBorders>
                  <w:shd w:val="clear" w:color="auto" w:fill="auto"/>
                  <w:noWrap/>
                  <w:vAlign w:val="center"/>
                  <w:hideMark/>
                </w:tcPr>
                <w:p w14:paraId="04C72EBB"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Métricas</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87D0B" w14:textId="77777777" w:rsidR="00F55ECD" w:rsidRPr="00F55ECD" w:rsidRDefault="00F55ECD" w:rsidP="00F55ECD">
                  <w:pPr>
                    <w:suppressAutoHyphens w:val="0"/>
                    <w:spacing w:line="240" w:lineRule="auto"/>
                    <w:jc w:val="center"/>
                    <w:rPr>
                      <w:rFonts w:eastAsia="Times New Roman"/>
                      <w:color w:val="000000"/>
                      <w:sz w:val="20"/>
                      <w:szCs w:val="20"/>
                      <w:lang w:eastAsia="pt-BR"/>
                    </w:rPr>
                  </w:pPr>
                  <w:r w:rsidRPr="00F55ECD">
                    <w:rPr>
                      <w:rFonts w:eastAsia="Times New Roman"/>
                      <w:color w:val="000000"/>
                      <w:sz w:val="20"/>
                      <w:szCs w:val="20"/>
                      <w:lang w:eastAsia="pt-BR"/>
                    </w:rPr>
                    <w:t>Apacs</w:t>
                  </w:r>
                </w:p>
              </w:tc>
              <w:tc>
                <w:tcPr>
                  <w:tcW w:w="7199" w:type="dxa"/>
                  <w:gridSpan w:val="8"/>
                  <w:tcBorders>
                    <w:top w:val="single" w:sz="4" w:space="0" w:color="auto"/>
                    <w:left w:val="nil"/>
                    <w:bottom w:val="single" w:sz="4" w:space="0" w:color="auto"/>
                    <w:right w:val="nil"/>
                  </w:tcBorders>
                  <w:shd w:val="clear" w:color="auto" w:fill="auto"/>
                  <w:noWrap/>
                  <w:vAlign w:val="center"/>
                  <w:hideMark/>
                </w:tcPr>
                <w:p w14:paraId="25C20948" w14:textId="77777777" w:rsidR="00F55ECD" w:rsidRPr="00F55ECD" w:rsidRDefault="00F55ECD" w:rsidP="00F55ECD">
                  <w:pPr>
                    <w:suppressAutoHyphens w:val="0"/>
                    <w:spacing w:line="240" w:lineRule="auto"/>
                    <w:jc w:val="center"/>
                    <w:rPr>
                      <w:rFonts w:ascii="Aptos Narrow" w:eastAsia="Times New Roman" w:hAnsi="Aptos Narrow" w:cs="Times New Roman"/>
                      <w:color w:val="000000"/>
                      <w:lang w:eastAsia="pt-BR"/>
                    </w:rPr>
                  </w:pPr>
                  <w:r w:rsidRPr="00F55ECD">
                    <w:rPr>
                      <w:rFonts w:ascii="Aptos Narrow" w:eastAsia="Times New Roman" w:hAnsi="Aptos Narrow" w:cs="Times New Roman"/>
                      <w:color w:val="000000"/>
                      <w:lang w:eastAsia="pt-BR"/>
                    </w:rPr>
                    <w:t>%</w:t>
                  </w:r>
                </w:p>
              </w:tc>
            </w:tr>
            <w:tr w:rsidR="00F55ECD" w:rsidRPr="00F55ECD" w14:paraId="7F3401E7" w14:textId="77777777" w:rsidTr="006037B9">
              <w:trPr>
                <w:trHeight w:val="480"/>
                <w:jc w:val="center"/>
              </w:trPr>
              <w:tc>
                <w:tcPr>
                  <w:tcW w:w="1480" w:type="dxa"/>
                  <w:vMerge/>
                  <w:tcBorders>
                    <w:top w:val="single" w:sz="4" w:space="0" w:color="auto"/>
                    <w:left w:val="nil"/>
                    <w:bottom w:val="single" w:sz="4" w:space="0" w:color="000000"/>
                    <w:right w:val="nil"/>
                  </w:tcBorders>
                  <w:vAlign w:val="center"/>
                  <w:hideMark/>
                </w:tcPr>
                <w:p w14:paraId="0EBD758F" w14:textId="77777777" w:rsidR="00F55ECD" w:rsidRPr="00F55ECD" w:rsidRDefault="00F55ECD" w:rsidP="00F55ECD">
                  <w:pPr>
                    <w:suppressAutoHyphens w:val="0"/>
                    <w:spacing w:line="240" w:lineRule="auto"/>
                    <w:rPr>
                      <w:rFonts w:eastAsia="Times New Roman"/>
                      <w:color w:val="000000"/>
                      <w:sz w:val="20"/>
                      <w:szCs w:val="20"/>
                      <w:lang w:eastAsia="pt-BR"/>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15539F95" w14:textId="77777777" w:rsidR="00F55ECD" w:rsidRPr="00F55ECD" w:rsidRDefault="00F55ECD" w:rsidP="00F55ECD">
                  <w:pPr>
                    <w:suppressAutoHyphens w:val="0"/>
                    <w:spacing w:line="240" w:lineRule="auto"/>
                    <w:rPr>
                      <w:rFonts w:eastAsia="Times New Roman"/>
                      <w:color w:val="000000"/>
                      <w:sz w:val="20"/>
                      <w:szCs w:val="20"/>
                      <w:lang w:eastAsia="pt-BR"/>
                    </w:rPr>
                  </w:pPr>
                </w:p>
              </w:tc>
              <w:tc>
                <w:tcPr>
                  <w:tcW w:w="863" w:type="dxa"/>
                  <w:tcBorders>
                    <w:top w:val="nil"/>
                    <w:left w:val="nil"/>
                    <w:bottom w:val="single" w:sz="4" w:space="0" w:color="auto"/>
                    <w:right w:val="single" w:sz="4" w:space="0" w:color="auto"/>
                  </w:tcBorders>
                  <w:shd w:val="clear" w:color="auto" w:fill="auto"/>
                  <w:vAlign w:val="center"/>
                  <w:hideMark/>
                </w:tcPr>
                <w:p w14:paraId="441DC62F"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Brancos</w:t>
                  </w:r>
                </w:p>
              </w:tc>
              <w:tc>
                <w:tcPr>
                  <w:tcW w:w="863" w:type="dxa"/>
                  <w:tcBorders>
                    <w:top w:val="nil"/>
                    <w:left w:val="nil"/>
                    <w:bottom w:val="single" w:sz="4" w:space="0" w:color="auto"/>
                    <w:right w:val="single" w:sz="4" w:space="0" w:color="auto"/>
                  </w:tcBorders>
                  <w:shd w:val="clear" w:color="auto" w:fill="auto"/>
                  <w:vAlign w:val="center"/>
                  <w:hideMark/>
                </w:tcPr>
                <w:p w14:paraId="4548D59C"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Pretos</w:t>
                  </w:r>
                </w:p>
              </w:tc>
              <w:tc>
                <w:tcPr>
                  <w:tcW w:w="863" w:type="dxa"/>
                  <w:tcBorders>
                    <w:top w:val="nil"/>
                    <w:left w:val="nil"/>
                    <w:bottom w:val="single" w:sz="4" w:space="0" w:color="auto"/>
                    <w:right w:val="single" w:sz="4" w:space="0" w:color="auto"/>
                  </w:tcBorders>
                  <w:shd w:val="clear" w:color="auto" w:fill="auto"/>
                  <w:vAlign w:val="center"/>
                  <w:hideMark/>
                </w:tcPr>
                <w:p w14:paraId="1637A807"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Pardos</w:t>
                  </w:r>
                </w:p>
              </w:tc>
              <w:tc>
                <w:tcPr>
                  <w:tcW w:w="901" w:type="dxa"/>
                  <w:tcBorders>
                    <w:top w:val="nil"/>
                    <w:left w:val="nil"/>
                    <w:bottom w:val="single" w:sz="4" w:space="0" w:color="auto"/>
                    <w:right w:val="single" w:sz="4" w:space="0" w:color="auto"/>
                  </w:tcBorders>
                  <w:shd w:val="clear" w:color="auto" w:fill="auto"/>
                  <w:vAlign w:val="center"/>
                  <w:hideMark/>
                </w:tcPr>
                <w:p w14:paraId="7035CCA9"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Amarelos</w:t>
                  </w:r>
                </w:p>
              </w:tc>
              <w:tc>
                <w:tcPr>
                  <w:tcW w:w="931" w:type="dxa"/>
                  <w:tcBorders>
                    <w:top w:val="nil"/>
                    <w:left w:val="nil"/>
                    <w:bottom w:val="single" w:sz="4" w:space="0" w:color="auto"/>
                    <w:right w:val="single" w:sz="4" w:space="0" w:color="auto"/>
                  </w:tcBorders>
                  <w:shd w:val="clear" w:color="auto" w:fill="auto"/>
                  <w:vAlign w:val="center"/>
                  <w:hideMark/>
                </w:tcPr>
                <w:p w14:paraId="5AF97178"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Indígenas</w:t>
                  </w:r>
                </w:p>
              </w:tc>
              <w:tc>
                <w:tcPr>
                  <w:tcW w:w="940" w:type="dxa"/>
                  <w:tcBorders>
                    <w:top w:val="nil"/>
                    <w:left w:val="nil"/>
                    <w:bottom w:val="single" w:sz="4" w:space="0" w:color="auto"/>
                    <w:right w:val="single" w:sz="4" w:space="0" w:color="auto"/>
                  </w:tcBorders>
                  <w:shd w:val="clear" w:color="auto" w:fill="auto"/>
                  <w:vAlign w:val="center"/>
                  <w:hideMark/>
                </w:tcPr>
                <w:p w14:paraId="2E82EF06"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Código 99</w:t>
                  </w:r>
                </w:p>
              </w:tc>
              <w:tc>
                <w:tcPr>
                  <w:tcW w:w="863" w:type="dxa"/>
                  <w:tcBorders>
                    <w:top w:val="nil"/>
                    <w:left w:val="nil"/>
                    <w:bottom w:val="single" w:sz="4" w:space="0" w:color="auto"/>
                    <w:right w:val="single" w:sz="4" w:space="0" w:color="auto"/>
                  </w:tcBorders>
                  <w:shd w:val="clear" w:color="auto" w:fill="auto"/>
                  <w:vAlign w:val="center"/>
                  <w:hideMark/>
                </w:tcPr>
                <w:p w14:paraId="70187844"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Negros</w:t>
                  </w:r>
                </w:p>
              </w:tc>
              <w:tc>
                <w:tcPr>
                  <w:tcW w:w="975" w:type="dxa"/>
                  <w:tcBorders>
                    <w:top w:val="nil"/>
                    <w:left w:val="nil"/>
                    <w:bottom w:val="single" w:sz="4" w:space="0" w:color="auto"/>
                    <w:right w:val="nil"/>
                  </w:tcBorders>
                  <w:shd w:val="clear" w:color="auto" w:fill="auto"/>
                  <w:vAlign w:val="center"/>
                  <w:hideMark/>
                </w:tcPr>
                <w:p w14:paraId="75CAC6A8" w14:textId="77777777" w:rsidR="00F55ECD" w:rsidRPr="00F55ECD" w:rsidRDefault="00F55ECD" w:rsidP="00F55ECD">
                  <w:pPr>
                    <w:suppressAutoHyphens w:val="0"/>
                    <w:spacing w:line="240" w:lineRule="auto"/>
                    <w:jc w:val="center"/>
                    <w:rPr>
                      <w:rFonts w:eastAsia="Times New Roman"/>
                      <w:color w:val="000000"/>
                      <w:sz w:val="18"/>
                      <w:szCs w:val="18"/>
                      <w:lang w:eastAsia="pt-BR"/>
                    </w:rPr>
                  </w:pPr>
                  <w:r w:rsidRPr="00F55ECD">
                    <w:rPr>
                      <w:rFonts w:eastAsia="Times New Roman"/>
                      <w:color w:val="000000"/>
                      <w:sz w:val="18"/>
                      <w:szCs w:val="18"/>
                      <w:lang w:eastAsia="pt-BR"/>
                    </w:rPr>
                    <w:t>RPB</w:t>
                  </w:r>
                </w:p>
              </w:tc>
            </w:tr>
            <w:tr w:rsidR="00F55ECD" w:rsidRPr="00F55ECD" w14:paraId="0491BF45"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093A0A42"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Mínimo</w:t>
                  </w:r>
                </w:p>
              </w:tc>
              <w:tc>
                <w:tcPr>
                  <w:tcW w:w="1141" w:type="dxa"/>
                  <w:tcBorders>
                    <w:top w:val="nil"/>
                    <w:left w:val="nil"/>
                    <w:bottom w:val="nil"/>
                    <w:right w:val="nil"/>
                  </w:tcBorders>
                  <w:shd w:val="clear" w:color="auto" w:fill="auto"/>
                  <w:noWrap/>
                  <w:vAlign w:val="center"/>
                  <w:hideMark/>
                </w:tcPr>
                <w:p w14:paraId="12A84BE3" w14:textId="77777777" w:rsidR="00F55ECD" w:rsidRPr="00F55ECD" w:rsidRDefault="00F55ECD" w:rsidP="006037B9">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8.953</w:t>
                  </w:r>
                </w:p>
              </w:tc>
              <w:tc>
                <w:tcPr>
                  <w:tcW w:w="863" w:type="dxa"/>
                  <w:tcBorders>
                    <w:top w:val="nil"/>
                    <w:left w:val="nil"/>
                    <w:bottom w:val="nil"/>
                    <w:right w:val="nil"/>
                  </w:tcBorders>
                  <w:shd w:val="clear" w:color="auto" w:fill="auto"/>
                  <w:noWrap/>
                  <w:vAlign w:val="center"/>
                  <w:hideMark/>
                </w:tcPr>
                <w:p w14:paraId="5D7408F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35,3771</w:t>
                  </w:r>
                </w:p>
              </w:tc>
              <w:tc>
                <w:tcPr>
                  <w:tcW w:w="863" w:type="dxa"/>
                  <w:tcBorders>
                    <w:top w:val="nil"/>
                    <w:left w:val="nil"/>
                    <w:bottom w:val="nil"/>
                    <w:right w:val="nil"/>
                  </w:tcBorders>
                  <w:shd w:val="clear" w:color="auto" w:fill="auto"/>
                  <w:noWrap/>
                  <w:vAlign w:val="center"/>
                  <w:hideMark/>
                </w:tcPr>
                <w:p w14:paraId="478A0E0E"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8,4664</w:t>
                  </w:r>
                </w:p>
              </w:tc>
              <w:tc>
                <w:tcPr>
                  <w:tcW w:w="863" w:type="dxa"/>
                  <w:tcBorders>
                    <w:top w:val="nil"/>
                    <w:left w:val="nil"/>
                    <w:bottom w:val="nil"/>
                    <w:right w:val="nil"/>
                  </w:tcBorders>
                  <w:shd w:val="clear" w:color="auto" w:fill="auto"/>
                  <w:noWrap/>
                  <w:vAlign w:val="center"/>
                  <w:hideMark/>
                </w:tcPr>
                <w:p w14:paraId="164A0CC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3,8646</w:t>
                  </w:r>
                </w:p>
              </w:tc>
              <w:tc>
                <w:tcPr>
                  <w:tcW w:w="901" w:type="dxa"/>
                  <w:tcBorders>
                    <w:top w:val="nil"/>
                    <w:left w:val="nil"/>
                    <w:bottom w:val="nil"/>
                    <w:right w:val="nil"/>
                  </w:tcBorders>
                  <w:shd w:val="clear" w:color="auto" w:fill="auto"/>
                  <w:noWrap/>
                  <w:vAlign w:val="center"/>
                  <w:hideMark/>
                </w:tcPr>
                <w:p w14:paraId="31D7D72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0,3894</w:t>
                  </w:r>
                </w:p>
              </w:tc>
              <w:tc>
                <w:tcPr>
                  <w:tcW w:w="931" w:type="dxa"/>
                  <w:tcBorders>
                    <w:top w:val="nil"/>
                    <w:left w:val="nil"/>
                    <w:bottom w:val="nil"/>
                    <w:right w:val="nil"/>
                  </w:tcBorders>
                  <w:shd w:val="clear" w:color="auto" w:fill="auto"/>
                  <w:noWrap/>
                  <w:vAlign w:val="center"/>
                  <w:hideMark/>
                </w:tcPr>
                <w:p w14:paraId="4066A061"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0,0000</w:t>
                  </w:r>
                </w:p>
              </w:tc>
              <w:tc>
                <w:tcPr>
                  <w:tcW w:w="940" w:type="dxa"/>
                  <w:tcBorders>
                    <w:top w:val="nil"/>
                    <w:left w:val="nil"/>
                    <w:bottom w:val="nil"/>
                    <w:right w:val="nil"/>
                  </w:tcBorders>
                  <w:shd w:val="clear" w:color="auto" w:fill="auto"/>
                  <w:noWrap/>
                  <w:vAlign w:val="center"/>
                  <w:hideMark/>
                </w:tcPr>
                <w:p w14:paraId="3C238A9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0,0000</w:t>
                  </w:r>
                </w:p>
              </w:tc>
              <w:tc>
                <w:tcPr>
                  <w:tcW w:w="863" w:type="dxa"/>
                  <w:tcBorders>
                    <w:top w:val="nil"/>
                    <w:left w:val="nil"/>
                    <w:bottom w:val="nil"/>
                    <w:right w:val="nil"/>
                  </w:tcBorders>
                  <w:shd w:val="clear" w:color="auto" w:fill="auto"/>
                  <w:noWrap/>
                  <w:vAlign w:val="center"/>
                  <w:hideMark/>
                </w:tcPr>
                <w:p w14:paraId="3A87DB01"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12,3311</w:t>
                  </w:r>
                </w:p>
              </w:tc>
              <w:tc>
                <w:tcPr>
                  <w:tcW w:w="975" w:type="dxa"/>
                  <w:tcBorders>
                    <w:top w:val="nil"/>
                    <w:left w:val="nil"/>
                    <w:bottom w:val="nil"/>
                    <w:right w:val="nil"/>
                  </w:tcBorders>
                  <w:shd w:val="clear" w:color="auto" w:fill="auto"/>
                  <w:noWrap/>
                  <w:vAlign w:val="center"/>
                  <w:hideMark/>
                </w:tcPr>
                <w:p w14:paraId="08E998A6"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8,4124</w:t>
                  </w:r>
                </w:p>
              </w:tc>
            </w:tr>
            <w:tr w:rsidR="00F55ECD" w:rsidRPr="00F55ECD" w14:paraId="7D190F8C"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66637EEC"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1. quartil</w:t>
                  </w:r>
                </w:p>
              </w:tc>
              <w:tc>
                <w:tcPr>
                  <w:tcW w:w="1141" w:type="dxa"/>
                  <w:tcBorders>
                    <w:top w:val="nil"/>
                    <w:left w:val="nil"/>
                    <w:bottom w:val="nil"/>
                    <w:right w:val="nil"/>
                  </w:tcBorders>
                  <w:shd w:val="clear" w:color="auto" w:fill="auto"/>
                  <w:noWrap/>
                  <w:vAlign w:val="center"/>
                  <w:hideMark/>
                </w:tcPr>
                <w:p w14:paraId="1209212B"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14.656</w:t>
                  </w:r>
                </w:p>
              </w:tc>
              <w:tc>
                <w:tcPr>
                  <w:tcW w:w="863" w:type="dxa"/>
                  <w:tcBorders>
                    <w:top w:val="nil"/>
                    <w:left w:val="nil"/>
                    <w:bottom w:val="nil"/>
                    <w:right w:val="nil"/>
                  </w:tcBorders>
                  <w:shd w:val="clear" w:color="auto" w:fill="auto"/>
                  <w:noWrap/>
                  <w:vAlign w:val="center"/>
                  <w:hideMark/>
                </w:tcPr>
                <w:p w14:paraId="034A24A6"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41,6222</w:t>
                  </w:r>
                </w:p>
              </w:tc>
              <w:tc>
                <w:tcPr>
                  <w:tcW w:w="863" w:type="dxa"/>
                  <w:tcBorders>
                    <w:top w:val="nil"/>
                    <w:left w:val="nil"/>
                    <w:bottom w:val="nil"/>
                    <w:right w:val="nil"/>
                  </w:tcBorders>
                  <w:shd w:val="clear" w:color="auto" w:fill="auto"/>
                  <w:noWrap/>
                  <w:vAlign w:val="center"/>
                  <w:hideMark/>
                </w:tcPr>
                <w:p w14:paraId="4E6CA65B"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11,8127</w:t>
                  </w:r>
                </w:p>
              </w:tc>
              <w:tc>
                <w:tcPr>
                  <w:tcW w:w="863" w:type="dxa"/>
                  <w:tcBorders>
                    <w:top w:val="nil"/>
                    <w:left w:val="nil"/>
                    <w:bottom w:val="nil"/>
                    <w:right w:val="nil"/>
                  </w:tcBorders>
                  <w:shd w:val="clear" w:color="auto" w:fill="auto"/>
                  <w:noWrap/>
                  <w:vAlign w:val="center"/>
                  <w:hideMark/>
                </w:tcPr>
                <w:p w14:paraId="3936D7C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20,3446</w:t>
                  </w:r>
                </w:p>
              </w:tc>
              <w:tc>
                <w:tcPr>
                  <w:tcW w:w="901" w:type="dxa"/>
                  <w:tcBorders>
                    <w:top w:val="nil"/>
                    <w:left w:val="nil"/>
                    <w:bottom w:val="nil"/>
                    <w:right w:val="nil"/>
                  </w:tcBorders>
                  <w:shd w:val="clear" w:color="auto" w:fill="auto"/>
                  <w:noWrap/>
                  <w:vAlign w:val="center"/>
                  <w:hideMark/>
                </w:tcPr>
                <w:p w14:paraId="08012BF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0,7531</w:t>
                  </w:r>
                </w:p>
              </w:tc>
              <w:tc>
                <w:tcPr>
                  <w:tcW w:w="931" w:type="dxa"/>
                  <w:tcBorders>
                    <w:top w:val="nil"/>
                    <w:left w:val="nil"/>
                    <w:bottom w:val="nil"/>
                    <w:right w:val="nil"/>
                  </w:tcBorders>
                  <w:shd w:val="clear" w:color="auto" w:fill="auto"/>
                  <w:noWrap/>
                  <w:vAlign w:val="center"/>
                  <w:hideMark/>
                </w:tcPr>
                <w:p w14:paraId="300146F4"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0,0000</w:t>
                  </w:r>
                </w:p>
              </w:tc>
              <w:tc>
                <w:tcPr>
                  <w:tcW w:w="940" w:type="dxa"/>
                  <w:tcBorders>
                    <w:top w:val="nil"/>
                    <w:left w:val="nil"/>
                    <w:bottom w:val="nil"/>
                    <w:right w:val="nil"/>
                  </w:tcBorders>
                  <w:shd w:val="clear" w:color="auto" w:fill="auto"/>
                  <w:noWrap/>
                  <w:vAlign w:val="center"/>
                  <w:hideMark/>
                </w:tcPr>
                <w:p w14:paraId="3C0BC167"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7,4997</w:t>
                  </w:r>
                </w:p>
              </w:tc>
              <w:tc>
                <w:tcPr>
                  <w:tcW w:w="863" w:type="dxa"/>
                  <w:tcBorders>
                    <w:top w:val="nil"/>
                    <w:left w:val="nil"/>
                    <w:bottom w:val="nil"/>
                    <w:right w:val="nil"/>
                  </w:tcBorders>
                  <w:shd w:val="clear" w:color="auto" w:fill="auto"/>
                  <w:noWrap/>
                  <w:vAlign w:val="center"/>
                  <w:hideMark/>
                </w:tcPr>
                <w:p w14:paraId="2A076031"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34,4040</w:t>
                  </w:r>
                </w:p>
              </w:tc>
              <w:tc>
                <w:tcPr>
                  <w:tcW w:w="975" w:type="dxa"/>
                  <w:tcBorders>
                    <w:top w:val="nil"/>
                    <w:left w:val="nil"/>
                    <w:bottom w:val="nil"/>
                    <w:right w:val="nil"/>
                  </w:tcBorders>
                  <w:shd w:val="clear" w:color="auto" w:fill="auto"/>
                  <w:noWrap/>
                  <w:vAlign w:val="center"/>
                  <w:hideMark/>
                </w:tcPr>
                <w:p w14:paraId="7801EE1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35,9825</w:t>
                  </w:r>
                </w:p>
              </w:tc>
            </w:tr>
            <w:tr w:rsidR="00F55ECD" w:rsidRPr="00F55ECD" w14:paraId="7F56B23D"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45766A77"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Mediana</w:t>
                  </w:r>
                </w:p>
              </w:tc>
              <w:tc>
                <w:tcPr>
                  <w:tcW w:w="1141" w:type="dxa"/>
                  <w:tcBorders>
                    <w:top w:val="nil"/>
                    <w:left w:val="nil"/>
                    <w:bottom w:val="nil"/>
                    <w:right w:val="nil"/>
                  </w:tcBorders>
                  <w:shd w:val="clear" w:color="auto" w:fill="auto"/>
                  <w:noWrap/>
                  <w:vAlign w:val="center"/>
                  <w:hideMark/>
                </w:tcPr>
                <w:p w14:paraId="6ADF33C4"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17.879</w:t>
                  </w:r>
                </w:p>
              </w:tc>
              <w:tc>
                <w:tcPr>
                  <w:tcW w:w="863" w:type="dxa"/>
                  <w:tcBorders>
                    <w:top w:val="nil"/>
                    <w:left w:val="nil"/>
                    <w:bottom w:val="nil"/>
                    <w:right w:val="nil"/>
                  </w:tcBorders>
                  <w:shd w:val="clear" w:color="auto" w:fill="auto"/>
                  <w:noWrap/>
                  <w:vAlign w:val="center"/>
                  <w:hideMark/>
                </w:tcPr>
                <w:p w14:paraId="0FD1CC8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49,4682</w:t>
                  </w:r>
                </w:p>
              </w:tc>
              <w:tc>
                <w:tcPr>
                  <w:tcW w:w="863" w:type="dxa"/>
                  <w:tcBorders>
                    <w:top w:val="nil"/>
                    <w:left w:val="nil"/>
                    <w:bottom w:val="nil"/>
                    <w:right w:val="nil"/>
                  </w:tcBorders>
                  <w:shd w:val="clear" w:color="auto" w:fill="auto"/>
                  <w:noWrap/>
                  <w:vAlign w:val="center"/>
                  <w:hideMark/>
                </w:tcPr>
                <w:p w14:paraId="7EA1423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12,4323</w:t>
                  </w:r>
                </w:p>
              </w:tc>
              <w:tc>
                <w:tcPr>
                  <w:tcW w:w="863" w:type="dxa"/>
                  <w:tcBorders>
                    <w:top w:val="nil"/>
                    <w:left w:val="nil"/>
                    <w:bottom w:val="nil"/>
                    <w:right w:val="nil"/>
                  </w:tcBorders>
                  <w:shd w:val="clear" w:color="auto" w:fill="auto"/>
                  <w:noWrap/>
                  <w:vAlign w:val="center"/>
                  <w:hideMark/>
                </w:tcPr>
                <w:p w14:paraId="0B7647F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27,2524</w:t>
                  </w:r>
                </w:p>
              </w:tc>
              <w:tc>
                <w:tcPr>
                  <w:tcW w:w="901" w:type="dxa"/>
                  <w:tcBorders>
                    <w:top w:val="nil"/>
                    <w:left w:val="nil"/>
                    <w:bottom w:val="nil"/>
                    <w:right w:val="nil"/>
                  </w:tcBorders>
                  <w:shd w:val="clear" w:color="auto" w:fill="auto"/>
                  <w:noWrap/>
                  <w:vAlign w:val="center"/>
                  <w:hideMark/>
                </w:tcPr>
                <w:p w14:paraId="53B4B99B"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1,2057</w:t>
                  </w:r>
                </w:p>
              </w:tc>
              <w:tc>
                <w:tcPr>
                  <w:tcW w:w="931" w:type="dxa"/>
                  <w:tcBorders>
                    <w:top w:val="nil"/>
                    <w:left w:val="nil"/>
                    <w:bottom w:val="nil"/>
                    <w:right w:val="nil"/>
                  </w:tcBorders>
                  <w:shd w:val="clear" w:color="auto" w:fill="auto"/>
                  <w:noWrap/>
                  <w:vAlign w:val="center"/>
                  <w:hideMark/>
                </w:tcPr>
                <w:p w14:paraId="5741637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0,0059</w:t>
                  </w:r>
                </w:p>
              </w:tc>
              <w:tc>
                <w:tcPr>
                  <w:tcW w:w="940" w:type="dxa"/>
                  <w:tcBorders>
                    <w:top w:val="nil"/>
                    <w:left w:val="nil"/>
                    <w:bottom w:val="nil"/>
                    <w:right w:val="nil"/>
                  </w:tcBorders>
                  <w:shd w:val="clear" w:color="auto" w:fill="auto"/>
                  <w:noWrap/>
                  <w:vAlign w:val="center"/>
                  <w:hideMark/>
                </w:tcPr>
                <w:p w14:paraId="0290FB16"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9,9646</w:t>
                  </w:r>
                </w:p>
              </w:tc>
              <w:tc>
                <w:tcPr>
                  <w:tcW w:w="863" w:type="dxa"/>
                  <w:tcBorders>
                    <w:top w:val="nil"/>
                    <w:left w:val="nil"/>
                    <w:bottom w:val="nil"/>
                    <w:right w:val="nil"/>
                  </w:tcBorders>
                  <w:shd w:val="clear" w:color="auto" w:fill="auto"/>
                  <w:noWrap/>
                  <w:vAlign w:val="center"/>
                  <w:hideMark/>
                </w:tcPr>
                <w:p w14:paraId="0EFD3956"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39,8640</w:t>
                  </w:r>
                </w:p>
              </w:tc>
              <w:tc>
                <w:tcPr>
                  <w:tcW w:w="975" w:type="dxa"/>
                  <w:tcBorders>
                    <w:top w:val="nil"/>
                    <w:left w:val="nil"/>
                    <w:bottom w:val="nil"/>
                    <w:right w:val="nil"/>
                  </w:tcBorders>
                  <w:shd w:val="clear" w:color="auto" w:fill="auto"/>
                  <w:noWrap/>
                  <w:vAlign w:val="center"/>
                  <w:hideMark/>
                </w:tcPr>
                <w:p w14:paraId="238D5085"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54,9936</w:t>
                  </w:r>
                </w:p>
              </w:tc>
            </w:tr>
            <w:tr w:rsidR="00F55ECD" w:rsidRPr="00F55ECD" w14:paraId="0AD49AAB"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3C00C9A4"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Média</w:t>
                  </w:r>
                </w:p>
              </w:tc>
              <w:tc>
                <w:tcPr>
                  <w:tcW w:w="1141" w:type="dxa"/>
                  <w:tcBorders>
                    <w:top w:val="nil"/>
                    <w:left w:val="nil"/>
                    <w:bottom w:val="nil"/>
                    <w:right w:val="nil"/>
                  </w:tcBorders>
                  <w:shd w:val="clear" w:color="auto" w:fill="auto"/>
                  <w:noWrap/>
                  <w:vAlign w:val="center"/>
                  <w:hideMark/>
                </w:tcPr>
                <w:p w14:paraId="05447F9C"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18.906</w:t>
                  </w:r>
                </w:p>
              </w:tc>
              <w:tc>
                <w:tcPr>
                  <w:tcW w:w="863" w:type="dxa"/>
                  <w:tcBorders>
                    <w:top w:val="nil"/>
                    <w:left w:val="nil"/>
                    <w:bottom w:val="nil"/>
                    <w:right w:val="nil"/>
                  </w:tcBorders>
                  <w:shd w:val="clear" w:color="auto" w:fill="auto"/>
                  <w:noWrap/>
                  <w:vAlign w:val="center"/>
                  <w:hideMark/>
                </w:tcPr>
                <w:p w14:paraId="2FE02DC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48,6056</w:t>
                  </w:r>
                </w:p>
              </w:tc>
              <w:tc>
                <w:tcPr>
                  <w:tcW w:w="863" w:type="dxa"/>
                  <w:tcBorders>
                    <w:top w:val="nil"/>
                    <w:left w:val="nil"/>
                    <w:bottom w:val="nil"/>
                    <w:right w:val="nil"/>
                  </w:tcBorders>
                  <w:shd w:val="clear" w:color="auto" w:fill="auto"/>
                  <w:noWrap/>
                  <w:vAlign w:val="center"/>
                  <w:hideMark/>
                </w:tcPr>
                <w:p w14:paraId="46492EA4"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12,9917</w:t>
                  </w:r>
                </w:p>
              </w:tc>
              <w:tc>
                <w:tcPr>
                  <w:tcW w:w="863" w:type="dxa"/>
                  <w:tcBorders>
                    <w:top w:val="nil"/>
                    <w:left w:val="nil"/>
                    <w:bottom w:val="nil"/>
                    <w:right w:val="nil"/>
                  </w:tcBorders>
                  <w:shd w:val="clear" w:color="auto" w:fill="auto"/>
                  <w:noWrap/>
                  <w:vAlign w:val="center"/>
                  <w:hideMark/>
                </w:tcPr>
                <w:p w14:paraId="008F336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26,9634</w:t>
                  </w:r>
                </w:p>
              </w:tc>
              <w:tc>
                <w:tcPr>
                  <w:tcW w:w="901" w:type="dxa"/>
                  <w:tcBorders>
                    <w:top w:val="nil"/>
                    <w:left w:val="nil"/>
                    <w:bottom w:val="nil"/>
                    <w:right w:val="nil"/>
                  </w:tcBorders>
                  <w:shd w:val="clear" w:color="auto" w:fill="auto"/>
                  <w:noWrap/>
                  <w:vAlign w:val="center"/>
                  <w:hideMark/>
                </w:tcPr>
                <w:p w14:paraId="10B2D60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1,7045</w:t>
                  </w:r>
                </w:p>
              </w:tc>
              <w:tc>
                <w:tcPr>
                  <w:tcW w:w="931" w:type="dxa"/>
                  <w:tcBorders>
                    <w:top w:val="nil"/>
                    <w:left w:val="nil"/>
                    <w:bottom w:val="nil"/>
                    <w:right w:val="nil"/>
                  </w:tcBorders>
                  <w:shd w:val="clear" w:color="auto" w:fill="auto"/>
                  <w:noWrap/>
                  <w:vAlign w:val="center"/>
                  <w:hideMark/>
                </w:tcPr>
                <w:p w14:paraId="37C87599"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0,0067</w:t>
                  </w:r>
                </w:p>
              </w:tc>
              <w:tc>
                <w:tcPr>
                  <w:tcW w:w="940" w:type="dxa"/>
                  <w:tcBorders>
                    <w:top w:val="nil"/>
                    <w:left w:val="nil"/>
                    <w:bottom w:val="nil"/>
                    <w:right w:val="nil"/>
                  </w:tcBorders>
                  <w:shd w:val="clear" w:color="auto" w:fill="auto"/>
                  <w:noWrap/>
                  <w:vAlign w:val="center"/>
                  <w:hideMark/>
                </w:tcPr>
                <w:p w14:paraId="20544B6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9,7281</w:t>
                  </w:r>
                </w:p>
              </w:tc>
              <w:tc>
                <w:tcPr>
                  <w:tcW w:w="863" w:type="dxa"/>
                  <w:tcBorders>
                    <w:top w:val="nil"/>
                    <w:left w:val="nil"/>
                    <w:bottom w:val="nil"/>
                    <w:right w:val="nil"/>
                  </w:tcBorders>
                  <w:shd w:val="clear" w:color="auto" w:fill="auto"/>
                  <w:noWrap/>
                  <w:vAlign w:val="center"/>
                  <w:hideMark/>
                </w:tcPr>
                <w:p w14:paraId="5CDCB3D5"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39,9551</w:t>
                  </w:r>
                </w:p>
              </w:tc>
              <w:tc>
                <w:tcPr>
                  <w:tcW w:w="975" w:type="dxa"/>
                  <w:tcBorders>
                    <w:top w:val="nil"/>
                    <w:left w:val="nil"/>
                    <w:bottom w:val="nil"/>
                    <w:right w:val="nil"/>
                  </w:tcBorders>
                  <w:shd w:val="clear" w:color="auto" w:fill="auto"/>
                  <w:noWrap/>
                  <w:vAlign w:val="center"/>
                  <w:hideMark/>
                </w:tcPr>
                <w:p w14:paraId="19EBEC4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58,9704</w:t>
                  </w:r>
                </w:p>
              </w:tc>
            </w:tr>
            <w:tr w:rsidR="00F55ECD" w:rsidRPr="00F55ECD" w14:paraId="704A27A0"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193E460D"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3. quartil</w:t>
                  </w:r>
                </w:p>
              </w:tc>
              <w:tc>
                <w:tcPr>
                  <w:tcW w:w="1141" w:type="dxa"/>
                  <w:tcBorders>
                    <w:top w:val="nil"/>
                    <w:left w:val="nil"/>
                    <w:bottom w:val="nil"/>
                    <w:right w:val="nil"/>
                  </w:tcBorders>
                  <w:shd w:val="clear" w:color="auto" w:fill="auto"/>
                  <w:noWrap/>
                  <w:vAlign w:val="center"/>
                  <w:hideMark/>
                </w:tcPr>
                <w:p w14:paraId="05120F7B"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23.277</w:t>
                  </w:r>
                </w:p>
              </w:tc>
              <w:tc>
                <w:tcPr>
                  <w:tcW w:w="863" w:type="dxa"/>
                  <w:tcBorders>
                    <w:top w:val="nil"/>
                    <w:left w:val="nil"/>
                    <w:bottom w:val="nil"/>
                    <w:right w:val="nil"/>
                  </w:tcBorders>
                  <w:shd w:val="clear" w:color="auto" w:fill="auto"/>
                  <w:noWrap/>
                  <w:vAlign w:val="center"/>
                  <w:hideMark/>
                </w:tcPr>
                <w:p w14:paraId="20E8A259"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54,1907</w:t>
                  </w:r>
                </w:p>
              </w:tc>
              <w:tc>
                <w:tcPr>
                  <w:tcW w:w="863" w:type="dxa"/>
                  <w:tcBorders>
                    <w:top w:val="nil"/>
                    <w:left w:val="nil"/>
                    <w:bottom w:val="nil"/>
                    <w:right w:val="nil"/>
                  </w:tcBorders>
                  <w:shd w:val="clear" w:color="auto" w:fill="auto"/>
                  <w:noWrap/>
                  <w:vAlign w:val="center"/>
                  <w:hideMark/>
                </w:tcPr>
                <w:p w14:paraId="17A900C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14,4716</w:t>
                  </w:r>
                </w:p>
              </w:tc>
              <w:tc>
                <w:tcPr>
                  <w:tcW w:w="863" w:type="dxa"/>
                  <w:tcBorders>
                    <w:top w:val="nil"/>
                    <w:left w:val="nil"/>
                    <w:bottom w:val="nil"/>
                    <w:right w:val="nil"/>
                  </w:tcBorders>
                  <w:shd w:val="clear" w:color="auto" w:fill="auto"/>
                  <w:noWrap/>
                  <w:vAlign w:val="center"/>
                  <w:hideMark/>
                </w:tcPr>
                <w:p w14:paraId="4990BBD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31,4315</w:t>
                  </w:r>
                </w:p>
              </w:tc>
              <w:tc>
                <w:tcPr>
                  <w:tcW w:w="901" w:type="dxa"/>
                  <w:tcBorders>
                    <w:top w:val="nil"/>
                    <w:left w:val="nil"/>
                    <w:bottom w:val="nil"/>
                    <w:right w:val="nil"/>
                  </w:tcBorders>
                  <w:shd w:val="clear" w:color="auto" w:fill="auto"/>
                  <w:noWrap/>
                  <w:vAlign w:val="center"/>
                  <w:hideMark/>
                </w:tcPr>
                <w:p w14:paraId="50825116"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1,6738</w:t>
                  </w:r>
                </w:p>
              </w:tc>
              <w:tc>
                <w:tcPr>
                  <w:tcW w:w="931" w:type="dxa"/>
                  <w:tcBorders>
                    <w:top w:val="nil"/>
                    <w:left w:val="nil"/>
                    <w:bottom w:val="nil"/>
                    <w:right w:val="nil"/>
                  </w:tcBorders>
                  <w:shd w:val="clear" w:color="auto" w:fill="auto"/>
                  <w:noWrap/>
                  <w:vAlign w:val="center"/>
                  <w:hideMark/>
                </w:tcPr>
                <w:p w14:paraId="326DA51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0,0105</w:t>
                  </w:r>
                </w:p>
              </w:tc>
              <w:tc>
                <w:tcPr>
                  <w:tcW w:w="940" w:type="dxa"/>
                  <w:tcBorders>
                    <w:top w:val="nil"/>
                    <w:left w:val="nil"/>
                    <w:bottom w:val="nil"/>
                    <w:right w:val="nil"/>
                  </w:tcBorders>
                  <w:shd w:val="clear" w:color="auto" w:fill="auto"/>
                  <w:noWrap/>
                  <w:vAlign w:val="center"/>
                  <w:hideMark/>
                </w:tcPr>
                <w:p w14:paraId="3364277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12,2529</w:t>
                  </w:r>
                </w:p>
              </w:tc>
              <w:tc>
                <w:tcPr>
                  <w:tcW w:w="863" w:type="dxa"/>
                  <w:tcBorders>
                    <w:top w:val="nil"/>
                    <w:left w:val="nil"/>
                    <w:bottom w:val="nil"/>
                    <w:right w:val="nil"/>
                  </w:tcBorders>
                  <w:shd w:val="clear" w:color="auto" w:fill="auto"/>
                  <w:noWrap/>
                  <w:vAlign w:val="center"/>
                  <w:hideMark/>
                </w:tcPr>
                <w:p w14:paraId="244C047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43,4692</w:t>
                  </w:r>
                </w:p>
              </w:tc>
              <w:tc>
                <w:tcPr>
                  <w:tcW w:w="975" w:type="dxa"/>
                  <w:tcBorders>
                    <w:top w:val="nil"/>
                    <w:left w:val="nil"/>
                    <w:bottom w:val="nil"/>
                    <w:right w:val="nil"/>
                  </w:tcBorders>
                  <w:shd w:val="clear" w:color="auto" w:fill="auto"/>
                  <w:noWrap/>
                  <w:vAlign w:val="center"/>
                  <w:hideMark/>
                </w:tcPr>
                <w:p w14:paraId="1352F33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73,7426</w:t>
                  </w:r>
                </w:p>
              </w:tc>
            </w:tr>
            <w:tr w:rsidR="00F55ECD" w:rsidRPr="00F55ECD" w14:paraId="4437124C"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67DF155E"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Máximo</w:t>
                  </w:r>
                </w:p>
              </w:tc>
              <w:tc>
                <w:tcPr>
                  <w:tcW w:w="1141" w:type="dxa"/>
                  <w:tcBorders>
                    <w:top w:val="nil"/>
                    <w:left w:val="nil"/>
                    <w:bottom w:val="nil"/>
                    <w:right w:val="nil"/>
                  </w:tcBorders>
                  <w:shd w:val="clear" w:color="auto" w:fill="auto"/>
                  <w:noWrap/>
                  <w:vAlign w:val="center"/>
                  <w:hideMark/>
                </w:tcPr>
                <w:p w14:paraId="744394E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30.413</w:t>
                  </w:r>
                </w:p>
              </w:tc>
              <w:tc>
                <w:tcPr>
                  <w:tcW w:w="863" w:type="dxa"/>
                  <w:tcBorders>
                    <w:top w:val="nil"/>
                    <w:left w:val="nil"/>
                    <w:bottom w:val="nil"/>
                    <w:right w:val="nil"/>
                  </w:tcBorders>
                  <w:shd w:val="clear" w:color="auto" w:fill="auto"/>
                  <w:noWrap/>
                  <w:vAlign w:val="center"/>
                  <w:hideMark/>
                </w:tcPr>
                <w:p w14:paraId="5FB384DB"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60,9785</w:t>
                  </w:r>
                </w:p>
              </w:tc>
              <w:tc>
                <w:tcPr>
                  <w:tcW w:w="863" w:type="dxa"/>
                  <w:tcBorders>
                    <w:top w:val="nil"/>
                    <w:left w:val="nil"/>
                    <w:bottom w:val="nil"/>
                    <w:right w:val="nil"/>
                  </w:tcBorders>
                  <w:shd w:val="clear" w:color="auto" w:fill="auto"/>
                  <w:noWrap/>
                  <w:vAlign w:val="center"/>
                  <w:hideMark/>
                </w:tcPr>
                <w:p w14:paraId="04FCAEF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19,6402</w:t>
                  </w:r>
                </w:p>
              </w:tc>
              <w:tc>
                <w:tcPr>
                  <w:tcW w:w="863" w:type="dxa"/>
                  <w:tcBorders>
                    <w:top w:val="nil"/>
                    <w:left w:val="nil"/>
                    <w:bottom w:val="nil"/>
                    <w:right w:val="nil"/>
                  </w:tcBorders>
                  <w:shd w:val="clear" w:color="auto" w:fill="auto"/>
                  <w:noWrap/>
                  <w:vAlign w:val="center"/>
                  <w:hideMark/>
                </w:tcPr>
                <w:p w14:paraId="6CD1C2D3"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45,3345</w:t>
                  </w:r>
                </w:p>
              </w:tc>
              <w:tc>
                <w:tcPr>
                  <w:tcW w:w="901" w:type="dxa"/>
                  <w:tcBorders>
                    <w:top w:val="nil"/>
                    <w:left w:val="nil"/>
                    <w:bottom w:val="nil"/>
                    <w:right w:val="nil"/>
                  </w:tcBorders>
                  <w:shd w:val="clear" w:color="auto" w:fill="auto"/>
                  <w:noWrap/>
                  <w:vAlign w:val="center"/>
                  <w:hideMark/>
                </w:tcPr>
                <w:p w14:paraId="462C0B3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12,1747</w:t>
                  </w:r>
                </w:p>
              </w:tc>
              <w:tc>
                <w:tcPr>
                  <w:tcW w:w="931" w:type="dxa"/>
                  <w:tcBorders>
                    <w:top w:val="nil"/>
                    <w:left w:val="nil"/>
                    <w:bottom w:val="nil"/>
                    <w:right w:val="nil"/>
                  </w:tcBorders>
                  <w:shd w:val="clear" w:color="auto" w:fill="auto"/>
                  <w:noWrap/>
                  <w:vAlign w:val="center"/>
                  <w:hideMark/>
                </w:tcPr>
                <w:p w14:paraId="22B732D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0,0429</w:t>
                  </w:r>
                </w:p>
              </w:tc>
              <w:tc>
                <w:tcPr>
                  <w:tcW w:w="940" w:type="dxa"/>
                  <w:tcBorders>
                    <w:top w:val="nil"/>
                    <w:left w:val="nil"/>
                    <w:bottom w:val="nil"/>
                    <w:right w:val="nil"/>
                  </w:tcBorders>
                  <w:shd w:val="clear" w:color="auto" w:fill="auto"/>
                  <w:noWrap/>
                  <w:vAlign w:val="center"/>
                  <w:hideMark/>
                </w:tcPr>
                <w:p w14:paraId="69265797"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29,5432</w:t>
                  </w:r>
                </w:p>
              </w:tc>
              <w:tc>
                <w:tcPr>
                  <w:tcW w:w="863" w:type="dxa"/>
                  <w:tcBorders>
                    <w:top w:val="nil"/>
                    <w:left w:val="nil"/>
                    <w:bottom w:val="nil"/>
                    <w:right w:val="nil"/>
                  </w:tcBorders>
                  <w:shd w:val="clear" w:color="auto" w:fill="auto"/>
                  <w:noWrap/>
                  <w:vAlign w:val="center"/>
                  <w:hideMark/>
                </w:tcPr>
                <w:p w14:paraId="7EFB34DC"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59,6030</w:t>
                  </w:r>
                </w:p>
              </w:tc>
              <w:tc>
                <w:tcPr>
                  <w:tcW w:w="975" w:type="dxa"/>
                  <w:tcBorders>
                    <w:top w:val="nil"/>
                    <w:left w:val="nil"/>
                    <w:bottom w:val="nil"/>
                    <w:right w:val="nil"/>
                  </w:tcBorders>
                  <w:shd w:val="clear" w:color="auto" w:fill="auto"/>
                  <w:noWrap/>
                  <w:vAlign w:val="center"/>
                  <w:hideMark/>
                </w:tcPr>
                <w:p w14:paraId="0627E98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128,1466</w:t>
                  </w:r>
                </w:p>
              </w:tc>
            </w:tr>
            <w:tr w:rsidR="00F55ECD" w:rsidRPr="00F55ECD" w14:paraId="5313E98C"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0FC5CC2C"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Desvio padrão</w:t>
                  </w:r>
                </w:p>
              </w:tc>
              <w:tc>
                <w:tcPr>
                  <w:tcW w:w="1141" w:type="dxa"/>
                  <w:tcBorders>
                    <w:top w:val="nil"/>
                    <w:left w:val="nil"/>
                    <w:bottom w:val="nil"/>
                    <w:right w:val="nil"/>
                  </w:tcBorders>
                  <w:shd w:val="clear" w:color="auto" w:fill="auto"/>
                  <w:noWrap/>
                  <w:vAlign w:val="center"/>
                  <w:hideMark/>
                </w:tcPr>
                <w:p w14:paraId="3236704E"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5.355,6140</w:t>
                  </w:r>
                </w:p>
              </w:tc>
              <w:tc>
                <w:tcPr>
                  <w:tcW w:w="863" w:type="dxa"/>
                  <w:tcBorders>
                    <w:top w:val="nil"/>
                    <w:left w:val="nil"/>
                    <w:bottom w:val="nil"/>
                    <w:right w:val="nil"/>
                  </w:tcBorders>
                  <w:shd w:val="clear" w:color="auto" w:fill="auto"/>
                  <w:noWrap/>
                  <w:vAlign w:val="center"/>
                  <w:hideMark/>
                </w:tcPr>
                <w:p w14:paraId="6D7F1C47"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7,2470</w:t>
                  </w:r>
                </w:p>
              </w:tc>
              <w:tc>
                <w:tcPr>
                  <w:tcW w:w="863" w:type="dxa"/>
                  <w:tcBorders>
                    <w:top w:val="nil"/>
                    <w:left w:val="nil"/>
                    <w:bottom w:val="nil"/>
                    <w:right w:val="nil"/>
                  </w:tcBorders>
                  <w:shd w:val="clear" w:color="auto" w:fill="auto"/>
                  <w:noWrap/>
                  <w:vAlign w:val="center"/>
                  <w:hideMark/>
                </w:tcPr>
                <w:p w14:paraId="406CB59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1,7041</w:t>
                  </w:r>
                </w:p>
              </w:tc>
              <w:tc>
                <w:tcPr>
                  <w:tcW w:w="863" w:type="dxa"/>
                  <w:tcBorders>
                    <w:top w:val="nil"/>
                    <w:left w:val="nil"/>
                    <w:bottom w:val="nil"/>
                    <w:right w:val="nil"/>
                  </w:tcBorders>
                  <w:shd w:val="clear" w:color="auto" w:fill="auto"/>
                  <w:noWrap/>
                  <w:vAlign w:val="center"/>
                  <w:hideMark/>
                </w:tcPr>
                <w:p w14:paraId="258068E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8,2053</w:t>
                  </w:r>
                </w:p>
              </w:tc>
              <w:tc>
                <w:tcPr>
                  <w:tcW w:w="901" w:type="dxa"/>
                  <w:tcBorders>
                    <w:top w:val="nil"/>
                    <w:left w:val="nil"/>
                    <w:bottom w:val="nil"/>
                    <w:right w:val="nil"/>
                  </w:tcBorders>
                  <w:shd w:val="clear" w:color="auto" w:fill="auto"/>
                  <w:noWrap/>
                  <w:vAlign w:val="center"/>
                  <w:hideMark/>
                </w:tcPr>
                <w:p w14:paraId="4A45657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1,9078</w:t>
                  </w:r>
                </w:p>
              </w:tc>
              <w:tc>
                <w:tcPr>
                  <w:tcW w:w="931" w:type="dxa"/>
                  <w:tcBorders>
                    <w:top w:val="nil"/>
                    <w:left w:val="nil"/>
                    <w:bottom w:val="nil"/>
                    <w:right w:val="nil"/>
                  </w:tcBorders>
                  <w:shd w:val="clear" w:color="auto" w:fill="auto"/>
                  <w:noWrap/>
                  <w:vAlign w:val="center"/>
                  <w:hideMark/>
                </w:tcPr>
                <w:p w14:paraId="6351A61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0,0074</w:t>
                  </w:r>
                </w:p>
              </w:tc>
              <w:tc>
                <w:tcPr>
                  <w:tcW w:w="940" w:type="dxa"/>
                  <w:tcBorders>
                    <w:top w:val="nil"/>
                    <w:left w:val="nil"/>
                    <w:bottom w:val="nil"/>
                    <w:right w:val="nil"/>
                  </w:tcBorders>
                  <w:shd w:val="clear" w:color="auto" w:fill="auto"/>
                  <w:noWrap/>
                  <w:vAlign w:val="center"/>
                  <w:hideMark/>
                </w:tcPr>
                <w:p w14:paraId="4E5DE53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4,9851</w:t>
                  </w:r>
                </w:p>
              </w:tc>
              <w:tc>
                <w:tcPr>
                  <w:tcW w:w="863" w:type="dxa"/>
                  <w:tcBorders>
                    <w:top w:val="nil"/>
                    <w:left w:val="nil"/>
                    <w:bottom w:val="nil"/>
                    <w:right w:val="nil"/>
                  </w:tcBorders>
                  <w:shd w:val="clear" w:color="auto" w:fill="auto"/>
                  <w:noWrap/>
                  <w:vAlign w:val="center"/>
                  <w:hideMark/>
                </w:tcPr>
                <w:p w14:paraId="032EA06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8,9660</w:t>
                  </w:r>
                </w:p>
              </w:tc>
              <w:tc>
                <w:tcPr>
                  <w:tcW w:w="975" w:type="dxa"/>
                  <w:tcBorders>
                    <w:top w:val="nil"/>
                    <w:left w:val="nil"/>
                    <w:bottom w:val="nil"/>
                    <w:right w:val="nil"/>
                  </w:tcBorders>
                  <w:shd w:val="clear" w:color="auto" w:fill="auto"/>
                  <w:noWrap/>
                  <w:vAlign w:val="center"/>
                  <w:hideMark/>
                </w:tcPr>
                <w:p w14:paraId="2ECB94B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26,1174</w:t>
                  </w:r>
                </w:p>
              </w:tc>
            </w:tr>
            <w:tr w:rsidR="00F55ECD" w:rsidRPr="00F55ECD" w14:paraId="0FE69F8B"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3DF386E3"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Assimetria</w:t>
                  </w:r>
                </w:p>
              </w:tc>
              <w:tc>
                <w:tcPr>
                  <w:tcW w:w="1141" w:type="dxa"/>
                  <w:tcBorders>
                    <w:top w:val="nil"/>
                    <w:left w:val="nil"/>
                    <w:bottom w:val="nil"/>
                    <w:right w:val="nil"/>
                  </w:tcBorders>
                  <w:shd w:val="clear" w:color="auto" w:fill="auto"/>
                  <w:noWrap/>
                  <w:vAlign w:val="center"/>
                  <w:hideMark/>
                </w:tcPr>
                <w:p w14:paraId="428A82F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0,3781</w:t>
                  </w:r>
                </w:p>
              </w:tc>
              <w:tc>
                <w:tcPr>
                  <w:tcW w:w="863" w:type="dxa"/>
                  <w:tcBorders>
                    <w:top w:val="nil"/>
                    <w:left w:val="nil"/>
                    <w:bottom w:val="nil"/>
                    <w:right w:val="nil"/>
                  </w:tcBorders>
                  <w:shd w:val="clear" w:color="auto" w:fill="auto"/>
                  <w:noWrap/>
                  <w:vAlign w:val="center"/>
                  <w:hideMark/>
                </w:tcPr>
                <w:p w14:paraId="56CE0E2C"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-0,0400</w:t>
                  </w:r>
                </w:p>
              </w:tc>
              <w:tc>
                <w:tcPr>
                  <w:tcW w:w="863" w:type="dxa"/>
                  <w:tcBorders>
                    <w:top w:val="nil"/>
                    <w:left w:val="nil"/>
                    <w:bottom w:val="nil"/>
                    <w:right w:val="nil"/>
                  </w:tcBorders>
                  <w:shd w:val="clear" w:color="auto" w:fill="auto"/>
                  <w:noWrap/>
                  <w:vAlign w:val="center"/>
                  <w:hideMark/>
                </w:tcPr>
                <w:p w14:paraId="3A0297C9"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0,6660</w:t>
                  </w:r>
                </w:p>
              </w:tc>
              <w:tc>
                <w:tcPr>
                  <w:tcW w:w="863" w:type="dxa"/>
                  <w:tcBorders>
                    <w:top w:val="nil"/>
                    <w:left w:val="nil"/>
                    <w:bottom w:val="nil"/>
                    <w:right w:val="nil"/>
                  </w:tcBorders>
                  <w:shd w:val="clear" w:color="auto" w:fill="auto"/>
                  <w:noWrap/>
                  <w:vAlign w:val="center"/>
                  <w:hideMark/>
                </w:tcPr>
                <w:p w14:paraId="1085BFC8"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0,1656</w:t>
                  </w:r>
                </w:p>
              </w:tc>
              <w:tc>
                <w:tcPr>
                  <w:tcW w:w="901" w:type="dxa"/>
                  <w:tcBorders>
                    <w:top w:val="nil"/>
                    <w:left w:val="nil"/>
                    <w:bottom w:val="nil"/>
                    <w:right w:val="nil"/>
                  </w:tcBorders>
                  <w:shd w:val="clear" w:color="auto" w:fill="auto"/>
                  <w:noWrap/>
                  <w:vAlign w:val="center"/>
                  <w:hideMark/>
                </w:tcPr>
                <w:p w14:paraId="761B1340"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3,3689</w:t>
                  </w:r>
                </w:p>
              </w:tc>
              <w:tc>
                <w:tcPr>
                  <w:tcW w:w="931" w:type="dxa"/>
                  <w:tcBorders>
                    <w:top w:val="nil"/>
                    <w:left w:val="nil"/>
                    <w:bottom w:val="nil"/>
                    <w:right w:val="nil"/>
                  </w:tcBorders>
                  <w:shd w:val="clear" w:color="auto" w:fill="auto"/>
                  <w:noWrap/>
                  <w:vAlign w:val="center"/>
                  <w:hideMark/>
                </w:tcPr>
                <w:p w14:paraId="07BE75E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1,4796</w:t>
                  </w:r>
                </w:p>
              </w:tc>
              <w:tc>
                <w:tcPr>
                  <w:tcW w:w="940" w:type="dxa"/>
                  <w:tcBorders>
                    <w:top w:val="nil"/>
                    <w:left w:val="nil"/>
                    <w:bottom w:val="nil"/>
                    <w:right w:val="nil"/>
                  </w:tcBorders>
                  <w:shd w:val="clear" w:color="auto" w:fill="auto"/>
                  <w:noWrap/>
                  <w:vAlign w:val="center"/>
                  <w:hideMark/>
                </w:tcPr>
                <w:p w14:paraId="30BE48A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0,2947</w:t>
                  </w:r>
                </w:p>
              </w:tc>
              <w:tc>
                <w:tcPr>
                  <w:tcW w:w="863" w:type="dxa"/>
                  <w:tcBorders>
                    <w:top w:val="nil"/>
                    <w:left w:val="nil"/>
                    <w:bottom w:val="nil"/>
                    <w:right w:val="nil"/>
                  </w:tcBorders>
                  <w:shd w:val="clear" w:color="auto" w:fill="auto"/>
                  <w:noWrap/>
                  <w:vAlign w:val="center"/>
                  <w:hideMark/>
                </w:tcPr>
                <w:p w14:paraId="0EF5324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0,2983</w:t>
                  </w:r>
                </w:p>
              </w:tc>
              <w:tc>
                <w:tcPr>
                  <w:tcW w:w="975" w:type="dxa"/>
                  <w:tcBorders>
                    <w:top w:val="nil"/>
                    <w:left w:val="nil"/>
                    <w:bottom w:val="nil"/>
                    <w:right w:val="nil"/>
                  </w:tcBorders>
                  <w:shd w:val="clear" w:color="auto" w:fill="auto"/>
                  <w:noWrap/>
                  <w:vAlign w:val="center"/>
                  <w:hideMark/>
                </w:tcPr>
                <w:p w14:paraId="6F9706A3"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0,5916</w:t>
                  </w:r>
                </w:p>
              </w:tc>
            </w:tr>
            <w:tr w:rsidR="00F55ECD" w:rsidRPr="00F55ECD" w14:paraId="66EABB8F" w14:textId="77777777" w:rsidTr="006037B9">
              <w:trPr>
                <w:trHeight w:val="300"/>
                <w:jc w:val="center"/>
              </w:trPr>
              <w:tc>
                <w:tcPr>
                  <w:tcW w:w="1480" w:type="dxa"/>
                  <w:tcBorders>
                    <w:top w:val="nil"/>
                    <w:left w:val="nil"/>
                    <w:bottom w:val="nil"/>
                    <w:right w:val="nil"/>
                  </w:tcBorders>
                  <w:shd w:val="clear" w:color="auto" w:fill="auto"/>
                  <w:noWrap/>
                  <w:vAlign w:val="center"/>
                  <w:hideMark/>
                </w:tcPr>
                <w:p w14:paraId="1D834295" w14:textId="77777777" w:rsidR="00F55ECD" w:rsidRPr="00F55ECD" w:rsidRDefault="00F55ECD" w:rsidP="00F55ECD">
                  <w:pPr>
                    <w:suppressAutoHyphens w:val="0"/>
                    <w:spacing w:line="240" w:lineRule="auto"/>
                    <w:rPr>
                      <w:rFonts w:eastAsia="Times New Roman"/>
                      <w:color w:val="000000"/>
                      <w:sz w:val="20"/>
                      <w:szCs w:val="20"/>
                      <w:lang w:eastAsia="pt-BR"/>
                    </w:rPr>
                  </w:pPr>
                  <w:r w:rsidRPr="00F55ECD">
                    <w:rPr>
                      <w:rFonts w:eastAsia="Times New Roman"/>
                      <w:color w:val="000000"/>
                      <w:sz w:val="20"/>
                      <w:szCs w:val="20"/>
                      <w:lang w:eastAsia="pt-BR"/>
                    </w:rPr>
                    <w:t>Curtose</w:t>
                  </w:r>
                </w:p>
              </w:tc>
              <w:tc>
                <w:tcPr>
                  <w:tcW w:w="1141" w:type="dxa"/>
                  <w:tcBorders>
                    <w:top w:val="nil"/>
                    <w:left w:val="nil"/>
                    <w:bottom w:val="nil"/>
                    <w:right w:val="nil"/>
                  </w:tcBorders>
                  <w:shd w:val="clear" w:color="auto" w:fill="auto"/>
                  <w:noWrap/>
                  <w:vAlign w:val="center"/>
                  <w:hideMark/>
                </w:tcPr>
                <w:p w14:paraId="4F9E129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2,1062</w:t>
                  </w:r>
                </w:p>
              </w:tc>
              <w:tc>
                <w:tcPr>
                  <w:tcW w:w="863" w:type="dxa"/>
                  <w:tcBorders>
                    <w:top w:val="nil"/>
                    <w:left w:val="nil"/>
                    <w:bottom w:val="nil"/>
                    <w:right w:val="nil"/>
                  </w:tcBorders>
                  <w:shd w:val="clear" w:color="auto" w:fill="auto"/>
                  <w:noWrap/>
                  <w:vAlign w:val="center"/>
                  <w:hideMark/>
                </w:tcPr>
                <w:p w14:paraId="7E3CEB9F"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1,7050</w:t>
                  </w:r>
                </w:p>
              </w:tc>
              <w:tc>
                <w:tcPr>
                  <w:tcW w:w="863" w:type="dxa"/>
                  <w:tcBorders>
                    <w:top w:val="nil"/>
                    <w:left w:val="nil"/>
                    <w:bottom w:val="nil"/>
                    <w:right w:val="nil"/>
                  </w:tcBorders>
                  <w:shd w:val="clear" w:color="auto" w:fill="auto"/>
                  <w:noWrap/>
                  <w:vAlign w:val="center"/>
                  <w:hideMark/>
                </w:tcPr>
                <w:p w14:paraId="022823C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3,2607</w:t>
                  </w:r>
                </w:p>
              </w:tc>
              <w:tc>
                <w:tcPr>
                  <w:tcW w:w="863" w:type="dxa"/>
                  <w:tcBorders>
                    <w:top w:val="nil"/>
                    <w:left w:val="nil"/>
                    <w:bottom w:val="nil"/>
                    <w:right w:val="nil"/>
                  </w:tcBorders>
                  <w:shd w:val="clear" w:color="auto" w:fill="auto"/>
                  <w:noWrap/>
                  <w:vAlign w:val="center"/>
                  <w:hideMark/>
                </w:tcPr>
                <w:p w14:paraId="58F079A7"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2,9743</w:t>
                  </w:r>
                </w:p>
              </w:tc>
              <w:tc>
                <w:tcPr>
                  <w:tcW w:w="901" w:type="dxa"/>
                  <w:tcBorders>
                    <w:top w:val="nil"/>
                    <w:left w:val="nil"/>
                    <w:bottom w:val="nil"/>
                    <w:right w:val="nil"/>
                  </w:tcBorders>
                  <w:shd w:val="clear" w:color="auto" w:fill="auto"/>
                  <w:noWrap/>
                  <w:vAlign w:val="center"/>
                  <w:hideMark/>
                </w:tcPr>
                <w:p w14:paraId="1C77F402"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14,7709</w:t>
                  </w:r>
                </w:p>
              </w:tc>
              <w:tc>
                <w:tcPr>
                  <w:tcW w:w="931" w:type="dxa"/>
                  <w:tcBorders>
                    <w:top w:val="nil"/>
                    <w:left w:val="nil"/>
                    <w:bottom w:val="nil"/>
                    <w:right w:val="nil"/>
                  </w:tcBorders>
                  <w:shd w:val="clear" w:color="auto" w:fill="auto"/>
                  <w:noWrap/>
                  <w:vAlign w:val="center"/>
                  <w:hideMark/>
                </w:tcPr>
                <w:p w14:paraId="40D8B044"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6,2835</w:t>
                  </w:r>
                </w:p>
              </w:tc>
              <w:tc>
                <w:tcPr>
                  <w:tcW w:w="940" w:type="dxa"/>
                  <w:tcBorders>
                    <w:top w:val="nil"/>
                    <w:left w:val="nil"/>
                    <w:bottom w:val="nil"/>
                    <w:right w:val="nil"/>
                  </w:tcBorders>
                  <w:shd w:val="clear" w:color="auto" w:fill="auto"/>
                  <w:noWrap/>
                  <w:vAlign w:val="center"/>
                  <w:hideMark/>
                </w:tcPr>
                <w:p w14:paraId="53EEFBBD"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5,0713</w:t>
                  </w:r>
                </w:p>
              </w:tc>
              <w:tc>
                <w:tcPr>
                  <w:tcW w:w="863" w:type="dxa"/>
                  <w:tcBorders>
                    <w:top w:val="nil"/>
                    <w:left w:val="nil"/>
                    <w:bottom w:val="nil"/>
                    <w:right w:val="nil"/>
                  </w:tcBorders>
                  <w:shd w:val="clear" w:color="auto" w:fill="auto"/>
                  <w:noWrap/>
                  <w:vAlign w:val="center"/>
                  <w:hideMark/>
                </w:tcPr>
                <w:p w14:paraId="123C761A"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3,7108</w:t>
                  </w:r>
                </w:p>
              </w:tc>
              <w:tc>
                <w:tcPr>
                  <w:tcW w:w="975" w:type="dxa"/>
                  <w:tcBorders>
                    <w:top w:val="nil"/>
                    <w:left w:val="nil"/>
                    <w:bottom w:val="nil"/>
                    <w:right w:val="nil"/>
                  </w:tcBorders>
                  <w:shd w:val="clear" w:color="auto" w:fill="auto"/>
                  <w:noWrap/>
                  <w:vAlign w:val="center"/>
                  <w:hideMark/>
                </w:tcPr>
                <w:p w14:paraId="348B8143" w14:textId="77777777" w:rsidR="00F55ECD" w:rsidRPr="00F55ECD" w:rsidRDefault="00F55ECD" w:rsidP="00F55ECD">
                  <w:pPr>
                    <w:suppressAutoHyphens w:val="0"/>
                    <w:spacing w:line="240" w:lineRule="auto"/>
                    <w:jc w:val="right"/>
                    <w:rPr>
                      <w:rFonts w:eastAsia="Times New Roman"/>
                      <w:color w:val="000000"/>
                      <w:sz w:val="20"/>
                      <w:szCs w:val="20"/>
                      <w:lang w:eastAsia="pt-BR"/>
                    </w:rPr>
                  </w:pPr>
                  <w:r w:rsidRPr="00F55ECD">
                    <w:rPr>
                      <w:rFonts w:eastAsia="Times New Roman"/>
                      <w:color w:val="000000"/>
                      <w:sz w:val="20"/>
                      <w:szCs w:val="20"/>
                      <w:lang w:eastAsia="pt-BR"/>
                    </w:rPr>
                    <w:t>2,5478</w:t>
                  </w:r>
                </w:p>
              </w:tc>
            </w:tr>
          </w:tbl>
          <w:p w14:paraId="7B23A343" w14:textId="77777777" w:rsidR="002E2FDB" w:rsidRDefault="002E2FDB" w:rsidP="002115C3">
            <w:pPr>
              <w:spacing w:line="360" w:lineRule="auto"/>
              <w:jc w:val="both"/>
              <w:rPr>
                <w:sz w:val="24"/>
                <w:szCs w:val="24"/>
              </w:rPr>
            </w:pPr>
          </w:p>
        </w:tc>
      </w:tr>
      <w:tr w:rsidR="002E2FDB" w14:paraId="76F96ED6" w14:textId="77777777" w:rsidTr="006037B9">
        <w:trPr>
          <w:jc w:val="center"/>
        </w:trPr>
        <w:tc>
          <w:tcPr>
            <w:tcW w:w="10824" w:type="dxa"/>
          </w:tcPr>
          <w:p w14:paraId="7E35F4B3" w14:textId="77777777" w:rsidR="002E2FDB" w:rsidRDefault="002E2FDB" w:rsidP="00652DB0">
            <w:pPr>
              <w:spacing w:line="360" w:lineRule="auto"/>
              <w:jc w:val="center"/>
              <w:rPr>
                <w:sz w:val="24"/>
                <w:szCs w:val="24"/>
              </w:rPr>
            </w:pPr>
            <w:r>
              <w:rPr>
                <w:b/>
                <w:bCs/>
                <w:sz w:val="20"/>
                <w:szCs w:val="20"/>
                <w:lang w:eastAsia="pt-BR"/>
              </w:rPr>
              <w:t>Fonte</w:t>
            </w:r>
            <w:r>
              <w:rPr>
                <w:sz w:val="20"/>
                <w:szCs w:val="20"/>
                <w:lang w:eastAsia="pt-BR"/>
              </w:rPr>
              <w:t>: elaborada pelo autor com base nos microdados do SIASUS</w:t>
            </w:r>
          </w:p>
        </w:tc>
      </w:tr>
    </w:tbl>
    <w:p w14:paraId="1F9786A6" w14:textId="77777777" w:rsidR="00B02B54" w:rsidRDefault="00B02B54" w:rsidP="00981508">
      <w:pPr>
        <w:spacing w:line="360" w:lineRule="auto"/>
        <w:ind w:firstLine="708"/>
        <w:jc w:val="both"/>
        <w:rPr>
          <w:sz w:val="24"/>
          <w:szCs w:val="24"/>
        </w:rPr>
      </w:pPr>
    </w:p>
    <w:p w14:paraId="55E73F94" w14:textId="48C74464" w:rsidR="00437300" w:rsidRDefault="008167BB" w:rsidP="00981508">
      <w:pPr>
        <w:spacing w:line="360" w:lineRule="auto"/>
        <w:ind w:firstLine="708"/>
        <w:jc w:val="both"/>
        <w:rPr>
          <w:sz w:val="24"/>
          <w:szCs w:val="24"/>
        </w:rPr>
      </w:pPr>
      <w:r>
        <w:rPr>
          <w:sz w:val="24"/>
          <w:szCs w:val="24"/>
        </w:rPr>
        <w:t xml:space="preserve">A Figura </w:t>
      </w:r>
      <w:r w:rsidR="00211FF7">
        <w:rPr>
          <w:sz w:val="24"/>
          <w:szCs w:val="24"/>
        </w:rPr>
        <w:t>2</w:t>
      </w:r>
      <w:r>
        <w:rPr>
          <w:sz w:val="24"/>
          <w:szCs w:val="24"/>
        </w:rPr>
        <w:t xml:space="preserve"> mostra a evolução temporal das razões </w:t>
      </w:r>
      <w:r w:rsidRPr="008167BB">
        <w:rPr>
          <w:i/>
          <w:iCs/>
          <w:sz w:val="24"/>
          <w:szCs w:val="24"/>
        </w:rPr>
        <w:t>Pardos</w:t>
      </w:r>
      <w:r>
        <w:rPr>
          <w:sz w:val="24"/>
          <w:szCs w:val="24"/>
        </w:rPr>
        <w:t>/</w:t>
      </w:r>
      <w:r w:rsidRPr="008167BB">
        <w:rPr>
          <w:i/>
          <w:iCs/>
          <w:sz w:val="24"/>
          <w:szCs w:val="24"/>
        </w:rPr>
        <w:t>Brancos</w:t>
      </w:r>
      <w:r>
        <w:rPr>
          <w:sz w:val="24"/>
          <w:szCs w:val="24"/>
        </w:rPr>
        <w:t xml:space="preserve"> e </w:t>
      </w:r>
      <w:r w:rsidRPr="008167BB">
        <w:rPr>
          <w:i/>
          <w:iCs/>
          <w:sz w:val="24"/>
          <w:szCs w:val="24"/>
        </w:rPr>
        <w:t>Negros</w:t>
      </w:r>
      <w:r>
        <w:rPr>
          <w:i/>
          <w:iCs/>
          <w:sz w:val="24"/>
          <w:szCs w:val="24"/>
        </w:rPr>
        <w:t>/</w:t>
      </w:r>
      <w:r>
        <w:rPr>
          <w:sz w:val="24"/>
          <w:szCs w:val="24"/>
        </w:rPr>
        <w:t xml:space="preserve"> </w:t>
      </w:r>
      <w:r w:rsidRPr="008167BB">
        <w:rPr>
          <w:i/>
          <w:iCs/>
          <w:sz w:val="24"/>
          <w:szCs w:val="24"/>
        </w:rPr>
        <w:t>Brancos</w:t>
      </w:r>
      <w:r w:rsidR="00F55ECD">
        <w:rPr>
          <w:i/>
          <w:iCs/>
          <w:sz w:val="24"/>
          <w:szCs w:val="24"/>
        </w:rPr>
        <w:t xml:space="preserve">, </w:t>
      </w:r>
      <w:r w:rsidR="00F55ECD" w:rsidRPr="00F55ECD">
        <w:rPr>
          <w:sz w:val="24"/>
          <w:szCs w:val="24"/>
        </w:rPr>
        <w:t>ou respectivamente</w:t>
      </w:r>
      <w:r w:rsidR="00F55ECD">
        <w:rPr>
          <w:i/>
          <w:iCs/>
          <w:sz w:val="24"/>
          <w:szCs w:val="24"/>
        </w:rPr>
        <w:t xml:space="preserve">, RPB </w:t>
      </w:r>
      <w:r w:rsidR="00F55ECD" w:rsidRPr="00F55ECD">
        <w:rPr>
          <w:sz w:val="24"/>
          <w:szCs w:val="24"/>
        </w:rPr>
        <w:t>e</w:t>
      </w:r>
      <w:r w:rsidR="00F55ECD">
        <w:rPr>
          <w:i/>
          <w:iCs/>
          <w:sz w:val="24"/>
          <w:szCs w:val="24"/>
        </w:rPr>
        <w:t xml:space="preserve"> RNB</w:t>
      </w:r>
      <w:r>
        <w:rPr>
          <w:sz w:val="24"/>
          <w:szCs w:val="24"/>
        </w:rPr>
        <w:t xml:space="preserve">. </w:t>
      </w:r>
      <w:r w:rsidR="00D479BD">
        <w:rPr>
          <w:sz w:val="24"/>
          <w:szCs w:val="24"/>
        </w:rPr>
        <w:t xml:space="preserve">A Figura 3 apresenta a primeira diferença da </w:t>
      </w:r>
      <w:r w:rsidR="00D479BD">
        <w:rPr>
          <w:i/>
          <w:iCs/>
          <w:sz w:val="24"/>
          <w:szCs w:val="24"/>
        </w:rPr>
        <w:t>RPB</w:t>
      </w:r>
      <w:r w:rsidR="00D479BD" w:rsidRPr="004B2CE9">
        <w:rPr>
          <w:i/>
          <w:iCs/>
          <w:position w:val="-6"/>
          <w:sz w:val="24"/>
          <w:szCs w:val="24"/>
          <w:vertAlign w:val="subscript"/>
        </w:rPr>
        <w:t>t</w:t>
      </w:r>
      <w:r w:rsidR="00D479BD">
        <w:rPr>
          <w:sz w:val="24"/>
          <w:szCs w:val="24"/>
        </w:rPr>
        <w:t xml:space="preserve">. </w:t>
      </w:r>
      <w:r w:rsidR="007D6989">
        <w:rPr>
          <w:sz w:val="24"/>
          <w:szCs w:val="24"/>
        </w:rPr>
        <w:t>E</w:t>
      </w:r>
      <w:r w:rsidR="002E2FDB">
        <w:rPr>
          <w:sz w:val="24"/>
          <w:szCs w:val="24"/>
        </w:rPr>
        <w:t>m janeiro de 2008</w:t>
      </w:r>
      <w:r w:rsidR="007D6989">
        <w:rPr>
          <w:sz w:val="24"/>
          <w:szCs w:val="24"/>
        </w:rPr>
        <w:t xml:space="preserve"> – Figura 2</w:t>
      </w:r>
      <w:r w:rsidR="002E2FDB">
        <w:rPr>
          <w:sz w:val="24"/>
          <w:szCs w:val="24"/>
        </w:rPr>
        <w:t xml:space="preserve">, o total de </w:t>
      </w:r>
      <w:r w:rsidR="002E2FDB" w:rsidRPr="006D25A6">
        <w:rPr>
          <w:i/>
          <w:iCs/>
          <w:sz w:val="24"/>
          <w:szCs w:val="24"/>
        </w:rPr>
        <w:t>Pardos</w:t>
      </w:r>
      <w:r w:rsidR="002E2FDB">
        <w:rPr>
          <w:sz w:val="24"/>
          <w:szCs w:val="24"/>
        </w:rPr>
        <w:t xml:space="preserve"> representava cerca de 8,41% do número de </w:t>
      </w:r>
      <w:r w:rsidR="002E2FDB" w:rsidRPr="006D25A6">
        <w:rPr>
          <w:i/>
          <w:iCs/>
          <w:sz w:val="24"/>
          <w:szCs w:val="24"/>
        </w:rPr>
        <w:t>Brancos</w:t>
      </w:r>
      <w:r w:rsidR="002E2FDB" w:rsidRPr="006D25A6">
        <w:rPr>
          <w:sz w:val="24"/>
          <w:szCs w:val="24"/>
        </w:rPr>
        <w:t xml:space="preserve"> (</w:t>
      </w:r>
      <w:r w:rsidR="002E2FDB" w:rsidRPr="006D25A6">
        <w:rPr>
          <w:i/>
          <w:iCs/>
          <w:sz w:val="24"/>
          <w:szCs w:val="24"/>
        </w:rPr>
        <w:t>n</w:t>
      </w:r>
      <w:r w:rsidR="002E2FDB">
        <w:rPr>
          <w:sz w:val="24"/>
          <w:szCs w:val="24"/>
        </w:rPr>
        <w:t xml:space="preserve"> = 346; </w:t>
      </w:r>
      <w:r w:rsidR="002E2FDB" w:rsidRPr="006D25A6">
        <w:rPr>
          <w:i/>
          <w:iCs/>
          <w:sz w:val="24"/>
          <w:szCs w:val="24"/>
        </w:rPr>
        <w:t>N</w:t>
      </w:r>
      <w:r w:rsidR="002E2FDB">
        <w:rPr>
          <w:sz w:val="24"/>
          <w:szCs w:val="24"/>
        </w:rPr>
        <w:t xml:space="preserve"> = 4.113</w:t>
      </w:r>
      <w:r w:rsidR="002E2FDB" w:rsidRPr="006D25A6">
        <w:rPr>
          <w:sz w:val="24"/>
          <w:szCs w:val="24"/>
        </w:rPr>
        <w:t>)</w:t>
      </w:r>
      <w:r w:rsidR="002E2FDB">
        <w:rPr>
          <w:sz w:val="24"/>
          <w:szCs w:val="24"/>
        </w:rPr>
        <w:t>. O “</w:t>
      </w:r>
      <w:r w:rsidR="002E2FDB" w:rsidRPr="00BB73A7">
        <w:rPr>
          <w:i/>
          <w:iCs/>
          <w:sz w:val="24"/>
          <w:szCs w:val="24"/>
        </w:rPr>
        <w:t>n</w:t>
      </w:r>
      <w:r w:rsidR="002E2FDB">
        <w:rPr>
          <w:sz w:val="24"/>
          <w:szCs w:val="24"/>
        </w:rPr>
        <w:t>” e o “</w:t>
      </w:r>
      <w:r w:rsidR="002E2FDB" w:rsidRPr="00BB73A7">
        <w:rPr>
          <w:i/>
          <w:iCs/>
          <w:sz w:val="24"/>
          <w:szCs w:val="24"/>
        </w:rPr>
        <w:t>N</w:t>
      </w:r>
      <w:r w:rsidR="002E2FDB">
        <w:rPr>
          <w:sz w:val="24"/>
          <w:szCs w:val="24"/>
        </w:rPr>
        <w:t xml:space="preserve">” entre parêntesis referem-se ao numerador e ao denominador da razão. </w:t>
      </w:r>
      <w:r w:rsidR="00211FF7">
        <w:rPr>
          <w:sz w:val="24"/>
          <w:szCs w:val="24"/>
        </w:rPr>
        <w:t xml:space="preserve">Em março de 2025, </w:t>
      </w:r>
      <w:r w:rsidR="00F55ECD" w:rsidRPr="00F55ECD">
        <w:rPr>
          <w:i/>
          <w:iCs/>
          <w:sz w:val="24"/>
          <w:szCs w:val="24"/>
        </w:rPr>
        <w:t>RNB</w:t>
      </w:r>
      <w:r w:rsidR="0084319C" w:rsidRPr="004B2CE9">
        <w:rPr>
          <w:position w:val="-6"/>
          <w:sz w:val="24"/>
          <w:szCs w:val="24"/>
          <w:vertAlign w:val="subscript"/>
        </w:rPr>
        <w:t>207</w:t>
      </w:r>
      <w:r w:rsidR="00F55ECD">
        <w:rPr>
          <w:sz w:val="24"/>
          <w:szCs w:val="24"/>
        </w:rPr>
        <w:t xml:space="preserve"> </w:t>
      </w:r>
      <w:r w:rsidR="00211FF7">
        <w:rPr>
          <w:sz w:val="24"/>
          <w:szCs w:val="24"/>
        </w:rPr>
        <w:t xml:space="preserve">era </w:t>
      </w:r>
      <w:r w:rsidR="00D30BE5">
        <w:rPr>
          <w:sz w:val="24"/>
          <w:szCs w:val="24"/>
        </w:rPr>
        <w:t>117,53% (</w:t>
      </w:r>
      <w:r w:rsidR="00D30BE5" w:rsidRPr="00D30BE5">
        <w:rPr>
          <w:i/>
          <w:iCs/>
          <w:sz w:val="24"/>
          <w:szCs w:val="24"/>
        </w:rPr>
        <w:t>n</w:t>
      </w:r>
      <w:r w:rsidR="00D30BE5">
        <w:rPr>
          <w:sz w:val="24"/>
          <w:szCs w:val="24"/>
        </w:rPr>
        <w:t xml:space="preserve"> = 12.982; </w:t>
      </w:r>
      <w:r w:rsidR="00D30BE5" w:rsidRPr="00D30BE5">
        <w:rPr>
          <w:i/>
          <w:iCs/>
          <w:sz w:val="24"/>
          <w:szCs w:val="24"/>
        </w:rPr>
        <w:t>N</w:t>
      </w:r>
      <w:r w:rsidR="00D30BE5">
        <w:rPr>
          <w:sz w:val="24"/>
          <w:szCs w:val="24"/>
        </w:rPr>
        <w:t xml:space="preserve"> = 11.046), ou seja, os </w:t>
      </w:r>
      <w:r w:rsidR="00D30BE5" w:rsidRPr="00D30BE5">
        <w:rPr>
          <w:i/>
          <w:iCs/>
          <w:sz w:val="24"/>
          <w:szCs w:val="24"/>
        </w:rPr>
        <w:t>Pardos</w:t>
      </w:r>
      <w:r w:rsidR="00D30BE5">
        <w:rPr>
          <w:sz w:val="24"/>
          <w:szCs w:val="24"/>
        </w:rPr>
        <w:t xml:space="preserve"> superavam os </w:t>
      </w:r>
      <w:r w:rsidR="00D30BE5" w:rsidRPr="00D30BE5">
        <w:rPr>
          <w:i/>
          <w:iCs/>
          <w:sz w:val="24"/>
          <w:szCs w:val="24"/>
        </w:rPr>
        <w:t>Brancos</w:t>
      </w:r>
      <w:r w:rsidR="00D30BE5">
        <w:rPr>
          <w:sz w:val="24"/>
          <w:szCs w:val="24"/>
        </w:rPr>
        <w:t xml:space="preserve"> em 1</w:t>
      </w:r>
      <w:r w:rsidR="00F96D1D">
        <w:rPr>
          <w:sz w:val="24"/>
          <w:szCs w:val="24"/>
        </w:rPr>
        <w:t>7</w:t>
      </w:r>
      <w:r w:rsidR="00D30BE5">
        <w:rPr>
          <w:sz w:val="24"/>
          <w:szCs w:val="24"/>
        </w:rPr>
        <w:t>,53%, aproximadamente. O pico da série se deu em abril de 2023</w:t>
      </w:r>
      <w:r w:rsidR="0098144E">
        <w:rPr>
          <w:sz w:val="24"/>
          <w:szCs w:val="24"/>
        </w:rPr>
        <w:t>, quando a razão atingiu 128,15%, aproximadamente.</w:t>
      </w:r>
    </w:p>
    <w:p w14:paraId="66A9A5FB" w14:textId="499E386B" w:rsidR="002E2FDB" w:rsidRDefault="00A87411" w:rsidP="00981508">
      <w:pPr>
        <w:spacing w:line="360" w:lineRule="auto"/>
        <w:ind w:firstLine="708"/>
        <w:jc w:val="both"/>
        <w:rPr>
          <w:sz w:val="24"/>
          <w:szCs w:val="24"/>
        </w:rPr>
      </w:pPr>
      <w:r>
        <w:rPr>
          <w:sz w:val="24"/>
          <w:szCs w:val="24"/>
        </w:rPr>
        <w:t xml:space="preserve">  </w:t>
      </w:r>
    </w:p>
    <w:tbl>
      <w:tblPr>
        <w:tblW w:w="0" w:type="auto"/>
        <w:tblInd w:w="-1026" w:type="dxa"/>
        <w:tblLayout w:type="fixed"/>
        <w:tblCellMar>
          <w:left w:w="0" w:type="dxa"/>
          <w:right w:w="0" w:type="dxa"/>
        </w:tblCellMar>
        <w:tblLook w:val="0000" w:firstRow="0" w:lastRow="0" w:firstColumn="0" w:lastColumn="0" w:noHBand="0" w:noVBand="0"/>
      </w:tblPr>
      <w:tblGrid>
        <w:gridCol w:w="5387"/>
        <w:gridCol w:w="70"/>
        <w:gridCol w:w="5458"/>
        <w:gridCol w:w="5458"/>
      </w:tblGrid>
      <w:tr w:rsidR="002E2FDB" w14:paraId="02EBF4A0" w14:textId="77777777" w:rsidTr="002115C3">
        <w:tc>
          <w:tcPr>
            <w:tcW w:w="5387" w:type="dxa"/>
            <w:shd w:val="clear" w:color="auto" w:fill="auto"/>
            <w:tcMar>
              <w:left w:w="108" w:type="dxa"/>
              <w:right w:w="108" w:type="dxa"/>
            </w:tcMar>
          </w:tcPr>
          <w:p w14:paraId="155185EC" w14:textId="28FA1284" w:rsidR="002E2FDB" w:rsidRDefault="002E2FDB" w:rsidP="002115C3">
            <w:pPr>
              <w:spacing w:line="240" w:lineRule="auto"/>
              <w:jc w:val="center"/>
            </w:pPr>
            <w:r>
              <w:rPr>
                <w:b/>
                <w:bCs/>
                <w:sz w:val="24"/>
                <w:szCs w:val="24"/>
              </w:rPr>
              <w:t>Figura 2</w:t>
            </w:r>
            <w:r>
              <w:rPr>
                <w:sz w:val="24"/>
                <w:szCs w:val="24"/>
              </w:rPr>
              <w:t xml:space="preserve">: Séries temporais das razões de </w:t>
            </w:r>
            <w:r w:rsidRPr="00AA431C">
              <w:rPr>
                <w:i/>
                <w:iCs/>
                <w:sz w:val="24"/>
                <w:szCs w:val="24"/>
              </w:rPr>
              <w:t>Pardos</w:t>
            </w:r>
            <w:r>
              <w:rPr>
                <w:sz w:val="24"/>
                <w:szCs w:val="24"/>
              </w:rPr>
              <w:t xml:space="preserve"> e </w:t>
            </w:r>
            <w:r w:rsidRPr="00AA431C">
              <w:rPr>
                <w:i/>
                <w:iCs/>
                <w:sz w:val="24"/>
                <w:szCs w:val="24"/>
              </w:rPr>
              <w:t>Brancos</w:t>
            </w:r>
            <w:r>
              <w:rPr>
                <w:sz w:val="24"/>
                <w:szCs w:val="24"/>
              </w:rPr>
              <w:t xml:space="preserve"> </w:t>
            </w:r>
            <w:r w:rsidR="007A33C8">
              <w:rPr>
                <w:sz w:val="24"/>
                <w:szCs w:val="24"/>
              </w:rPr>
              <w:t>(</w:t>
            </w:r>
            <w:r w:rsidR="007A33C8" w:rsidRPr="007A33C8">
              <w:rPr>
                <w:i/>
                <w:iCs/>
                <w:sz w:val="24"/>
                <w:szCs w:val="24"/>
              </w:rPr>
              <w:t>RPB</w:t>
            </w:r>
            <w:r w:rsidR="007A33C8">
              <w:rPr>
                <w:sz w:val="24"/>
                <w:szCs w:val="24"/>
              </w:rPr>
              <w:t>)</w:t>
            </w:r>
            <w:r>
              <w:rPr>
                <w:sz w:val="24"/>
                <w:szCs w:val="24"/>
              </w:rPr>
              <w:t xml:space="preserve">e </w:t>
            </w:r>
            <w:r w:rsidRPr="00AA431C">
              <w:rPr>
                <w:i/>
                <w:iCs/>
                <w:sz w:val="24"/>
                <w:szCs w:val="24"/>
              </w:rPr>
              <w:t>Negros</w:t>
            </w:r>
            <w:r>
              <w:rPr>
                <w:sz w:val="24"/>
                <w:szCs w:val="24"/>
              </w:rPr>
              <w:t xml:space="preserve"> e </w:t>
            </w:r>
            <w:r w:rsidRPr="00AA431C">
              <w:rPr>
                <w:i/>
                <w:iCs/>
                <w:sz w:val="24"/>
                <w:szCs w:val="24"/>
              </w:rPr>
              <w:t>Brancos</w:t>
            </w:r>
            <w:r w:rsidR="007A33C8">
              <w:rPr>
                <w:i/>
                <w:iCs/>
                <w:sz w:val="24"/>
                <w:szCs w:val="24"/>
              </w:rPr>
              <w:t xml:space="preserve"> </w:t>
            </w:r>
            <w:r w:rsidR="007A33C8" w:rsidRPr="007A33C8">
              <w:rPr>
                <w:sz w:val="24"/>
                <w:szCs w:val="24"/>
              </w:rPr>
              <w:t>(</w:t>
            </w:r>
            <w:r w:rsidR="007A33C8">
              <w:rPr>
                <w:i/>
                <w:iCs/>
                <w:sz w:val="24"/>
                <w:szCs w:val="24"/>
              </w:rPr>
              <w:t>RNB</w:t>
            </w:r>
            <w:r w:rsidR="007A33C8" w:rsidRPr="007A33C8">
              <w:rPr>
                <w:sz w:val="24"/>
                <w:szCs w:val="24"/>
              </w:rPr>
              <w:t>)</w:t>
            </w:r>
          </w:p>
        </w:tc>
        <w:tc>
          <w:tcPr>
            <w:tcW w:w="5528" w:type="dxa"/>
            <w:gridSpan w:val="2"/>
            <w:shd w:val="clear" w:color="auto" w:fill="auto"/>
            <w:tcMar>
              <w:left w:w="108" w:type="dxa"/>
              <w:right w:w="108" w:type="dxa"/>
            </w:tcMar>
          </w:tcPr>
          <w:p w14:paraId="738B6C3F" w14:textId="16AB00CA" w:rsidR="002E2FDB" w:rsidRDefault="002E2FDB" w:rsidP="002115C3">
            <w:pPr>
              <w:spacing w:line="240" w:lineRule="auto"/>
              <w:jc w:val="center"/>
            </w:pPr>
            <w:r>
              <w:rPr>
                <w:b/>
                <w:bCs/>
                <w:sz w:val="24"/>
                <w:szCs w:val="24"/>
              </w:rPr>
              <w:t>Figura 3</w:t>
            </w:r>
            <w:r>
              <w:rPr>
                <w:sz w:val="24"/>
                <w:szCs w:val="24"/>
              </w:rPr>
              <w:t xml:space="preserve">: </w:t>
            </w:r>
            <w:r w:rsidR="007A33C8">
              <w:rPr>
                <w:sz w:val="24"/>
                <w:szCs w:val="24"/>
              </w:rPr>
              <w:t xml:space="preserve">Primeira diferença de </w:t>
            </w:r>
            <w:r w:rsidR="007A33C8" w:rsidRPr="007A33C8">
              <w:rPr>
                <w:i/>
                <w:iCs/>
                <w:sz w:val="24"/>
                <w:szCs w:val="24"/>
              </w:rPr>
              <w:t>RPB</w:t>
            </w:r>
            <w:r w:rsidR="007A33C8">
              <w:rPr>
                <w:sz w:val="24"/>
                <w:szCs w:val="24"/>
              </w:rPr>
              <w:t xml:space="preserve"> (Δ</w:t>
            </w:r>
            <w:r w:rsidR="007A33C8" w:rsidRPr="007A33C8">
              <w:rPr>
                <w:i/>
                <w:iCs/>
                <w:sz w:val="24"/>
                <w:szCs w:val="24"/>
              </w:rPr>
              <w:t>RPB</w:t>
            </w:r>
            <w:r w:rsidR="007A33C8" w:rsidRPr="007A33C8">
              <w:rPr>
                <w:i/>
                <w:iCs/>
                <w:sz w:val="24"/>
                <w:szCs w:val="24"/>
                <w:vertAlign w:val="subscript"/>
              </w:rPr>
              <w:t>t</w:t>
            </w:r>
            <w:r w:rsidR="007A33C8" w:rsidRPr="007A33C8">
              <w:rPr>
                <w:sz w:val="24"/>
                <w:szCs w:val="24"/>
              </w:rPr>
              <w:t>)</w:t>
            </w:r>
          </w:p>
        </w:tc>
        <w:tc>
          <w:tcPr>
            <w:tcW w:w="5458" w:type="dxa"/>
            <w:shd w:val="clear" w:color="auto" w:fill="auto"/>
          </w:tcPr>
          <w:p w14:paraId="46C4B1F6" w14:textId="77777777" w:rsidR="002E2FDB" w:rsidRDefault="002E2FDB" w:rsidP="002115C3">
            <w:pPr>
              <w:snapToGrid w:val="0"/>
              <w:rPr>
                <w:sz w:val="24"/>
                <w:szCs w:val="24"/>
              </w:rPr>
            </w:pPr>
          </w:p>
        </w:tc>
      </w:tr>
      <w:tr w:rsidR="002E2FDB" w14:paraId="32988C97" w14:textId="77777777" w:rsidTr="002115C3">
        <w:tc>
          <w:tcPr>
            <w:tcW w:w="5387" w:type="dxa"/>
            <w:shd w:val="clear" w:color="auto" w:fill="auto"/>
            <w:tcMar>
              <w:left w:w="108" w:type="dxa"/>
              <w:right w:w="108" w:type="dxa"/>
            </w:tcMar>
          </w:tcPr>
          <w:p w14:paraId="311451D4" w14:textId="4D4F25ED" w:rsidR="002E2FDB" w:rsidRDefault="002E2FDB" w:rsidP="002115C3">
            <w:pPr>
              <w:spacing w:line="360" w:lineRule="auto"/>
              <w:jc w:val="center"/>
            </w:pPr>
            <w:r w:rsidRPr="00DF12C5">
              <w:rPr>
                <w:noProof/>
              </w:rPr>
              <w:drawing>
                <wp:inline distT="0" distB="0" distL="0" distR="0" wp14:anchorId="5E252E26" wp14:editId="12146635">
                  <wp:extent cx="3402965" cy="2337435"/>
                  <wp:effectExtent l="0" t="0" r="6985" b="5715"/>
                  <wp:docPr id="1787499048" name="Imagem 5"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99048" name="Imagem 5" descr="Gráfico, Gráfico de linhas&#10;&#10;O conteúdo gerado por IA pode estar incorret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02965" cy="2337435"/>
                          </a:xfrm>
                          <a:prstGeom prst="rect">
                            <a:avLst/>
                          </a:prstGeom>
                          <a:noFill/>
                          <a:ln>
                            <a:noFill/>
                          </a:ln>
                        </pic:spPr>
                      </pic:pic>
                    </a:graphicData>
                  </a:graphic>
                </wp:inline>
              </w:drawing>
            </w:r>
          </w:p>
        </w:tc>
        <w:tc>
          <w:tcPr>
            <w:tcW w:w="5528" w:type="dxa"/>
            <w:gridSpan w:val="2"/>
            <w:shd w:val="clear" w:color="auto" w:fill="auto"/>
            <w:tcMar>
              <w:left w:w="108" w:type="dxa"/>
              <w:right w:w="108" w:type="dxa"/>
            </w:tcMar>
          </w:tcPr>
          <w:p w14:paraId="7393F23B" w14:textId="36317E40" w:rsidR="002E2FDB" w:rsidRDefault="00EB4BE6" w:rsidP="002115C3">
            <w:pPr>
              <w:spacing w:line="360" w:lineRule="auto"/>
              <w:jc w:val="center"/>
              <w:rPr>
                <w:sz w:val="24"/>
                <w:szCs w:val="24"/>
              </w:rPr>
            </w:pPr>
            <w:r>
              <w:rPr>
                <w:noProof/>
                <w14:ligatures w14:val="standardContextual"/>
              </w:rPr>
              <w:drawing>
                <wp:inline distT="0" distB="0" distL="0" distR="0" wp14:anchorId="23C52AF4" wp14:editId="37FEEA2D">
                  <wp:extent cx="3262124" cy="23078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7466" cy="2311584"/>
                          </a:xfrm>
                          <a:prstGeom prst="rect">
                            <a:avLst/>
                          </a:prstGeom>
                        </pic:spPr>
                      </pic:pic>
                    </a:graphicData>
                  </a:graphic>
                </wp:inline>
              </w:drawing>
            </w:r>
          </w:p>
        </w:tc>
        <w:tc>
          <w:tcPr>
            <w:tcW w:w="5458" w:type="dxa"/>
            <w:shd w:val="clear" w:color="auto" w:fill="auto"/>
          </w:tcPr>
          <w:p w14:paraId="0DC0A577" w14:textId="77777777" w:rsidR="002E2FDB" w:rsidRDefault="002E2FDB" w:rsidP="002115C3">
            <w:pPr>
              <w:snapToGrid w:val="0"/>
              <w:rPr>
                <w:sz w:val="24"/>
                <w:szCs w:val="24"/>
              </w:rPr>
            </w:pPr>
          </w:p>
        </w:tc>
      </w:tr>
      <w:tr w:rsidR="002E2FDB" w14:paraId="573B7F74" w14:textId="77777777" w:rsidTr="002115C3">
        <w:tblPrEx>
          <w:tblCellMar>
            <w:left w:w="108" w:type="dxa"/>
            <w:right w:w="108" w:type="dxa"/>
          </w:tblCellMar>
        </w:tblPrEx>
        <w:tc>
          <w:tcPr>
            <w:tcW w:w="5457" w:type="dxa"/>
            <w:gridSpan w:val="2"/>
            <w:shd w:val="clear" w:color="auto" w:fill="auto"/>
          </w:tcPr>
          <w:p w14:paraId="215645D6" w14:textId="77777777" w:rsidR="002E2FDB" w:rsidRDefault="002E2FDB" w:rsidP="002115C3">
            <w:pPr>
              <w:spacing w:line="240" w:lineRule="auto"/>
              <w:jc w:val="both"/>
            </w:pPr>
            <w:r>
              <w:rPr>
                <w:b/>
                <w:bCs/>
                <w:sz w:val="20"/>
                <w:szCs w:val="20"/>
                <w:lang w:eastAsia="pt-BR"/>
              </w:rPr>
              <w:lastRenderedPageBreak/>
              <w:t>Fonte</w:t>
            </w:r>
            <w:r>
              <w:rPr>
                <w:sz w:val="20"/>
                <w:szCs w:val="20"/>
                <w:lang w:eastAsia="pt-BR"/>
              </w:rPr>
              <w:t>: elaborada pelo autor com base nos microdados do SIASUS</w:t>
            </w:r>
          </w:p>
        </w:tc>
        <w:tc>
          <w:tcPr>
            <w:tcW w:w="5458" w:type="dxa"/>
            <w:shd w:val="clear" w:color="auto" w:fill="auto"/>
          </w:tcPr>
          <w:p w14:paraId="05C1F970" w14:textId="77777777" w:rsidR="002E2FDB" w:rsidRDefault="002E2FDB" w:rsidP="002115C3">
            <w:pPr>
              <w:spacing w:line="240" w:lineRule="auto"/>
              <w:jc w:val="both"/>
            </w:pPr>
            <w:r>
              <w:rPr>
                <w:b/>
                <w:bCs/>
                <w:sz w:val="20"/>
                <w:szCs w:val="20"/>
                <w:lang w:eastAsia="pt-BR"/>
              </w:rPr>
              <w:t>Fonte</w:t>
            </w:r>
            <w:r>
              <w:rPr>
                <w:sz w:val="20"/>
                <w:szCs w:val="20"/>
                <w:lang w:eastAsia="pt-BR"/>
              </w:rPr>
              <w:t>: elaborada pelo autor com base nos microdados do SIASUS</w:t>
            </w:r>
          </w:p>
        </w:tc>
        <w:tc>
          <w:tcPr>
            <w:tcW w:w="5458" w:type="dxa"/>
            <w:shd w:val="clear" w:color="auto" w:fill="auto"/>
          </w:tcPr>
          <w:p w14:paraId="7D8AF73B" w14:textId="77777777" w:rsidR="002E2FDB" w:rsidRDefault="002E2FDB" w:rsidP="002115C3">
            <w:pPr>
              <w:snapToGrid w:val="0"/>
              <w:spacing w:line="240" w:lineRule="auto"/>
              <w:rPr>
                <w:sz w:val="24"/>
                <w:szCs w:val="24"/>
                <w:lang w:eastAsia="pt-BR"/>
              </w:rPr>
            </w:pPr>
          </w:p>
        </w:tc>
      </w:tr>
    </w:tbl>
    <w:p w14:paraId="20956A12" w14:textId="77777777" w:rsidR="002E2FDB" w:rsidRDefault="002E2FDB" w:rsidP="002E2FDB">
      <w:pPr>
        <w:spacing w:line="360" w:lineRule="auto"/>
        <w:jc w:val="both"/>
        <w:rPr>
          <w:b/>
          <w:sz w:val="24"/>
          <w:szCs w:val="24"/>
        </w:rPr>
      </w:pPr>
    </w:p>
    <w:p w14:paraId="65C174D6" w14:textId="5C90AD1E" w:rsidR="007837D4" w:rsidRDefault="007837D4" w:rsidP="007837D4">
      <w:pPr>
        <w:spacing w:line="360" w:lineRule="auto"/>
        <w:ind w:firstLine="720"/>
        <w:jc w:val="both"/>
        <w:rPr>
          <w:sz w:val="24"/>
          <w:szCs w:val="24"/>
        </w:rPr>
      </w:pPr>
      <w:r>
        <w:rPr>
          <w:sz w:val="24"/>
          <w:szCs w:val="24"/>
        </w:rPr>
        <w:t xml:space="preserve">Após 2022, verifica-se período de intensa variabilidade na </w:t>
      </w:r>
      <w:r w:rsidRPr="00F55ECD">
        <w:rPr>
          <w:i/>
          <w:iCs/>
          <w:sz w:val="24"/>
          <w:szCs w:val="24"/>
        </w:rPr>
        <w:t>RPB</w:t>
      </w:r>
      <w:r>
        <w:rPr>
          <w:i/>
          <w:iCs/>
          <w:sz w:val="24"/>
          <w:szCs w:val="24"/>
        </w:rPr>
        <w:t>.</w:t>
      </w:r>
      <w:r w:rsidRPr="002325E5">
        <w:rPr>
          <w:sz w:val="24"/>
          <w:szCs w:val="24"/>
        </w:rPr>
        <w:t xml:space="preserve"> </w:t>
      </w:r>
      <w:r>
        <w:rPr>
          <w:sz w:val="24"/>
          <w:szCs w:val="24"/>
        </w:rPr>
        <w:t>Isso tem relação com o fim do código 99 (Souza, 2024), cuja extinção</w:t>
      </w:r>
      <w:r w:rsidR="00325E06">
        <w:rPr>
          <w:sz w:val="24"/>
          <w:szCs w:val="24"/>
        </w:rPr>
        <w:t>,</w:t>
      </w:r>
      <w:r>
        <w:rPr>
          <w:sz w:val="24"/>
          <w:szCs w:val="24"/>
        </w:rPr>
        <w:t xml:space="preserve"> </w:t>
      </w:r>
      <w:r w:rsidR="00325E06">
        <w:rPr>
          <w:sz w:val="24"/>
          <w:szCs w:val="24"/>
        </w:rPr>
        <w:t xml:space="preserve">embora </w:t>
      </w:r>
      <w:r>
        <w:rPr>
          <w:sz w:val="24"/>
          <w:szCs w:val="24"/>
        </w:rPr>
        <w:t xml:space="preserve">tenha se dado de fato a partir de abril de 2023, seu anúncio vinha sendo promovido desde o ano anterior. A razão = 1 (=100% quando </w:t>
      </w:r>
      <w:r w:rsidRPr="001A5A4E">
        <w:rPr>
          <w:i/>
          <w:iCs/>
          <w:sz w:val="24"/>
          <w:szCs w:val="24"/>
        </w:rPr>
        <w:t>n</w:t>
      </w:r>
      <w:r>
        <w:rPr>
          <w:sz w:val="24"/>
          <w:szCs w:val="24"/>
        </w:rPr>
        <w:t xml:space="preserve"> = </w:t>
      </w:r>
      <w:r w:rsidRPr="001A5A4E">
        <w:rPr>
          <w:i/>
          <w:iCs/>
          <w:sz w:val="24"/>
          <w:szCs w:val="24"/>
        </w:rPr>
        <w:t>N</w:t>
      </w:r>
      <w:r>
        <w:rPr>
          <w:sz w:val="24"/>
          <w:szCs w:val="24"/>
        </w:rPr>
        <w:t xml:space="preserve">), ou seja, a igualdade entre os totais de </w:t>
      </w:r>
      <w:r w:rsidRPr="00AA431C">
        <w:rPr>
          <w:i/>
          <w:iCs/>
          <w:sz w:val="24"/>
          <w:szCs w:val="24"/>
        </w:rPr>
        <w:t>Pardos</w:t>
      </w:r>
      <w:r>
        <w:rPr>
          <w:sz w:val="24"/>
          <w:szCs w:val="24"/>
        </w:rPr>
        <w:t xml:space="preserve"> e </w:t>
      </w:r>
      <w:r w:rsidRPr="00AA431C">
        <w:rPr>
          <w:i/>
          <w:iCs/>
          <w:sz w:val="24"/>
          <w:szCs w:val="24"/>
        </w:rPr>
        <w:t>Brancos</w:t>
      </w:r>
      <w:r>
        <w:rPr>
          <w:sz w:val="24"/>
          <w:szCs w:val="24"/>
        </w:rPr>
        <w:t xml:space="preserve"> não ocorre em um mês exatamente, porque muito embora a representação gráfica da série seja contínua no tempo, de fato, ela é discreta, mensal. Pode-se dizer que a igualdade se deu na passagem de março para abril de 2023, ao passo que a razão = 1 entre </w:t>
      </w:r>
      <w:r w:rsidRPr="00AA431C">
        <w:rPr>
          <w:i/>
          <w:iCs/>
          <w:sz w:val="24"/>
          <w:szCs w:val="24"/>
        </w:rPr>
        <w:t>Negros</w:t>
      </w:r>
      <w:r>
        <w:rPr>
          <w:sz w:val="24"/>
          <w:szCs w:val="24"/>
        </w:rPr>
        <w:t xml:space="preserve"> e </w:t>
      </w:r>
      <w:r w:rsidRPr="00AA431C">
        <w:rPr>
          <w:i/>
          <w:iCs/>
          <w:sz w:val="24"/>
          <w:szCs w:val="24"/>
        </w:rPr>
        <w:t>Brancos</w:t>
      </w:r>
      <w:r w:rsidRPr="002C5BC5">
        <w:rPr>
          <w:sz w:val="24"/>
          <w:szCs w:val="24"/>
        </w:rPr>
        <w:t>,</w:t>
      </w:r>
      <w:r>
        <w:rPr>
          <w:sz w:val="24"/>
          <w:szCs w:val="24"/>
        </w:rPr>
        <w:t xml:space="preserve"> ocorreu entre outubro e novembro de 2018.</w:t>
      </w:r>
    </w:p>
    <w:p w14:paraId="49AC126E" w14:textId="381DB9FE" w:rsidR="007837D4" w:rsidRPr="00BA59C1" w:rsidRDefault="007837D4" w:rsidP="007837D4">
      <w:pPr>
        <w:spacing w:line="360" w:lineRule="auto"/>
        <w:ind w:firstLine="720"/>
        <w:jc w:val="both"/>
        <w:rPr>
          <w:sz w:val="24"/>
          <w:szCs w:val="24"/>
        </w:rPr>
      </w:pPr>
      <w:r>
        <w:rPr>
          <w:sz w:val="24"/>
          <w:szCs w:val="24"/>
        </w:rPr>
        <w:t>As diferenças</w:t>
      </w:r>
      <w:r w:rsidR="007D6989">
        <w:rPr>
          <w:sz w:val="24"/>
          <w:szCs w:val="24"/>
        </w:rPr>
        <w:t xml:space="preserve">, </w:t>
      </w:r>
      <w:r w:rsidR="00D67A40">
        <w:rPr>
          <w:sz w:val="24"/>
          <w:szCs w:val="24"/>
        </w:rPr>
        <w:t>como se exemplifica na</w:t>
      </w:r>
      <w:r w:rsidR="007D6989">
        <w:rPr>
          <w:sz w:val="24"/>
          <w:szCs w:val="24"/>
        </w:rPr>
        <w:t xml:space="preserve"> Figura 3,</w:t>
      </w:r>
      <w:r>
        <w:rPr>
          <w:sz w:val="24"/>
          <w:szCs w:val="24"/>
        </w:rPr>
        <w:t xml:space="preserve"> têm importância especial na análise de séries temporais. Numa série temporal qualquer a primeira diferença consiste na subtração de observação da variável de interesse no tempo </w:t>
      </w:r>
      <w:r w:rsidRPr="00BA59C1">
        <w:rPr>
          <w:i/>
          <w:iCs/>
          <w:sz w:val="24"/>
          <w:szCs w:val="24"/>
        </w:rPr>
        <w:t>t</w:t>
      </w:r>
      <w:r>
        <w:rPr>
          <w:sz w:val="24"/>
          <w:szCs w:val="24"/>
        </w:rPr>
        <w:t xml:space="preserve">, </w:t>
      </w:r>
      <w:r w:rsidRPr="00BA59C1">
        <w:rPr>
          <w:i/>
          <w:iCs/>
          <w:sz w:val="24"/>
          <w:szCs w:val="24"/>
        </w:rPr>
        <w:t>Y</w:t>
      </w:r>
      <w:r w:rsidRPr="004B2CE9">
        <w:rPr>
          <w:i/>
          <w:iCs/>
          <w:position w:val="-6"/>
          <w:sz w:val="24"/>
          <w:szCs w:val="24"/>
          <w:vertAlign w:val="subscript"/>
        </w:rPr>
        <w:t>t</w:t>
      </w:r>
      <w:r>
        <w:rPr>
          <w:sz w:val="24"/>
          <w:szCs w:val="24"/>
        </w:rPr>
        <w:t xml:space="preserve">, pela variável no tempo </w:t>
      </w:r>
      <w:r w:rsidRPr="00BA59C1">
        <w:rPr>
          <w:i/>
          <w:iCs/>
          <w:sz w:val="24"/>
          <w:szCs w:val="24"/>
        </w:rPr>
        <w:t>t-1</w:t>
      </w:r>
      <w:r>
        <w:rPr>
          <w:sz w:val="24"/>
          <w:szCs w:val="24"/>
        </w:rPr>
        <w:t xml:space="preserve">, </w:t>
      </w:r>
      <w:r w:rsidRPr="00BA59C1">
        <w:rPr>
          <w:i/>
          <w:iCs/>
          <w:sz w:val="24"/>
          <w:szCs w:val="24"/>
        </w:rPr>
        <w:t>Y</w:t>
      </w:r>
      <w:r w:rsidRPr="004B2CE9">
        <w:rPr>
          <w:i/>
          <w:iCs/>
          <w:position w:val="-6"/>
          <w:sz w:val="24"/>
          <w:szCs w:val="24"/>
          <w:vertAlign w:val="subscript"/>
        </w:rPr>
        <w:t>t-1</w:t>
      </w:r>
      <w:r>
        <w:rPr>
          <w:sz w:val="24"/>
          <w:szCs w:val="24"/>
        </w:rPr>
        <w:t xml:space="preserve">, assim, representando a diferença por Δ, tem-se: </w:t>
      </w:r>
      <w:bookmarkStart w:id="0" w:name="_Hlk200309481"/>
      <w:r>
        <w:rPr>
          <w:sz w:val="24"/>
          <w:szCs w:val="24"/>
        </w:rPr>
        <w:t>Δ</w:t>
      </w:r>
      <w:bookmarkEnd w:id="0"/>
      <w:r w:rsidRPr="004B2CE9">
        <w:rPr>
          <w:i/>
          <w:iCs/>
          <w:position w:val="-6"/>
          <w:sz w:val="24"/>
          <w:szCs w:val="24"/>
          <w:vertAlign w:val="subscript"/>
        </w:rPr>
        <w:t>t</w:t>
      </w:r>
      <w:r>
        <w:rPr>
          <w:sz w:val="24"/>
          <w:szCs w:val="24"/>
        </w:rPr>
        <w:t xml:space="preserve"> = </w:t>
      </w:r>
      <w:r w:rsidRPr="00BA59C1">
        <w:rPr>
          <w:i/>
          <w:iCs/>
          <w:sz w:val="24"/>
          <w:szCs w:val="24"/>
        </w:rPr>
        <w:t>Y</w:t>
      </w:r>
      <w:r w:rsidRPr="004B2CE9">
        <w:rPr>
          <w:i/>
          <w:iCs/>
          <w:position w:val="-6"/>
          <w:sz w:val="24"/>
          <w:szCs w:val="24"/>
          <w:vertAlign w:val="subscript"/>
        </w:rPr>
        <w:t>t</w:t>
      </w:r>
      <w:r w:rsidRPr="004B2CE9">
        <w:rPr>
          <w:i/>
          <w:iCs/>
          <w:position w:val="-6"/>
          <w:sz w:val="24"/>
          <w:szCs w:val="24"/>
        </w:rPr>
        <w:t xml:space="preserve"> </w:t>
      </w:r>
      <w:r w:rsidRPr="00BA59C1">
        <w:rPr>
          <w:i/>
          <w:iCs/>
          <w:sz w:val="24"/>
          <w:szCs w:val="24"/>
        </w:rPr>
        <w:t>- Y</w:t>
      </w:r>
      <w:r w:rsidRPr="004B2CE9">
        <w:rPr>
          <w:i/>
          <w:iCs/>
          <w:position w:val="-6"/>
          <w:sz w:val="24"/>
          <w:szCs w:val="24"/>
          <w:vertAlign w:val="subscript"/>
        </w:rPr>
        <w:t>t-1</w:t>
      </w:r>
      <w:r>
        <w:rPr>
          <w:i/>
          <w:iCs/>
          <w:sz w:val="24"/>
          <w:szCs w:val="24"/>
        </w:rPr>
        <w:t xml:space="preserve">. </w:t>
      </w:r>
      <w:r>
        <w:rPr>
          <w:sz w:val="24"/>
          <w:szCs w:val="24"/>
        </w:rPr>
        <w:t>As diferenças</w:t>
      </w:r>
      <w:r w:rsidR="00D67A40">
        <w:rPr>
          <w:sz w:val="24"/>
          <w:szCs w:val="24"/>
        </w:rPr>
        <w:t>, dentre outras técnicas,</w:t>
      </w:r>
      <w:r>
        <w:rPr>
          <w:sz w:val="24"/>
          <w:szCs w:val="24"/>
        </w:rPr>
        <w:t xml:space="preserve"> têm utilidade em remover tendências e estabilizar a variabilidade</w:t>
      </w:r>
      <w:r w:rsidR="00E035A6">
        <w:rPr>
          <w:sz w:val="24"/>
          <w:szCs w:val="24"/>
        </w:rPr>
        <w:t xml:space="preserve">. Séries com esse comportamento são </w:t>
      </w:r>
      <w:r w:rsidR="00E035A6" w:rsidRPr="00E035A6">
        <w:rPr>
          <w:i/>
          <w:iCs/>
          <w:sz w:val="24"/>
          <w:szCs w:val="24"/>
        </w:rPr>
        <w:t>estacionárias</w:t>
      </w:r>
      <w:r w:rsidR="00E035A6">
        <w:rPr>
          <w:sz w:val="24"/>
          <w:szCs w:val="24"/>
        </w:rPr>
        <w:t xml:space="preserve">. A </w:t>
      </w:r>
      <w:r w:rsidR="00E035A6" w:rsidRPr="00E035A6">
        <w:rPr>
          <w:i/>
          <w:iCs/>
          <w:sz w:val="24"/>
          <w:szCs w:val="24"/>
        </w:rPr>
        <w:t>estacionariedade</w:t>
      </w:r>
      <w:r w:rsidR="00E035A6">
        <w:rPr>
          <w:sz w:val="24"/>
          <w:szCs w:val="24"/>
        </w:rPr>
        <w:t xml:space="preserve"> é um pressuposto dos modelos estatísticos empregados na análise de séries temporais. </w:t>
      </w:r>
      <w:r>
        <w:rPr>
          <w:sz w:val="24"/>
          <w:szCs w:val="24"/>
        </w:rPr>
        <w:t xml:space="preserve">Vê-se da Figura 3 que a tendência crescente despareceu: a série da primeira diferença da razão </w:t>
      </w:r>
      <w:r w:rsidRPr="009C4DDD">
        <w:rPr>
          <w:i/>
          <w:iCs/>
          <w:sz w:val="24"/>
          <w:szCs w:val="24"/>
        </w:rPr>
        <w:t>Pardos</w:t>
      </w:r>
      <w:r>
        <w:rPr>
          <w:sz w:val="24"/>
          <w:szCs w:val="24"/>
        </w:rPr>
        <w:t>/</w:t>
      </w:r>
      <w:r w:rsidRPr="009C4DDD">
        <w:rPr>
          <w:i/>
          <w:iCs/>
          <w:sz w:val="24"/>
          <w:szCs w:val="24"/>
        </w:rPr>
        <w:t>Brancos</w:t>
      </w:r>
      <w:r>
        <w:rPr>
          <w:sz w:val="24"/>
          <w:szCs w:val="24"/>
        </w:rPr>
        <w:t xml:space="preserve"> oscila em torno de zero. Contudo, as variabilidades não uniformes </w:t>
      </w:r>
      <w:r w:rsidR="00E035A6">
        <w:rPr>
          <w:sz w:val="24"/>
          <w:szCs w:val="24"/>
        </w:rPr>
        <w:t xml:space="preserve">(não aleatórias) </w:t>
      </w:r>
      <w:r>
        <w:rPr>
          <w:sz w:val="24"/>
          <w:szCs w:val="24"/>
        </w:rPr>
        <w:t>ainda persistem, destacando o período 2022 em diante, em que houve variabilidade mais saliente</w:t>
      </w:r>
      <w:r w:rsidR="00E035A6">
        <w:rPr>
          <w:sz w:val="24"/>
          <w:szCs w:val="24"/>
        </w:rPr>
        <w:t xml:space="preserve">. </w:t>
      </w:r>
    </w:p>
    <w:p w14:paraId="41D4FE4D" w14:textId="6D5A78CE" w:rsidR="00E035A6" w:rsidRDefault="00F1205A" w:rsidP="00E035A6">
      <w:pPr>
        <w:spacing w:line="360" w:lineRule="auto"/>
        <w:ind w:firstLine="720"/>
        <w:jc w:val="both"/>
        <w:rPr>
          <w:sz w:val="24"/>
          <w:szCs w:val="24"/>
        </w:rPr>
      </w:pPr>
      <w:r>
        <w:rPr>
          <w:sz w:val="24"/>
          <w:szCs w:val="24"/>
        </w:rPr>
        <w:t xml:space="preserve">Comparando-se as curvas da Figura 2, nota-se quem elas têm um formato bastante aproximado, </w:t>
      </w:r>
      <w:r w:rsidRPr="00F55ECD">
        <w:rPr>
          <w:i/>
          <w:iCs/>
          <w:sz w:val="24"/>
          <w:szCs w:val="24"/>
        </w:rPr>
        <w:t>RNB</w:t>
      </w:r>
      <w:r>
        <w:rPr>
          <w:sz w:val="24"/>
          <w:szCs w:val="24"/>
        </w:rPr>
        <w:t xml:space="preserve"> parece um deslocamento ou uma translação para cima da curva de </w:t>
      </w:r>
      <w:r w:rsidRPr="00F55ECD">
        <w:rPr>
          <w:i/>
          <w:iCs/>
          <w:sz w:val="24"/>
          <w:szCs w:val="24"/>
        </w:rPr>
        <w:t>RPB</w:t>
      </w:r>
      <w:r w:rsidRPr="00953566">
        <w:rPr>
          <w:sz w:val="24"/>
          <w:szCs w:val="24"/>
        </w:rPr>
        <w:t xml:space="preserve">. A medida da translação é exatamente o percentual de </w:t>
      </w:r>
      <w:r w:rsidRPr="00953566">
        <w:rPr>
          <w:i/>
          <w:iCs/>
          <w:sz w:val="24"/>
          <w:szCs w:val="24"/>
        </w:rPr>
        <w:t>Pretos</w:t>
      </w:r>
      <w:r w:rsidR="0030225B">
        <w:rPr>
          <w:i/>
          <w:iCs/>
          <w:sz w:val="24"/>
          <w:szCs w:val="24"/>
        </w:rPr>
        <w:t xml:space="preserve"> </w:t>
      </w:r>
      <w:r w:rsidR="0030225B" w:rsidRPr="00B35494">
        <w:rPr>
          <w:iCs/>
          <w:sz w:val="24"/>
          <w:szCs w:val="24"/>
        </w:rPr>
        <w:t>frente</w:t>
      </w:r>
      <w:r w:rsidR="00B35494">
        <w:rPr>
          <w:sz w:val="24"/>
          <w:szCs w:val="24"/>
        </w:rPr>
        <w:t xml:space="preserve"> aos </w:t>
      </w:r>
      <w:r w:rsidR="00B35494" w:rsidRPr="00B35494">
        <w:rPr>
          <w:i/>
          <w:sz w:val="24"/>
          <w:szCs w:val="24"/>
        </w:rPr>
        <w:t>Brancos</w:t>
      </w:r>
      <w:r w:rsidRPr="00F1205A">
        <w:rPr>
          <w:sz w:val="24"/>
          <w:szCs w:val="24"/>
        </w:rPr>
        <w:t>,</w:t>
      </w:r>
      <w:r w:rsidRPr="00953566">
        <w:rPr>
          <w:sz w:val="24"/>
          <w:szCs w:val="24"/>
        </w:rPr>
        <w:t xml:space="preserve"> mês a mês, que foi mais ou menos estável no período analisado</w:t>
      </w:r>
      <w:r>
        <w:rPr>
          <w:sz w:val="24"/>
          <w:szCs w:val="24"/>
        </w:rPr>
        <w:t xml:space="preserve">, conforme Figura 1 (a). A Tabela 1 corrobora a impressão visual. </w:t>
      </w:r>
      <w:r w:rsidRPr="00382CAA">
        <w:rPr>
          <w:sz w:val="24"/>
          <w:szCs w:val="24"/>
        </w:rPr>
        <w:t xml:space="preserve">As medidas de dispersão de </w:t>
      </w:r>
      <w:r w:rsidRPr="00382CAA">
        <w:rPr>
          <w:i/>
          <w:iCs/>
          <w:sz w:val="24"/>
          <w:szCs w:val="24"/>
        </w:rPr>
        <w:t>Pretos</w:t>
      </w:r>
      <w:r w:rsidRPr="00382CAA">
        <w:rPr>
          <w:sz w:val="24"/>
          <w:szCs w:val="24"/>
        </w:rPr>
        <w:t xml:space="preserve"> são bem inferiores à de </w:t>
      </w:r>
      <w:r w:rsidRPr="00382CAA">
        <w:rPr>
          <w:i/>
          <w:iCs/>
          <w:sz w:val="24"/>
          <w:szCs w:val="24"/>
        </w:rPr>
        <w:t>Brancos</w:t>
      </w:r>
      <w:r w:rsidRPr="00382CAA">
        <w:rPr>
          <w:sz w:val="24"/>
          <w:szCs w:val="24"/>
        </w:rPr>
        <w:t xml:space="preserve"> e </w:t>
      </w:r>
      <w:r w:rsidRPr="00382CAA">
        <w:rPr>
          <w:i/>
          <w:iCs/>
          <w:sz w:val="24"/>
          <w:szCs w:val="24"/>
        </w:rPr>
        <w:t>Pardos</w:t>
      </w:r>
      <w:r w:rsidRPr="00382CAA">
        <w:rPr>
          <w:sz w:val="24"/>
          <w:szCs w:val="24"/>
        </w:rPr>
        <w:t xml:space="preserve">. A amplitude (máximo – mínimo), por exemplo, de </w:t>
      </w:r>
      <w:r w:rsidRPr="00382CAA">
        <w:rPr>
          <w:i/>
          <w:iCs/>
          <w:sz w:val="24"/>
          <w:szCs w:val="24"/>
        </w:rPr>
        <w:t>Pardos</w:t>
      </w:r>
      <w:r w:rsidRPr="00382CAA">
        <w:rPr>
          <w:sz w:val="24"/>
          <w:szCs w:val="24"/>
        </w:rPr>
        <w:t xml:space="preserve"> é 11,17%, enquanto entre </w:t>
      </w:r>
      <w:r w:rsidRPr="00382CAA">
        <w:rPr>
          <w:i/>
          <w:iCs/>
          <w:sz w:val="24"/>
          <w:szCs w:val="24"/>
        </w:rPr>
        <w:t>Brancos</w:t>
      </w:r>
      <w:r w:rsidRPr="00382CAA">
        <w:rPr>
          <w:sz w:val="24"/>
          <w:szCs w:val="24"/>
        </w:rPr>
        <w:t xml:space="preserve"> é 25,60% e entre </w:t>
      </w:r>
      <w:r w:rsidRPr="00382CAA">
        <w:rPr>
          <w:i/>
          <w:iCs/>
          <w:sz w:val="24"/>
          <w:szCs w:val="24"/>
        </w:rPr>
        <w:t>Pardos</w:t>
      </w:r>
      <w:r w:rsidRPr="00382CAA">
        <w:rPr>
          <w:sz w:val="24"/>
          <w:szCs w:val="24"/>
        </w:rPr>
        <w:t xml:space="preserve">, 41,47%. No mesmo sentido, isso se dá </w:t>
      </w:r>
      <w:r>
        <w:rPr>
          <w:sz w:val="24"/>
          <w:szCs w:val="24"/>
        </w:rPr>
        <w:t>em outras medidas de dispersão:</w:t>
      </w:r>
      <w:r w:rsidRPr="00382CAA">
        <w:rPr>
          <w:sz w:val="24"/>
          <w:szCs w:val="24"/>
        </w:rPr>
        <w:t xml:space="preserve"> amplitude interquartílica (</w:t>
      </w:r>
      <w:r w:rsidR="007C79B7">
        <w:rPr>
          <w:sz w:val="24"/>
          <w:szCs w:val="24"/>
        </w:rPr>
        <w:t xml:space="preserve">= </w:t>
      </w:r>
      <w:r w:rsidRPr="00382CAA">
        <w:rPr>
          <w:sz w:val="24"/>
          <w:szCs w:val="24"/>
        </w:rPr>
        <w:t>3º quartil</w:t>
      </w:r>
      <w:r w:rsidR="007C79B7">
        <w:rPr>
          <w:sz w:val="24"/>
          <w:szCs w:val="24"/>
        </w:rPr>
        <w:t xml:space="preserve"> - </w:t>
      </w:r>
      <w:r w:rsidRPr="00382CAA">
        <w:rPr>
          <w:sz w:val="24"/>
          <w:szCs w:val="24"/>
        </w:rPr>
        <w:t xml:space="preserve">1º quartil) </w:t>
      </w:r>
      <w:r>
        <w:rPr>
          <w:sz w:val="24"/>
          <w:szCs w:val="24"/>
        </w:rPr>
        <w:t>e</w:t>
      </w:r>
      <w:r w:rsidRPr="00382CAA">
        <w:rPr>
          <w:sz w:val="24"/>
          <w:szCs w:val="24"/>
        </w:rPr>
        <w:t xml:space="preserve"> o desvio padrão, </w:t>
      </w:r>
      <w:r>
        <w:rPr>
          <w:sz w:val="24"/>
          <w:szCs w:val="24"/>
        </w:rPr>
        <w:t xml:space="preserve">também para o </w:t>
      </w:r>
      <w:r w:rsidRPr="00382CAA">
        <w:rPr>
          <w:sz w:val="24"/>
          <w:szCs w:val="24"/>
        </w:rPr>
        <w:t>coeficiente de variação (desvio padrão/média)</w:t>
      </w:r>
      <w:r>
        <w:rPr>
          <w:sz w:val="24"/>
          <w:szCs w:val="24"/>
        </w:rPr>
        <w:t xml:space="preserve"> que é uma medida de variabilidade </w:t>
      </w:r>
      <w:r>
        <w:rPr>
          <w:sz w:val="24"/>
          <w:szCs w:val="24"/>
        </w:rPr>
        <w:lastRenderedPageBreak/>
        <w:t>relativa.</w:t>
      </w:r>
      <w:r w:rsidR="00E035A6">
        <w:rPr>
          <w:sz w:val="24"/>
          <w:szCs w:val="24"/>
        </w:rPr>
        <w:t xml:space="preserve"> Desse modo a transição racial se dá no sentido e na medida do empardecimento da referida população.</w:t>
      </w:r>
    </w:p>
    <w:p w14:paraId="19D55289" w14:textId="77777777" w:rsidR="00312DF7" w:rsidRDefault="00053775" w:rsidP="009E3BB0">
      <w:pPr>
        <w:spacing w:line="360" w:lineRule="auto"/>
        <w:ind w:firstLine="720"/>
        <w:jc w:val="both"/>
        <w:rPr>
          <w:sz w:val="24"/>
          <w:szCs w:val="24"/>
        </w:rPr>
      </w:pPr>
      <w:r>
        <w:rPr>
          <w:sz w:val="24"/>
          <w:szCs w:val="24"/>
        </w:rPr>
        <w:t xml:space="preserve">A fim de </w:t>
      </w:r>
      <w:r w:rsidR="009B6518">
        <w:rPr>
          <w:sz w:val="24"/>
          <w:szCs w:val="24"/>
        </w:rPr>
        <w:t xml:space="preserve">se </w:t>
      </w:r>
      <w:r>
        <w:rPr>
          <w:sz w:val="24"/>
          <w:szCs w:val="24"/>
        </w:rPr>
        <w:t xml:space="preserve">estimar o comportamento futuro de </w:t>
      </w:r>
      <w:r w:rsidRPr="00053775">
        <w:rPr>
          <w:i/>
          <w:iCs/>
          <w:sz w:val="24"/>
          <w:szCs w:val="24"/>
        </w:rPr>
        <w:t>RPB</w:t>
      </w:r>
      <w:r>
        <w:rPr>
          <w:sz w:val="24"/>
          <w:szCs w:val="24"/>
        </w:rPr>
        <w:t>, para além de descrições, é útil a proposição de modelos. Nas Figuras 4 e 5 apresent</w:t>
      </w:r>
      <w:r w:rsidR="009E3BB0">
        <w:rPr>
          <w:sz w:val="24"/>
          <w:szCs w:val="24"/>
        </w:rPr>
        <w:t>a</w:t>
      </w:r>
      <w:r w:rsidR="003F26CB">
        <w:rPr>
          <w:sz w:val="24"/>
          <w:szCs w:val="24"/>
        </w:rPr>
        <w:t>m</w:t>
      </w:r>
      <w:r>
        <w:rPr>
          <w:sz w:val="24"/>
          <w:szCs w:val="24"/>
        </w:rPr>
        <w:t xml:space="preserve">-se </w:t>
      </w:r>
      <w:r w:rsidR="009E3BB0">
        <w:rPr>
          <w:sz w:val="24"/>
          <w:szCs w:val="24"/>
        </w:rPr>
        <w:t xml:space="preserve">a </w:t>
      </w:r>
      <w:r w:rsidRPr="009E3BB0">
        <w:rPr>
          <w:i/>
          <w:iCs/>
          <w:sz w:val="24"/>
          <w:szCs w:val="24"/>
        </w:rPr>
        <w:t>RPB</w:t>
      </w:r>
      <w:r>
        <w:rPr>
          <w:sz w:val="24"/>
          <w:szCs w:val="24"/>
        </w:rPr>
        <w:t xml:space="preserve"> junto a estimativas produzidas por dois modelos. O Modelo 1 é um ARIMA (2;1;0), trata-se de um modelo </w:t>
      </w:r>
      <w:r w:rsidR="009E3BB0">
        <w:rPr>
          <w:sz w:val="24"/>
          <w:szCs w:val="24"/>
        </w:rPr>
        <w:t>probabilístico</w:t>
      </w:r>
      <w:r>
        <w:rPr>
          <w:sz w:val="24"/>
          <w:szCs w:val="24"/>
        </w:rPr>
        <w:t xml:space="preserve"> construído sobre o pressuposto da estacionariedade, conforme comentário anterior. </w:t>
      </w:r>
    </w:p>
    <w:p w14:paraId="395073B5" w14:textId="77777777" w:rsidR="00D42F0B" w:rsidRDefault="003F453D" w:rsidP="009E3BB0">
      <w:pPr>
        <w:spacing w:line="360" w:lineRule="auto"/>
        <w:ind w:firstLine="720"/>
        <w:jc w:val="both"/>
        <w:rPr>
          <w:sz w:val="24"/>
          <w:szCs w:val="24"/>
        </w:rPr>
      </w:pPr>
      <w:r>
        <w:rPr>
          <w:sz w:val="24"/>
          <w:szCs w:val="24"/>
        </w:rPr>
        <w:t>Formalmente, Modelo 1</w:t>
      </w:r>
      <w:r w:rsidR="00164DE2">
        <w:rPr>
          <w:sz w:val="24"/>
          <w:szCs w:val="24"/>
        </w:rPr>
        <w:t>:</w:t>
      </w:r>
      <w:r w:rsidR="00312DF7">
        <w:rPr>
          <w:sz w:val="24"/>
          <w:szCs w:val="24"/>
        </w:rPr>
        <w:t xml:space="preserve"> </w:t>
      </w:r>
      <w:r>
        <w:rPr>
          <w:sz w:val="24"/>
          <w:szCs w:val="24"/>
        </w:rPr>
        <w:t>Δ</w:t>
      </w:r>
      <w:r w:rsidRPr="003F453D">
        <w:rPr>
          <w:i/>
          <w:iCs/>
          <w:sz w:val="24"/>
          <w:szCs w:val="24"/>
        </w:rPr>
        <w:t>RPB</w:t>
      </w:r>
      <w:r w:rsidRPr="003F453D">
        <w:rPr>
          <w:i/>
          <w:iCs/>
          <w:position w:val="-6"/>
          <w:sz w:val="24"/>
          <w:szCs w:val="24"/>
          <w:vertAlign w:val="subscript"/>
        </w:rPr>
        <w:t>t</w:t>
      </w:r>
      <w:r w:rsidRPr="003F453D">
        <w:rPr>
          <w:position w:val="-6"/>
          <w:sz w:val="24"/>
          <w:szCs w:val="24"/>
        </w:rPr>
        <w:t xml:space="preserve"> </w:t>
      </w:r>
      <w:r>
        <w:rPr>
          <w:sz w:val="24"/>
          <w:szCs w:val="24"/>
        </w:rPr>
        <w:t>+ 0,4399</w:t>
      </w:r>
      <w:r w:rsidRPr="003F453D">
        <w:rPr>
          <w:i/>
          <w:iCs/>
          <w:sz w:val="24"/>
          <w:szCs w:val="24"/>
        </w:rPr>
        <w:t>RPB</w:t>
      </w:r>
      <w:r w:rsidRPr="003F453D">
        <w:rPr>
          <w:i/>
          <w:iCs/>
          <w:position w:val="-6"/>
          <w:sz w:val="24"/>
          <w:szCs w:val="24"/>
          <w:vertAlign w:val="subscript"/>
        </w:rPr>
        <w:t>t-1</w:t>
      </w:r>
      <w:r>
        <w:rPr>
          <w:sz w:val="24"/>
          <w:szCs w:val="24"/>
        </w:rPr>
        <w:t xml:space="preserve"> + 0,3259</w:t>
      </w:r>
      <w:r w:rsidRPr="003F453D">
        <w:rPr>
          <w:i/>
          <w:iCs/>
          <w:sz w:val="24"/>
          <w:szCs w:val="24"/>
        </w:rPr>
        <w:t>RPB</w:t>
      </w:r>
      <w:r w:rsidRPr="003F453D">
        <w:rPr>
          <w:i/>
          <w:iCs/>
          <w:position w:val="-6"/>
          <w:sz w:val="24"/>
          <w:szCs w:val="24"/>
          <w:vertAlign w:val="subscript"/>
        </w:rPr>
        <w:t>t-2</w:t>
      </w:r>
      <w:r>
        <w:rPr>
          <w:sz w:val="24"/>
          <w:szCs w:val="24"/>
        </w:rPr>
        <w:t xml:space="preserve"> = </w:t>
      </w:r>
      <w:r w:rsidRPr="003F453D">
        <w:rPr>
          <w:i/>
          <w:iCs/>
          <w:sz w:val="24"/>
          <w:szCs w:val="24"/>
        </w:rPr>
        <w:t>a</w:t>
      </w:r>
      <w:r w:rsidRPr="003F453D">
        <w:rPr>
          <w:i/>
          <w:iCs/>
          <w:position w:val="-6"/>
          <w:sz w:val="24"/>
          <w:szCs w:val="24"/>
          <w:vertAlign w:val="subscript"/>
        </w:rPr>
        <w:t>t</w:t>
      </w:r>
      <w:r w:rsidRPr="003F453D">
        <w:rPr>
          <w:i/>
          <w:iCs/>
          <w:sz w:val="24"/>
          <w:szCs w:val="24"/>
        </w:rPr>
        <w:t>.</w:t>
      </w:r>
      <w:r>
        <w:rPr>
          <w:i/>
          <w:iCs/>
          <w:sz w:val="24"/>
          <w:szCs w:val="24"/>
        </w:rPr>
        <w:t xml:space="preserve"> </w:t>
      </w:r>
      <w:r>
        <w:rPr>
          <w:sz w:val="24"/>
          <w:szCs w:val="24"/>
        </w:rPr>
        <w:t xml:space="preserve">Em que </w:t>
      </w:r>
      <w:r w:rsidRPr="0012136A">
        <w:rPr>
          <w:i/>
          <w:iCs/>
          <w:sz w:val="24"/>
          <w:szCs w:val="24"/>
        </w:rPr>
        <w:t>a</w:t>
      </w:r>
      <w:r w:rsidRPr="0012136A">
        <w:rPr>
          <w:i/>
          <w:iCs/>
          <w:position w:val="-6"/>
          <w:sz w:val="24"/>
          <w:szCs w:val="24"/>
          <w:vertAlign w:val="subscript"/>
        </w:rPr>
        <w:t>t</w:t>
      </w:r>
      <w:r>
        <w:rPr>
          <w:sz w:val="24"/>
          <w:szCs w:val="24"/>
        </w:rPr>
        <w:t xml:space="preserve"> é uma variável aleatória com média 0 e vari</w:t>
      </w:r>
      <w:r w:rsidR="0012136A">
        <w:rPr>
          <w:sz w:val="24"/>
          <w:szCs w:val="24"/>
        </w:rPr>
        <w:t>ância constante.</w:t>
      </w:r>
      <w:r w:rsidR="003F26CB">
        <w:rPr>
          <w:sz w:val="24"/>
          <w:szCs w:val="24"/>
        </w:rPr>
        <w:t xml:space="preserve"> </w:t>
      </w:r>
      <w:r w:rsidR="00164DE2">
        <w:rPr>
          <w:sz w:val="24"/>
          <w:szCs w:val="24"/>
        </w:rPr>
        <w:t xml:space="preserve">Os parâmetros do Modelo 1 foram obtidos com a função “auto.arima” do R, aplicada </w:t>
      </w:r>
      <w:r w:rsidR="00062387">
        <w:rPr>
          <w:sz w:val="24"/>
          <w:szCs w:val="24"/>
        </w:rPr>
        <w:t xml:space="preserve">sobre </w:t>
      </w:r>
      <w:r w:rsidR="00164DE2" w:rsidRPr="00164DE2">
        <w:rPr>
          <w:i/>
          <w:iCs/>
          <w:sz w:val="24"/>
          <w:szCs w:val="24"/>
        </w:rPr>
        <w:t>RPB</w:t>
      </w:r>
      <w:r w:rsidR="00164DE2" w:rsidRPr="00164DE2">
        <w:rPr>
          <w:i/>
          <w:iCs/>
          <w:position w:val="-6"/>
          <w:sz w:val="24"/>
          <w:szCs w:val="24"/>
          <w:vertAlign w:val="subscript"/>
        </w:rPr>
        <w:t>t</w:t>
      </w:r>
      <w:r w:rsidR="00164DE2">
        <w:rPr>
          <w:sz w:val="24"/>
          <w:szCs w:val="24"/>
        </w:rPr>
        <w:t>. Foram excluídos os parâmetros não significativos a 5,00%.</w:t>
      </w:r>
      <w:r w:rsidR="00957621">
        <w:rPr>
          <w:sz w:val="24"/>
          <w:szCs w:val="24"/>
        </w:rPr>
        <w:t xml:space="preserve"> </w:t>
      </w:r>
      <w:r w:rsidR="00053775">
        <w:rPr>
          <w:sz w:val="24"/>
          <w:szCs w:val="24"/>
        </w:rPr>
        <w:t>No segundo</w:t>
      </w:r>
      <w:r w:rsidR="009E3BB0">
        <w:rPr>
          <w:sz w:val="24"/>
          <w:szCs w:val="24"/>
        </w:rPr>
        <w:t xml:space="preserve"> </w:t>
      </w:r>
      <w:r w:rsidR="00053775">
        <w:rPr>
          <w:sz w:val="24"/>
          <w:szCs w:val="24"/>
        </w:rPr>
        <w:t>caso</w:t>
      </w:r>
      <w:r w:rsidR="009E3BB0">
        <w:rPr>
          <w:sz w:val="24"/>
          <w:szCs w:val="24"/>
        </w:rPr>
        <w:t>,</w:t>
      </w:r>
      <w:r w:rsidR="00053775">
        <w:rPr>
          <w:sz w:val="24"/>
          <w:szCs w:val="24"/>
        </w:rPr>
        <w:t xml:space="preserve"> tem-se um modelo </w:t>
      </w:r>
      <w:r w:rsidR="009E3BB0">
        <w:rPr>
          <w:sz w:val="24"/>
          <w:szCs w:val="24"/>
        </w:rPr>
        <w:t xml:space="preserve">(matemático) </w:t>
      </w:r>
      <w:r w:rsidR="00053775">
        <w:rPr>
          <w:sz w:val="24"/>
          <w:szCs w:val="24"/>
        </w:rPr>
        <w:t xml:space="preserve">de </w:t>
      </w:r>
      <w:r w:rsidR="00957621">
        <w:rPr>
          <w:sz w:val="24"/>
          <w:szCs w:val="24"/>
        </w:rPr>
        <w:t>suavização</w:t>
      </w:r>
      <w:r w:rsidR="00053775">
        <w:rPr>
          <w:sz w:val="24"/>
          <w:szCs w:val="24"/>
        </w:rPr>
        <w:t xml:space="preserve"> exponencial</w:t>
      </w:r>
      <w:r w:rsidR="00957621">
        <w:rPr>
          <w:sz w:val="24"/>
          <w:szCs w:val="24"/>
        </w:rPr>
        <w:t xml:space="preserve"> </w:t>
      </w:r>
      <w:r w:rsidR="00053775">
        <w:rPr>
          <w:sz w:val="24"/>
          <w:szCs w:val="24"/>
        </w:rPr>
        <w:t>– Modelo 2</w:t>
      </w:r>
      <w:r w:rsidR="00957621">
        <w:rPr>
          <w:sz w:val="24"/>
          <w:szCs w:val="24"/>
        </w:rPr>
        <w:t>, o qual foi obtido com a função “hw” do R</w:t>
      </w:r>
      <w:r w:rsidR="005754DA">
        <w:rPr>
          <w:sz w:val="24"/>
          <w:szCs w:val="24"/>
        </w:rPr>
        <w:t xml:space="preserve">, a qual implementa o modelo conforme a proposta de Holt e Winter. Detalhes </w:t>
      </w:r>
      <w:r w:rsidR="00E851E9">
        <w:rPr>
          <w:sz w:val="24"/>
          <w:szCs w:val="24"/>
        </w:rPr>
        <w:t>desses</w:t>
      </w:r>
      <w:r w:rsidR="005754DA">
        <w:rPr>
          <w:sz w:val="24"/>
          <w:szCs w:val="24"/>
        </w:rPr>
        <w:t xml:space="preserve"> referidos </w:t>
      </w:r>
      <w:r w:rsidR="00E851E9">
        <w:rPr>
          <w:sz w:val="24"/>
          <w:szCs w:val="24"/>
        </w:rPr>
        <w:t xml:space="preserve">modelos </w:t>
      </w:r>
      <w:r w:rsidR="005754DA">
        <w:rPr>
          <w:sz w:val="24"/>
          <w:szCs w:val="24"/>
        </w:rPr>
        <w:t>podem ser obtidos nos capítulos 4 a 5 de Morettin e Toloi (2006)</w:t>
      </w:r>
      <w:r w:rsidR="00957621">
        <w:rPr>
          <w:sz w:val="24"/>
          <w:szCs w:val="24"/>
        </w:rPr>
        <w:t>.</w:t>
      </w:r>
      <w:r w:rsidR="005754DA">
        <w:rPr>
          <w:sz w:val="24"/>
          <w:szCs w:val="24"/>
        </w:rPr>
        <w:t xml:space="preserve"> </w:t>
      </w:r>
      <w:r w:rsidR="009E3BB0">
        <w:rPr>
          <w:sz w:val="24"/>
          <w:szCs w:val="24"/>
        </w:rPr>
        <w:t xml:space="preserve">Tecnicamente, o Modelo 1 é mais robusto que o modelo 2. Por ser probabilístico permite avaliação seus parâmetros </w:t>
      </w:r>
      <w:r w:rsidR="002B5293">
        <w:rPr>
          <w:sz w:val="24"/>
          <w:szCs w:val="24"/>
        </w:rPr>
        <w:t xml:space="preserve">por significância estatística, ou seja, a análise do valor </w:t>
      </w:r>
      <w:r w:rsidR="002B5293" w:rsidRPr="002B5293">
        <w:rPr>
          <w:i/>
          <w:iCs/>
          <w:sz w:val="24"/>
          <w:szCs w:val="24"/>
        </w:rPr>
        <w:t>p</w:t>
      </w:r>
      <w:r w:rsidR="002B5293">
        <w:rPr>
          <w:sz w:val="24"/>
          <w:szCs w:val="24"/>
        </w:rPr>
        <w:t>. Ambos os modelos podem ser avaliados pelas mesmas técnicas quanto ao ajuste.</w:t>
      </w:r>
    </w:p>
    <w:p w14:paraId="125B0A13" w14:textId="77777777" w:rsidR="00437300" w:rsidRDefault="00437300" w:rsidP="009E3BB0">
      <w:pPr>
        <w:spacing w:line="360" w:lineRule="auto"/>
        <w:ind w:firstLine="720"/>
        <w:jc w:val="both"/>
        <w:rPr>
          <w:sz w:val="24"/>
          <w:szCs w:val="24"/>
        </w:rPr>
      </w:pPr>
    </w:p>
    <w:tbl>
      <w:tblPr>
        <w:tblW w:w="16486" w:type="dxa"/>
        <w:tblInd w:w="-1139" w:type="dxa"/>
        <w:tblLayout w:type="fixed"/>
        <w:tblCellMar>
          <w:left w:w="0" w:type="dxa"/>
          <w:right w:w="0" w:type="dxa"/>
        </w:tblCellMar>
        <w:tblLook w:val="0000" w:firstRow="0" w:lastRow="0" w:firstColumn="0" w:lastColumn="0" w:noHBand="0" w:noVBand="0"/>
      </w:tblPr>
      <w:tblGrid>
        <w:gridCol w:w="5529"/>
        <w:gridCol w:w="5528"/>
        <w:gridCol w:w="5429"/>
      </w:tblGrid>
      <w:tr w:rsidR="00D42F0B" w14:paraId="23596226" w14:textId="77777777" w:rsidTr="0087546E">
        <w:tc>
          <w:tcPr>
            <w:tcW w:w="5529" w:type="dxa"/>
            <w:shd w:val="clear" w:color="auto" w:fill="auto"/>
            <w:tcMar>
              <w:left w:w="108" w:type="dxa"/>
              <w:right w:w="108" w:type="dxa"/>
            </w:tcMar>
          </w:tcPr>
          <w:p w14:paraId="5E73AA43" w14:textId="77777777" w:rsidR="00D42F0B" w:rsidRDefault="00D42F0B" w:rsidP="0087546E">
            <w:pPr>
              <w:spacing w:line="240" w:lineRule="auto"/>
              <w:jc w:val="center"/>
            </w:pPr>
            <w:r>
              <w:rPr>
                <w:b/>
                <w:bCs/>
                <w:sz w:val="24"/>
                <w:szCs w:val="24"/>
              </w:rPr>
              <w:t>Figura 4</w:t>
            </w:r>
            <w:r>
              <w:rPr>
                <w:sz w:val="24"/>
                <w:szCs w:val="24"/>
              </w:rPr>
              <w:t xml:space="preserve">: Séries temporais das razões de </w:t>
            </w:r>
            <w:r w:rsidRPr="00AA431C">
              <w:rPr>
                <w:i/>
                <w:iCs/>
                <w:sz w:val="24"/>
                <w:szCs w:val="24"/>
              </w:rPr>
              <w:t>Pardos</w:t>
            </w:r>
            <w:r>
              <w:rPr>
                <w:sz w:val="24"/>
                <w:szCs w:val="24"/>
              </w:rPr>
              <w:t xml:space="preserve"> e </w:t>
            </w:r>
            <w:r w:rsidRPr="00AA431C">
              <w:rPr>
                <w:i/>
                <w:iCs/>
                <w:sz w:val="24"/>
                <w:szCs w:val="24"/>
              </w:rPr>
              <w:t>Brancos</w:t>
            </w:r>
            <w:r>
              <w:rPr>
                <w:sz w:val="24"/>
                <w:szCs w:val="24"/>
              </w:rPr>
              <w:t xml:space="preserve"> (</w:t>
            </w:r>
            <w:r w:rsidRPr="007A33C8">
              <w:rPr>
                <w:i/>
                <w:iCs/>
                <w:sz w:val="24"/>
                <w:szCs w:val="24"/>
              </w:rPr>
              <w:t>RPB</w:t>
            </w:r>
            <w:r>
              <w:rPr>
                <w:sz w:val="24"/>
                <w:szCs w:val="24"/>
              </w:rPr>
              <w:t xml:space="preserve">) e </w:t>
            </w:r>
            <w:r w:rsidRPr="00AA431C">
              <w:rPr>
                <w:i/>
                <w:iCs/>
                <w:sz w:val="24"/>
                <w:szCs w:val="24"/>
              </w:rPr>
              <w:t>Negros</w:t>
            </w:r>
            <w:r>
              <w:rPr>
                <w:sz w:val="24"/>
                <w:szCs w:val="24"/>
              </w:rPr>
              <w:t xml:space="preserve"> e </w:t>
            </w:r>
            <w:r w:rsidRPr="00AA431C">
              <w:rPr>
                <w:i/>
                <w:iCs/>
                <w:sz w:val="24"/>
                <w:szCs w:val="24"/>
              </w:rPr>
              <w:t>Brancos</w:t>
            </w:r>
            <w:r>
              <w:rPr>
                <w:i/>
                <w:iCs/>
                <w:sz w:val="24"/>
                <w:szCs w:val="24"/>
              </w:rPr>
              <w:t xml:space="preserve"> </w:t>
            </w:r>
            <w:r w:rsidRPr="007A33C8">
              <w:rPr>
                <w:sz w:val="24"/>
                <w:szCs w:val="24"/>
              </w:rPr>
              <w:t>(</w:t>
            </w:r>
            <w:r>
              <w:rPr>
                <w:i/>
                <w:iCs/>
                <w:sz w:val="24"/>
                <w:szCs w:val="24"/>
              </w:rPr>
              <w:t>RNB</w:t>
            </w:r>
            <w:r w:rsidRPr="007A33C8">
              <w:rPr>
                <w:sz w:val="24"/>
                <w:szCs w:val="24"/>
              </w:rPr>
              <w:t>)</w:t>
            </w:r>
          </w:p>
        </w:tc>
        <w:tc>
          <w:tcPr>
            <w:tcW w:w="5528" w:type="dxa"/>
            <w:shd w:val="clear" w:color="auto" w:fill="auto"/>
            <w:tcMar>
              <w:left w:w="108" w:type="dxa"/>
              <w:right w:w="108" w:type="dxa"/>
            </w:tcMar>
          </w:tcPr>
          <w:p w14:paraId="1657BF6F" w14:textId="77777777" w:rsidR="00D42F0B" w:rsidRDefault="00D42F0B" w:rsidP="0087546E">
            <w:pPr>
              <w:spacing w:line="240" w:lineRule="auto"/>
              <w:jc w:val="center"/>
            </w:pPr>
            <w:r>
              <w:rPr>
                <w:b/>
                <w:bCs/>
                <w:sz w:val="24"/>
                <w:szCs w:val="24"/>
              </w:rPr>
              <w:t>Figura 5</w:t>
            </w:r>
            <w:r>
              <w:rPr>
                <w:sz w:val="24"/>
                <w:szCs w:val="24"/>
              </w:rPr>
              <w:t xml:space="preserve">: Primeira diferença de </w:t>
            </w:r>
            <w:r w:rsidRPr="007A33C8">
              <w:rPr>
                <w:i/>
                <w:iCs/>
                <w:sz w:val="24"/>
                <w:szCs w:val="24"/>
              </w:rPr>
              <w:t>RPB</w:t>
            </w:r>
            <w:r>
              <w:rPr>
                <w:sz w:val="24"/>
                <w:szCs w:val="24"/>
              </w:rPr>
              <w:t xml:space="preserve"> (Δ</w:t>
            </w:r>
            <w:r w:rsidRPr="007A33C8">
              <w:rPr>
                <w:i/>
                <w:iCs/>
                <w:sz w:val="24"/>
                <w:szCs w:val="24"/>
              </w:rPr>
              <w:t>RPB</w:t>
            </w:r>
            <w:r w:rsidRPr="003F453D">
              <w:rPr>
                <w:i/>
                <w:iCs/>
                <w:position w:val="-6"/>
                <w:sz w:val="24"/>
                <w:szCs w:val="24"/>
                <w:vertAlign w:val="subscript"/>
              </w:rPr>
              <w:t>t</w:t>
            </w:r>
            <w:r w:rsidRPr="007A33C8">
              <w:rPr>
                <w:sz w:val="24"/>
                <w:szCs w:val="24"/>
              </w:rPr>
              <w:t>)</w:t>
            </w:r>
          </w:p>
        </w:tc>
        <w:tc>
          <w:tcPr>
            <w:tcW w:w="5429" w:type="dxa"/>
            <w:shd w:val="clear" w:color="auto" w:fill="auto"/>
          </w:tcPr>
          <w:p w14:paraId="3F57B8CD" w14:textId="77777777" w:rsidR="00D42F0B" w:rsidRDefault="00D42F0B" w:rsidP="0087546E">
            <w:pPr>
              <w:snapToGrid w:val="0"/>
              <w:rPr>
                <w:sz w:val="24"/>
                <w:szCs w:val="24"/>
              </w:rPr>
            </w:pPr>
          </w:p>
        </w:tc>
      </w:tr>
      <w:tr w:rsidR="00D42F0B" w14:paraId="159E96CB" w14:textId="77777777" w:rsidTr="0087546E">
        <w:tc>
          <w:tcPr>
            <w:tcW w:w="5529" w:type="dxa"/>
            <w:shd w:val="clear" w:color="auto" w:fill="auto"/>
            <w:tcMar>
              <w:left w:w="108" w:type="dxa"/>
              <w:right w:w="108" w:type="dxa"/>
            </w:tcMar>
          </w:tcPr>
          <w:p w14:paraId="3716FED5" w14:textId="77777777" w:rsidR="00D42F0B" w:rsidRDefault="00D42F0B" w:rsidP="0087546E">
            <w:pPr>
              <w:spacing w:line="360" w:lineRule="auto"/>
              <w:jc w:val="center"/>
            </w:pPr>
            <w:r>
              <w:rPr>
                <w:noProof/>
                <w14:ligatures w14:val="standardContextual"/>
              </w:rPr>
              <w:drawing>
                <wp:inline distT="0" distB="0" distL="0" distR="0" wp14:anchorId="62CBD661" wp14:editId="21CCA262">
                  <wp:extent cx="3399949" cy="2230171"/>
                  <wp:effectExtent l="0" t="0" r="0" b="0"/>
                  <wp:docPr id="51738925" name="Imagem 1" descr="Gráfi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8925" name="Imagem 1" descr="Gráfico&#10;&#10;O conteúdo gerado por IA pode estar incorreto."/>
                          <pic:cNvPicPr/>
                        </pic:nvPicPr>
                        <pic:blipFill>
                          <a:blip r:embed="rId15"/>
                          <a:stretch>
                            <a:fillRect/>
                          </a:stretch>
                        </pic:blipFill>
                        <pic:spPr>
                          <a:xfrm>
                            <a:off x="0" y="0"/>
                            <a:ext cx="3400108" cy="2230275"/>
                          </a:xfrm>
                          <a:prstGeom prst="rect">
                            <a:avLst/>
                          </a:prstGeom>
                        </pic:spPr>
                      </pic:pic>
                    </a:graphicData>
                  </a:graphic>
                </wp:inline>
              </w:drawing>
            </w:r>
          </w:p>
        </w:tc>
        <w:tc>
          <w:tcPr>
            <w:tcW w:w="5528" w:type="dxa"/>
            <w:shd w:val="clear" w:color="auto" w:fill="auto"/>
            <w:tcMar>
              <w:left w:w="108" w:type="dxa"/>
              <w:right w:w="108" w:type="dxa"/>
            </w:tcMar>
          </w:tcPr>
          <w:p w14:paraId="083AFF9C" w14:textId="77777777" w:rsidR="00D42F0B" w:rsidRDefault="00D42F0B" w:rsidP="0087546E">
            <w:pPr>
              <w:spacing w:line="360" w:lineRule="auto"/>
              <w:jc w:val="center"/>
              <w:rPr>
                <w:sz w:val="24"/>
                <w:szCs w:val="24"/>
              </w:rPr>
            </w:pPr>
            <w:r>
              <w:rPr>
                <w:noProof/>
                <w14:ligatures w14:val="standardContextual"/>
              </w:rPr>
              <w:drawing>
                <wp:inline distT="0" distB="0" distL="0" distR="0" wp14:anchorId="4130463C" wp14:editId="3CA1AF3E">
                  <wp:extent cx="3449102" cy="2262175"/>
                  <wp:effectExtent l="0" t="0" r="0" b="5080"/>
                  <wp:docPr id="230055933" name="Imagem 1" descr="Gráfico, Gráfico de linh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055933" name="Imagem 1" descr="Gráfico, Gráfico de linhas&#10;&#10;O conteúdo gerado por IA pode estar incorreto."/>
                          <pic:cNvPicPr/>
                        </pic:nvPicPr>
                        <pic:blipFill>
                          <a:blip r:embed="rId16"/>
                          <a:stretch>
                            <a:fillRect/>
                          </a:stretch>
                        </pic:blipFill>
                        <pic:spPr>
                          <a:xfrm>
                            <a:off x="0" y="0"/>
                            <a:ext cx="3469325" cy="2275439"/>
                          </a:xfrm>
                          <a:prstGeom prst="rect">
                            <a:avLst/>
                          </a:prstGeom>
                        </pic:spPr>
                      </pic:pic>
                    </a:graphicData>
                  </a:graphic>
                </wp:inline>
              </w:drawing>
            </w:r>
          </w:p>
        </w:tc>
        <w:tc>
          <w:tcPr>
            <w:tcW w:w="5429" w:type="dxa"/>
            <w:shd w:val="clear" w:color="auto" w:fill="auto"/>
          </w:tcPr>
          <w:p w14:paraId="5A6CA90F" w14:textId="77777777" w:rsidR="00D42F0B" w:rsidRDefault="00D42F0B" w:rsidP="0087546E">
            <w:pPr>
              <w:snapToGrid w:val="0"/>
              <w:rPr>
                <w:sz w:val="24"/>
                <w:szCs w:val="24"/>
              </w:rPr>
            </w:pPr>
          </w:p>
        </w:tc>
      </w:tr>
      <w:tr w:rsidR="00D42F0B" w14:paraId="613C5669" w14:textId="77777777" w:rsidTr="0087546E">
        <w:tblPrEx>
          <w:tblCellMar>
            <w:left w:w="108" w:type="dxa"/>
            <w:right w:w="108" w:type="dxa"/>
          </w:tblCellMar>
        </w:tblPrEx>
        <w:tc>
          <w:tcPr>
            <w:tcW w:w="5529" w:type="dxa"/>
            <w:shd w:val="clear" w:color="auto" w:fill="auto"/>
          </w:tcPr>
          <w:p w14:paraId="000BA445" w14:textId="77777777" w:rsidR="00D42F0B" w:rsidRDefault="00D42F0B" w:rsidP="0087546E">
            <w:pPr>
              <w:spacing w:line="240" w:lineRule="auto"/>
              <w:jc w:val="both"/>
            </w:pPr>
            <w:r>
              <w:rPr>
                <w:b/>
                <w:bCs/>
                <w:sz w:val="20"/>
                <w:szCs w:val="20"/>
                <w:lang w:eastAsia="pt-BR"/>
              </w:rPr>
              <w:t>Fonte</w:t>
            </w:r>
            <w:r>
              <w:rPr>
                <w:sz w:val="20"/>
                <w:szCs w:val="20"/>
                <w:lang w:eastAsia="pt-BR"/>
              </w:rPr>
              <w:t>: elaborada pelo autor com base nos microdados do SIASUS</w:t>
            </w:r>
          </w:p>
        </w:tc>
        <w:tc>
          <w:tcPr>
            <w:tcW w:w="5528" w:type="dxa"/>
            <w:shd w:val="clear" w:color="auto" w:fill="auto"/>
          </w:tcPr>
          <w:p w14:paraId="59A99939" w14:textId="77777777" w:rsidR="00D42F0B" w:rsidRDefault="00D42F0B" w:rsidP="0087546E">
            <w:pPr>
              <w:spacing w:line="240" w:lineRule="auto"/>
              <w:jc w:val="both"/>
            </w:pPr>
            <w:r>
              <w:rPr>
                <w:b/>
                <w:bCs/>
                <w:sz w:val="20"/>
                <w:szCs w:val="20"/>
                <w:lang w:eastAsia="pt-BR"/>
              </w:rPr>
              <w:t>Fonte</w:t>
            </w:r>
            <w:r>
              <w:rPr>
                <w:sz w:val="20"/>
                <w:szCs w:val="20"/>
                <w:lang w:eastAsia="pt-BR"/>
              </w:rPr>
              <w:t>: elaborada pelo autor com base nos microdados do SIASUS</w:t>
            </w:r>
          </w:p>
        </w:tc>
        <w:tc>
          <w:tcPr>
            <w:tcW w:w="5429" w:type="dxa"/>
            <w:shd w:val="clear" w:color="auto" w:fill="auto"/>
          </w:tcPr>
          <w:p w14:paraId="5A67F55A" w14:textId="77777777" w:rsidR="00D42F0B" w:rsidRDefault="00D42F0B" w:rsidP="0087546E">
            <w:pPr>
              <w:snapToGrid w:val="0"/>
              <w:spacing w:line="240" w:lineRule="auto"/>
              <w:rPr>
                <w:sz w:val="24"/>
                <w:szCs w:val="24"/>
                <w:lang w:eastAsia="pt-BR"/>
              </w:rPr>
            </w:pPr>
          </w:p>
        </w:tc>
      </w:tr>
    </w:tbl>
    <w:p w14:paraId="7F4FDDEE" w14:textId="12AE0708" w:rsidR="00EC6D02" w:rsidRDefault="005754DA" w:rsidP="009E3BB0">
      <w:pPr>
        <w:spacing w:line="360" w:lineRule="auto"/>
        <w:ind w:firstLine="720"/>
        <w:jc w:val="both"/>
        <w:rPr>
          <w:sz w:val="24"/>
          <w:szCs w:val="24"/>
        </w:rPr>
      </w:pPr>
      <w:r>
        <w:rPr>
          <w:sz w:val="24"/>
          <w:szCs w:val="24"/>
        </w:rPr>
        <w:t xml:space="preserve">  </w:t>
      </w:r>
    </w:p>
    <w:p w14:paraId="053DE34D" w14:textId="69F670E6" w:rsidR="00EC6D02" w:rsidRDefault="009B6518" w:rsidP="00D42F0B">
      <w:pPr>
        <w:spacing w:line="360" w:lineRule="auto"/>
        <w:ind w:firstLine="720"/>
        <w:jc w:val="both"/>
        <w:rPr>
          <w:sz w:val="24"/>
          <w:szCs w:val="24"/>
        </w:rPr>
      </w:pPr>
      <w:r>
        <w:rPr>
          <w:sz w:val="24"/>
          <w:szCs w:val="24"/>
        </w:rPr>
        <w:lastRenderedPageBreak/>
        <w:t>Os Modelos na Figura 4 foram construídos (seus parâmetros foram estimados) considerando-se as primeiras 195 observações, ou seja, de janeiro de 2008 até março de 2023. A ideia é testá-los com dados reais</w:t>
      </w:r>
      <w:r w:rsidR="00FA19FD">
        <w:rPr>
          <w:sz w:val="24"/>
          <w:szCs w:val="24"/>
        </w:rPr>
        <w:t>:</w:t>
      </w:r>
      <w:r>
        <w:rPr>
          <w:sz w:val="24"/>
          <w:szCs w:val="24"/>
        </w:rPr>
        <w:t xml:space="preserve"> os últimos dozes meses da série sob análise. </w:t>
      </w:r>
      <w:r w:rsidR="00FA19FD">
        <w:rPr>
          <w:sz w:val="24"/>
          <w:szCs w:val="24"/>
        </w:rPr>
        <w:t xml:space="preserve">Na literatura especializada, o primeiro é conhecido como </w:t>
      </w:r>
      <w:r w:rsidR="00FA19FD" w:rsidRPr="00FA19FD">
        <w:rPr>
          <w:i/>
          <w:iCs/>
          <w:sz w:val="24"/>
          <w:szCs w:val="24"/>
        </w:rPr>
        <w:t>período amostral</w:t>
      </w:r>
      <w:r w:rsidR="00FA19FD">
        <w:rPr>
          <w:sz w:val="24"/>
          <w:szCs w:val="24"/>
        </w:rPr>
        <w:t xml:space="preserve">, e o segundo, como </w:t>
      </w:r>
      <w:r w:rsidR="00FA19FD" w:rsidRPr="00FA19FD">
        <w:rPr>
          <w:i/>
          <w:iCs/>
          <w:sz w:val="24"/>
          <w:szCs w:val="24"/>
        </w:rPr>
        <w:t>período de validação</w:t>
      </w:r>
      <w:r w:rsidR="00FA19FD">
        <w:rPr>
          <w:sz w:val="24"/>
          <w:szCs w:val="24"/>
        </w:rPr>
        <w:t xml:space="preserve">. </w:t>
      </w:r>
      <w:r w:rsidR="009202FD">
        <w:rPr>
          <w:sz w:val="24"/>
          <w:szCs w:val="24"/>
        </w:rPr>
        <w:t>Na</w:t>
      </w:r>
      <w:r w:rsidR="00FA19FD">
        <w:rPr>
          <w:sz w:val="24"/>
          <w:szCs w:val="24"/>
        </w:rPr>
        <w:t xml:space="preserve"> Figura 5</w:t>
      </w:r>
      <w:r w:rsidR="00AD6FDF">
        <w:rPr>
          <w:sz w:val="24"/>
          <w:szCs w:val="24"/>
        </w:rPr>
        <w:t>, as séries</w:t>
      </w:r>
      <w:r w:rsidR="00FA19FD">
        <w:rPr>
          <w:sz w:val="24"/>
          <w:szCs w:val="24"/>
        </w:rPr>
        <w:t xml:space="preserve"> </w:t>
      </w:r>
      <w:r w:rsidR="00AD6FDF">
        <w:rPr>
          <w:sz w:val="24"/>
          <w:szCs w:val="24"/>
        </w:rPr>
        <w:t>foram</w:t>
      </w:r>
      <w:r w:rsidR="00FA19FD">
        <w:rPr>
          <w:sz w:val="24"/>
          <w:szCs w:val="24"/>
        </w:rPr>
        <w:t xml:space="preserve"> </w:t>
      </w:r>
      <w:r w:rsidR="009F7BAD">
        <w:rPr>
          <w:sz w:val="24"/>
          <w:szCs w:val="24"/>
        </w:rPr>
        <w:t>separadas</w:t>
      </w:r>
      <w:r w:rsidR="00FA19FD">
        <w:rPr>
          <w:sz w:val="24"/>
          <w:szCs w:val="24"/>
        </w:rPr>
        <w:t xml:space="preserve"> em</w:t>
      </w:r>
      <w:r w:rsidR="00AD6FDF">
        <w:rPr>
          <w:sz w:val="24"/>
          <w:szCs w:val="24"/>
        </w:rPr>
        <w:t xml:space="preserve"> </w:t>
      </w:r>
      <w:r w:rsidR="00D024B7">
        <w:rPr>
          <w:sz w:val="24"/>
          <w:szCs w:val="24"/>
        </w:rPr>
        <w:t>duas</w:t>
      </w:r>
      <w:r w:rsidR="00FA19FD">
        <w:rPr>
          <w:sz w:val="24"/>
          <w:szCs w:val="24"/>
        </w:rPr>
        <w:t xml:space="preserve"> partes:</w:t>
      </w:r>
      <w:r w:rsidR="0036376F">
        <w:rPr>
          <w:sz w:val="24"/>
          <w:szCs w:val="24"/>
        </w:rPr>
        <w:t xml:space="preserve"> na primeira</w:t>
      </w:r>
      <w:r w:rsidR="00416AF0">
        <w:rPr>
          <w:sz w:val="24"/>
          <w:szCs w:val="24"/>
        </w:rPr>
        <w:t>,</w:t>
      </w:r>
      <w:r w:rsidR="0036376F">
        <w:rPr>
          <w:sz w:val="24"/>
          <w:szCs w:val="24"/>
        </w:rPr>
        <w:t xml:space="preserve"> </w:t>
      </w:r>
      <w:r w:rsidR="00AD6FDF">
        <w:rPr>
          <w:sz w:val="24"/>
          <w:szCs w:val="24"/>
        </w:rPr>
        <w:t>há</w:t>
      </w:r>
      <w:r w:rsidR="0036376F">
        <w:rPr>
          <w:sz w:val="24"/>
          <w:szCs w:val="24"/>
        </w:rPr>
        <w:t xml:space="preserve"> uma</w:t>
      </w:r>
      <w:r w:rsidR="00FA19FD">
        <w:rPr>
          <w:sz w:val="24"/>
          <w:szCs w:val="24"/>
        </w:rPr>
        <w:t xml:space="preserve"> espécie de </w:t>
      </w:r>
      <w:r w:rsidR="00FA19FD" w:rsidRPr="00FA19FD">
        <w:rPr>
          <w:i/>
          <w:iCs/>
          <w:sz w:val="24"/>
          <w:szCs w:val="24"/>
        </w:rPr>
        <w:t>zoom</w:t>
      </w:r>
      <w:r w:rsidR="00FA19FD">
        <w:rPr>
          <w:sz w:val="24"/>
          <w:szCs w:val="24"/>
        </w:rPr>
        <w:t xml:space="preserve"> </w:t>
      </w:r>
      <w:r w:rsidR="009202FD">
        <w:rPr>
          <w:sz w:val="24"/>
          <w:szCs w:val="24"/>
        </w:rPr>
        <w:t xml:space="preserve">da </w:t>
      </w:r>
      <w:r w:rsidR="00FA19FD">
        <w:rPr>
          <w:sz w:val="24"/>
          <w:szCs w:val="24"/>
        </w:rPr>
        <w:t>Figura 4, entre os meses 180 e 207</w:t>
      </w:r>
      <w:r w:rsidR="0036376F">
        <w:rPr>
          <w:sz w:val="24"/>
          <w:szCs w:val="24"/>
        </w:rPr>
        <w:t>, ou seja, contém os últimos 15 meses do período amostral e todo período de validação; na segunda parte, dos meses 208 a 219, compreende os próximos 12 meses, dados futuro</w:t>
      </w:r>
      <w:r w:rsidR="009202FD">
        <w:rPr>
          <w:sz w:val="24"/>
          <w:szCs w:val="24"/>
        </w:rPr>
        <w:t>s, uma extrapolação</w:t>
      </w:r>
      <w:r w:rsidR="0036376F">
        <w:rPr>
          <w:sz w:val="24"/>
          <w:szCs w:val="24"/>
        </w:rPr>
        <w:t>.</w:t>
      </w:r>
      <w:r w:rsidR="00B17D1D">
        <w:rPr>
          <w:sz w:val="24"/>
          <w:szCs w:val="24"/>
        </w:rPr>
        <w:tab/>
      </w:r>
    </w:p>
    <w:p w14:paraId="6C377D84" w14:textId="04D15DC7" w:rsidR="00D432C3" w:rsidRDefault="002C5BC5" w:rsidP="00464983">
      <w:pPr>
        <w:spacing w:line="360" w:lineRule="auto"/>
        <w:jc w:val="both"/>
        <w:rPr>
          <w:sz w:val="24"/>
          <w:szCs w:val="24"/>
        </w:rPr>
      </w:pPr>
      <w:r>
        <w:rPr>
          <w:b/>
          <w:sz w:val="24"/>
          <w:szCs w:val="24"/>
        </w:rPr>
        <w:tab/>
      </w:r>
      <w:r w:rsidR="00464983">
        <w:rPr>
          <w:sz w:val="24"/>
          <w:szCs w:val="24"/>
        </w:rPr>
        <w:t>Na Figura 4, veem-se os Modelos ajustando</w:t>
      </w:r>
      <w:r w:rsidR="00B160AC">
        <w:rPr>
          <w:sz w:val="24"/>
          <w:szCs w:val="24"/>
        </w:rPr>
        <w:t>-se</w:t>
      </w:r>
      <w:r w:rsidR="00464983">
        <w:rPr>
          <w:sz w:val="24"/>
          <w:szCs w:val="24"/>
        </w:rPr>
        <w:t xml:space="preserve"> razoavelmente aos dados empíricos no período amostral. Isso é, em boa medida, confirmado com o </w:t>
      </w:r>
      <w:r w:rsidR="00464983" w:rsidRPr="00B17D1D">
        <w:rPr>
          <w:i/>
          <w:iCs/>
          <w:sz w:val="24"/>
          <w:szCs w:val="24"/>
        </w:rPr>
        <w:t>zoom</w:t>
      </w:r>
      <w:r w:rsidR="00464983">
        <w:rPr>
          <w:sz w:val="24"/>
          <w:szCs w:val="24"/>
        </w:rPr>
        <w:t xml:space="preserve"> </w:t>
      </w:r>
      <w:r w:rsidR="00B160AC">
        <w:rPr>
          <w:sz w:val="24"/>
          <w:szCs w:val="24"/>
        </w:rPr>
        <w:t xml:space="preserve">feito </w:t>
      </w:r>
      <w:r w:rsidR="00464983">
        <w:rPr>
          <w:sz w:val="24"/>
          <w:szCs w:val="24"/>
        </w:rPr>
        <w:t xml:space="preserve">na Figura </w:t>
      </w:r>
      <w:r w:rsidR="00B160AC">
        <w:rPr>
          <w:sz w:val="24"/>
          <w:szCs w:val="24"/>
        </w:rPr>
        <w:t>5</w:t>
      </w:r>
      <w:r w:rsidR="00464983">
        <w:rPr>
          <w:sz w:val="24"/>
          <w:szCs w:val="24"/>
        </w:rPr>
        <w:t xml:space="preserve">. Contudo, no período de validação, nota-se que o Modelo 2 superestimou </w:t>
      </w:r>
      <w:r w:rsidR="00464983" w:rsidRPr="00192484">
        <w:rPr>
          <w:i/>
          <w:iCs/>
          <w:sz w:val="24"/>
          <w:szCs w:val="24"/>
        </w:rPr>
        <w:t>RPB</w:t>
      </w:r>
      <w:r w:rsidR="00464983">
        <w:rPr>
          <w:sz w:val="24"/>
          <w:szCs w:val="24"/>
        </w:rPr>
        <w:t xml:space="preserve">. Essa impressão visual é confirmada com medidas </w:t>
      </w:r>
      <w:r w:rsidR="00585871">
        <w:rPr>
          <w:sz w:val="24"/>
          <w:szCs w:val="24"/>
        </w:rPr>
        <w:t xml:space="preserve">(usuais) </w:t>
      </w:r>
      <w:r w:rsidR="00464983">
        <w:rPr>
          <w:sz w:val="24"/>
          <w:szCs w:val="24"/>
        </w:rPr>
        <w:t>de ajuste dos Modelos no período de validação trazidas na Tabela 2, as quais corroboram formalmente a superioridade do Modelo 1.</w:t>
      </w:r>
      <w:r w:rsidR="00D432C3">
        <w:rPr>
          <w:sz w:val="24"/>
          <w:szCs w:val="24"/>
        </w:rPr>
        <w:t xml:space="preserve"> No período de validação, as medidas absolutas de ajuste do Modelo 1 são sempre inferiores às do Modelo 2. De modo geral, quanto às medidas de ajustes empregadas com finalidade comparativa</w:t>
      </w:r>
      <w:r w:rsidR="002417BC">
        <w:rPr>
          <w:sz w:val="24"/>
          <w:szCs w:val="24"/>
        </w:rPr>
        <w:t>,</w:t>
      </w:r>
      <w:r w:rsidR="00D432C3">
        <w:rPr>
          <w:sz w:val="24"/>
          <w:szCs w:val="24"/>
        </w:rPr>
        <w:t xml:space="preserve"> ser menor é melhor.</w:t>
      </w:r>
    </w:p>
    <w:p w14:paraId="78E478B6" w14:textId="77777777" w:rsidR="00437300" w:rsidRDefault="00437300" w:rsidP="00464983">
      <w:pPr>
        <w:spacing w:line="360" w:lineRule="auto"/>
        <w:jc w:val="both"/>
        <w:rPr>
          <w:sz w:val="24"/>
          <w:szCs w:val="24"/>
        </w:rPr>
      </w:pPr>
    </w:p>
    <w:tbl>
      <w:tblPr>
        <w:tblStyle w:val="Tabelacomgrade"/>
        <w:tblW w:w="108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4"/>
      </w:tblGrid>
      <w:tr w:rsidR="00236309" w14:paraId="1191CED5" w14:textId="77777777" w:rsidTr="00783F09">
        <w:tc>
          <w:tcPr>
            <w:tcW w:w="10824" w:type="dxa"/>
          </w:tcPr>
          <w:p w14:paraId="5427AFD8" w14:textId="175A789A" w:rsidR="00236309" w:rsidRDefault="00236309" w:rsidP="00783F09">
            <w:pPr>
              <w:spacing w:line="360" w:lineRule="auto"/>
              <w:jc w:val="center"/>
              <w:rPr>
                <w:sz w:val="24"/>
                <w:szCs w:val="24"/>
              </w:rPr>
            </w:pPr>
            <w:r w:rsidRPr="00E16C3C">
              <w:rPr>
                <w:b/>
                <w:bCs/>
                <w:sz w:val="24"/>
                <w:szCs w:val="24"/>
              </w:rPr>
              <w:t>Tabela</w:t>
            </w:r>
            <w:r w:rsidR="002417BC">
              <w:rPr>
                <w:b/>
                <w:bCs/>
                <w:sz w:val="24"/>
                <w:szCs w:val="24"/>
              </w:rPr>
              <w:t xml:space="preserve"> 2</w:t>
            </w:r>
            <w:r>
              <w:rPr>
                <w:sz w:val="24"/>
                <w:szCs w:val="24"/>
              </w:rPr>
              <w:t>: Medidas de qualidade de ajuste dos Modelos 1 e 2</w:t>
            </w:r>
          </w:p>
        </w:tc>
      </w:tr>
      <w:tr w:rsidR="00236309" w14:paraId="0979E3DE" w14:textId="77777777" w:rsidTr="00783F09">
        <w:tc>
          <w:tcPr>
            <w:tcW w:w="10824" w:type="dxa"/>
          </w:tcPr>
          <w:tbl>
            <w:tblPr>
              <w:tblW w:w="5620" w:type="dxa"/>
              <w:jc w:val="center"/>
              <w:tblCellMar>
                <w:left w:w="70" w:type="dxa"/>
                <w:right w:w="70" w:type="dxa"/>
              </w:tblCellMar>
              <w:tblLook w:val="04A0" w:firstRow="1" w:lastRow="0" w:firstColumn="1" w:lastColumn="0" w:noHBand="0" w:noVBand="1"/>
            </w:tblPr>
            <w:tblGrid>
              <w:gridCol w:w="1460"/>
              <w:gridCol w:w="1040"/>
              <w:gridCol w:w="1040"/>
              <w:gridCol w:w="1040"/>
              <w:gridCol w:w="1040"/>
            </w:tblGrid>
            <w:tr w:rsidR="00652DB0" w:rsidRPr="00652DB0" w14:paraId="4604A56F" w14:textId="77777777" w:rsidTr="00652DB0">
              <w:trPr>
                <w:trHeight w:val="255"/>
                <w:jc w:val="center"/>
              </w:trPr>
              <w:tc>
                <w:tcPr>
                  <w:tcW w:w="1460" w:type="dxa"/>
                  <w:vMerge w:val="restart"/>
                  <w:tcBorders>
                    <w:top w:val="single" w:sz="4" w:space="0" w:color="auto"/>
                    <w:left w:val="nil"/>
                    <w:bottom w:val="single" w:sz="4" w:space="0" w:color="000000"/>
                    <w:right w:val="nil"/>
                  </w:tcBorders>
                  <w:shd w:val="clear" w:color="auto" w:fill="auto"/>
                  <w:noWrap/>
                  <w:vAlign w:val="center"/>
                  <w:hideMark/>
                </w:tcPr>
                <w:p w14:paraId="1A39A0F2" w14:textId="5774F431"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Medidas</w:t>
                  </w:r>
                  <w:r w:rsidR="00615F8E">
                    <w:rPr>
                      <w:rStyle w:val="Refdenotaderodap"/>
                      <w:rFonts w:eastAsia="Times New Roman"/>
                      <w:color w:val="000000"/>
                      <w:sz w:val="20"/>
                      <w:szCs w:val="20"/>
                      <w:lang w:eastAsia="pt-BR"/>
                    </w:rPr>
                    <w:footnoteReference w:id="2"/>
                  </w:r>
                </w:p>
              </w:tc>
              <w:tc>
                <w:tcPr>
                  <w:tcW w:w="4160" w:type="dxa"/>
                  <w:gridSpan w:val="4"/>
                  <w:tcBorders>
                    <w:top w:val="single" w:sz="4" w:space="0" w:color="auto"/>
                    <w:left w:val="single" w:sz="4" w:space="0" w:color="auto"/>
                    <w:bottom w:val="single" w:sz="4" w:space="0" w:color="auto"/>
                    <w:right w:val="nil"/>
                  </w:tcBorders>
                  <w:shd w:val="clear" w:color="auto" w:fill="auto"/>
                  <w:noWrap/>
                  <w:vAlign w:val="center"/>
                  <w:hideMark/>
                </w:tcPr>
                <w:p w14:paraId="2FE02BFF"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Período</w:t>
                  </w:r>
                </w:p>
              </w:tc>
            </w:tr>
            <w:tr w:rsidR="00652DB0" w:rsidRPr="00652DB0" w14:paraId="50D0EBDA" w14:textId="77777777" w:rsidTr="00652DB0">
              <w:trPr>
                <w:trHeight w:val="255"/>
                <w:jc w:val="center"/>
              </w:trPr>
              <w:tc>
                <w:tcPr>
                  <w:tcW w:w="1460" w:type="dxa"/>
                  <w:vMerge/>
                  <w:tcBorders>
                    <w:top w:val="single" w:sz="4" w:space="0" w:color="auto"/>
                    <w:left w:val="nil"/>
                    <w:bottom w:val="single" w:sz="4" w:space="0" w:color="000000"/>
                    <w:right w:val="nil"/>
                  </w:tcBorders>
                  <w:vAlign w:val="center"/>
                  <w:hideMark/>
                </w:tcPr>
                <w:p w14:paraId="3B4B7E53" w14:textId="77777777" w:rsidR="00652DB0" w:rsidRPr="00652DB0" w:rsidRDefault="00652DB0" w:rsidP="00652DB0">
                  <w:pPr>
                    <w:suppressAutoHyphens w:val="0"/>
                    <w:spacing w:line="240" w:lineRule="auto"/>
                    <w:rPr>
                      <w:rFonts w:eastAsia="Times New Roman"/>
                      <w:color w:val="000000"/>
                      <w:sz w:val="20"/>
                      <w:szCs w:val="20"/>
                      <w:lang w:eastAsia="pt-BR"/>
                    </w:rPr>
                  </w:pPr>
                </w:p>
              </w:tc>
              <w:tc>
                <w:tcPr>
                  <w:tcW w:w="20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39F850"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Amostral</w:t>
                  </w:r>
                </w:p>
              </w:tc>
              <w:tc>
                <w:tcPr>
                  <w:tcW w:w="2080" w:type="dxa"/>
                  <w:gridSpan w:val="2"/>
                  <w:tcBorders>
                    <w:top w:val="single" w:sz="4" w:space="0" w:color="auto"/>
                    <w:left w:val="nil"/>
                    <w:bottom w:val="single" w:sz="4" w:space="0" w:color="auto"/>
                    <w:right w:val="nil"/>
                  </w:tcBorders>
                  <w:shd w:val="clear" w:color="auto" w:fill="auto"/>
                  <w:noWrap/>
                  <w:vAlign w:val="center"/>
                  <w:hideMark/>
                </w:tcPr>
                <w:p w14:paraId="7CF7FDCF"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Validação</w:t>
                  </w:r>
                </w:p>
              </w:tc>
            </w:tr>
            <w:tr w:rsidR="00652DB0" w:rsidRPr="00652DB0" w14:paraId="311B7DC7" w14:textId="77777777" w:rsidTr="00652DB0">
              <w:trPr>
                <w:trHeight w:val="255"/>
                <w:jc w:val="center"/>
              </w:trPr>
              <w:tc>
                <w:tcPr>
                  <w:tcW w:w="1460" w:type="dxa"/>
                  <w:vMerge/>
                  <w:tcBorders>
                    <w:top w:val="single" w:sz="4" w:space="0" w:color="auto"/>
                    <w:left w:val="nil"/>
                    <w:bottom w:val="single" w:sz="4" w:space="0" w:color="000000"/>
                    <w:right w:val="nil"/>
                  </w:tcBorders>
                  <w:vAlign w:val="center"/>
                  <w:hideMark/>
                </w:tcPr>
                <w:p w14:paraId="79F4FB8F" w14:textId="77777777" w:rsidR="00652DB0" w:rsidRPr="00652DB0" w:rsidRDefault="00652DB0" w:rsidP="00652DB0">
                  <w:pPr>
                    <w:suppressAutoHyphens w:val="0"/>
                    <w:spacing w:line="240" w:lineRule="auto"/>
                    <w:rPr>
                      <w:rFonts w:eastAsia="Times New Roman"/>
                      <w:color w:val="000000"/>
                      <w:sz w:val="20"/>
                      <w:szCs w:val="20"/>
                      <w:lang w:eastAsia="pt-BR"/>
                    </w:rPr>
                  </w:pP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46639655"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Modelo 1</w:t>
                  </w:r>
                </w:p>
              </w:tc>
              <w:tc>
                <w:tcPr>
                  <w:tcW w:w="1040" w:type="dxa"/>
                  <w:tcBorders>
                    <w:top w:val="nil"/>
                    <w:left w:val="nil"/>
                    <w:bottom w:val="single" w:sz="4" w:space="0" w:color="auto"/>
                    <w:right w:val="single" w:sz="4" w:space="0" w:color="auto"/>
                  </w:tcBorders>
                  <w:shd w:val="clear" w:color="auto" w:fill="auto"/>
                  <w:noWrap/>
                  <w:vAlign w:val="center"/>
                  <w:hideMark/>
                </w:tcPr>
                <w:p w14:paraId="758B1E9B"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Modelo 2</w:t>
                  </w:r>
                </w:p>
              </w:tc>
              <w:tc>
                <w:tcPr>
                  <w:tcW w:w="1040" w:type="dxa"/>
                  <w:tcBorders>
                    <w:top w:val="nil"/>
                    <w:left w:val="nil"/>
                    <w:bottom w:val="single" w:sz="4" w:space="0" w:color="auto"/>
                    <w:right w:val="single" w:sz="4" w:space="0" w:color="auto"/>
                  </w:tcBorders>
                  <w:shd w:val="clear" w:color="auto" w:fill="auto"/>
                  <w:noWrap/>
                  <w:vAlign w:val="center"/>
                  <w:hideMark/>
                </w:tcPr>
                <w:p w14:paraId="75221771"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Modelo 1</w:t>
                  </w:r>
                </w:p>
              </w:tc>
              <w:tc>
                <w:tcPr>
                  <w:tcW w:w="1040" w:type="dxa"/>
                  <w:tcBorders>
                    <w:top w:val="nil"/>
                    <w:left w:val="nil"/>
                    <w:bottom w:val="single" w:sz="4" w:space="0" w:color="auto"/>
                    <w:right w:val="nil"/>
                  </w:tcBorders>
                  <w:shd w:val="clear" w:color="auto" w:fill="auto"/>
                  <w:noWrap/>
                  <w:vAlign w:val="center"/>
                  <w:hideMark/>
                </w:tcPr>
                <w:p w14:paraId="37EA4310" w14:textId="77777777" w:rsidR="00652DB0" w:rsidRPr="00652DB0" w:rsidRDefault="00652DB0" w:rsidP="00652DB0">
                  <w:pPr>
                    <w:suppressAutoHyphens w:val="0"/>
                    <w:spacing w:line="240" w:lineRule="auto"/>
                    <w:jc w:val="center"/>
                    <w:rPr>
                      <w:rFonts w:eastAsia="Times New Roman"/>
                      <w:color w:val="000000"/>
                      <w:sz w:val="20"/>
                      <w:szCs w:val="20"/>
                      <w:lang w:eastAsia="pt-BR"/>
                    </w:rPr>
                  </w:pPr>
                  <w:r w:rsidRPr="00652DB0">
                    <w:rPr>
                      <w:rFonts w:eastAsia="Times New Roman"/>
                      <w:color w:val="000000"/>
                      <w:sz w:val="20"/>
                      <w:szCs w:val="20"/>
                      <w:lang w:eastAsia="pt-BR"/>
                    </w:rPr>
                    <w:t>Modelo 2</w:t>
                  </w:r>
                </w:p>
              </w:tc>
            </w:tr>
            <w:tr w:rsidR="00652DB0" w:rsidRPr="00652DB0" w14:paraId="1BC63B47"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06B50148"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EM</w:t>
                  </w:r>
                </w:p>
              </w:tc>
              <w:tc>
                <w:tcPr>
                  <w:tcW w:w="1040" w:type="dxa"/>
                  <w:tcBorders>
                    <w:top w:val="nil"/>
                    <w:left w:val="nil"/>
                    <w:bottom w:val="nil"/>
                    <w:right w:val="nil"/>
                  </w:tcBorders>
                  <w:shd w:val="clear" w:color="auto" w:fill="auto"/>
                  <w:noWrap/>
                  <w:vAlign w:val="center"/>
                  <w:hideMark/>
                </w:tcPr>
                <w:p w14:paraId="68FECD4B"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0,0190</w:t>
                  </w:r>
                </w:p>
              </w:tc>
              <w:tc>
                <w:tcPr>
                  <w:tcW w:w="1040" w:type="dxa"/>
                  <w:tcBorders>
                    <w:top w:val="nil"/>
                    <w:left w:val="nil"/>
                    <w:bottom w:val="nil"/>
                    <w:right w:val="nil"/>
                  </w:tcBorders>
                  <w:shd w:val="clear" w:color="auto" w:fill="auto"/>
                  <w:noWrap/>
                  <w:vAlign w:val="center"/>
                  <w:hideMark/>
                </w:tcPr>
                <w:p w14:paraId="1216A18C"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-0,0499</w:t>
                  </w:r>
                </w:p>
              </w:tc>
              <w:tc>
                <w:tcPr>
                  <w:tcW w:w="1040" w:type="dxa"/>
                  <w:tcBorders>
                    <w:top w:val="nil"/>
                    <w:left w:val="nil"/>
                    <w:bottom w:val="nil"/>
                    <w:right w:val="nil"/>
                  </w:tcBorders>
                  <w:shd w:val="clear" w:color="auto" w:fill="auto"/>
                  <w:noWrap/>
                  <w:vAlign w:val="center"/>
                  <w:hideMark/>
                </w:tcPr>
                <w:p w14:paraId="09402F89"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-0,6795</w:t>
                  </w:r>
                </w:p>
              </w:tc>
              <w:tc>
                <w:tcPr>
                  <w:tcW w:w="1040" w:type="dxa"/>
                  <w:tcBorders>
                    <w:top w:val="nil"/>
                    <w:left w:val="nil"/>
                    <w:bottom w:val="nil"/>
                    <w:right w:val="nil"/>
                  </w:tcBorders>
                  <w:shd w:val="clear" w:color="auto" w:fill="auto"/>
                  <w:noWrap/>
                  <w:vAlign w:val="center"/>
                  <w:hideMark/>
                </w:tcPr>
                <w:p w14:paraId="7E6C4CAB"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-3,9791</w:t>
                  </w:r>
                </w:p>
              </w:tc>
            </w:tr>
            <w:tr w:rsidR="00652DB0" w:rsidRPr="00652DB0" w14:paraId="7B951D17"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1EDCCFB6"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REQM</w:t>
                  </w:r>
                </w:p>
              </w:tc>
              <w:tc>
                <w:tcPr>
                  <w:tcW w:w="1040" w:type="dxa"/>
                  <w:tcBorders>
                    <w:top w:val="nil"/>
                    <w:left w:val="nil"/>
                    <w:bottom w:val="nil"/>
                    <w:right w:val="nil"/>
                  </w:tcBorders>
                  <w:shd w:val="clear" w:color="auto" w:fill="auto"/>
                  <w:noWrap/>
                  <w:vAlign w:val="center"/>
                  <w:hideMark/>
                </w:tcPr>
                <w:p w14:paraId="18194672"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3,2595</w:t>
                  </w:r>
                </w:p>
              </w:tc>
              <w:tc>
                <w:tcPr>
                  <w:tcW w:w="1040" w:type="dxa"/>
                  <w:tcBorders>
                    <w:top w:val="nil"/>
                    <w:left w:val="nil"/>
                    <w:bottom w:val="nil"/>
                    <w:right w:val="nil"/>
                  </w:tcBorders>
                  <w:shd w:val="clear" w:color="auto" w:fill="auto"/>
                  <w:noWrap/>
                  <w:vAlign w:val="center"/>
                  <w:hideMark/>
                </w:tcPr>
                <w:p w14:paraId="1CB04847"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3,2239</w:t>
                  </w:r>
                </w:p>
              </w:tc>
              <w:tc>
                <w:tcPr>
                  <w:tcW w:w="1040" w:type="dxa"/>
                  <w:tcBorders>
                    <w:top w:val="nil"/>
                    <w:left w:val="nil"/>
                    <w:bottom w:val="nil"/>
                    <w:right w:val="nil"/>
                  </w:tcBorders>
                  <w:shd w:val="clear" w:color="auto" w:fill="auto"/>
                  <w:noWrap/>
                  <w:vAlign w:val="center"/>
                  <w:hideMark/>
                </w:tcPr>
                <w:p w14:paraId="31D17C7F"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2,3448</w:t>
                  </w:r>
                </w:p>
              </w:tc>
              <w:tc>
                <w:tcPr>
                  <w:tcW w:w="1040" w:type="dxa"/>
                  <w:tcBorders>
                    <w:top w:val="nil"/>
                    <w:left w:val="nil"/>
                    <w:bottom w:val="nil"/>
                    <w:right w:val="nil"/>
                  </w:tcBorders>
                  <w:shd w:val="clear" w:color="auto" w:fill="auto"/>
                  <w:noWrap/>
                  <w:vAlign w:val="center"/>
                  <w:hideMark/>
                </w:tcPr>
                <w:p w14:paraId="4CA1F086"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5,1298</w:t>
                  </w:r>
                </w:p>
              </w:tc>
            </w:tr>
            <w:tr w:rsidR="00652DB0" w:rsidRPr="00652DB0" w14:paraId="215EA7AC"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228A0873"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EMA</w:t>
                  </w:r>
                </w:p>
              </w:tc>
              <w:tc>
                <w:tcPr>
                  <w:tcW w:w="1040" w:type="dxa"/>
                  <w:tcBorders>
                    <w:top w:val="nil"/>
                    <w:left w:val="nil"/>
                    <w:bottom w:val="nil"/>
                    <w:right w:val="nil"/>
                  </w:tcBorders>
                  <w:shd w:val="clear" w:color="auto" w:fill="auto"/>
                  <w:noWrap/>
                  <w:vAlign w:val="center"/>
                  <w:hideMark/>
                </w:tcPr>
                <w:p w14:paraId="2472D874"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1,8881</w:t>
                  </w:r>
                </w:p>
              </w:tc>
              <w:tc>
                <w:tcPr>
                  <w:tcW w:w="1040" w:type="dxa"/>
                  <w:tcBorders>
                    <w:top w:val="nil"/>
                    <w:left w:val="nil"/>
                    <w:bottom w:val="nil"/>
                    <w:right w:val="nil"/>
                  </w:tcBorders>
                  <w:shd w:val="clear" w:color="auto" w:fill="auto"/>
                  <w:noWrap/>
                  <w:vAlign w:val="center"/>
                  <w:hideMark/>
                </w:tcPr>
                <w:p w14:paraId="64E6A837"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2,1170</w:t>
                  </w:r>
                </w:p>
              </w:tc>
              <w:tc>
                <w:tcPr>
                  <w:tcW w:w="1040" w:type="dxa"/>
                  <w:tcBorders>
                    <w:top w:val="nil"/>
                    <w:left w:val="nil"/>
                    <w:bottom w:val="nil"/>
                    <w:right w:val="nil"/>
                  </w:tcBorders>
                  <w:shd w:val="clear" w:color="auto" w:fill="auto"/>
                  <w:noWrap/>
                  <w:vAlign w:val="center"/>
                  <w:hideMark/>
                </w:tcPr>
                <w:p w14:paraId="7FD02A28"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2,0215</w:t>
                  </w:r>
                </w:p>
              </w:tc>
              <w:tc>
                <w:tcPr>
                  <w:tcW w:w="1040" w:type="dxa"/>
                  <w:tcBorders>
                    <w:top w:val="nil"/>
                    <w:left w:val="nil"/>
                    <w:bottom w:val="nil"/>
                    <w:right w:val="nil"/>
                  </w:tcBorders>
                  <w:shd w:val="clear" w:color="auto" w:fill="auto"/>
                  <w:noWrap/>
                  <w:vAlign w:val="center"/>
                  <w:hideMark/>
                </w:tcPr>
                <w:p w14:paraId="6FEE3B1D"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4,4338</w:t>
                  </w:r>
                </w:p>
              </w:tc>
            </w:tr>
            <w:tr w:rsidR="00652DB0" w:rsidRPr="00652DB0" w14:paraId="53441A93"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475326C2"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PEM</w:t>
                  </w:r>
                </w:p>
              </w:tc>
              <w:tc>
                <w:tcPr>
                  <w:tcW w:w="1040" w:type="dxa"/>
                  <w:tcBorders>
                    <w:top w:val="nil"/>
                    <w:left w:val="nil"/>
                    <w:bottom w:val="nil"/>
                    <w:right w:val="nil"/>
                  </w:tcBorders>
                  <w:shd w:val="clear" w:color="auto" w:fill="auto"/>
                  <w:noWrap/>
                  <w:vAlign w:val="center"/>
                  <w:hideMark/>
                </w:tcPr>
                <w:p w14:paraId="5C02BFEF"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-0,0164</w:t>
                  </w:r>
                </w:p>
              </w:tc>
              <w:tc>
                <w:tcPr>
                  <w:tcW w:w="1040" w:type="dxa"/>
                  <w:tcBorders>
                    <w:top w:val="nil"/>
                    <w:left w:val="nil"/>
                    <w:bottom w:val="nil"/>
                    <w:right w:val="nil"/>
                  </w:tcBorders>
                  <w:shd w:val="clear" w:color="auto" w:fill="auto"/>
                  <w:noWrap/>
                  <w:vAlign w:val="center"/>
                  <w:hideMark/>
                </w:tcPr>
                <w:p w14:paraId="708A1D65"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-0,5853</w:t>
                  </w:r>
                </w:p>
              </w:tc>
              <w:tc>
                <w:tcPr>
                  <w:tcW w:w="1040" w:type="dxa"/>
                  <w:tcBorders>
                    <w:top w:val="nil"/>
                    <w:left w:val="nil"/>
                    <w:bottom w:val="nil"/>
                    <w:right w:val="nil"/>
                  </w:tcBorders>
                  <w:shd w:val="clear" w:color="auto" w:fill="auto"/>
                  <w:noWrap/>
                  <w:vAlign w:val="center"/>
                  <w:hideMark/>
                </w:tcPr>
                <w:p w14:paraId="7D96A945"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-0,6582</w:t>
                  </w:r>
                </w:p>
              </w:tc>
              <w:tc>
                <w:tcPr>
                  <w:tcW w:w="1040" w:type="dxa"/>
                  <w:tcBorders>
                    <w:top w:val="nil"/>
                    <w:left w:val="nil"/>
                    <w:bottom w:val="nil"/>
                    <w:right w:val="nil"/>
                  </w:tcBorders>
                  <w:shd w:val="clear" w:color="auto" w:fill="auto"/>
                  <w:noWrap/>
                  <w:vAlign w:val="center"/>
                  <w:hideMark/>
                </w:tcPr>
                <w:p w14:paraId="17E8A664"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-3,6212</w:t>
                  </w:r>
                </w:p>
              </w:tc>
            </w:tr>
            <w:tr w:rsidR="00652DB0" w:rsidRPr="00652DB0" w14:paraId="3220BCE1"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76BC67D8"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PEMA</w:t>
                  </w:r>
                </w:p>
              </w:tc>
              <w:tc>
                <w:tcPr>
                  <w:tcW w:w="1040" w:type="dxa"/>
                  <w:tcBorders>
                    <w:top w:val="nil"/>
                    <w:left w:val="nil"/>
                    <w:bottom w:val="nil"/>
                    <w:right w:val="nil"/>
                  </w:tcBorders>
                  <w:shd w:val="clear" w:color="auto" w:fill="auto"/>
                  <w:noWrap/>
                  <w:vAlign w:val="center"/>
                  <w:hideMark/>
                </w:tcPr>
                <w:p w14:paraId="34E8BFA2"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3,7712</w:t>
                  </w:r>
                </w:p>
              </w:tc>
              <w:tc>
                <w:tcPr>
                  <w:tcW w:w="1040" w:type="dxa"/>
                  <w:tcBorders>
                    <w:top w:val="nil"/>
                    <w:left w:val="nil"/>
                    <w:bottom w:val="nil"/>
                    <w:right w:val="nil"/>
                  </w:tcBorders>
                  <w:shd w:val="clear" w:color="auto" w:fill="auto"/>
                  <w:noWrap/>
                  <w:vAlign w:val="center"/>
                  <w:hideMark/>
                </w:tcPr>
                <w:p w14:paraId="600C6E8F"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4,3806</w:t>
                  </w:r>
                </w:p>
              </w:tc>
              <w:tc>
                <w:tcPr>
                  <w:tcW w:w="1040" w:type="dxa"/>
                  <w:tcBorders>
                    <w:top w:val="nil"/>
                    <w:left w:val="nil"/>
                    <w:bottom w:val="nil"/>
                    <w:right w:val="nil"/>
                  </w:tcBorders>
                  <w:shd w:val="clear" w:color="auto" w:fill="auto"/>
                  <w:noWrap/>
                  <w:vAlign w:val="center"/>
                  <w:hideMark/>
                </w:tcPr>
                <w:p w14:paraId="57FA5371"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1,8160</w:t>
                  </w:r>
                </w:p>
              </w:tc>
              <w:tc>
                <w:tcPr>
                  <w:tcW w:w="1040" w:type="dxa"/>
                  <w:tcBorders>
                    <w:top w:val="nil"/>
                    <w:left w:val="nil"/>
                    <w:bottom w:val="nil"/>
                    <w:right w:val="nil"/>
                  </w:tcBorders>
                  <w:shd w:val="clear" w:color="auto" w:fill="auto"/>
                  <w:noWrap/>
                  <w:vAlign w:val="center"/>
                  <w:hideMark/>
                </w:tcPr>
                <w:p w14:paraId="395FFAAE"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4,0176</w:t>
                  </w:r>
                </w:p>
              </w:tc>
            </w:tr>
            <w:tr w:rsidR="00652DB0" w:rsidRPr="00652DB0" w14:paraId="58A77C09"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2CFACB25"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ACF1</w:t>
                  </w:r>
                </w:p>
              </w:tc>
              <w:tc>
                <w:tcPr>
                  <w:tcW w:w="1040" w:type="dxa"/>
                  <w:tcBorders>
                    <w:top w:val="nil"/>
                    <w:left w:val="nil"/>
                    <w:bottom w:val="nil"/>
                    <w:right w:val="nil"/>
                  </w:tcBorders>
                  <w:shd w:val="clear" w:color="auto" w:fill="auto"/>
                  <w:noWrap/>
                  <w:vAlign w:val="center"/>
                  <w:hideMark/>
                </w:tcPr>
                <w:p w14:paraId="2C502841"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0,0354</w:t>
                  </w:r>
                </w:p>
              </w:tc>
              <w:tc>
                <w:tcPr>
                  <w:tcW w:w="1040" w:type="dxa"/>
                  <w:tcBorders>
                    <w:top w:val="nil"/>
                    <w:left w:val="nil"/>
                    <w:bottom w:val="nil"/>
                    <w:right w:val="nil"/>
                  </w:tcBorders>
                  <w:shd w:val="clear" w:color="auto" w:fill="auto"/>
                  <w:noWrap/>
                  <w:vAlign w:val="center"/>
                  <w:hideMark/>
                </w:tcPr>
                <w:p w14:paraId="1A2508FA"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0,2023</w:t>
                  </w:r>
                </w:p>
              </w:tc>
              <w:tc>
                <w:tcPr>
                  <w:tcW w:w="1040" w:type="dxa"/>
                  <w:tcBorders>
                    <w:top w:val="nil"/>
                    <w:left w:val="nil"/>
                    <w:bottom w:val="nil"/>
                    <w:right w:val="nil"/>
                  </w:tcBorders>
                  <w:shd w:val="clear" w:color="auto" w:fill="auto"/>
                  <w:noWrap/>
                  <w:vAlign w:val="center"/>
                  <w:hideMark/>
                </w:tcPr>
                <w:p w14:paraId="19D61D9D"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-0,0253</w:t>
                  </w:r>
                </w:p>
              </w:tc>
              <w:tc>
                <w:tcPr>
                  <w:tcW w:w="1040" w:type="dxa"/>
                  <w:tcBorders>
                    <w:top w:val="nil"/>
                    <w:left w:val="nil"/>
                    <w:bottom w:val="nil"/>
                    <w:right w:val="nil"/>
                  </w:tcBorders>
                  <w:shd w:val="clear" w:color="auto" w:fill="auto"/>
                  <w:noWrap/>
                  <w:vAlign w:val="center"/>
                  <w:hideMark/>
                </w:tcPr>
                <w:p w14:paraId="463ACBC1"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-0,2394</w:t>
                  </w:r>
                </w:p>
              </w:tc>
            </w:tr>
            <w:tr w:rsidR="00652DB0" w:rsidRPr="00652DB0" w14:paraId="3C53F1B2" w14:textId="77777777" w:rsidTr="00652DB0">
              <w:trPr>
                <w:trHeight w:val="255"/>
                <w:jc w:val="center"/>
              </w:trPr>
              <w:tc>
                <w:tcPr>
                  <w:tcW w:w="1460" w:type="dxa"/>
                  <w:tcBorders>
                    <w:top w:val="nil"/>
                    <w:left w:val="nil"/>
                    <w:bottom w:val="nil"/>
                    <w:right w:val="nil"/>
                  </w:tcBorders>
                  <w:shd w:val="clear" w:color="auto" w:fill="auto"/>
                  <w:noWrap/>
                  <w:vAlign w:val="center"/>
                  <w:hideMark/>
                </w:tcPr>
                <w:p w14:paraId="2C4E45B4" w14:textId="77777777" w:rsidR="00652DB0" w:rsidRPr="00652DB0" w:rsidRDefault="00652DB0" w:rsidP="00652DB0">
                  <w:pPr>
                    <w:suppressAutoHyphens w:val="0"/>
                    <w:spacing w:line="240" w:lineRule="auto"/>
                    <w:rPr>
                      <w:rFonts w:eastAsia="Times New Roman"/>
                      <w:color w:val="000000"/>
                      <w:sz w:val="20"/>
                      <w:szCs w:val="20"/>
                      <w:lang w:eastAsia="pt-BR"/>
                    </w:rPr>
                  </w:pPr>
                  <w:r w:rsidRPr="00652DB0">
                    <w:rPr>
                      <w:rFonts w:eastAsia="Times New Roman"/>
                      <w:color w:val="000000"/>
                      <w:sz w:val="20"/>
                      <w:szCs w:val="20"/>
                      <w:lang w:eastAsia="pt-BR"/>
                    </w:rPr>
                    <w:t>Índice de Theil</w:t>
                  </w:r>
                </w:p>
              </w:tc>
              <w:tc>
                <w:tcPr>
                  <w:tcW w:w="1040" w:type="dxa"/>
                  <w:tcBorders>
                    <w:top w:val="nil"/>
                    <w:left w:val="nil"/>
                    <w:bottom w:val="nil"/>
                    <w:right w:val="nil"/>
                  </w:tcBorders>
                  <w:shd w:val="clear" w:color="auto" w:fill="auto"/>
                  <w:noWrap/>
                  <w:vAlign w:val="center"/>
                  <w:hideMark/>
                </w:tcPr>
                <w:p w14:paraId="51D4DB76"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0,9169</w:t>
                  </w:r>
                </w:p>
              </w:tc>
              <w:tc>
                <w:tcPr>
                  <w:tcW w:w="1040" w:type="dxa"/>
                  <w:tcBorders>
                    <w:top w:val="nil"/>
                    <w:left w:val="nil"/>
                    <w:bottom w:val="nil"/>
                    <w:right w:val="nil"/>
                  </w:tcBorders>
                  <w:shd w:val="clear" w:color="auto" w:fill="auto"/>
                  <w:noWrap/>
                  <w:vAlign w:val="center"/>
                  <w:hideMark/>
                </w:tcPr>
                <w:p w14:paraId="6DF42C3C"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0,7859</w:t>
                  </w:r>
                </w:p>
              </w:tc>
              <w:tc>
                <w:tcPr>
                  <w:tcW w:w="1040" w:type="dxa"/>
                  <w:tcBorders>
                    <w:top w:val="nil"/>
                    <w:left w:val="nil"/>
                    <w:bottom w:val="nil"/>
                    <w:right w:val="nil"/>
                  </w:tcBorders>
                  <w:shd w:val="clear" w:color="auto" w:fill="auto"/>
                  <w:noWrap/>
                  <w:vAlign w:val="center"/>
                  <w:hideMark/>
                </w:tcPr>
                <w:p w14:paraId="4B51E8FD"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0,7010</w:t>
                  </w:r>
                </w:p>
              </w:tc>
              <w:tc>
                <w:tcPr>
                  <w:tcW w:w="1040" w:type="dxa"/>
                  <w:tcBorders>
                    <w:top w:val="nil"/>
                    <w:left w:val="nil"/>
                    <w:bottom w:val="nil"/>
                    <w:right w:val="nil"/>
                  </w:tcBorders>
                  <w:shd w:val="clear" w:color="auto" w:fill="auto"/>
                  <w:noWrap/>
                  <w:vAlign w:val="center"/>
                  <w:hideMark/>
                </w:tcPr>
                <w:p w14:paraId="20642108" w14:textId="77777777" w:rsidR="00652DB0" w:rsidRPr="00652DB0" w:rsidRDefault="00652DB0" w:rsidP="00652DB0">
                  <w:pPr>
                    <w:suppressAutoHyphens w:val="0"/>
                    <w:spacing w:line="240" w:lineRule="auto"/>
                    <w:jc w:val="right"/>
                    <w:rPr>
                      <w:rFonts w:eastAsia="Times New Roman"/>
                      <w:color w:val="000000"/>
                      <w:sz w:val="20"/>
                      <w:szCs w:val="20"/>
                      <w:lang w:eastAsia="pt-BR"/>
                    </w:rPr>
                  </w:pPr>
                  <w:r w:rsidRPr="00652DB0">
                    <w:rPr>
                      <w:rFonts w:eastAsia="Times New Roman"/>
                      <w:color w:val="000000"/>
                      <w:sz w:val="20"/>
                      <w:szCs w:val="20"/>
                      <w:lang w:eastAsia="pt-BR"/>
                    </w:rPr>
                    <w:t>1,6636</w:t>
                  </w:r>
                </w:p>
              </w:tc>
            </w:tr>
          </w:tbl>
          <w:p w14:paraId="5640A800" w14:textId="77777777" w:rsidR="00236309" w:rsidRDefault="00236309" w:rsidP="00783F09">
            <w:pPr>
              <w:spacing w:line="360" w:lineRule="auto"/>
              <w:jc w:val="both"/>
              <w:rPr>
                <w:sz w:val="24"/>
                <w:szCs w:val="24"/>
              </w:rPr>
            </w:pPr>
          </w:p>
        </w:tc>
      </w:tr>
      <w:tr w:rsidR="00236309" w14:paraId="4F401246" w14:textId="77777777" w:rsidTr="00783F09">
        <w:tc>
          <w:tcPr>
            <w:tcW w:w="10824" w:type="dxa"/>
          </w:tcPr>
          <w:p w14:paraId="2427634A" w14:textId="77777777" w:rsidR="00236309" w:rsidRDefault="00236309" w:rsidP="00783F09">
            <w:pPr>
              <w:spacing w:line="360" w:lineRule="auto"/>
              <w:jc w:val="both"/>
              <w:rPr>
                <w:b/>
                <w:bCs/>
                <w:sz w:val="20"/>
                <w:szCs w:val="20"/>
                <w:lang w:eastAsia="pt-BR"/>
              </w:rPr>
            </w:pPr>
          </w:p>
          <w:p w14:paraId="1618C4BC" w14:textId="77777777" w:rsidR="00236309" w:rsidRDefault="00236309" w:rsidP="00652DB0">
            <w:pPr>
              <w:spacing w:line="360" w:lineRule="auto"/>
              <w:jc w:val="center"/>
              <w:rPr>
                <w:sz w:val="24"/>
                <w:szCs w:val="24"/>
              </w:rPr>
            </w:pPr>
            <w:r>
              <w:rPr>
                <w:b/>
                <w:bCs/>
                <w:sz w:val="20"/>
                <w:szCs w:val="20"/>
                <w:lang w:eastAsia="pt-BR"/>
              </w:rPr>
              <w:t>Fonte</w:t>
            </w:r>
            <w:r>
              <w:rPr>
                <w:sz w:val="20"/>
                <w:szCs w:val="20"/>
                <w:lang w:eastAsia="pt-BR"/>
              </w:rPr>
              <w:t>: elaborada pelo autor com base nos microdados do SIASUS</w:t>
            </w:r>
          </w:p>
        </w:tc>
      </w:tr>
    </w:tbl>
    <w:p w14:paraId="36FF4D44" w14:textId="77777777" w:rsidR="00437300" w:rsidRDefault="00464983" w:rsidP="006F6ED9">
      <w:pPr>
        <w:spacing w:line="360" w:lineRule="auto"/>
        <w:jc w:val="both"/>
        <w:rPr>
          <w:b/>
          <w:sz w:val="24"/>
          <w:szCs w:val="24"/>
        </w:rPr>
      </w:pPr>
      <w:r>
        <w:rPr>
          <w:b/>
          <w:sz w:val="24"/>
          <w:szCs w:val="24"/>
        </w:rPr>
        <w:tab/>
      </w:r>
    </w:p>
    <w:p w14:paraId="6140AF00" w14:textId="0D70AF3C" w:rsidR="00152CB1" w:rsidRDefault="00464983" w:rsidP="00437300">
      <w:pPr>
        <w:spacing w:line="360" w:lineRule="auto"/>
        <w:ind w:firstLine="708"/>
        <w:jc w:val="both"/>
        <w:rPr>
          <w:bCs/>
          <w:sz w:val="24"/>
          <w:szCs w:val="24"/>
        </w:rPr>
      </w:pPr>
      <w:r>
        <w:rPr>
          <w:bCs/>
          <w:sz w:val="24"/>
          <w:szCs w:val="24"/>
        </w:rPr>
        <w:lastRenderedPageBreak/>
        <w:t>Após março de 2025, para os quais não há dados empíricos, ambos os Modelos estimados apresentam tendência crescente, ou seja, segundo esses Modelos</w:t>
      </w:r>
      <w:r w:rsidR="00B160AC">
        <w:rPr>
          <w:bCs/>
          <w:sz w:val="24"/>
          <w:szCs w:val="24"/>
        </w:rPr>
        <w:t>,</w:t>
      </w:r>
      <w:r>
        <w:rPr>
          <w:bCs/>
          <w:sz w:val="24"/>
          <w:szCs w:val="24"/>
        </w:rPr>
        <w:t xml:space="preserve"> </w:t>
      </w:r>
      <w:r w:rsidRPr="00F50BF0">
        <w:rPr>
          <w:bCs/>
          <w:i/>
          <w:iCs/>
          <w:sz w:val="24"/>
          <w:szCs w:val="24"/>
        </w:rPr>
        <w:t>RPB</w:t>
      </w:r>
      <w:r>
        <w:rPr>
          <w:bCs/>
          <w:sz w:val="24"/>
          <w:szCs w:val="24"/>
        </w:rPr>
        <w:t xml:space="preserve"> crescerá nos próximos doze</w:t>
      </w:r>
      <w:r w:rsidR="00F50BF0">
        <w:rPr>
          <w:bCs/>
          <w:sz w:val="24"/>
          <w:szCs w:val="24"/>
        </w:rPr>
        <w:t xml:space="preserve"> meses, sem</w:t>
      </w:r>
      <w:r w:rsidR="00B10A1B">
        <w:rPr>
          <w:bCs/>
          <w:sz w:val="24"/>
          <w:szCs w:val="24"/>
        </w:rPr>
        <w:t>,</w:t>
      </w:r>
      <w:r w:rsidR="00F50BF0">
        <w:rPr>
          <w:bCs/>
          <w:sz w:val="24"/>
          <w:szCs w:val="24"/>
        </w:rPr>
        <w:t xml:space="preserve"> no entanto, atingir o pico da série hi</w:t>
      </w:r>
      <w:r w:rsidR="001B2289">
        <w:rPr>
          <w:bCs/>
          <w:sz w:val="24"/>
          <w:szCs w:val="24"/>
        </w:rPr>
        <w:t>stórica.</w:t>
      </w:r>
      <w:r w:rsidR="00B10A1B">
        <w:rPr>
          <w:bCs/>
          <w:sz w:val="24"/>
          <w:szCs w:val="24"/>
        </w:rPr>
        <w:t xml:space="preserve"> Em março de 2026</w:t>
      </w:r>
      <w:r w:rsidR="00FB2DF0">
        <w:rPr>
          <w:bCs/>
          <w:sz w:val="24"/>
          <w:szCs w:val="24"/>
        </w:rPr>
        <w:t xml:space="preserve">, um </w:t>
      </w:r>
      <w:r w:rsidR="00F858C0">
        <w:rPr>
          <w:bCs/>
          <w:sz w:val="24"/>
          <w:szCs w:val="24"/>
        </w:rPr>
        <w:t xml:space="preserve">ano </w:t>
      </w:r>
      <w:r w:rsidR="00FB2DF0">
        <w:rPr>
          <w:bCs/>
          <w:sz w:val="24"/>
          <w:szCs w:val="24"/>
        </w:rPr>
        <w:t>após o último dado empírico considerado</w:t>
      </w:r>
      <w:r w:rsidR="00B10A1B">
        <w:rPr>
          <w:bCs/>
          <w:sz w:val="24"/>
          <w:szCs w:val="24"/>
        </w:rPr>
        <w:t xml:space="preserve">, segundo o Modelo 1, estima-se que </w:t>
      </w:r>
      <w:r w:rsidR="00B10A1B" w:rsidRPr="004B2CE9">
        <w:rPr>
          <w:bCs/>
          <w:i/>
          <w:iCs/>
          <w:sz w:val="24"/>
          <w:szCs w:val="24"/>
        </w:rPr>
        <w:t>RPB</w:t>
      </w:r>
      <w:r w:rsidR="00B10A1B" w:rsidRPr="004B2CE9">
        <w:rPr>
          <w:position w:val="-6"/>
          <w:sz w:val="24"/>
          <w:szCs w:val="24"/>
          <w:vertAlign w:val="subscript"/>
        </w:rPr>
        <w:t>219</w:t>
      </w:r>
      <w:r w:rsidR="00B10A1B">
        <w:rPr>
          <w:bCs/>
          <w:sz w:val="24"/>
          <w:szCs w:val="24"/>
        </w:rPr>
        <w:t xml:space="preserve"> = </w:t>
      </w:r>
      <w:r w:rsidR="00BA4604">
        <w:rPr>
          <w:bCs/>
          <w:sz w:val="24"/>
          <w:szCs w:val="24"/>
        </w:rPr>
        <w:t>121,3613</w:t>
      </w:r>
      <w:r w:rsidR="00B10A1B">
        <w:rPr>
          <w:bCs/>
          <w:sz w:val="24"/>
          <w:szCs w:val="24"/>
        </w:rPr>
        <w:t>%</w:t>
      </w:r>
      <w:r w:rsidR="000172D4">
        <w:rPr>
          <w:bCs/>
          <w:sz w:val="24"/>
          <w:szCs w:val="24"/>
        </w:rPr>
        <w:t xml:space="preserve"> ± 18,6042%, com 95,00% de confiança</w:t>
      </w:r>
      <w:r w:rsidR="00B10A1B">
        <w:rPr>
          <w:bCs/>
          <w:sz w:val="24"/>
          <w:szCs w:val="24"/>
        </w:rPr>
        <w:t>; de acordo com o Modelo</w:t>
      </w:r>
      <w:r w:rsidR="00FB2DF0">
        <w:rPr>
          <w:bCs/>
          <w:sz w:val="24"/>
          <w:szCs w:val="24"/>
        </w:rPr>
        <w:t xml:space="preserve"> 2</w:t>
      </w:r>
      <w:r w:rsidR="00B10A1B">
        <w:rPr>
          <w:bCs/>
          <w:sz w:val="24"/>
          <w:szCs w:val="24"/>
        </w:rPr>
        <w:t xml:space="preserve">, </w:t>
      </w:r>
      <w:r w:rsidR="00B10A1B" w:rsidRPr="00B10A1B">
        <w:rPr>
          <w:bCs/>
          <w:i/>
          <w:iCs/>
          <w:sz w:val="24"/>
          <w:szCs w:val="24"/>
        </w:rPr>
        <w:t>RPB</w:t>
      </w:r>
      <w:r w:rsidR="00B10A1B" w:rsidRPr="004B2CE9">
        <w:rPr>
          <w:position w:val="-6"/>
          <w:sz w:val="24"/>
          <w:szCs w:val="24"/>
          <w:vertAlign w:val="subscript"/>
        </w:rPr>
        <w:t>219</w:t>
      </w:r>
      <w:r w:rsidR="00B10A1B">
        <w:rPr>
          <w:bCs/>
          <w:sz w:val="24"/>
          <w:szCs w:val="24"/>
        </w:rPr>
        <w:t xml:space="preserve"> = </w:t>
      </w:r>
      <w:r w:rsidR="00BA4604">
        <w:rPr>
          <w:bCs/>
          <w:sz w:val="24"/>
          <w:szCs w:val="24"/>
        </w:rPr>
        <w:t>127,2089</w:t>
      </w:r>
      <w:r w:rsidR="00B10A1B">
        <w:rPr>
          <w:bCs/>
          <w:sz w:val="24"/>
          <w:szCs w:val="24"/>
        </w:rPr>
        <w:t>%</w:t>
      </w:r>
      <w:r w:rsidR="000172D4">
        <w:rPr>
          <w:bCs/>
          <w:sz w:val="24"/>
          <w:szCs w:val="24"/>
        </w:rPr>
        <w:t xml:space="preserve"> ± 95,4082, com 95,00% de confiança.</w:t>
      </w:r>
      <w:r w:rsidR="002E172D">
        <w:rPr>
          <w:bCs/>
          <w:sz w:val="24"/>
          <w:szCs w:val="24"/>
        </w:rPr>
        <w:t xml:space="preserve"> Também nas extrapolações o Modelo 1 é superior, o intervalo de confiança </w:t>
      </w:r>
      <w:r w:rsidR="00493C9A">
        <w:rPr>
          <w:bCs/>
          <w:sz w:val="24"/>
          <w:szCs w:val="24"/>
        </w:rPr>
        <w:t>é</w:t>
      </w:r>
      <w:r w:rsidR="002E172D">
        <w:rPr>
          <w:bCs/>
          <w:sz w:val="24"/>
          <w:szCs w:val="24"/>
        </w:rPr>
        <w:t xml:space="preserve"> bem meno</w:t>
      </w:r>
      <w:r w:rsidR="00493C9A">
        <w:rPr>
          <w:bCs/>
          <w:sz w:val="24"/>
          <w:szCs w:val="24"/>
        </w:rPr>
        <w:t>s</w:t>
      </w:r>
      <w:r w:rsidR="002E172D">
        <w:rPr>
          <w:bCs/>
          <w:sz w:val="24"/>
          <w:szCs w:val="24"/>
        </w:rPr>
        <w:t xml:space="preserve"> amplo.</w:t>
      </w:r>
      <w:r w:rsidR="00493C9A">
        <w:rPr>
          <w:bCs/>
          <w:sz w:val="24"/>
          <w:szCs w:val="24"/>
        </w:rPr>
        <w:t xml:space="preserve"> No limite inferior desse intervalo, segundo o Modelo 1, </w:t>
      </w:r>
      <w:r w:rsidR="00493C9A" w:rsidRPr="00493C9A">
        <w:rPr>
          <w:bCs/>
          <w:i/>
          <w:iCs/>
          <w:sz w:val="24"/>
          <w:szCs w:val="24"/>
        </w:rPr>
        <w:t>RPB</w:t>
      </w:r>
      <w:r w:rsidR="00493C9A">
        <w:rPr>
          <w:bCs/>
          <w:sz w:val="24"/>
          <w:szCs w:val="24"/>
        </w:rPr>
        <w:t xml:space="preserve"> ainda seria superior a 100,00%. No outro extremo, superaria 145,00%, ou seja, o percentual de pardos superaria o de brancos em mais de 45,00%.</w:t>
      </w:r>
      <w:r w:rsidR="00152CB1">
        <w:rPr>
          <w:bCs/>
          <w:sz w:val="24"/>
          <w:szCs w:val="24"/>
        </w:rPr>
        <w:tab/>
      </w:r>
      <w:r w:rsidR="006F6ED9">
        <w:rPr>
          <w:bCs/>
          <w:sz w:val="24"/>
          <w:szCs w:val="24"/>
        </w:rPr>
        <w:t>Assim, e</w:t>
      </w:r>
      <w:r w:rsidR="00152CB1">
        <w:rPr>
          <w:bCs/>
          <w:sz w:val="24"/>
          <w:szCs w:val="24"/>
        </w:rPr>
        <w:t>ntre os modelos tomados para consideração do fenômeno, o Modelo 1 é o mais coerente.</w:t>
      </w:r>
    </w:p>
    <w:p w14:paraId="4F22EF4D" w14:textId="60E17F9E" w:rsidR="002025EB" w:rsidRDefault="002025EB" w:rsidP="002E2FDB">
      <w:pPr>
        <w:spacing w:line="360" w:lineRule="auto"/>
        <w:jc w:val="both"/>
        <w:rPr>
          <w:bCs/>
          <w:sz w:val="24"/>
          <w:szCs w:val="24"/>
        </w:rPr>
      </w:pPr>
      <w:r>
        <w:rPr>
          <w:bCs/>
          <w:sz w:val="24"/>
          <w:szCs w:val="24"/>
        </w:rPr>
        <w:tab/>
      </w:r>
      <w:r w:rsidR="00C9382C">
        <w:rPr>
          <w:bCs/>
          <w:sz w:val="24"/>
          <w:szCs w:val="24"/>
        </w:rPr>
        <w:t xml:space="preserve">Exposto o fenômeno, surgem alguns questionamentos: a) qual a sua causa? </w:t>
      </w:r>
      <w:r w:rsidR="00A8036D">
        <w:rPr>
          <w:bCs/>
          <w:sz w:val="24"/>
          <w:szCs w:val="24"/>
        </w:rPr>
        <w:t>b</w:t>
      </w:r>
      <w:r w:rsidR="00BA7EC3">
        <w:rPr>
          <w:bCs/>
          <w:sz w:val="24"/>
          <w:szCs w:val="24"/>
        </w:rPr>
        <w:t>) é</w:t>
      </w:r>
      <w:r w:rsidR="00C9382C">
        <w:rPr>
          <w:bCs/>
          <w:sz w:val="24"/>
          <w:szCs w:val="24"/>
        </w:rPr>
        <w:t xml:space="preserve"> exclusivo do ERJ? </w:t>
      </w:r>
      <w:r w:rsidR="00BA7EC3">
        <w:rPr>
          <w:bCs/>
          <w:sz w:val="24"/>
          <w:szCs w:val="24"/>
        </w:rPr>
        <w:t>c) s</w:t>
      </w:r>
      <w:r w:rsidR="00C9382C">
        <w:rPr>
          <w:bCs/>
          <w:sz w:val="24"/>
          <w:szCs w:val="24"/>
        </w:rPr>
        <w:t xml:space="preserve">e dá apenas para quimioterapias? </w:t>
      </w:r>
      <w:r w:rsidR="00BA7EC3">
        <w:rPr>
          <w:bCs/>
          <w:sz w:val="24"/>
          <w:szCs w:val="24"/>
        </w:rPr>
        <w:t xml:space="preserve">d) </w:t>
      </w:r>
      <w:r w:rsidR="00C9382C">
        <w:rPr>
          <w:bCs/>
          <w:sz w:val="24"/>
          <w:szCs w:val="24"/>
        </w:rPr>
        <w:t xml:space="preserve">Seria possível observar algo semelhante a partir de outros registros administrativos públicos? </w:t>
      </w:r>
      <w:r w:rsidR="00BA7EC3">
        <w:rPr>
          <w:bCs/>
          <w:sz w:val="24"/>
          <w:szCs w:val="24"/>
        </w:rPr>
        <w:t>e) o</w:t>
      </w:r>
      <w:r w:rsidR="00C9382C">
        <w:rPr>
          <w:bCs/>
          <w:sz w:val="24"/>
          <w:szCs w:val="24"/>
        </w:rPr>
        <w:t>corre somente na saúde?</w:t>
      </w:r>
    </w:p>
    <w:p w14:paraId="406A5F83" w14:textId="5DCAFF19" w:rsidR="00572565" w:rsidRDefault="00A8036D" w:rsidP="00572565">
      <w:pPr>
        <w:spacing w:line="360" w:lineRule="auto"/>
        <w:jc w:val="both"/>
        <w:rPr>
          <w:sz w:val="24"/>
          <w:szCs w:val="24"/>
        </w:rPr>
      </w:pPr>
      <w:r>
        <w:rPr>
          <w:b/>
          <w:sz w:val="24"/>
          <w:szCs w:val="24"/>
        </w:rPr>
        <w:tab/>
      </w:r>
      <w:r>
        <w:rPr>
          <w:bCs/>
          <w:sz w:val="24"/>
          <w:szCs w:val="24"/>
        </w:rPr>
        <w:t>Naturalmente, as fontes utilizadas não autorizam explicações. As respostas aos questionamentos b) a d) podem ser dadas explorando-se o SIASUS. O que não foi feito aqui. Quan</w:t>
      </w:r>
      <w:r w:rsidR="000C7054">
        <w:rPr>
          <w:bCs/>
          <w:sz w:val="24"/>
          <w:szCs w:val="24"/>
        </w:rPr>
        <w:t>to</w:t>
      </w:r>
      <w:r>
        <w:rPr>
          <w:bCs/>
          <w:sz w:val="24"/>
          <w:szCs w:val="24"/>
        </w:rPr>
        <w:t xml:space="preserve"> às causas, a), imagino que a resposta seja a concorrência de vários fatores que podem ser resumidos em duas hipóteses básicas: (i) a conscientização dos sujeitos quanto as questões raciais e (ii) a ampliação da oferta de quimioterapias pelo SUS que enfraquece o racismo institucional.</w:t>
      </w:r>
      <w:r w:rsidR="00572565">
        <w:rPr>
          <w:bCs/>
          <w:sz w:val="24"/>
          <w:szCs w:val="24"/>
        </w:rPr>
        <w:t xml:space="preserve"> </w:t>
      </w:r>
      <w:r w:rsidR="00572565">
        <w:rPr>
          <w:sz w:val="24"/>
          <w:szCs w:val="24"/>
        </w:rPr>
        <w:t>A transição racial, como se tem nomeado, é o fenômeno caracterizado pela mudança da autodeclaração de raça/cor. A alteração na autodeclaração deve ter sido precedida pela percepção acerca da pertença a um grupo racial em vez de outro. É provável que isso tenha relação com as políticas afirmativas, em particular as de cotas raciais para ocupação de cargos e empregos públicos e vagas nas Instituições de Ensino públicas, em qualquer nível. Tais políticas provocam discussão na sociedade motivando reflexão, e/ou ainda, alteração pela vantagem competitiva de sujeitos que mesmo sem se considerar negros percebem, em estar no grupo pardo, uma vantagem competitiva. Isso é bastante plausível e está no cerne das comissões de hétero identificação. O grupo das pessoas pardas são a causa das comissões de hétero identificação.</w:t>
      </w:r>
    </w:p>
    <w:p w14:paraId="7365EC30" w14:textId="074C7570" w:rsidR="00981508" w:rsidRDefault="006F6ED9" w:rsidP="00572565">
      <w:pPr>
        <w:spacing w:line="360" w:lineRule="auto"/>
        <w:jc w:val="both"/>
        <w:rPr>
          <w:bCs/>
          <w:sz w:val="24"/>
          <w:szCs w:val="24"/>
        </w:rPr>
      </w:pPr>
      <w:r>
        <w:rPr>
          <w:sz w:val="24"/>
          <w:szCs w:val="24"/>
        </w:rPr>
        <w:lastRenderedPageBreak/>
        <w:tab/>
        <w:t xml:space="preserve">Por que tratar de empardecimento em vez de enegrecimento? Em primeiro lugar, </w:t>
      </w:r>
      <w:r w:rsidR="00633F5A">
        <w:rPr>
          <w:sz w:val="24"/>
          <w:szCs w:val="24"/>
        </w:rPr>
        <w:t>visto como</w:t>
      </w:r>
      <w:r>
        <w:rPr>
          <w:sz w:val="24"/>
          <w:szCs w:val="24"/>
        </w:rPr>
        <w:t xml:space="preserve"> no Brasil </w:t>
      </w:r>
      <w:r w:rsidR="00633F5A">
        <w:rPr>
          <w:sz w:val="24"/>
          <w:szCs w:val="24"/>
        </w:rPr>
        <w:t>a ideia de que a</w:t>
      </w:r>
      <w:r>
        <w:rPr>
          <w:sz w:val="24"/>
          <w:szCs w:val="24"/>
        </w:rPr>
        <w:t xml:space="preserve"> população negra seja composta por sujeitos autodeclarados de cor ou raça preta ou parda</w:t>
      </w:r>
      <w:r w:rsidR="00633F5A">
        <w:rPr>
          <w:sz w:val="24"/>
          <w:szCs w:val="24"/>
        </w:rPr>
        <w:t>,</w:t>
      </w:r>
      <w:r>
        <w:rPr>
          <w:sz w:val="24"/>
          <w:szCs w:val="24"/>
        </w:rPr>
        <w:t xml:space="preserve"> empardecimento implica enegrecimento. A recíproca é falsa. Por outro lado, a razoável estabilidade relativa da população preta, como se verifica empiricamente nos dados expostos na próxima seção, faz com que o enegrecimento relativo se resuma à variação da população parda.</w:t>
      </w:r>
    </w:p>
    <w:p w14:paraId="32EEE5C6" w14:textId="02916AED" w:rsidR="000765ED" w:rsidRDefault="000765ED" w:rsidP="002E2FDB">
      <w:pPr>
        <w:spacing w:line="360" w:lineRule="auto"/>
        <w:jc w:val="both"/>
        <w:rPr>
          <w:bCs/>
          <w:sz w:val="24"/>
          <w:szCs w:val="24"/>
        </w:rPr>
      </w:pPr>
      <w:r>
        <w:rPr>
          <w:bCs/>
          <w:sz w:val="24"/>
          <w:szCs w:val="24"/>
        </w:rPr>
        <w:tab/>
        <w:t>A resposta ao item e) requer a utilização de dados semelhantes de outras políticas públicas, por exemplo, da educação.</w:t>
      </w:r>
    </w:p>
    <w:p w14:paraId="1D53349E" w14:textId="77777777" w:rsidR="00A8036D" w:rsidRPr="00A8036D" w:rsidRDefault="00A8036D" w:rsidP="002E2FDB">
      <w:pPr>
        <w:spacing w:line="360" w:lineRule="auto"/>
        <w:jc w:val="both"/>
        <w:rPr>
          <w:bCs/>
          <w:sz w:val="24"/>
          <w:szCs w:val="24"/>
        </w:rPr>
      </w:pPr>
    </w:p>
    <w:p w14:paraId="204B8C84" w14:textId="7C4359E8" w:rsidR="002E2FDB" w:rsidRDefault="00EB68E2" w:rsidP="002E2FDB">
      <w:pPr>
        <w:spacing w:line="360" w:lineRule="auto"/>
        <w:jc w:val="both"/>
      </w:pPr>
      <w:r>
        <w:rPr>
          <w:b/>
          <w:sz w:val="24"/>
          <w:szCs w:val="24"/>
        </w:rPr>
        <w:t>4</w:t>
      </w:r>
      <w:r w:rsidR="002E2FDB">
        <w:rPr>
          <w:b/>
          <w:sz w:val="24"/>
          <w:szCs w:val="24"/>
        </w:rPr>
        <w:tab/>
        <w:t>CONCLUS</w:t>
      </w:r>
      <w:r>
        <w:rPr>
          <w:b/>
          <w:sz w:val="24"/>
          <w:szCs w:val="24"/>
        </w:rPr>
        <w:t>ÃO</w:t>
      </w:r>
    </w:p>
    <w:p w14:paraId="31DCABDD" w14:textId="77777777" w:rsidR="00E72600" w:rsidRDefault="000B4867" w:rsidP="002E2FDB">
      <w:pPr>
        <w:spacing w:line="360" w:lineRule="auto"/>
        <w:jc w:val="both"/>
        <w:rPr>
          <w:b/>
          <w:sz w:val="24"/>
          <w:szCs w:val="24"/>
        </w:rPr>
      </w:pPr>
      <w:r>
        <w:rPr>
          <w:b/>
          <w:sz w:val="24"/>
          <w:szCs w:val="24"/>
        </w:rPr>
        <w:tab/>
      </w:r>
    </w:p>
    <w:p w14:paraId="139DAAE7" w14:textId="2164BD8A" w:rsidR="00F83FEE" w:rsidRDefault="00E72600" w:rsidP="00E72600">
      <w:pPr>
        <w:spacing w:line="360" w:lineRule="auto"/>
        <w:ind w:firstLine="708"/>
        <w:jc w:val="both"/>
        <w:rPr>
          <w:bCs/>
          <w:sz w:val="24"/>
          <w:szCs w:val="24"/>
        </w:rPr>
      </w:pPr>
      <w:r>
        <w:rPr>
          <w:bCs/>
          <w:sz w:val="24"/>
          <w:szCs w:val="24"/>
        </w:rPr>
        <w:t>Entendo que os objetivos do estudo foram razoavelmente atingidos. O fenômeno da transição racial verificado empiricamente nas Apacs de quimioterapia do ERJ pode ser bem descrito pelo emprego de análise séries temporais numa abordagem integrada, ou seja, por meio da razão entre sujeitos autodeclarados pardos e brancos. No sentido tratado aqui, a transição racial equivale ao empardecimento da população assistida</w:t>
      </w:r>
      <w:r w:rsidR="00F83FEE">
        <w:rPr>
          <w:bCs/>
          <w:sz w:val="24"/>
          <w:szCs w:val="24"/>
        </w:rPr>
        <w:t xml:space="preserve"> no cuidados oncológicos. </w:t>
      </w:r>
      <w:r w:rsidR="00BD0022">
        <w:rPr>
          <w:bCs/>
          <w:sz w:val="24"/>
          <w:szCs w:val="24"/>
        </w:rPr>
        <w:t>De acordo com os modelos empregados, estima-se a tendência crescente da razão entre pardos e brancos, que caracteriza da transição, será mantida no próximos dozes meses. Ao fim</w:t>
      </w:r>
      <w:r w:rsidR="00B14817">
        <w:rPr>
          <w:bCs/>
          <w:sz w:val="24"/>
          <w:szCs w:val="24"/>
        </w:rPr>
        <w:t xml:space="preserve"> de tal período, </w:t>
      </w:r>
      <w:r w:rsidR="0056323D">
        <w:rPr>
          <w:bCs/>
          <w:sz w:val="24"/>
          <w:szCs w:val="24"/>
        </w:rPr>
        <w:t xml:space="preserve">o melhor modelo aponta que </w:t>
      </w:r>
      <w:r w:rsidR="00B14817">
        <w:rPr>
          <w:bCs/>
          <w:sz w:val="24"/>
          <w:szCs w:val="24"/>
        </w:rPr>
        <w:t>o percentual de pardos deve superar o de brancos em 20,00%, em média.</w:t>
      </w:r>
    </w:p>
    <w:p w14:paraId="3F3DCC4C" w14:textId="7A80DC60" w:rsidR="00F83FEE" w:rsidRDefault="00F83FEE" w:rsidP="00E72600">
      <w:pPr>
        <w:spacing w:line="360" w:lineRule="auto"/>
        <w:ind w:firstLine="708"/>
        <w:jc w:val="both"/>
        <w:rPr>
          <w:bCs/>
          <w:sz w:val="24"/>
          <w:szCs w:val="24"/>
        </w:rPr>
      </w:pPr>
      <w:r>
        <w:rPr>
          <w:bCs/>
          <w:sz w:val="24"/>
          <w:szCs w:val="24"/>
        </w:rPr>
        <w:t xml:space="preserve">Entre os pontos fortes do trabalho está o fato de contribuir com o universo dos estudos das políticas sociais em saúde brasileiras com técnicas quantitativas, em particular análise de séries temporais, e explorar o banco de Apacs. Os instrumentos de registro do SUS, dada sua finalidade original e dificuldades técnicas, são por vezes subestimados. O presente estudo, apesar disso, </w:t>
      </w:r>
      <w:r w:rsidR="004A44EF">
        <w:rPr>
          <w:bCs/>
          <w:sz w:val="24"/>
          <w:szCs w:val="24"/>
        </w:rPr>
        <w:t>mostra</w:t>
      </w:r>
      <w:r>
        <w:rPr>
          <w:bCs/>
          <w:sz w:val="24"/>
          <w:szCs w:val="24"/>
        </w:rPr>
        <w:t xml:space="preserve"> que os regist</w:t>
      </w:r>
      <w:r w:rsidR="00821A6B">
        <w:rPr>
          <w:bCs/>
          <w:sz w:val="24"/>
          <w:szCs w:val="24"/>
        </w:rPr>
        <w:t>ros são caros às políticas sociais e especificamente ao trato das questões raciais.</w:t>
      </w:r>
      <w:r>
        <w:rPr>
          <w:bCs/>
          <w:sz w:val="24"/>
          <w:szCs w:val="24"/>
        </w:rPr>
        <w:t xml:space="preserve"> </w:t>
      </w:r>
      <w:r w:rsidR="004A44EF">
        <w:rPr>
          <w:bCs/>
          <w:sz w:val="24"/>
          <w:szCs w:val="24"/>
        </w:rPr>
        <w:t>Merecem, portanto, o olhar atento dos pesquisadores.</w:t>
      </w:r>
    </w:p>
    <w:p w14:paraId="2FFCAD67" w14:textId="66529147" w:rsidR="000B4867" w:rsidRDefault="004A44EF" w:rsidP="002E2FDB">
      <w:pPr>
        <w:spacing w:line="360" w:lineRule="auto"/>
        <w:jc w:val="both"/>
        <w:rPr>
          <w:b/>
          <w:sz w:val="24"/>
          <w:szCs w:val="24"/>
        </w:rPr>
      </w:pPr>
      <w:r>
        <w:rPr>
          <w:b/>
          <w:sz w:val="24"/>
          <w:szCs w:val="24"/>
        </w:rPr>
        <w:tab/>
      </w:r>
      <w:r>
        <w:rPr>
          <w:bCs/>
          <w:sz w:val="24"/>
          <w:szCs w:val="24"/>
        </w:rPr>
        <w:t xml:space="preserve">Por outro lado, o estudo é pobre nas explicações do fenômeno da transição racial. Além disso, </w:t>
      </w:r>
      <w:r w:rsidR="00A57626">
        <w:rPr>
          <w:bCs/>
          <w:sz w:val="24"/>
          <w:szCs w:val="24"/>
        </w:rPr>
        <w:t xml:space="preserve">desconsidera elementos importantes como sexo, idade, custo do tratamento, </w:t>
      </w:r>
      <w:r>
        <w:rPr>
          <w:bCs/>
          <w:sz w:val="24"/>
          <w:szCs w:val="24"/>
        </w:rPr>
        <w:t>trata apenas de um instrumento de registro do SUS</w:t>
      </w:r>
      <w:r w:rsidR="00E61F0A">
        <w:rPr>
          <w:bCs/>
          <w:sz w:val="24"/>
          <w:szCs w:val="24"/>
        </w:rPr>
        <w:t xml:space="preserve">, para uma doença </w:t>
      </w:r>
      <w:r w:rsidR="00E61F0A">
        <w:rPr>
          <w:bCs/>
          <w:sz w:val="24"/>
          <w:szCs w:val="24"/>
        </w:rPr>
        <w:lastRenderedPageBreak/>
        <w:t>específica</w:t>
      </w:r>
      <w:r>
        <w:rPr>
          <w:bCs/>
          <w:sz w:val="24"/>
          <w:szCs w:val="24"/>
        </w:rPr>
        <w:t xml:space="preserve">, em uma </w:t>
      </w:r>
      <w:r w:rsidR="00E61F0A">
        <w:rPr>
          <w:bCs/>
          <w:sz w:val="24"/>
          <w:szCs w:val="24"/>
        </w:rPr>
        <w:t xml:space="preserve">única </w:t>
      </w:r>
      <w:r>
        <w:rPr>
          <w:bCs/>
          <w:sz w:val="24"/>
          <w:szCs w:val="24"/>
        </w:rPr>
        <w:t>unidade da federaçã</w:t>
      </w:r>
      <w:r w:rsidR="00A57626">
        <w:rPr>
          <w:bCs/>
          <w:sz w:val="24"/>
          <w:szCs w:val="24"/>
        </w:rPr>
        <w:t xml:space="preserve">o. Uma agenda interessante de pesquisa envolve estender a presente abordagem a outras unidade da federação, com mais registros, outras doenças e a consideração de mais variáveis. </w:t>
      </w:r>
    </w:p>
    <w:p w14:paraId="368DF399" w14:textId="77777777" w:rsidR="002E2FDB" w:rsidRDefault="002E2FDB" w:rsidP="002E2FDB">
      <w:pPr>
        <w:spacing w:line="360" w:lineRule="auto"/>
        <w:jc w:val="center"/>
        <w:rPr>
          <w:b/>
          <w:sz w:val="24"/>
          <w:szCs w:val="24"/>
        </w:rPr>
      </w:pPr>
    </w:p>
    <w:p w14:paraId="7EC6F5D7" w14:textId="77777777" w:rsidR="002E2FDB" w:rsidRDefault="002E2FDB" w:rsidP="002E2FDB">
      <w:pPr>
        <w:spacing w:line="360" w:lineRule="auto"/>
        <w:jc w:val="center"/>
      </w:pPr>
      <w:r>
        <w:rPr>
          <w:b/>
          <w:sz w:val="24"/>
          <w:szCs w:val="24"/>
        </w:rPr>
        <w:t>REFERÊNCIAS</w:t>
      </w:r>
    </w:p>
    <w:p w14:paraId="31D24154" w14:textId="77777777" w:rsidR="002E2FDB" w:rsidRDefault="002E2FDB" w:rsidP="002E2FDB">
      <w:pPr>
        <w:spacing w:line="240" w:lineRule="auto"/>
        <w:jc w:val="both"/>
        <w:rPr>
          <w:bCs/>
          <w:sz w:val="24"/>
          <w:szCs w:val="24"/>
        </w:rPr>
      </w:pPr>
    </w:p>
    <w:p w14:paraId="5079C607" w14:textId="01ABA3ED" w:rsidR="00044795" w:rsidRDefault="006036EE" w:rsidP="002E2FDB">
      <w:pPr>
        <w:spacing w:line="240" w:lineRule="auto"/>
        <w:jc w:val="both"/>
        <w:rPr>
          <w:sz w:val="24"/>
          <w:szCs w:val="24"/>
        </w:rPr>
      </w:pPr>
      <w:r>
        <w:rPr>
          <w:sz w:val="24"/>
          <w:szCs w:val="24"/>
        </w:rPr>
        <w:t>BRASIL</w:t>
      </w:r>
      <w:r w:rsidR="00044795" w:rsidRPr="00044795">
        <w:rPr>
          <w:sz w:val="24"/>
          <w:szCs w:val="24"/>
        </w:rPr>
        <w:t xml:space="preserve">. Lei nº 12.288, 20 de julho de 2010. </w:t>
      </w:r>
      <w:r w:rsidR="00044795" w:rsidRPr="0044292D">
        <w:rPr>
          <w:b/>
          <w:bCs/>
          <w:sz w:val="24"/>
          <w:szCs w:val="24"/>
        </w:rPr>
        <w:t>Institui o Estatuto da Igualdade Racial</w:t>
      </w:r>
      <w:r w:rsidR="00044795" w:rsidRPr="00044795">
        <w:rPr>
          <w:sz w:val="24"/>
          <w:szCs w:val="24"/>
        </w:rPr>
        <w:t>. Brasília, DF</w:t>
      </w:r>
      <w:r w:rsidR="0080352C">
        <w:rPr>
          <w:sz w:val="24"/>
          <w:szCs w:val="24"/>
        </w:rPr>
        <w:t>: Presidência da República, [2023]</w:t>
      </w:r>
      <w:r w:rsidR="00044795" w:rsidRPr="00044795">
        <w:rPr>
          <w:sz w:val="24"/>
          <w:szCs w:val="24"/>
        </w:rPr>
        <w:t xml:space="preserve">. Disponível em: &lt; https://www.planalto.gov.br/ccivil_03/_ato2007-2010/2010/lei/l12288.htm#art65&gt;. Acesso em: </w:t>
      </w:r>
      <w:r w:rsidR="00044795">
        <w:rPr>
          <w:sz w:val="24"/>
          <w:szCs w:val="24"/>
        </w:rPr>
        <w:t>1</w:t>
      </w:r>
      <w:r w:rsidR="00044795" w:rsidRPr="00044795">
        <w:rPr>
          <w:sz w:val="24"/>
          <w:szCs w:val="24"/>
        </w:rPr>
        <w:t>9 jun. 202</w:t>
      </w:r>
      <w:r w:rsidR="00044795">
        <w:rPr>
          <w:sz w:val="24"/>
          <w:szCs w:val="24"/>
        </w:rPr>
        <w:t>5</w:t>
      </w:r>
      <w:r w:rsidR="00044795" w:rsidRPr="00044795">
        <w:rPr>
          <w:sz w:val="24"/>
          <w:szCs w:val="24"/>
        </w:rPr>
        <w:t>.</w:t>
      </w:r>
    </w:p>
    <w:p w14:paraId="7E9529A5" w14:textId="77777777" w:rsidR="00577201" w:rsidRDefault="00577201" w:rsidP="002E2FDB">
      <w:pPr>
        <w:spacing w:line="240" w:lineRule="auto"/>
        <w:jc w:val="both"/>
        <w:rPr>
          <w:sz w:val="24"/>
          <w:szCs w:val="24"/>
        </w:rPr>
      </w:pPr>
    </w:p>
    <w:p w14:paraId="27E26180" w14:textId="22C895A3" w:rsidR="00577201" w:rsidRDefault="00577201" w:rsidP="002E2FDB">
      <w:pPr>
        <w:spacing w:line="240" w:lineRule="auto"/>
        <w:jc w:val="both"/>
        <w:rPr>
          <w:sz w:val="24"/>
          <w:szCs w:val="24"/>
        </w:rPr>
      </w:pPr>
      <w:r w:rsidRPr="00577201">
        <w:rPr>
          <w:sz w:val="24"/>
          <w:szCs w:val="24"/>
        </w:rPr>
        <w:t xml:space="preserve">________. </w:t>
      </w:r>
      <w:r w:rsidRPr="00577201">
        <w:rPr>
          <w:b/>
          <w:bCs/>
          <w:sz w:val="24"/>
          <w:szCs w:val="24"/>
        </w:rPr>
        <w:t>Portaria Nº 344, de 1º de fevereiro de 2017</w:t>
      </w:r>
      <w:r w:rsidRPr="00577201">
        <w:rPr>
          <w:sz w:val="24"/>
          <w:szCs w:val="24"/>
        </w:rPr>
        <w:t>. Dispõe sobre o preenchimento do quesito raça/cor nos formulários dos sistemas de informação em saúde. 2017. Disponível em &lt; https://bvsms.saude.gov.br/bvs/saudelegis/gm/2017/prt0344_01_02_2017.html&gt;. Acesso 13 jan. 2023.</w:t>
      </w:r>
    </w:p>
    <w:p w14:paraId="31F5C9F5" w14:textId="77777777" w:rsidR="00A8048B" w:rsidRDefault="00A8048B" w:rsidP="002E2FDB">
      <w:pPr>
        <w:spacing w:line="240" w:lineRule="auto"/>
        <w:jc w:val="both"/>
        <w:rPr>
          <w:sz w:val="24"/>
          <w:szCs w:val="24"/>
        </w:rPr>
      </w:pPr>
    </w:p>
    <w:p w14:paraId="4F152660" w14:textId="120CC7DD" w:rsidR="00577201" w:rsidRDefault="00577201" w:rsidP="002E2FDB">
      <w:pPr>
        <w:spacing w:line="240" w:lineRule="auto"/>
        <w:jc w:val="both"/>
        <w:rPr>
          <w:sz w:val="24"/>
          <w:szCs w:val="24"/>
        </w:rPr>
      </w:pPr>
      <w:r>
        <w:rPr>
          <w:sz w:val="24"/>
          <w:szCs w:val="24"/>
        </w:rPr>
        <w:t>HASENBALG, Carlos. Entre o mito e os fatos: racismo e relações raciais no Brasil. I</w:t>
      </w:r>
      <w:r w:rsidR="00554DFC">
        <w:rPr>
          <w:sz w:val="24"/>
          <w:szCs w:val="24"/>
        </w:rPr>
        <w:t>n</w:t>
      </w:r>
      <w:r>
        <w:rPr>
          <w:sz w:val="24"/>
          <w:szCs w:val="24"/>
        </w:rPr>
        <w:t xml:space="preserve">: MAIO, Marcos Chor; SANTOS, Ricardo Ventura. </w:t>
      </w:r>
      <w:r w:rsidR="00A10423" w:rsidRPr="00554DFC">
        <w:rPr>
          <w:b/>
          <w:bCs/>
          <w:sz w:val="24"/>
          <w:szCs w:val="24"/>
        </w:rPr>
        <w:t>Raça, ciência e sociedade</w:t>
      </w:r>
      <w:r w:rsidR="00A10423">
        <w:rPr>
          <w:sz w:val="24"/>
          <w:szCs w:val="24"/>
        </w:rPr>
        <w:t>. Rio de Janeiro: Fiocruz, 1996.</w:t>
      </w:r>
    </w:p>
    <w:p w14:paraId="0D6462BE" w14:textId="77777777" w:rsidR="00577201" w:rsidRDefault="00577201" w:rsidP="002E2FDB">
      <w:pPr>
        <w:spacing w:line="240" w:lineRule="auto"/>
        <w:jc w:val="both"/>
        <w:rPr>
          <w:sz w:val="24"/>
          <w:szCs w:val="24"/>
        </w:rPr>
      </w:pPr>
    </w:p>
    <w:p w14:paraId="50D753AC" w14:textId="796E0936" w:rsidR="00BA31DD" w:rsidRPr="009E3F67" w:rsidRDefault="00BA31DD" w:rsidP="002E2FDB">
      <w:pPr>
        <w:spacing w:line="240" w:lineRule="auto"/>
        <w:jc w:val="both"/>
        <w:rPr>
          <w:sz w:val="24"/>
          <w:szCs w:val="24"/>
        </w:rPr>
      </w:pPr>
      <w:r w:rsidRPr="009E3F67">
        <w:rPr>
          <w:sz w:val="24"/>
          <w:szCs w:val="24"/>
        </w:rPr>
        <w:t xml:space="preserve">GUIMARÃES, Antônio Sérgio Alfredo. </w:t>
      </w:r>
      <w:r w:rsidRPr="009E3F67">
        <w:rPr>
          <w:b/>
          <w:bCs/>
          <w:sz w:val="24"/>
          <w:szCs w:val="24"/>
        </w:rPr>
        <w:t>Classes, raças e democracia</w:t>
      </w:r>
      <w:r w:rsidRPr="009E3F67">
        <w:rPr>
          <w:sz w:val="24"/>
          <w:szCs w:val="24"/>
        </w:rPr>
        <w:t>. São Paulo: Editora 34, 2002.</w:t>
      </w:r>
    </w:p>
    <w:p w14:paraId="74008F69" w14:textId="77777777" w:rsidR="00BA31DD" w:rsidRPr="009E3F67" w:rsidRDefault="00BA31DD" w:rsidP="002E2FDB">
      <w:pPr>
        <w:spacing w:line="240" w:lineRule="auto"/>
        <w:jc w:val="both"/>
        <w:rPr>
          <w:sz w:val="24"/>
          <w:szCs w:val="24"/>
        </w:rPr>
      </w:pPr>
    </w:p>
    <w:p w14:paraId="4C591D53" w14:textId="77A22BF0" w:rsidR="00BA31DD" w:rsidRPr="009E3F67" w:rsidRDefault="00BA31DD" w:rsidP="00BA31DD">
      <w:pPr>
        <w:spacing w:line="240" w:lineRule="auto"/>
        <w:jc w:val="both"/>
        <w:rPr>
          <w:sz w:val="24"/>
          <w:szCs w:val="24"/>
        </w:rPr>
      </w:pPr>
      <w:r w:rsidRPr="009E3F67">
        <w:rPr>
          <w:sz w:val="24"/>
          <w:szCs w:val="24"/>
        </w:rPr>
        <w:t xml:space="preserve">______. </w:t>
      </w:r>
      <w:r w:rsidRPr="009E3F67">
        <w:rPr>
          <w:b/>
          <w:bCs/>
          <w:sz w:val="24"/>
          <w:szCs w:val="24"/>
        </w:rPr>
        <w:t>Racismo e antirracismo no Brasil</w:t>
      </w:r>
      <w:r w:rsidRPr="009E3F67">
        <w:rPr>
          <w:sz w:val="24"/>
          <w:szCs w:val="24"/>
        </w:rPr>
        <w:t>. 3a ed. São Paulo: Editora 34, 2009.</w:t>
      </w:r>
    </w:p>
    <w:p w14:paraId="4CFD3450" w14:textId="77777777" w:rsidR="002E2FDB" w:rsidRPr="009E3F67" w:rsidRDefault="002E2FDB" w:rsidP="002E2FDB">
      <w:pPr>
        <w:spacing w:line="240" w:lineRule="auto"/>
        <w:jc w:val="both"/>
        <w:rPr>
          <w:sz w:val="24"/>
          <w:szCs w:val="24"/>
        </w:rPr>
      </w:pPr>
    </w:p>
    <w:p w14:paraId="28CCB01D" w14:textId="77777777" w:rsidR="002E2FDB" w:rsidRDefault="002E2FDB" w:rsidP="002E2FDB">
      <w:pPr>
        <w:spacing w:line="240" w:lineRule="auto"/>
        <w:jc w:val="both"/>
        <w:rPr>
          <w:sz w:val="24"/>
          <w:szCs w:val="24"/>
        </w:rPr>
      </w:pPr>
      <w:r w:rsidRPr="009E3F67">
        <w:rPr>
          <w:sz w:val="24"/>
          <w:szCs w:val="24"/>
        </w:rPr>
        <w:t xml:space="preserve">MORETTIN, Pedro Alberto, TOLOI, Clélia Maria de Castro. </w:t>
      </w:r>
      <w:r w:rsidRPr="009E3F67">
        <w:rPr>
          <w:b/>
          <w:bCs/>
          <w:sz w:val="24"/>
          <w:szCs w:val="24"/>
        </w:rPr>
        <w:t>Análise de séries temporais</w:t>
      </w:r>
      <w:r w:rsidRPr="009E3F67">
        <w:rPr>
          <w:sz w:val="24"/>
          <w:szCs w:val="24"/>
        </w:rPr>
        <w:t>. 2a ed. São Paulo: Blucher, 2006.</w:t>
      </w:r>
    </w:p>
    <w:p w14:paraId="2A402F04" w14:textId="77777777" w:rsidR="006037B9" w:rsidRDefault="006037B9" w:rsidP="002E2FDB">
      <w:pPr>
        <w:spacing w:line="240" w:lineRule="auto"/>
        <w:jc w:val="both"/>
        <w:rPr>
          <w:sz w:val="24"/>
          <w:szCs w:val="24"/>
        </w:rPr>
      </w:pPr>
    </w:p>
    <w:p w14:paraId="54B12F7D" w14:textId="22FF28C7" w:rsidR="006037B9" w:rsidRPr="006037B9" w:rsidRDefault="006037B9" w:rsidP="006037B9">
      <w:pPr>
        <w:spacing w:line="240" w:lineRule="auto"/>
        <w:jc w:val="both"/>
        <w:rPr>
          <w:sz w:val="24"/>
          <w:szCs w:val="24"/>
        </w:rPr>
      </w:pPr>
      <w:r w:rsidRPr="006037B9">
        <w:rPr>
          <w:sz w:val="24"/>
          <w:szCs w:val="24"/>
        </w:rPr>
        <w:t xml:space="preserve">R Core Team. </w:t>
      </w:r>
      <w:r w:rsidRPr="006037B9">
        <w:rPr>
          <w:b/>
          <w:bCs/>
          <w:sz w:val="24"/>
          <w:szCs w:val="24"/>
        </w:rPr>
        <w:t>R: A language and environment for statistical computing</w:t>
      </w:r>
      <w:r w:rsidRPr="006037B9">
        <w:rPr>
          <w:sz w:val="24"/>
          <w:szCs w:val="24"/>
        </w:rPr>
        <w:t>. Vienna</w:t>
      </w:r>
      <w:r>
        <w:rPr>
          <w:sz w:val="24"/>
          <w:szCs w:val="24"/>
        </w:rPr>
        <w:t xml:space="preserve">: </w:t>
      </w:r>
      <w:r w:rsidRPr="006037B9">
        <w:rPr>
          <w:sz w:val="24"/>
          <w:szCs w:val="24"/>
        </w:rPr>
        <w:t>R Foundation for Statistical Computing</w:t>
      </w:r>
      <w:r>
        <w:rPr>
          <w:sz w:val="24"/>
          <w:szCs w:val="24"/>
        </w:rPr>
        <w:t xml:space="preserve">, 2023 Disponível em: </w:t>
      </w:r>
      <w:r w:rsidRPr="006037B9">
        <w:rPr>
          <w:sz w:val="24"/>
          <w:szCs w:val="24"/>
        </w:rPr>
        <w:t>https://www.R-project.org/.</w:t>
      </w:r>
    </w:p>
    <w:p w14:paraId="4F8D1436" w14:textId="77777777" w:rsidR="002E2FDB" w:rsidRPr="009E3F67" w:rsidRDefault="002E2FDB" w:rsidP="002E2FDB">
      <w:pPr>
        <w:spacing w:line="240" w:lineRule="auto"/>
        <w:jc w:val="both"/>
        <w:rPr>
          <w:sz w:val="24"/>
          <w:szCs w:val="24"/>
        </w:rPr>
      </w:pPr>
    </w:p>
    <w:p w14:paraId="724D46FD" w14:textId="77777777" w:rsidR="002E2FDB" w:rsidRPr="009E3F67" w:rsidRDefault="002E2FDB" w:rsidP="002E2FDB">
      <w:pPr>
        <w:spacing w:line="240" w:lineRule="auto"/>
        <w:jc w:val="both"/>
        <w:rPr>
          <w:sz w:val="24"/>
          <w:szCs w:val="24"/>
        </w:rPr>
      </w:pPr>
      <w:r w:rsidRPr="009E3F67">
        <w:rPr>
          <w:sz w:val="24"/>
          <w:szCs w:val="24"/>
        </w:rPr>
        <w:t xml:space="preserve">SOUZA, Sergio Paulo Carvalho de. O fim do código 99: um olhar sobre a relação entre a burocracia e o enegrecimento de pacientes oncológicos assistidos pelo SUS no Estado do Rio de Janeiro. </w:t>
      </w:r>
      <w:r w:rsidRPr="00842279">
        <w:rPr>
          <w:b/>
          <w:bCs/>
          <w:sz w:val="24"/>
          <w:szCs w:val="24"/>
        </w:rPr>
        <w:t>In</w:t>
      </w:r>
      <w:r w:rsidRPr="009E3F67">
        <w:rPr>
          <w:sz w:val="24"/>
          <w:szCs w:val="24"/>
        </w:rPr>
        <w:t>: ENCONTRO DA ANPAD, 47., 2024, Florianópolis. </w:t>
      </w:r>
      <w:r w:rsidRPr="009E3F67">
        <w:rPr>
          <w:i/>
          <w:iCs/>
          <w:sz w:val="24"/>
          <w:szCs w:val="24"/>
        </w:rPr>
        <w:t>Anais</w:t>
      </w:r>
      <w:r w:rsidRPr="009E3F67">
        <w:rPr>
          <w:sz w:val="24"/>
          <w:szCs w:val="24"/>
        </w:rPr>
        <w:t> </w:t>
      </w:r>
      <w:r w:rsidRPr="009E3F67">
        <w:rPr>
          <w:i/>
          <w:iCs/>
          <w:sz w:val="24"/>
          <w:szCs w:val="24"/>
        </w:rPr>
        <w:t>eletrônicos</w:t>
      </w:r>
      <w:r w:rsidRPr="009E3F67">
        <w:rPr>
          <w:sz w:val="24"/>
          <w:szCs w:val="24"/>
        </w:rPr>
        <w:t> [...]. Maringá: Associação Nacional de Pós-Graduação e Pesquisa em Administração, 2024. Disponível em: </w:t>
      </w:r>
      <w:hyperlink r:id="rId17" w:history="1">
        <w:r w:rsidRPr="009E3F67">
          <w:rPr>
            <w:rStyle w:val="Hyperlink"/>
            <w:sz w:val="24"/>
            <w:szCs w:val="24"/>
          </w:rPr>
          <w:t>http://www.anpad.org.br</w:t>
        </w:r>
      </w:hyperlink>
      <w:r w:rsidRPr="009E3F67">
        <w:rPr>
          <w:sz w:val="24"/>
          <w:szCs w:val="24"/>
        </w:rPr>
        <w:t>. Acesso em: 16 set. 2024.</w:t>
      </w:r>
    </w:p>
    <w:p w14:paraId="1A178681" w14:textId="77777777" w:rsidR="002E2FDB" w:rsidRDefault="002E2FDB" w:rsidP="002E2FDB">
      <w:pPr>
        <w:spacing w:line="240" w:lineRule="auto"/>
        <w:jc w:val="both"/>
        <w:rPr>
          <w:sz w:val="24"/>
          <w:szCs w:val="24"/>
        </w:rPr>
      </w:pPr>
    </w:p>
    <w:p w14:paraId="79669ED8" w14:textId="77777777" w:rsidR="000C7873" w:rsidRDefault="000C7873" w:rsidP="002E2FDB">
      <w:pPr>
        <w:spacing w:line="240" w:lineRule="auto"/>
        <w:jc w:val="both"/>
        <w:rPr>
          <w:sz w:val="24"/>
          <w:szCs w:val="24"/>
        </w:rPr>
      </w:pPr>
    </w:p>
    <w:p w14:paraId="2E68D9D0" w14:textId="77777777" w:rsidR="000C7873" w:rsidRDefault="000C7873" w:rsidP="002E2FDB">
      <w:pPr>
        <w:spacing w:line="240" w:lineRule="auto"/>
        <w:jc w:val="both"/>
        <w:rPr>
          <w:sz w:val="24"/>
          <w:szCs w:val="24"/>
        </w:rPr>
      </w:pPr>
    </w:p>
    <w:p w14:paraId="138FD4C3" w14:textId="77777777" w:rsidR="002E2FDB" w:rsidRDefault="002E2FDB" w:rsidP="002E2FDB">
      <w:pPr>
        <w:spacing w:after="200"/>
        <w:jc w:val="both"/>
      </w:pPr>
    </w:p>
    <w:p w14:paraId="703E8F44" w14:textId="3E1467F1" w:rsidR="00B02543" w:rsidRDefault="00B02543"/>
    <w:sectPr w:rsidR="00B02543" w:rsidSect="0060788A">
      <w:footnotePr>
        <w:numFmt w:val="chicago"/>
      </w:footnotePr>
      <w:type w:val="continuous"/>
      <w:pgSz w:w="11906" w:h="16838"/>
      <w:pgMar w:top="1701" w:right="1134" w:bottom="1134"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7BAE8" w14:textId="77777777" w:rsidR="0072217C" w:rsidRDefault="0072217C" w:rsidP="002C771D">
      <w:pPr>
        <w:spacing w:line="240" w:lineRule="auto"/>
      </w:pPr>
      <w:r>
        <w:separator/>
      </w:r>
    </w:p>
  </w:endnote>
  <w:endnote w:type="continuationSeparator" w:id="0">
    <w:p w14:paraId="0C9958CD" w14:textId="77777777" w:rsidR="0072217C" w:rsidRDefault="0072217C" w:rsidP="002C7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F68C" w14:textId="0D4564B0" w:rsidR="008C0CBE" w:rsidRDefault="008C0CBE">
    <w:pPr>
      <w:pStyle w:val="Rodap"/>
    </w:pPr>
    <w:r>
      <w:rPr>
        <w:noProof/>
      </w:rPr>
      <w:ptab w:relativeTo="margin" w:alignment="center" w:leader="none"/>
    </w:r>
    <w:r>
      <w:rPr>
        <w:noProof/>
      </w:rPr>
      <w:drawing>
        <wp:inline distT="0" distB="0" distL="0" distR="0" wp14:anchorId="61865AA4" wp14:editId="425E7171">
          <wp:extent cx="4353737" cy="570230"/>
          <wp:effectExtent l="0" t="0" r="8890" b="1270"/>
          <wp:docPr id="1848938343" name="Imagem 3"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38343" name="Imagem 3" descr="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4353737" cy="5702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41A" w14:textId="77777777" w:rsidR="0072217C" w:rsidRDefault="0072217C" w:rsidP="002C771D">
      <w:pPr>
        <w:spacing w:line="240" w:lineRule="auto"/>
      </w:pPr>
      <w:r>
        <w:separator/>
      </w:r>
    </w:p>
  </w:footnote>
  <w:footnote w:type="continuationSeparator" w:id="0">
    <w:p w14:paraId="3A0DFF03" w14:textId="77777777" w:rsidR="0072217C" w:rsidRDefault="0072217C" w:rsidP="002C771D">
      <w:pPr>
        <w:spacing w:line="240" w:lineRule="auto"/>
      </w:pPr>
      <w:r>
        <w:continuationSeparator/>
      </w:r>
    </w:p>
  </w:footnote>
  <w:footnote w:id="1">
    <w:p w14:paraId="7277A6DE" w14:textId="131874F9" w:rsidR="0060788A" w:rsidRDefault="0060788A">
      <w:pPr>
        <w:pStyle w:val="Textodenotaderodap"/>
      </w:pPr>
      <w:r>
        <w:rPr>
          <w:rStyle w:val="Refdenotaderodap"/>
        </w:rPr>
        <w:footnoteRef/>
      </w:r>
      <w:r>
        <w:t xml:space="preserve"> </w:t>
      </w:r>
      <w:r>
        <w:t>Sergio Paulo Carvalho de Souza – Analista em C&amp;T</w:t>
      </w:r>
      <w:r w:rsidR="00C2377C">
        <w:t>,</w:t>
      </w:r>
      <w:r>
        <w:t xml:space="preserve"> MS/INCA – </w:t>
      </w:r>
      <w:r w:rsidR="00C2377C">
        <w:t>D</w:t>
      </w:r>
      <w:r>
        <w:t>outorando em Política Social/UFF</w:t>
      </w:r>
    </w:p>
  </w:footnote>
  <w:footnote w:id="2">
    <w:p w14:paraId="3CC8E886" w14:textId="2219C531" w:rsidR="00615F8E" w:rsidRPr="00BE6B33" w:rsidRDefault="00615F8E" w:rsidP="00BE6B33">
      <w:pPr>
        <w:pStyle w:val="Textodenotaderodap"/>
        <w:jc w:val="both"/>
      </w:pPr>
      <w:r>
        <w:rPr>
          <w:rStyle w:val="Refdenotaderodap"/>
        </w:rPr>
        <w:footnoteRef/>
      </w:r>
      <w:r>
        <w:t xml:space="preserve"> </w:t>
      </w:r>
      <w:r w:rsidRPr="00BE6B33">
        <w:t>Medidas: erro Médio (EM), raiz do erro quadrático médio (REQM), erro médio absoluto (EMA), percentual do erro médio (PEM), percentual do erro médio absoluto (PEMA), autocorrelação dos resíduos no lag 1 (ACF1).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EE8E" w14:textId="5A2C8B53" w:rsidR="002C771D" w:rsidRDefault="0087608D" w:rsidP="008C0CBE">
    <w:pPr>
      <w:pStyle w:val="Cabealho"/>
      <w:ind w:left="-1701"/>
    </w:pPr>
    <w:r>
      <w:rPr>
        <w:noProof/>
        <w14:ligatures w14:val="standardContextual"/>
      </w:rPr>
      <w:drawing>
        <wp:inline distT="0" distB="0" distL="0" distR="0" wp14:anchorId="79E9CF0F" wp14:editId="313D68B8">
          <wp:extent cx="7548880" cy="1411834"/>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68522" cy="141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num w:numId="1" w16cid:durableId="57216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1D"/>
    <w:rsid w:val="000056B3"/>
    <w:rsid w:val="00007336"/>
    <w:rsid w:val="00011446"/>
    <w:rsid w:val="00013953"/>
    <w:rsid w:val="00015818"/>
    <w:rsid w:val="000172D4"/>
    <w:rsid w:val="000310C1"/>
    <w:rsid w:val="00036794"/>
    <w:rsid w:val="00044795"/>
    <w:rsid w:val="000464D1"/>
    <w:rsid w:val="00053775"/>
    <w:rsid w:val="00062387"/>
    <w:rsid w:val="00065419"/>
    <w:rsid w:val="00070FDD"/>
    <w:rsid w:val="00071859"/>
    <w:rsid w:val="00075311"/>
    <w:rsid w:val="000765ED"/>
    <w:rsid w:val="0008479B"/>
    <w:rsid w:val="00090C9A"/>
    <w:rsid w:val="000A63CD"/>
    <w:rsid w:val="000B4867"/>
    <w:rsid w:val="000C7054"/>
    <w:rsid w:val="000C7873"/>
    <w:rsid w:val="000D2AD1"/>
    <w:rsid w:val="000E2D22"/>
    <w:rsid w:val="000E7A27"/>
    <w:rsid w:val="0011434F"/>
    <w:rsid w:val="001179D4"/>
    <w:rsid w:val="0012136A"/>
    <w:rsid w:val="00152CB1"/>
    <w:rsid w:val="00164DE2"/>
    <w:rsid w:val="00192484"/>
    <w:rsid w:val="001A5A4E"/>
    <w:rsid w:val="001B2289"/>
    <w:rsid w:val="001C02C2"/>
    <w:rsid w:val="001E24C2"/>
    <w:rsid w:val="001E4357"/>
    <w:rsid w:val="002025EB"/>
    <w:rsid w:val="00206D09"/>
    <w:rsid w:val="00210C7D"/>
    <w:rsid w:val="00211FF7"/>
    <w:rsid w:val="00212B55"/>
    <w:rsid w:val="00213B16"/>
    <w:rsid w:val="00221A8C"/>
    <w:rsid w:val="002235A9"/>
    <w:rsid w:val="002325E5"/>
    <w:rsid w:val="00234EEF"/>
    <w:rsid w:val="00236309"/>
    <w:rsid w:val="002417BC"/>
    <w:rsid w:val="00246B27"/>
    <w:rsid w:val="00250F44"/>
    <w:rsid w:val="00252718"/>
    <w:rsid w:val="00252AFC"/>
    <w:rsid w:val="00260080"/>
    <w:rsid w:val="002620CA"/>
    <w:rsid w:val="002B5293"/>
    <w:rsid w:val="002C28D5"/>
    <w:rsid w:val="002C5BC5"/>
    <w:rsid w:val="002C771D"/>
    <w:rsid w:val="002D7CFA"/>
    <w:rsid w:val="002E172D"/>
    <w:rsid w:val="002E2FDB"/>
    <w:rsid w:val="002E5D1C"/>
    <w:rsid w:val="0030225B"/>
    <w:rsid w:val="00312DF7"/>
    <w:rsid w:val="00322BB6"/>
    <w:rsid w:val="00324BEA"/>
    <w:rsid w:val="00325E06"/>
    <w:rsid w:val="00335FBF"/>
    <w:rsid w:val="003420AE"/>
    <w:rsid w:val="00345172"/>
    <w:rsid w:val="00354492"/>
    <w:rsid w:val="0036376F"/>
    <w:rsid w:val="00365B53"/>
    <w:rsid w:val="00382CAA"/>
    <w:rsid w:val="003F26CB"/>
    <w:rsid w:val="003F453D"/>
    <w:rsid w:val="003F6118"/>
    <w:rsid w:val="004029DD"/>
    <w:rsid w:val="00407BC6"/>
    <w:rsid w:val="00412F44"/>
    <w:rsid w:val="00416AF0"/>
    <w:rsid w:val="004179A3"/>
    <w:rsid w:val="00431F85"/>
    <w:rsid w:val="00436AE4"/>
    <w:rsid w:val="00437300"/>
    <w:rsid w:val="0044292D"/>
    <w:rsid w:val="0045416E"/>
    <w:rsid w:val="00464983"/>
    <w:rsid w:val="00474037"/>
    <w:rsid w:val="00493C9A"/>
    <w:rsid w:val="0049439F"/>
    <w:rsid w:val="00496C26"/>
    <w:rsid w:val="004A2025"/>
    <w:rsid w:val="004A3185"/>
    <w:rsid w:val="004A44EF"/>
    <w:rsid w:val="004B2CE9"/>
    <w:rsid w:val="004B6E1B"/>
    <w:rsid w:val="004E2EED"/>
    <w:rsid w:val="004E6F5F"/>
    <w:rsid w:val="004E7BEC"/>
    <w:rsid w:val="00513C0F"/>
    <w:rsid w:val="00514922"/>
    <w:rsid w:val="005155F1"/>
    <w:rsid w:val="005211E8"/>
    <w:rsid w:val="00522942"/>
    <w:rsid w:val="00523C1C"/>
    <w:rsid w:val="0052483B"/>
    <w:rsid w:val="00551C44"/>
    <w:rsid w:val="0055317A"/>
    <w:rsid w:val="00554DFC"/>
    <w:rsid w:val="0056323D"/>
    <w:rsid w:val="00571538"/>
    <w:rsid w:val="00572565"/>
    <w:rsid w:val="005745C9"/>
    <w:rsid w:val="005754DA"/>
    <w:rsid w:val="00577201"/>
    <w:rsid w:val="00585871"/>
    <w:rsid w:val="005900E4"/>
    <w:rsid w:val="00592AE9"/>
    <w:rsid w:val="005A61F8"/>
    <w:rsid w:val="005D7946"/>
    <w:rsid w:val="005E66FE"/>
    <w:rsid w:val="005E7C96"/>
    <w:rsid w:val="005F0EB1"/>
    <w:rsid w:val="005F10A4"/>
    <w:rsid w:val="006036EE"/>
    <w:rsid w:val="006037B9"/>
    <w:rsid w:val="0060788A"/>
    <w:rsid w:val="0061064D"/>
    <w:rsid w:val="00615F8E"/>
    <w:rsid w:val="00633F5A"/>
    <w:rsid w:val="00643772"/>
    <w:rsid w:val="00644A2F"/>
    <w:rsid w:val="00652DB0"/>
    <w:rsid w:val="00660655"/>
    <w:rsid w:val="006933D5"/>
    <w:rsid w:val="00695AA8"/>
    <w:rsid w:val="006A2557"/>
    <w:rsid w:val="006B00C2"/>
    <w:rsid w:val="006C3C19"/>
    <w:rsid w:val="006D20CE"/>
    <w:rsid w:val="006D51AA"/>
    <w:rsid w:val="006D606A"/>
    <w:rsid w:val="006F6ED9"/>
    <w:rsid w:val="0070649B"/>
    <w:rsid w:val="0071078B"/>
    <w:rsid w:val="00715572"/>
    <w:rsid w:val="007175FA"/>
    <w:rsid w:val="00721816"/>
    <w:rsid w:val="0072217C"/>
    <w:rsid w:val="00737937"/>
    <w:rsid w:val="00744FED"/>
    <w:rsid w:val="007837D4"/>
    <w:rsid w:val="007A33C8"/>
    <w:rsid w:val="007A741D"/>
    <w:rsid w:val="007B0C9D"/>
    <w:rsid w:val="007B10C6"/>
    <w:rsid w:val="007B336C"/>
    <w:rsid w:val="007C79B7"/>
    <w:rsid w:val="007D3D19"/>
    <w:rsid w:val="007D6989"/>
    <w:rsid w:val="007F04C9"/>
    <w:rsid w:val="007F1752"/>
    <w:rsid w:val="007F49F2"/>
    <w:rsid w:val="00801E8F"/>
    <w:rsid w:val="0080352C"/>
    <w:rsid w:val="008065DA"/>
    <w:rsid w:val="00810219"/>
    <w:rsid w:val="008167BB"/>
    <w:rsid w:val="00821658"/>
    <w:rsid w:val="00821A6B"/>
    <w:rsid w:val="00833CBD"/>
    <w:rsid w:val="00842279"/>
    <w:rsid w:val="008423EB"/>
    <w:rsid w:val="0084319C"/>
    <w:rsid w:val="0085394D"/>
    <w:rsid w:val="008554B0"/>
    <w:rsid w:val="0086152B"/>
    <w:rsid w:val="00863ADA"/>
    <w:rsid w:val="00874DFE"/>
    <w:rsid w:val="0087608D"/>
    <w:rsid w:val="00881ED2"/>
    <w:rsid w:val="00882205"/>
    <w:rsid w:val="00884167"/>
    <w:rsid w:val="00894A09"/>
    <w:rsid w:val="00896812"/>
    <w:rsid w:val="008C0CBE"/>
    <w:rsid w:val="008C5681"/>
    <w:rsid w:val="008E6B19"/>
    <w:rsid w:val="008F412D"/>
    <w:rsid w:val="00910773"/>
    <w:rsid w:val="00917C00"/>
    <w:rsid w:val="009202FD"/>
    <w:rsid w:val="009347A5"/>
    <w:rsid w:val="00937541"/>
    <w:rsid w:val="00950FF7"/>
    <w:rsid w:val="00953566"/>
    <w:rsid w:val="00957621"/>
    <w:rsid w:val="009636A4"/>
    <w:rsid w:val="00976B84"/>
    <w:rsid w:val="0098144E"/>
    <w:rsid w:val="00981508"/>
    <w:rsid w:val="009A5D8D"/>
    <w:rsid w:val="009B6518"/>
    <w:rsid w:val="009C1E45"/>
    <w:rsid w:val="009C4DDD"/>
    <w:rsid w:val="009D24BC"/>
    <w:rsid w:val="009E10E5"/>
    <w:rsid w:val="009E3BB0"/>
    <w:rsid w:val="009E3F67"/>
    <w:rsid w:val="009F752F"/>
    <w:rsid w:val="009F7BAD"/>
    <w:rsid w:val="00A10423"/>
    <w:rsid w:val="00A214CC"/>
    <w:rsid w:val="00A26FEB"/>
    <w:rsid w:val="00A30494"/>
    <w:rsid w:val="00A30D63"/>
    <w:rsid w:val="00A44618"/>
    <w:rsid w:val="00A56DF2"/>
    <w:rsid w:val="00A57626"/>
    <w:rsid w:val="00A8036D"/>
    <w:rsid w:val="00A8048B"/>
    <w:rsid w:val="00A87411"/>
    <w:rsid w:val="00AB04BA"/>
    <w:rsid w:val="00AC6838"/>
    <w:rsid w:val="00AD69D0"/>
    <w:rsid w:val="00AD6FDF"/>
    <w:rsid w:val="00AD7B68"/>
    <w:rsid w:val="00B02543"/>
    <w:rsid w:val="00B02B54"/>
    <w:rsid w:val="00B05C20"/>
    <w:rsid w:val="00B10A1B"/>
    <w:rsid w:val="00B1314D"/>
    <w:rsid w:val="00B14817"/>
    <w:rsid w:val="00B160AC"/>
    <w:rsid w:val="00B17D1D"/>
    <w:rsid w:val="00B260E1"/>
    <w:rsid w:val="00B35494"/>
    <w:rsid w:val="00B35C05"/>
    <w:rsid w:val="00B63B95"/>
    <w:rsid w:val="00B96CB3"/>
    <w:rsid w:val="00BA2EBE"/>
    <w:rsid w:val="00BA31DD"/>
    <w:rsid w:val="00BA4604"/>
    <w:rsid w:val="00BA59C1"/>
    <w:rsid w:val="00BA7EC3"/>
    <w:rsid w:val="00BC02D4"/>
    <w:rsid w:val="00BD0022"/>
    <w:rsid w:val="00BD1F98"/>
    <w:rsid w:val="00BE6B33"/>
    <w:rsid w:val="00C01C80"/>
    <w:rsid w:val="00C047CF"/>
    <w:rsid w:val="00C1738A"/>
    <w:rsid w:val="00C2377C"/>
    <w:rsid w:val="00C254C3"/>
    <w:rsid w:val="00C27810"/>
    <w:rsid w:val="00C467BE"/>
    <w:rsid w:val="00C83B49"/>
    <w:rsid w:val="00C86FCB"/>
    <w:rsid w:val="00C908B6"/>
    <w:rsid w:val="00C9382C"/>
    <w:rsid w:val="00CB43E0"/>
    <w:rsid w:val="00CC1CC4"/>
    <w:rsid w:val="00CC53D6"/>
    <w:rsid w:val="00CD30B5"/>
    <w:rsid w:val="00CF7988"/>
    <w:rsid w:val="00D0126C"/>
    <w:rsid w:val="00D024B7"/>
    <w:rsid w:val="00D175D7"/>
    <w:rsid w:val="00D30BE5"/>
    <w:rsid w:val="00D366B6"/>
    <w:rsid w:val="00D40BD2"/>
    <w:rsid w:val="00D40FBF"/>
    <w:rsid w:val="00D42F0B"/>
    <w:rsid w:val="00D432C3"/>
    <w:rsid w:val="00D479BD"/>
    <w:rsid w:val="00D5339A"/>
    <w:rsid w:val="00D55B23"/>
    <w:rsid w:val="00D60430"/>
    <w:rsid w:val="00D67A40"/>
    <w:rsid w:val="00DA128B"/>
    <w:rsid w:val="00DA4BA9"/>
    <w:rsid w:val="00DA6B6F"/>
    <w:rsid w:val="00DC5C52"/>
    <w:rsid w:val="00DD1E0A"/>
    <w:rsid w:val="00DE0FDA"/>
    <w:rsid w:val="00DF25C6"/>
    <w:rsid w:val="00DF38E8"/>
    <w:rsid w:val="00DF6AE8"/>
    <w:rsid w:val="00E035A6"/>
    <w:rsid w:val="00E03857"/>
    <w:rsid w:val="00E0767E"/>
    <w:rsid w:val="00E235BF"/>
    <w:rsid w:val="00E25CF3"/>
    <w:rsid w:val="00E44ADD"/>
    <w:rsid w:val="00E5593D"/>
    <w:rsid w:val="00E61019"/>
    <w:rsid w:val="00E61F0A"/>
    <w:rsid w:val="00E67991"/>
    <w:rsid w:val="00E72600"/>
    <w:rsid w:val="00E74C6A"/>
    <w:rsid w:val="00E75552"/>
    <w:rsid w:val="00E851E9"/>
    <w:rsid w:val="00E90DDE"/>
    <w:rsid w:val="00EA556F"/>
    <w:rsid w:val="00EA5DBD"/>
    <w:rsid w:val="00EB3713"/>
    <w:rsid w:val="00EB4BE6"/>
    <w:rsid w:val="00EB68E2"/>
    <w:rsid w:val="00EC510D"/>
    <w:rsid w:val="00EC6D02"/>
    <w:rsid w:val="00EE2B2B"/>
    <w:rsid w:val="00EE38DA"/>
    <w:rsid w:val="00EF113C"/>
    <w:rsid w:val="00EF29F6"/>
    <w:rsid w:val="00F1205A"/>
    <w:rsid w:val="00F149E7"/>
    <w:rsid w:val="00F4152A"/>
    <w:rsid w:val="00F50BF0"/>
    <w:rsid w:val="00F55ECD"/>
    <w:rsid w:val="00F564A0"/>
    <w:rsid w:val="00F8274B"/>
    <w:rsid w:val="00F83FEE"/>
    <w:rsid w:val="00F858C0"/>
    <w:rsid w:val="00F91F1B"/>
    <w:rsid w:val="00F9272A"/>
    <w:rsid w:val="00F92C61"/>
    <w:rsid w:val="00F96D1D"/>
    <w:rsid w:val="00FA19FD"/>
    <w:rsid w:val="00FB0A0E"/>
    <w:rsid w:val="00FB2DF0"/>
    <w:rsid w:val="00FB3251"/>
    <w:rsid w:val="00FC241A"/>
    <w:rsid w:val="00FD1A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A01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FDB"/>
    <w:pPr>
      <w:suppressAutoHyphens/>
      <w:spacing w:after="0" w:line="276" w:lineRule="auto"/>
    </w:pPr>
    <w:rPr>
      <w:rFonts w:ascii="Arial" w:eastAsia="Arial" w:hAnsi="Arial" w:cs="Arial"/>
      <w:kern w:val="0"/>
      <w:sz w:val="22"/>
      <w:szCs w:val="22"/>
      <w:lang w:eastAsia="zh-CN"/>
      <w14:ligatures w14:val="none"/>
    </w:rPr>
  </w:style>
  <w:style w:type="paragraph" w:styleId="Ttulo1">
    <w:name w:val="heading 1"/>
    <w:basedOn w:val="Normal"/>
    <w:next w:val="Normal"/>
    <w:link w:val="Ttulo1Char"/>
    <w:uiPriority w:val="9"/>
    <w:qFormat/>
    <w:rsid w:val="002C7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C7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C77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C77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C77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C77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C77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C77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C771D"/>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C771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C77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C77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C77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C77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C77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C77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C77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C771D"/>
    <w:rPr>
      <w:rFonts w:eastAsiaTheme="majorEastAsia" w:cstheme="majorBidi"/>
      <w:color w:val="272727" w:themeColor="text1" w:themeTint="D8"/>
    </w:rPr>
  </w:style>
  <w:style w:type="paragraph" w:styleId="Ttulo">
    <w:name w:val="Title"/>
    <w:basedOn w:val="Normal"/>
    <w:next w:val="Normal"/>
    <w:link w:val="TtuloChar"/>
    <w:uiPriority w:val="10"/>
    <w:qFormat/>
    <w:rsid w:val="002C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C77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C771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C77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C771D"/>
    <w:pPr>
      <w:spacing w:before="160"/>
      <w:jc w:val="center"/>
    </w:pPr>
    <w:rPr>
      <w:i/>
      <w:iCs/>
      <w:color w:val="404040" w:themeColor="text1" w:themeTint="BF"/>
    </w:rPr>
  </w:style>
  <w:style w:type="character" w:customStyle="1" w:styleId="CitaoChar">
    <w:name w:val="Citação Char"/>
    <w:basedOn w:val="Fontepargpadro"/>
    <w:link w:val="Citao"/>
    <w:uiPriority w:val="29"/>
    <w:rsid w:val="002C771D"/>
    <w:rPr>
      <w:i/>
      <w:iCs/>
      <w:color w:val="404040" w:themeColor="text1" w:themeTint="BF"/>
    </w:rPr>
  </w:style>
  <w:style w:type="paragraph" w:styleId="PargrafodaLista">
    <w:name w:val="List Paragraph"/>
    <w:basedOn w:val="Normal"/>
    <w:uiPriority w:val="34"/>
    <w:qFormat/>
    <w:rsid w:val="002C771D"/>
    <w:pPr>
      <w:ind w:left="720"/>
      <w:contextualSpacing/>
    </w:pPr>
  </w:style>
  <w:style w:type="character" w:styleId="nfaseIntensa">
    <w:name w:val="Intense Emphasis"/>
    <w:basedOn w:val="Fontepargpadro"/>
    <w:uiPriority w:val="21"/>
    <w:qFormat/>
    <w:rsid w:val="002C771D"/>
    <w:rPr>
      <w:i/>
      <w:iCs/>
      <w:color w:val="0F4761" w:themeColor="accent1" w:themeShade="BF"/>
    </w:rPr>
  </w:style>
  <w:style w:type="paragraph" w:styleId="CitaoIntensa">
    <w:name w:val="Intense Quote"/>
    <w:basedOn w:val="Normal"/>
    <w:next w:val="Normal"/>
    <w:link w:val="CitaoIntensaChar"/>
    <w:uiPriority w:val="30"/>
    <w:qFormat/>
    <w:rsid w:val="002C7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C771D"/>
    <w:rPr>
      <w:i/>
      <w:iCs/>
      <w:color w:val="0F4761" w:themeColor="accent1" w:themeShade="BF"/>
    </w:rPr>
  </w:style>
  <w:style w:type="character" w:styleId="RefernciaIntensa">
    <w:name w:val="Intense Reference"/>
    <w:basedOn w:val="Fontepargpadro"/>
    <w:uiPriority w:val="32"/>
    <w:qFormat/>
    <w:rsid w:val="002C771D"/>
    <w:rPr>
      <w:b/>
      <w:bCs/>
      <w:smallCaps/>
      <w:color w:val="0F4761" w:themeColor="accent1" w:themeShade="BF"/>
      <w:spacing w:val="5"/>
    </w:rPr>
  </w:style>
  <w:style w:type="paragraph" w:styleId="Cabealho">
    <w:name w:val="header"/>
    <w:basedOn w:val="Normal"/>
    <w:link w:val="CabealhoChar"/>
    <w:uiPriority w:val="99"/>
    <w:unhideWhenUsed/>
    <w:rsid w:val="002C771D"/>
    <w:pPr>
      <w:tabs>
        <w:tab w:val="center" w:pos="4252"/>
        <w:tab w:val="right" w:pos="8504"/>
      </w:tabs>
      <w:spacing w:line="240" w:lineRule="auto"/>
    </w:pPr>
  </w:style>
  <w:style w:type="character" w:customStyle="1" w:styleId="CabealhoChar">
    <w:name w:val="Cabeçalho Char"/>
    <w:basedOn w:val="Fontepargpadro"/>
    <w:link w:val="Cabealho"/>
    <w:uiPriority w:val="99"/>
    <w:rsid w:val="002C771D"/>
  </w:style>
  <w:style w:type="paragraph" w:styleId="Rodap">
    <w:name w:val="footer"/>
    <w:basedOn w:val="Normal"/>
    <w:link w:val="RodapChar"/>
    <w:uiPriority w:val="99"/>
    <w:unhideWhenUsed/>
    <w:rsid w:val="002C771D"/>
    <w:pPr>
      <w:tabs>
        <w:tab w:val="center" w:pos="4252"/>
        <w:tab w:val="right" w:pos="8504"/>
      </w:tabs>
      <w:spacing w:line="240" w:lineRule="auto"/>
    </w:pPr>
  </w:style>
  <w:style w:type="character" w:customStyle="1" w:styleId="RodapChar">
    <w:name w:val="Rodapé Char"/>
    <w:basedOn w:val="Fontepargpadro"/>
    <w:link w:val="Rodap"/>
    <w:uiPriority w:val="99"/>
    <w:rsid w:val="002C771D"/>
  </w:style>
  <w:style w:type="character" w:customStyle="1" w:styleId="TextodeEspaoReservado">
    <w:name w:val="Texto de Espaço Reservado"/>
    <w:basedOn w:val="Fontepargpadro"/>
    <w:uiPriority w:val="99"/>
    <w:semiHidden/>
    <w:rsid w:val="008C0CBE"/>
    <w:rPr>
      <w:color w:val="808080"/>
    </w:rPr>
  </w:style>
  <w:style w:type="character" w:styleId="Hyperlink">
    <w:name w:val="Hyperlink"/>
    <w:rsid w:val="002E2FDB"/>
    <w:rPr>
      <w:color w:val="467886"/>
      <w:u w:val="single"/>
    </w:rPr>
  </w:style>
  <w:style w:type="table" w:styleId="Tabelacomgrade">
    <w:name w:val="Table Grid"/>
    <w:basedOn w:val="Tabelanormal"/>
    <w:uiPriority w:val="39"/>
    <w:rsid w:val="002E2FDB"/>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474037"/>
    <w:rPr>
      <w:color w:val="666666"/>
    </w:rPr>
  </w:style>
  <w:style w:type="paragraph" w:styleId="Textodenotaderodap">
    <w:name w:val="footnote text"/>
    <w:basedOn w:val="Normal"/>
    <w:link w:val="TextodenotaderodapChar"/>
    <w:uiPriority w:val="99"/>
    <w:semiHidden/>
    <w:unhideWhenUsed/>
    <w:rsid w:val="00615F8E"/>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15F8E"/>
    <w:rPr>
      <w:rFonts w:ascii="Arial" w:eastAsia="Arial" w:hAnsi="Arial" w:cs="Arial"/>
      <w:kern w:val="0"/>
      <w:sz w:val="20"/>
      <w:szCs w:val="20"/>
      <w:lang w:eastAsia="zh-CN"/>
      <w14:ligatures w14:val="none"/>
    </w:rPr>
  </w:style>
  <w:style w:type="character" w:styleId="Refdenotaderodap">
    <w:name w:val="footnote reference"/>
    <w:basedOn w:val="Fontepargpadro"/>
    <w:uiPriority w:val="99"/>
    <w:semiHidden/>
    <w:unhideWhenUsed/>
    <w:rsid w:val="00615F8E"/>
    <w:rPr>
      <w:vertAlign w:val="superscript"/>
    </w:rPr>
  </w:style>
  <w:style w:type="paragraph" w:styleId="Reviso">
    <w:name w:val="Revision"/>
    <w:hidden/>
    <w:uiPriority w:val="99"/>
    <w:semiHidden/>
    <w:rsid w:val="00A57626"/>
    <w:pPr>
      <w:spacing w:after="0" w:line="240" w:lineRule="auto"/>
    </w:pPr>
    <w:rPr>
      <w:rFonts w:ascii="Arial" w:eastAsia="Arial" w:hAnsi="Arial" w:cs="Arial"/>
      <w:kern w:val="0"/>
      <w:sz w:val="22"/>
      <w:szCs w:val="22"/>
      <w:lang w:eastAsia="zh-CN"/>
      <w14:ligatures w14:val="none"/>
    </w:rPr>
  </w:style>
  <w:style w:type="character" w:styleId="MenoPendente">
    <w:name w:val="Unresolved Mention"/>
    <w:basedOn w:val="Fontepargpadro"/>
    <w:uiPriority w:val="99"/>
    <w:semiHidden/>
    <w:unhideWhenUsed/>
    <w:rsid w:val="0066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2298">
      <w:bodyDiv w:val="1"/>
      <w:marLeft w:val="0"/>
      <w:marRight w:val="0"/>
      <w:marTop w:val="0"/>
      <w:marBottom w:val="0"/>
      <w:divBdr>
        <w:top w:val="none" w:sz="0" w:space="0" w:color="auto"/>
        <w:left w:val="none" w:sz="0" w:space="0" w:color="auto"/>
        <w:bottom w:val="none" w:sz="0" w:space="0" w:color="auto"/>
        <w:right w:val="none" w:sz="0" w:space="0" w:color="auto"/>
      </w:divBdr>
    </w:div>
    <w:div w:id="304353915">
      <w:bodyDiv w:val="1"/>
      <w:marLeft w:val="0"/>
      <w:marRight w:val="0"/>
      <w:marTop w:val="0"/>
      <w:marBottom w:val="0"/>
      <w:divBdr>
        <w:top w:val="none" w:sz="0" w:space="0" w:color="auto"/>
        <w:left w:val="none" w:sz="0" w:space="0" w:color="auto"/>
        <w:bottom w:val="none" w:sz="0" w:space="0" w:color="auto"/>
        <w:right w:val="none" w:sz="0" w:space="0" w:color="auto"/>
      </w:divBdr>
    </w:div>
    <w:div w:id="323362899">
      <w:bodyDiv w:val="1"/>
      <w:marLeft w:val="0"/>
      <w:marRight w:val="0"/>
      <w:marTop w:val="0"/>
      <w:marBottom w:val="0"/>
      <w:divBdr>
        <w:top w:val="none" w:sz="0" w:space="0" w:color="auto"/>
        <w:left w:val="none" w:sz="0" w:space="0" w:color="auto"/>
        <w:bottom w:val="none" w:sz="0" w:space="0" w:color="auto"/>
        <w:right w:val="none" w:sz="0" w:space="0" w:color="auto"/>
      </w:divBdr>
    </w:div>
    <w:div w:id="439225542">
      <w:bodyDiv w:val="1"/>
      <w:marLeft w:val="0"/>
      <w:marRight w:val="0"/>
      <w:marTop w:val="0"/>
      <w:marBottom w:val="0"/>
      <w:divBdr>
        <w:top w:val="none" w:sz="0" w:space="0" w:color="auto"/>
        <w:left w:val="none" w:sz="0" w:space="0" w:color="auto"/>
        <w:bottom w:val="none" w:sz="0" w:space="0" w:color="auto"/>
        <w:right w:val="none" w:sz="0" w:space="0" w:color="auto"/>
      </w:divBdr>
    </w:div>
    <w:div w:id="453596112">
      <w:bodyDiv w:val="1"/>
      <w:marLeft w:val="0"/>
      <w:marRight w:val="0"/>
      <w:marTop w:val="0"/>
      <w:marBottom w:val="0"/>
      <w:divBdr>
        <w:top w:val="none" w:sz="0" w:space="0" w:color="auto"/>
        <w:left w:val="none" w:sz="0" w:space="0" w:color="auto"/>
        <w:bottom w:val="none" w:sz="0" w:space="0" w:color="auto"/>
        <w:right w:val="none" w:sz="0" w:space="0" w:color="auto"/>
      </w:divBdr>
    </w:div>
    <w:div w:id="753666587">
      <w:bodyDiv w:val="1"/>
      <w:marLeft w:val="0"/>
      <w:marRight w:val="0"/>
      <w:marTop w:val="0"/>
      <w:marBottom w:val="0"/>
      <w:divBdr>
        <w:top w:val="none" w:sz="0" w:space="0" w:color="auto"/>
        <w:left w:val="none" w:sz="0" w:space="0" w:color="auto"/>
        <w:bottom w:val="none" w:sz="0" w:space="0" w:color="auto"/>
        <w:right w:val="none" w:sz="0" w:space="0" w:color="auto"/>
      </w:divBdr>
    </w:div>
    <w:div w:id="1026981258">
      <w:bodyDiv w:val="1"/>
      <w:marLeft w:val="0"/>
      <w:marRight w:val="0"/>
      <w:marTop w:val="0"/>
      <w:marBottom w:val="0"/>
      <w:divBdr>
        <w:top w:val="none" w:sz="0" w:space="0" w:color="auto"/>
        <w:left w:val="none" w:sz="0" w:space="0" w:color="auto"/>
        <w:bottom w:val="none" w:sz="0" w:space="0" w:color="auto"/>
        <w:right w:val="none" w:sz="0" w:space="0" w:color="auto"/>
      </w:divBdr>
    </w:div>
    <w:div w:id="1268804652">
      <w:bodyDiv w:val="1"/>
      <w:marLeft w:val="0"/>
      <w:marRight w:val="0"/>
      <w:marTop w:val="0"/>
      <w:marBottom w:val="0"/>
      <w:divBdr>
        <w:top w:val="none" w:sz="0" w:space="0" w:color="auto"/>
        <w:left w:val="none" w:sz="0" w:space="0" w:color="auto"/>
        <w:bottom w:val="none" w:sz="0" w:space="0" w:color="auto"/>
        <w:right w:val="none" w:sz="0" w:space="0" w:color="auto"/>
      </w:divBdr>
    </w:div>
    <w:div w:id="1475370477">
      <w:bodyDiv w:val="1"/>
      <w:marLeft w:val="0"/>
      <w:marRight w:val="0"/>
      <w:marTop w:val="0"/>
      <w:marBottom w:val="0"/>
      <w:divBdr>
        <w:top w:val="none" w:sz="0" w:space="0" w:color="auto"/>
        <w:left w:val="none" w:sz="0" w:space="0" w:color="auto"/>
        <w:bottom w:val="none" w:sz="0" w:space="0" w:color="auto"/>
        <w:right w:val="none" w:sz="0" w:space="0" w:color="auto"/>
      </w:divBdr>
    </w:div>
    <w:div w:id="1778408063">
      <w:bodyDiv w:val="1"/>
      <w:marLeft w:val="0"/>
      <w:marRight w:val="0"/>
      <w:marTop w:val="0"/>
      <w:marBottom w:val="0"/>
      <w:divBdr>
        <w:top w:val="none" w:sz="0" w:space="0" w:color="auto"/>
        <w:left w:val="none" w:sz="0" w:space="0" w:color="auto"/>
        <w:bottom w:val="none" w:sz="0" w:space="0" w:color="auto"/>
        <w:right w:val="none" w:sz="0" w:space="0" w:color="auto"/>
      </w:divBdr>
    </w:div>
    <w:div w:id="183378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ventos.anpad.org.br/event/details/125" TargetMode="Externa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datasus.saude.gov.br/transferencia-de-arquiv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E6865-B3C2-4963-88A7-44C9F068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3694</Words>
  <Characters>19953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2025-06-22T22:55:00Z</dcterms:created>
  <dcterms:modified xsi:type="dcterms:W3CDTF">2025-06-22T23:00:00Z</dcterms:modified>
</cp:coreProperties>
</file>