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B8AF70" w14:textId="70BF1167" w:rsidR="003D5D10" w:rsidRPr="00D93BD4" w:rsidRDefault="00B62A11" w:rsidP="00D93BD4">
      <w:pPr>
        <w:spacing w:line="240" w:lineRule="auto"/>
        <w:ind w:left="0" w:hanging="2"/>
        <w:jc w:val="center"/>
        <w:rPr>
          <w:sz w:val="20"/>
          <w:szCs w:val="20"/>
        </w:rPr>
      </w:pPr>
      <w:r>
        <w:rPr>
          <w:b/>
          <w:sz w:val="24"/>
          <w:szCs w:val="24"/>
        </w:rPr>
        <w:t>POBREZA E CONDIÇÕES DE VIDA DAS MULHERES NO BRASIL</w:t>
      </w:r>
      <w:r>
        <w:rPr>
          <w:b/>
          <w:sz w:val="20"/>
          <w:szCs w:val="20"/>
        </w:rPr>
        <w:t xml:space="preserve"> </w:t>
      </w:r>
    </w:p>
    <w:p w14:paraId="13B72A4D" w14:textId="77777777" w:rsidR="009D501C" w:rsidRDefault="009D501C" w:rsidP="009D501C">
      <w:pPr>
        <w:suppressAutoHyphens/>
        <w:spacing w:line="240" w:lineRule="auto"/>
        <w:ind w:leftChars="0" w:left="2" w:hanging="2"/>
        <w:textDirection w:val="btLr"/>
        <w:textAlignment w:val="top"/>
        <w:outlineLvl w:val="0"/>
        <w:rPr>
          <w:bCs/>
          <w:sz w:val="20"/>
          <w:szCs w:val="20"/>
        </w:rPr>
      </w:pPr>
      <w:r>
        <w:rPr>
          <w:bCs/>
          <w:sz w:val="20"/>
          <w:szCs w:val="20"/>
        </w:rPr>
        <w:t xml:space="preserve">                                                                                     </w:t>
      </w:r>
    </w:p>
    <w:p w14:paraId="16BF9B92" w14:textId="77777777" w:rsidR="00E1098F" w:rsidRDefault="00D93BD4" w:rsidP="009D501C">
      <w:pPr>
        <w:suppressAutoHyphens/>
        <w:spacing w:line="240" w:lineRule="auto"/>
        <w:ind w:leftChars="0" w:left="2" w:hanging="2"/>
        <w:textDirection w:val="btLr"/>
        <w:textAlignment w:val="top"/>
        <w:outlineLvl w:val="0"/>
        <w:rPr>
          <w:bCs/>
          <w:sz w:val="20"/>
          <w:szCs w:val="20"/>
        </w:rPr>
      </w:pPr>
      <w:r>
        <w:rPr>
          <w:bCs/>
          <w:sz w:val="20"/>
          <w:szCs w:val="20"/>
        </w:rPr>
        <w:t xml:space="preserve">                                                                                    </w:t>
      </w:r>
      <w:r w:rsidR="009D501C">
        <w:rPr>
          <w:bCs/>
          <w:sz w:val="20"/>
          <w:szCs w:val="20"/>
        </w:rPr>
        <w:t xml:space="preserve">                    </w:t>
      </w:r>
    </w:p>
    <w:p w14:paraId="3F966333" w14:textId="0BF94273" w:rsidR="009D501C" w:rsidRDefault="00E1098F" w:rsidP="009D501C">
      <w:pPr>
        <w:suppressAutoHyphens/>
        <w:spacing w:line="240" w:lineRule="auto"/>
        <w:ind w:leftChars="0" w:left="2" w:hanging="2"/>
        <w:textDirection w:val="btLr"/>
        <w:textAlignment w:val="top"/>
        <w:outlineLvl w:val="0"/>
        <w:rPr>
          <w:bCs/>
          <w:sz w:val="20"/>
          <w:szCs w:val="20"/>
        </w:rPr>
      </w:pPr>
      <w:r>
        <w:rPr>
          <w:bCs/>
          <w:sz w:val="20"/>
          <w:szCs w:val="20"/>
        </w:rPr>
        <w:t xml:space="preserve">                                                                                                         </w:t>
      </w:r>
      <w:r w:rsidR="009D501C">
        <w:rPr>
          <w:bCs/>
          <w:sz w:val="20"/>
          <w:szCs w:val="20"/>
        </w:rPr>
        <w:t xml:space="preserve">     </w:t>
      </w:r>
      <w:r w:rsidR="000B3A6D" w:rsidRPr="000B3A6D">
        <w:rPr>
          <w:bCs/>
          <w:sz w:val="20"/>
          <w:szCs w:val="20"/>
        </w:rPr>
        <w:t>Isabel Vitoria Barros de Sousa</w:t>
      </w:r>
      <w:r w:rsidR="00C73BF4">
        <w:rPr>
          <w:rStyle w:val="Refdenotaderodap"/>
          <w:bCs/>
          <w:sz w:val="20"/>
          <w:szCs w:val="20"/>
        </w:rPr>
        <w:footnoteReference w:id="1"/>
      </w:r>
    </w:p>
    <w:p w14:paraId="1808C4B8" w14:textId="450F185A" w:rsidR="009D501C" w:rsidRPr="000B3A6D" w:rsidRDefault="009D501C" w:rsidP="009D501C">
      <w:pPr>
        <w:suppressAutoHyphens/>
        <w:spacing w:line="240" w:lineRule="auto"/>
        <w:ind w:leftChars="0" w:left="2" w:hanging="2"/>
        <w:textDirection w:val="btLr"/>
        <w:textAlignment w:val="top"/>
        <w:outlineLvl w:val="0"/>
        <w:rPr>
          <w:bCs/>
          <w:sz w:val="20"/>
          <w:szCs w:val="20"/>
        </w:rPr>
      </w:pPr>
      <w:r>
        <w:rPr>
          <w:bCs/>
          <w:sz w:val="20"/>
          <w:szCs w:val="20"/>
        </w:rPr>
        <w:t xml:space="preserve">                                                                                                       </w:t>
      </w:r>
      <w:r w:rsidRPr="009D501C">
        <w:rPr>
          <w:bCs/>
          <w:sz w:val="20"/>
          <w:szCs w:val="20"/>
        </w:rPr>
        <w:t>Maria do Socorro Sousa de Araújo</w:t>
      </w:r>
      <w:r w:rsidR="00C73BF4">
        <w:rPr>
          <w:rStyle w:val="Refdenotaderodap"/>
          <w:bCs/>
          <w:sz w:val="20"/>
          <w:szCs w:val="20"/>
        </w:rPr>
        <w:footnoteReference w:id="2"/>
      </w:r>
    </w:p>
    <w:p w14:paraId="66DD511C" w14:textId="77777777" w:rsidR="009D501C" w:rsidRDefault="009D501C">
      <w:pPr>
        <w:spacing w:line="240" w:lineRule="auto"/>
        <w:ind w:leftChars="0" w:left="2837" w:hanging="2"/>
        <w:rPr>
          <w:b/>
          <w:sz w:val="20"/>
          <w:szCs w:val="20"/>
        </w:rPr>
      </w:pPr>
    </w:p>
    <w:p w14:paraId="429DAC20" w14:textId="77777777" w:rsidR="00E1098F" w:rsidRDefault="00E1098F" w:rsidP="00114D27">
      <w:pPr>
        <w:spacing w:line="240" w:lineRule="auto"/>
        <w:ind w:leftChars="0" w:left="2837" w:firstLine="0"/>
        <w:rPr>
          <w:b/>
          <w:sz w:val="20"/>
          <w:szCs w:val="20"/>
        </w:rPr>
      </w:pPr>
    </w:p>
    <w:p w14:paraId="4BA755EF" w14:textId="362B9FC9" w:rsidR="003D5D10" w:rsidRDefault="00B62A11" w:rsidP="00114D27">
      <w:pPr>
        <w:spacing w:line="240" w:lineRule="auto"/>
        <w:ind w:leftChars="0" w:left="2837" w:firstLine="0"/>
        <w:rPr>
          <w:sz w:val="20"/>
          <w:szCs w:val="20"/>
        </w:rPr>
      </w:pPr>
      <w:r>
        <w:rPr>
          <w:b/>
          <w:sz w:val="20"/>
          <w:szCs w:val="20"/>
        </w:rPr>
        <w:t>Resumo</w:t>
      </w:r>
    </w:p>
    <w:p w14:paraId="18CA2760" w14:textId="65FDDC04" w:rsidR="00114D27" w:rsidRDefault="00EA4C04" w:rsidP="00114D27">
      <w:pPr>
        <w:spacing w:line="240" w:lineRule="auto"/>
        <w:ind w:leftChars="0" w:left="2837" w:firstLine="0"/>
        <w:rPr>
          <w:b/>
          <w:sz w:val="20"/>
          <w:szCs w:val="20"/>
        </w:rPr>
      </w:pPr>
      <w:r>
        <w:rPr>
          <w:sz w:val="20"/>
          <w:szCs w:val="20"/>
        </w:rPr>
        <w:t xml:space="preserve">O artigo </w:t>
      </w:r>
      <w:r w:rsidR="00F44608" w:rsidRPr="00F44608">
        <w:rPr>
          <w:sz w:val="20"/>
          <w:szCs w:val="20"/>
        </w:rPr>
        <w:t>analisa criticamente como a pobreza e as condições de vida impactam desproporcionalmente as mulheres no Brasil. Parte-se da compreensão da pobreza como um fenômeno estrutural do modo de produção capitalista, examinada sob uma perspectiva multidimensional e interseccional que articula classe, gênero, raça e território. Nesse contexto, demonstra-se que a falta de acesso a bens e serviços essenciais como água, saneamento, saúde e moradia</w:t>
      </w:r>
      <w:r>
        <w:rPr>
          <w:sz w:val="20"/>
          <w:szCs w:val="20"/>
        </w:rPr>
        <w:t xml:space="preserve">, </w:t>
      </w:r>
      <w:r w:rsidR="00F44608" w:rsidRPr="00F44608">
        <w:rPr>
          <w:sz w:val="20"/>
          <w:szCs w:val="20"/>
        </w:rPr>
        <w:t>configura uma privação sistemática de direitos fundamentais, que incide com maior intensidade sobre mulheres negras e periféricas. Essas desigualdades se expressam na sobrecarga de trabalho, na informalidade e na insegurança alimentar que atravessam suas vidas. Por fim, discute-se a feminização da pobreza e o papel das políticas públicas, refletindo sobre os limites e possibilidades da ação estatal na promoção da dignidade e da justiça social</w:t>
      </w:r>
      <w:r w:rsidR="00F44608">
        <w:rPr>
          <w:sz w:val="20"/>
          <w:szCs w:val="20"/>
        </w:rPr>
        <w:t>.</w:t>
      </w:r>
    </w:p>
    <w:p w14:paraId="39BFB239" w14:textId="77777777" w:rsidR="00F44608" w:rsidRDefault="00F44608" w:rsidP="00114D27">
      <w:pPr>
        <w:spacing w:line="240" w:lineRule="auto"/>
        <w:ind w:leftChars="0" w:left="2837" w:firstLine="0"/>
        <w:rPr>
          <w:b/>
          <w:sz w:val="20"/>
          <w:szCs w:val="20"/>
        </w:rPr>
      </w:pPr>
    </w:p>
    <w:p w14:paraId="59E93EF4" w14:textId="64015B67" w:rsidR="003D5D10" w:rsidRDefault="00B62A11" w:rsidP="00114D27">
      <w:pPr>
        <w:spacing w:line="240" w:lineRule="auto"/>
        <w:ind w:leftChars="0" w:left="2837" w:firstLine="0"/>
        <w:rPr>
          <w:sz w:val="20"/>
          <w:szCs w:val="20"/>
        </w:rPr>
      </w:pPr>
      <w:r>
        <w:rPr>
          <w:b/>
          <w:sz w:val="20"/>
          <w:szCs w:val="20"/>
        </w:rPr>
        <w:t>Palavras-chave</w:t>
      </w:r>
      <w:r>
        <w:rPr>
          <w:sz w:val="20"/>
          <w:szCs w:val="20"/>
        </w:rPr>
        <w:t>: Pobreza; Condições de vida; Mulheres</w:t>
      </w:r>
    </w:p>
    <w:p w14:paraId="7EA8D4F1" w14:textId="77777777" w:rsidR="00DB2099" w:rsidRDefault="00DB2099" w:rsidP="00114D27">
      <w:pPr>
        <w:spacing w:line="240" w:lineRule="auto"/>
        <w:ind w:leftChars="0" w:left="2837" w:firstLine="0"/>
        <w:rPr>
          <w:b/>
          <w:sz w:val="20"/>
          <w:szCs w:val="20"/>
        </w:rPr>
      </w:pPr>
    </w:p>
    <w:p w14:paraId="6420EC48" w14:textId="647BDBB7" w:rsidR="003D5D10" w:rsidRDefault="00B62A11" w:rsidP="00114D27">
      <w:pPr>
        <w:spacing w:line="240" w:lineRule="auto"/>
        <w:ind w:leftChars="0" w:left="2837" w:firstLine="0"/>
        <w:rPr>
          <w:sz w:val="20"/>
          <w:szCs w:val="20"/>
        </w:rPr>
      </w:pPr>
      <w:r>
        <w:rPr>
          <w:b/>
          <w:sz w:val="20"/>
          <w:szCs w:val="20"/>
        </w:rPr>
        <w:t>Abstract</w:t>
      </w:r>
    </w:p>
    <w:p w14:paraId="789A0291" w14:textId="35D62B1F" w:rsidR="003D5D10" w:rsidRDefault="00C1153F" w:rsidP="00114D27">
      <w:pPr>
        <w:spacing w:line="240" w:lineRule="auto"/>
        <w:ind w:leftChars="0" w:left="2837" w:firstLine="0"/>
        <w:rPr>
          <w:b/>
          <w:sz w:val="20"/>
          <w:szCs w:val="20"/>
        </w:rPr>
      </w:pPr>
      <w:r w:rsidRPr="00C1153F">
        <w:rPr>
          <w:sz w:val="20"/>
          <w:szCs w:val="20"/>
        </w:rPr>
        <w:t>This article critically analyzes how poverty and living conditions disproportionately affect women in Brazil. It starts from the understanding of poverty as a structural phenomenon of the capitalist mode of production, examined through a multidimensional and intersectional perspective that articulates class, gender, race, and territory. In this context, it is shown that the lack of access to essential goods and services</w:t>
      </w:r>
      <w:r>
        <w:rPr>
          <w:sz w:val="20"/>
          <w:szCs w:val="20"/>
        </w:rPr>
        <w:t xml:space="preserve"> </w:t>
      </w:r>
      <w:r w:rsidRPr="00C1153F">
        <w:rPr>
          <w:sz w:val="20"/>
          <w:szCs w:val="20"/>
        </w:rPr>
        <w:t>such as water, sanitation, healthcare, and housing</w:t>
      </w:r>
      <w:r>
        <w:rPr>
          <w:sz w:val="20"/>
          <w:szCs w:val="20"/>
        </w:rPr>
        <w:t xml:space="preserve">, </w:t>
      </w:r>
      <w:r w:rsidRPr="00C1153F">
        <w:rPr>
          <w:sz w:val="20"/>
          <w:szCs w:val="20"/>
        </w:rPr>
        <w:t>constitutes a systematic deprivation of fundamental rights, impacting Black and peripheral women more intensely. These inequalities are reflected in work overload, informality, and food insecurity that shape their daily lives. Finally, the article discusses the feminization of poverty and the role of public policies, reflecting on the limits and possibilities of state action in promoting dignity and social justice.</w:t>
      </w:r>
    </w:p>
    <w:p w14:paraId="685E351C" w14:textId="77777777" w:rsidR="00C1153F" w:rsidRDefault="00C1153F" w:rsidP="00114D27">
      <w:pPr>
        <w:spacing w:line="240" w:lineRule="auto"/>
        <w:ind w:leftChars="0" w:left="2837" w:firstLine="0"/>
        <w:rPr>
          <w:b/>
          <w:sz w:val="20"/>
          <w:szCs w:val="20"/>
        </w:rPr>
      </w:pPr>
    </w:p>
    <w:p w14:paraId="47617AA6" w14:textId="27E2A40B" w:rsidR="003D5D10" w:rsidRDefault="00B62A11" w:rsidP="00114D27">
      <w:pPr>
        <w:spacing w:line="240" w:lineRule="auto"/>
        <w:ind w:leftChars="0" w:left="2837" w:firstLine="0"/>
      </w:pPr>
      <w:r>
        <w:rPr>
          <w:b/>
          <w:sz w:val="20"/>
          <w:szCs w:val="20"/>
        </w:rPr>
        <w:t>Keywords</w:t>
      </w:r>
      <w:r>
        <w:rPr>
          <w:sz w:val="20"/>
          <w:szCs w:val="20"/>
        </w:rPr>
        <w:t xml:space="preserve">: </w:t>
      </w:r>
      <w:r>
        <w:rPr>
          <w:sz w:val="20"/>
          <w:szCs w:val="20"/>
          <w:highlight w:val="white"/>
        </w:rPr>
        <w:t>Poverty; Living Conditions; Women</w:t>
      </w:r>
      <w:r w:rsidR="00DB2099">
        <w:rPr>
          <w:sz w:val="20"/>
          <w:szCs w:val="20"/>
        </w:rPr>
        <w:t xml:space="preserve"> </w:t>
      </w:r>
    </w:p>
    <w:p w14:paraId="3FEC1FCE" w14:textId="77777777" w:rsidR="003D5D10" w:rsidRDefault="003D5D10">
      <w:pPr>
        <w:ind w:left="0" w:right="-397" w:hanging="2"/>
        <w:rPr>
          <w:b/>
          <w:sz w:val="24"/>
          <w:szCs w:val="24"/>
        </w:rPr>
      </w:pPr>
    </w:p>
    <w:p w14:paraId="631512F0" w14:textId="77777777" w:rsidR="001F6848" w:rsidRDefault="001F6848">
      <w:pPr>
        <w:ind w:left="0" w:right="-397" w:hanging="2"/>
        <w:rPr>
          <w:b/>
          <w:sz w:val="24"/>
          <w:szCs w:val="24"/>
        </w:rPr>
      </w:pPr>
    </w:p>
    <w:p w14:paraId="1BE20A8C" w14:textId="7BCF8458" w:rsidR="003D5D10" w:rsidRDefault="00A93291">
      <w:pPr>
        <w:ind w:left="0" w:right="-397" w:hanging="2"/>
        <w:rPr>
          <w:sz w:val="24"/>
          <w:szCs w:val="24"/>
        </w:rPr>
      </w:pPr>
      <w:r>
        <w:rPr>
          <w:b/>
          <w:sz w:val="24"/>
          <w:szCs w:val="24"/>
        </w:rPr>
        <w:t>1 INTRODUÇÃO</w:t>
      </w:r>
      <w:r w:rsidR="00B62A11">
        <w:rPr>
          <w:sz w:val="24"/>
          <w:szCs w:val="24"/>
        </w:rPr>
        <w:tab/>
      </w:r>
    </w:p>
    <w:p w14:paraId="0A7B4713" w14:textId="77777777" w:rsidR="005C0EAA" w:rsidRDefault="005C0EAA">
      <w:pPr>
        <w:ind w:left="0" w:right="-397" w:hanging="2"/>
        <w:rPr>
          <w:sz w:val="24"/>
          <w:szCs w:val="24"/>
        </w:rPr>
      </w:pPr>
    </w:p>
    <w:p w14:paraId="49BB6431" w14:textId="77777777" w:rsidR="003D5D10" w:rsidRDefault="00B62A11">
      <w:pPr>
        <w:ind w:leftChars="0" w:left="2" w:hangingChars="1" w:hanging="2"/>
        <w:rPr>
          <w:sz w:val="24"/>
          <w:szCs w:val="24"/>
        </w:rPr>
      </w:pPr>
      <w:r>
        <w:rPr>
          <w:sz w:val="24"/>
          <w:szCs w:val="24"/>
        </w:rPr>
        <w:tab/>
      </w:r>
      <w:r>
        <w:rPr>
          <w:sz w:val="24"/>
          <w:szCs w:val="24"/>
        </w:rPr>
        <w:tab/>
      </w:r>
      <w:r>
        <w:rPr>
          <w:color w:val="000000"/>
          <w:sz w:val="24"/>
          <w:szCs w:val="24"/>
        </w:rPr>
        <w:t xml:space="preserve">Adotamos a concepção de pobreza como uma expressão da questão social, entendida, portanto, como um fenômeno historicamente vinculado às contradições estruturais do modo de produção capitalista. </w:t>
      </w:r>
      <w:r>
        <w:rPr>
          <w:sz w:val="24"/>
          <w:szCs w:val="24"/>
        </w:rPr>
        <w:t>R</w:t>
      </w:r>
      <w:r>
        <w:rPr>
          <w:color w:val="000000"/>
          <w:sz w:val="24"/>
          <w:szCs w:val="24"/>
        </w:rPr>
        <w:t xml:space="preserve">esultado da divisão da sociedade em classes e da apropriação desigual da riqueza socialmente produzida, sendo atravessada por processos históricos de expropriação e exploração que beneficiam determinados grupos em detrimento da maioria da população trabalhadora. </w:t>
      </w:r>
    </w:p>
    <w:p w14:paraId="34FF82A5" w14:textId="77777777" w:rsidR="003D5D10" w:rsidRDefault="00B62A11">
      <w:pPr>
        <w:ind w:left="-2"/>
        <w:rPr>
          <w:sz w:val="24"/>
          <w:szCs w:val="24"/>
        </w:rPr>
      </w:pPr>
      <w:r>
        <w:rPr>
          <w:sz w:val="24"/>
          <w:szCs w:val="24"/>
        </w:rPr>
        <w:t xml:space="preserve">Alicerçado na lógica da exploração e da expropriação, Marx (2006, p. 209), ao analisar o modo de produção capitalista, já evidenciava a função estratégica da miséria ao afirmar que “quanto maior, finalmente, a camada lazarenta da classe trabalhadora e o exército industrial de reserva, tanto maior o pauperismo oficial”. A pobreza, nesse contexto, ultrapassa a mera insuficiência de renda e se expressa na negação sistemática de direitos fundamentais, no cerceamento de oportunidades, na exclusão da participação política e na limitação do acesso ao trabalho digno, a serviços e a bens essenciais (Silva e Silva, 2010). </w:t>
      </w:r>
      <w:r>
        <w:rPr>
          <w:color w:val="000000"/>
          <w:sz w:val="24"/>
          <w:szCs w:val="24"/>
        </w:rPr>
        <w:t>Nesse sentido, Yasbeck (2012), pontua que, a p</w:t>
      </w:r>
      <w:r>
        <w:rPr>
          <w:sz w:val="24"/>
          <w:szCs w:val="24"/>
        </w:rPr>
        <w:t xml:space="preserve">obreza é compreendida </w:t>
      </w:r>
      <w:r>
        <w:rPr>
          <w:color w:val="000000"/>
          <w:sz w:val="24"/>
          <w:szCs w:val="24"/>
        </w:rPr>
        <w:t>não como simples ausência de recursos, mas como uma forma de inserção subordinada na vida social, diretamente relacionada à condição de classe.</w:t>
      </w:r>
    </w:p>
    <w:p w14:paraId="4943BB6C" w14:textId="77777777" w:rsidR="003D5D10" w:rsidRDefault="00B62A11">
      <w:pPr>
        <w:ind w:left="-2"/>
        <w:rPr>
          <w:sz w:val="24"/>
          <w:szCs w:val="24"/>
        </w:rPr>
      </w:pPr>
      <w:r>
        <w:rPr>
          <w:sz w:val="24"/>
          <w:szCs w:val="24"/>
        </w:rPr>
        <w:t xml:space="preserve">A concepção de pobreza restrita à ausência de determinada renda, limitada à mensuração, através, exclusivamente de indicadores econômicos revela-se limitada para compreender a complexidade do fenômeno, pois desconsidera suas múltiplas determinações sociais, políticas e culturais. É necessário reconhecer, portanto, que a concepção de pobreza é historicamente situada e socialmente construída, assumindo diferentes significados conforme o tempo, o espaço e as relações de poder vigentes. Da mesma forma, os parâmetros utilizados para definir as necessidades humanas e os modos de existência variam entre sociedades e períodos históricos, o que </w:t>
      </w:r>
      <w:r>
        <w:rPr>
          <w:sz w:val="24"/>
          <w:szCs w:val="24"/>
        </w:rPr>
        <w:lastRenderedPageBreak/>
        <w:t>influencia diretamente a forma como a pobreza é percebida e enfrentada (Lisboa, 2013).</w:t>
      </w:r>
    </w:p>
    <w:p w14:paraId="467A0303" w14:textId="77777777" w:rsidR="003D5D10" w:rsidRDefault="00B62A11">
      <w:pPr>
        <w:ind w:left="-2"/>
        <w:rPr>
          <w:sz w:val="24"/>
          <w:szCs w:val="24"/>
        </w:rPr>
      </w:pPr>
      <w:r>
        <w:rPr>
          <w:sz w:val="24"/>
          <w:szCs w:val="24"/>
        </w:rPr>
        <w:t xml:space="preserve">Compreendida assim, como um fenômeno estrutural, complexo e multidimensional, a pobreza vai além dos critérios quantitativos baseados em renda e emprego, abrangendo diversas dimensões relacionadas ao acesso a direitos e recursos sociais fundamentais. </w:t>
      </w:r>
    </w:p>
    <w:p w14:paraId="51D26FB1" w14:textId="29C5C3EC" w:rsidR="003D5D10" w:rsidRDefault="00B62A11">
      <w:pPr>
        <w:ind w:left="-2"/>
        <w:rPr>
          <w:sz w:val="24"/>
          <w:szCs w:val="24"/>
        </w:rPr>
      </w:pPr>
      <w:r>
        <w:rPr>
          <w:sz w:val="24"/>
          <w:szCs w:val="24"/>
        </w:rPr>
        <w:t>Nessa perspectiva, os indicadores de pobreza multidimensional incluem o acesso a bens e serviços essenciais como água potável, saneamento básico, coleta de lixo, transporte público, saúde, educação e moradia digna</w:t>
      </w:r>
      <w:r w:rsidR="000746A0">
        <w:rPr>
          <w:sz w:val="24"/>
          <w:szCs w:val="24"/>
        </w:rPr>
        <w:t xml:space="preserve">, </w:t>
      </w:r>
      <w:r>
        <w:rPr>
          <w:sz w:val="24"/>
          <w:szCs w:val="24"/>
        </w:rPr>
        <w:t>os quais constituem-se indispensáveis para o bem-estar e para a efetivação dos direitos humanos. Essa abordagem amplia a compreensão da pobreza ao evidenciar suas múltiplas formas de manifestação, permitindo uma leitura mais abrangente e sensível das desigualdades que incidem sobre os grupos historicamente marginalizados.</w:t>
      </w:r>
    </w:p>
    <w:p w14:paraId="1113BED5" w14:textId="77777777" w:rsidR="003D5D10" w:rsidRDefault="00B62A11">
      <w:pPr>
        <w:ind w:left="-2"/>
        <w:rPr>
          <w:sz w:val="24"/>
          <w:szCs w:val="24"/>
        </w:rPr>
      </w:pPr>
      <w:r>
        <w:rPr>
          <w:sz w:val="24"/>
          <w:szCs w:val="24"/>
        </w:rPr>
        <w:tab/>
        <w:t>A experiência da pobreza não é uniforme, pois, é atravessada por desigualdades estruturais como classe social, gênero, raça e território, que aprofundam seus determinantes sobre determinados grupos sociais. Nesse sentido, as mulheres, sobretudo negras e periféricas, encontram-se nas interseções mais vulneráveis desse sistema de exclusões, vivenciando condições precárias de vida marcadas pela sobrecarga de responsabilidades, menor acesso a direitos e serviços públicos, e maior exposição à informalidade e à insegurança alimentar.</w:t>
      </w:r>
    </w:p>
    <w:p w14:paraId="3D8CA993" w14:textId="77777777" w:rsidR="003D5D10" w:rsidRDefault="00B62A11">
      <w:pPr>
        <w:ind w:left="-2"/>
        <w:rPr>
          <w:sz w:val="24"/>
          <w:szCs w:val="24"/>
        </w:rPr>
      </w:pPr>
      <w:r>
        <w:rPr>
          <w:sz w:val="24"/>
          <w:szCs w:val="24"/>
        </w:rPr>
        <w:t>Desse modo, o presente artigo tem como objetivo discutir a pobreza a partir de uma perspectiva estrutural, considerando seus impactos específicos na vida das mulheres brasileiras. Elaborado a partir de revisão bibliográfica, o texto apresenta discussão e dados empíricos parciais que compõem uma pesquisa mais ampla que visa problematizar a questão da DIGNIDADE, POBREZA E MENSTRUAÇÃO:  ausência de boas condições de vida e os efeitos ao trato menstrual de mulheres de baixa renda no país, que vem sendo realizada no âmbito do Grupo de Avaliação e Estudos da Pobreza e das Políticas Direcionadas à Pobreza/GAEPP/UFMA.</w:t>
      </w:r>
    </w:p>
    <w:p w14:paraId="58524F15" w14:textId="77777777" w:rsidR="003D5D10" w:rsidRDefault="00B62A11">
      <w:pPr>
        <w:ind w:left="-2"/>
        <w:rPr>
          <w:sz w:val="24"/>
          <w:szCs w:val="24"/>
        </w:rPr>
      </w:pPr>
      <w:r>
        <w:rPr>
          <w:sz w:val="24"/>
          <w:szCs w:val="24"/>
        </w:rPr>
        <w:lastRenderedPageBreak/>
        <w:t>O texto aborda uma contextualização da pobreza como um fenômeno complexo e multidimensional, com ênfase nas condições de vida das mulheres, como moradia, saneamento, saúde e infraestrutura urbana; destaca como essas condições afetam de maneira desproporcional as mulheres, evidenciando, por meio de dados e estudos recentes, as desigualdades de gênero e raça; e por fim, discute o papel das políticas públicas no enfrentamento dessas desigualdades, destacando os limites e as possibilidades de atuação do Estado na promoção da dignidade e da justiça social no contexto da sociedade capitalista.</w:t>
      </w:r>
    </w:p>
    <w:p w14:paraId="68B0BAEF" w14:textId="77777777" w:rsidR="003D5D10" w:rsidRDefault="00B62A11">
      <w:pPr>
        <w:ind w:left="0" w:hanging="2"/>
        <w:rPr>
          <w:color w:val="000000"/>
          <w:sz w:val="24"/>
          <w:szCs w:val="24"/>
        </w:rPr>
      </w:pPr>
      <w:r>
        <w:rPr>
          <w:color w:val="000000"/>
          <w:sz w:val="24"/>
          <w:szCs w:val="24"/>
        </w:rPr>
        <w:t xml:space="preserve"> </w:t>
      </w:r>
    </w:p>
    <w:p w14:paraId="5F0048A6" w14:textId="77777777" w:rsidR="003D5D10" w:rsidRDefault="00B62A11">
      <w:pPr>
        <w:ind w:left="0" w:hanging="2"/>
        <w:rPr>
          <w:sz w:val="24"/>
          <w:szCs w:val="24"/>
        </w:rPr>
      </w:pPr>
      <w:r>
        <w:rPr>
          <w:b/>
          <w:sz w:val="24"/>
          <w:szCs w:val="24"/>
        </w:rPr>
        <w:t xml:space="preserve">2   </w:t>
      </w:r>
      <w:r>
        <w:rPr>
          <w:b/>
          <w:sz w:val="28"/>
          <w:szCs w:val="28"/>
        </w:rPr>
        <w:t xml:space="preserve"> </w:t>
      </w:r>
      <w:r>
        <w:rPr>
          <w:b/>
          <w:sz w:val="24"/>
          <w:szCs w:val="24"/>
        </w:rPr>
        <w:t xml:space="preserve"> MULHERES, CONDIÇÕES DE VIDA E A FEMINIZAÇÃO DA POBREZA</w:t>
      </w:r>
    </w:p>
    <w:p w14:paraId="28F002BD" w14:textId="77777777" w:rsidR="003D5D10" w:rsidRDefault="003D5D10">
      <w:pPr>
        <w:ind w:left="0" w:hanging="2"/>
        <w:rPr>
          <w:sz w:val="24"/>
          <w:szCs w:val="24"/>
        </w:rPr>
      </w:pPr>
    </w:p>
    <w:p w14:paraId="1AA5DEDC" w14:textId="77777777" w:rsidR="003D5D10" w:rsidRDefault="00B62A11">
      <w:pPr>
        <w:ind w:left="-2"/>
        <w:rPr>
          <w:color w:val="000000"/>
          <w:sz w:val="24"/>
          <w:szCs w:val="24"/>
        </w:rPr>
      </w:pPr>
      <w:r>
        <w:rPr>
          <w:sz w:val="24"/>
          <w:szCs w:val="24"/>
        </w:rPr>
        <w:t>A pobreza, enquanto expressão da questão social, não incide de forma homogênea sobre os diferentes grupos sociais. Sua manifestação está atravessada por desigualdades estruturais — como classe, gênero, raça e território — que produzem impactos distintos na vida dos sujeitos. Nesse sentido, é fundamental considerar que a pobreza atinge de forma mais aguda as mulheres, especialmente aquelas inseridas em contextos de maior precariedade social. E assim, suas condições de vida são marcadas por sobrecarga de trabalho, responsabilidades reprodutivas não remuneradas e acesso desigual a direitos fundamentais (Novellino, 2002).</w:t>
      </w:r>
      <w:r>
        <w:rPr>
          <w:color w:val="000000"/>
          <w:sz w:val="24"/>
          <w:szCs w:val="24"/>
        </w:rPr>
        <w:t xml:space="preserve"> </w:t>
      </w:r>
      <w:r>
        <w:rPr>
          <w:sz w:val="24"/>
          <w:szCs w:val="24"/>
        </w:rPr>
        <w:t xml:space="preserve">A vinculação entre pauperismo e condição de gênero consolida a noção de “feminização da pobreza”, expressão que evidencia a crescente presença de mulheres entre a população em situação de pobreza, especialmente a partir da segunda metade do século XX. </w:t>
      </w:r>
    </w:p>
    <w:p w14:paraId="68635B5C" w14:textId="77777777" w:rsidR="003D5D10" w:rsidRDefault="00B62A11">
      <w:pPr>
        <w:ind w:left="-2"/>
        <w:rPr>
          <w:color w:val="000000"/>
          <w:sz w:val="24"/>
          <w:szCs w:val="24"/>
        </w:rPr>
      </w:pPr>
      <w:r>
        <w:rPr>
          <w:sz w:val="24"/>
          <w:szCs w:val="24"/>
        </w:rPr>
        <w:t>Esse fenômeno resulta da convergência de fatores históricos, sociais e econômicos, entre os quais se destacam as persistentes desigualdades de gênero, a precarização do trabalho feminino, o aumento do número de lares chefiados por mulheres e os efeitos das políticas neoliberais que promoveram o encolhimento das funções sociais do Estado (Hirata, 2007).</w:t>
      </w:r>
      <w:r>
        <w:rPr>
          <w:color w:val="000000"/>
          <w:sz w:val="24"/>
          <w:szCs w:val="24"/>
        </w:rPr>
        <w:t xml:space="preserve"> </w:t>
      </w:r>
    </w:p>
    <w:p w14:paraId="46B4D687" w14:textId="055782B2" w:rsidR="003D5D10" w:rsidRDefault="00B62A11">
      <w:pPr>
        <w:ind w:left="-2"/>
        <w:rPr>
          <w:color w:val="000000"/>
          <w:sz w:val="24"/>
          <w:szCs w:val="24"/>
        </w:rPr>
      </w:pPr>
      <w:r>
        <w:rPr>
          <w:sz w:val="24"/>
          <w:szCs w:val="24"/>
        </w:rPr>
        <w:lastRenderedPageBreak/>
        <w:t>Embora amplamente difundida, a expressão “feminização da pobreza” tem sido objeto de críticas relevantes. O Relatório de Desenvolvimento Humano do PNUD (2010) destaca que o conceito articula dois fenômenos complexos e interdependentes</w:t>
      </w:r>
      <w:r w:rsidR="000746A0">
        <w:rPr>
          <w:sz w:val="24"/>
          <w:szCs w:val="24"/>
        </w:rPr>
        <w:t xml:space="preserve">, </w:t>
      </w:r>
      <w:r>
        <w:rPr>
          <w:sz w:val="24"/>
          <w:szCs w:val="24"/>
        </w:rPr>
        <w:t>pobreza e desigualdade de gênero</w:t>
      </w:r>
      <w:r w:rsidR="000746A0">
        <w:rPr>
          <w:sz w:val="24"/>
          <w:szCs w:val="24"/>
        </w:rPr>
        <w:t xml:space="preserve">, </w:t>
      </w:r>
      <w:r>
        <w:rPr>
          <w:sz w:val="24"/>
          <w:szCs w:val="24"/>
        </w:rPr>
        <w:t>exigindo</w:t>
      </w:r>
      <w:r w:rsidR="000746A0">
        <w:rPr>
          <w:sz w:val="24"/>
          <w:szCs w:val="24"/>
        </w:rPr>
        <w:t xml:space="preserve"> </w:t>
      </w:r>
      <w:r>
        <w:rPr>
          <w:sz w:val="24"/>
          <w:szCs w:val="24"/>
        </w:rPr>
        <w:t>por isso, maior precisão conceitual e rigor analítico. A associação entre esses elementos, ainda que pertinente, não deve se limitar à constatação estatística de que a pobreza atinge majoritariamente mulheres. É fundamental compreender os mecanismos estruturais que produzem e reproduzem tal realidade. Soares (2013), acrescenta ainda que o termo padece de um esvaziamento crítico, muitas vezes reduzindo o fenômeno a uma representação numérica dissociada das lógicas de dominação e exploração de gênero.</w:t>
      </w:r>
    </w:p>
    <w:p w14:paraId="2296C76C" w14:textId="77777777" w:rsidR="003D5D10" w:rsidRDefault="00B62A11">
      <w:pPr>
        <w:ind w:left="-2"/>
        <w:rPr>
          <w:sz w:val="24"/>
          <w:szCs w:val="24"/>
        </w:rPr>
      </w:pPr>
      <w:r>
        <w:rPr>
          <w:sz w:val="24"/>
          <w:szCs w:val="24"/>
        </w:rPr>
        <w:t>Nessa perspectiva, a pobreza associada à condição de gênero deve ser entendida como expressão de uma lógica social que submete as mulheres a múltiplas formas de precarização, que se traduz na desvalorização do trabalho doméstico e reprodutivo, na sobrecarga de funções não remuneradas, na ausência de políticas públicas capazes de atender às especificidades de gênero. Trata-se, portanto, de uma pobreza com marcas particulares, atravessada por opressões estruturais e históricas, que se manifesta na negação de direitos, na invisibilidade social e na exclusão sistemática das mulheres das condições necessárias ao exercício pleno da cidadania e da dignidade.</w:t>
      </w:r>
    </w:p>
    <w:p w14:paraId="0D6D2D90" w14:textId="77777777" w:rsidR="003D5D10" w:rsidRDefault="00B62A11">
      <w:pPr>
        <w:ind w:left="-2"/>
        <w:rPr>
          <w:sz w:val="24"/>
          <w:szCs w:val="24"/>
        </w:rPr>
      </w:pPr>
      <w:r>
        <w:rPr>
          <w:sz w:val="24"/>
          <w:szCs w:val="24"/>
        </w:rPr>
        <w:t>Como mencionado, o capitalismo reforça a seletividade da pobreza, sendo esse processo potencializado pela articulação histórica com o patriarcado. Ambos os sistemas operam de forma interdependente na reprodução de desigualdades, tanto materiais, quanto simbólicas. A partir de uma análise materialista do gênero, Saffioti (1969) identifica que as mulheres são submetidas a uma dupla exploração: enquanto força de trabalho, exploradas pelo capital; enquanto mulheres, são oprimidas pelas estruturas patriarcais. Essa configuração destina grande parte das mulheres para ocupações precarizadas, e mal remuneradas, além de naturalizar a reprodução do trabalho doméstico em condições igualmente precárias.</w:t>
      </w:r>
    </w:p>
    <w:p w14:paraId="3079B10D" w14:textId="77777777" w:rsidR="003D5D10" w:rsidRDefault="00B62A11">
      <w:pPr>
        <w:ind w:left="-2"/>
        <w:rPr>
          <w:sz w:val="24"/>
          <w:szCs w:val="24"/>
        </w:rPr>
      </w:pPr>
      <w:r>
        <w:rPr>
          <w:sz w:val="24"/>
          <w:szCs w:val="24"/>
        </w:rPr>
        <w:lastRenderedPageBreak/>
        <w:t>As condições de vida das mulheres pobres, e particularmente das negras, são marcadas pela restrição ao acesso a direitos essenciais, como moradia, saneamento, alimentação e saúde. Essa precariedade agrava a marginalização social e reflete desigualdades estruturais relacionadas à renda, trabalho, escolaridade e configurações familiares. Por isso, é fundamental adotar uma perspectiva interseccional que considere classe, gênero e raça na análise das desigualdades e do acesso a serviços básicos, elementos centrais para a qualidade de vida.</w:t>
      </w:r>
    </w:p>
    <w:p w14:paraId="4789FAFE" w14:textId="77777777" w:rsidR="003D5D10" w:rsidRDefault="00B62A11">
      <w:pPr>
        <w:ind w:left="-2"/>
        <w:rPr>
          <w:sz w:val="24"/>
          <w:szCs w:val="24"/>
        </w:rPr>
      </w:pPr>
      <w:r>
        <w:rPr>
          <w:color w:val="000000"/>
          <w:sz w:val="24"/>
          <w:szCs w:val="24"/>
        </w:rPr>
        <w:t>Nesse contexto, de acordo com a ONU Mulheres (2023), uma em cada dez mulheres no mundo vive em situação de extrema pobreza</w:t>
      </w:r>
      <w:r>
        <w:rPr>
          <w:sz w:val="24"/>
          <w:szCs w:val="24"/>
        </w:rPr>
        <w:t xml:space="preserve">, </w:t>
      </w:r>
      <w:r>
        <w:rPr>
          <w:color w:val="000000"/>
          <w:sz w:val="24"/>
          <w:szCs w:val="24"/>
        </w:rPr>
        <w:t>realidade que tende a se agravar em contextos de conflitos armados e mudanças climáticas, fatores que impactam as mulheres de forma desproporcional. Atualmente, mais de 614 milhões de mulheres e meninas vivem em zonas de conflito, e estima-se que, até 2030, a crise climática poderá empurrar outras 236 milhões para a fome, número quase duas vezes maior que o previsto para os homens. Esses dados revelam que a pobreza não é neutra: ela incide com maior força sobre corpos femininos, racializados e periféricos.</w:t>
      </w:r>
    </w:p>
    <w:p w14:paraId="136EAFC1" w14:textId="77777777" w:rsidR="003D5D10" w:rsidRDefault="00B62A11">
      <w:pPr>
        <w:ind w:left="-2"/>
        <w:rPr>
          <w:sz w:val="24"/>
          <w:szCs w:val="24"/>
        </w:rPr>
      </w:pPr>
      <w:r>
        <w:rPr>
          <w:sz w:val="24"/>
          <w:szCs w:val="24"/>
        </w:rPr>
        <w:t xml:space="preserve">No Brasil, segundo dados da PNAD Contínua (IBGE, 2022), enquanto a renda domiciliar per capita em lares chefiados por homens girava em torno de R$ 1.100,00, nos lares chefiados por mulheres essa média era de aproximadamente R$ 800,00, uma diferença de cerca de 27%. E os domicílios chefiados por mulheres negras, apresentam mais que o dobro da taxa de pobreza em relação aos lares liderados por homens brancos (IPEA; ONU Mulheres Brasil, 2023). </w:t>
      </w:r>
    </w:p>
    <w:p w14:paraId="18592B8C" w14:textId="77777777" w:rsidR="003D5D10" w:rsidRDefault="00B62A11">
      <w:pPr>
        <w:ind w:left="-2"/>
        <w:rPr>
          <w:sz w:val="24"/>
          <w:szCs w:val="24"/>
        </w:rPr>
      </w:pPr>
      <w:r>
        <w:rPr>
          <w:sz w:val="24"/>
          <w:szCs w:val="24"/>
        </w:rPr>
        <w:t xml:space="preserve">De acordo com o Censo Demográfico de 2022, aproximadamente 16,4 milhões de pessoas vivem em favelas e comunidades urbanas no Brasil, o que representa cerca de 8,1% da população nacional. Desse total, 51,7% são mulheres e 48,3% são homens (IBGE, 2022). Quanto ao acesso a serviços básicos como saneamento, embora os dados não tragam, de forma desagregada, recortes por sexo, é possível estabelecer correlações importantes. Assim, considerando que a maioria da população residente nesses territórios é composta por mulheres, é razoável inferir que elas estão desproporcionalmente expostas aos impactos da precariedade sanitária. </w:t>
      </w:r>
    </w:p>
    <w:p w14:paraId="2FE868AF" w14:textId="77777777" w:rsidR="003D5D10" w:rsidRDefault="00B62A11">
      <w:pPr>
        <w:ind w:left="-2"/>
        <w:rPr>
          <w:sz w:val="24"/>
          <w:szCs w:val="24"/>
        </w:rPr>
      </w:pPr>
      <w:r>
        <w:rPr>
          <w:sz w:val="24"/>
          <w:szCs w:val="24"/>
        </w:rPr>
        <w:lastRenderedPageBreak/>
        <w:t>Ainda segundo o IBGE (2022), apenas 62,5% da população brasileira vivia em domicílios com acesso à rede de coleta de esgoto em 2022. Já 24,3% utilizavam soluções precárias de esgotamento, como fossas rudimentares ou despejo direto em corpos d’água — uma realidade que atinge com mais intensidade pessoas negras, indígenas e moradoras de áreas periféricas, onde o acesso aos serviços públicos é historicamente limitado. Tais disparidades reforçam a vulnerabilidade de grupos já marcados por desigualdades estruturais, como as mulheres pobres, negras e periféricas, cujas condições de vida são diretamente afetadas pela ausência de infraestrutura adequada, sobretudo no que tange à saúde e higiene.</w:t>
      </w:r>
    </w:p>
    <w:p w14:paraId="0204DEB7" w14:textId="77777777" w:rsidR="003D5D10" w:rsidRDefault="00B62A11">
      <w:pPr>
        <w:ind w:left="-2"/>
        <w:rPr>
          <w:sz w:val="24"/>
          <w:szCs w:val="24"/>
        </w:rPr>
      </w:pPr>
      <w:r>
        <w:rPr>
          <w:sz w:val="24"/>
          <w:szCs w:val="24"/>
        </w:rPr>
        <w:t>Apesar de apresentarem, em média, maior escolaridade do que os homens, as mulheres continuam recebendo cerca de 22% a menos em termos de remuneração (DIEESE, 2023). Essa desigualdade salarial é ainda mais acentuada entre as mulheres negras, das quais aproximadamente 55% estão inseridas na informalidade ou em ocupações sem acesso a direitos trabalhistas básicos. A necessidade de conciliar o trabalho remunerado com as responsabilidades domésticas e de cuidado impõe limites significativos à trajetória profissional dessas mulheres. Em 2022, 28,0% das mulheres estavam ocupadas em regime de tempo parcial, até 30 horas semanais, proporção quase duas vezes maior que a observada entre os homens, que é de14,4%, sendo que a região norte (36,9%) e nordeste (36,5%) concentram os maiores índices de trabalho parcial feminino, revelando uma sobrecarga ainda mais intensa (IBGE, 2023).</w:t>
      </w:r>
    </w:p>
    <w:p w14:paraId="0FE0BD7E" w14:textId="77777777" w:rsidR="003D5D10" w:rsidRDefault="00B62A11">
      <w:pPr>
        <w:ind w:left="-2"/>
        <w:rPr>
          <w:sz w:val="24"/>
          <w:szCs w:val="24"/>
        </w:rPr>
      </w:pPr>
      <w:r>
        <w:rPr>
          <w:sz w:val="24"/>
          <w:szCs w:val="24"/>
        </w:rPr>
        <w:t>No que diz respeito à cor ou raça, os dados indicam que mulheres pretas ou pardas apresentam maior incidência de trabalho parcial (30,9%) em comparação com mulheres brancas (24,9%) (IBGE, 2023). Esses fatores influenciam diretamente as escolhas profissionais e limitam as possibilidades de inserção e permanência das mulheres, sobretudo negras, no mercado de trabalho formal.</w:t>
      </w:r>
    </w:p>
    <w:p w14:paraId="3BD2484B" w14:textId="77777777" w:rsidR="003D5D10" w:rsidRDefault="00B62A11">
      <w:pPr>
        <w:ind w:left="-2"/>
        <w:rPr>
          <w:sz w:val="24"/>
          <w:szCs w:val="24"/>
        </w:rPr>
      </w:pPr>
      <w:r>
        <w:rPr>
          <w:sz w:val="24"/>
          <w:szCs w:val="24"/>
        </w:rPr>
        <w:t xml:space="preserve">No âmbito da segurança alimentar e nutricional, os dados são igualmente preocupantes: a fome é 31,4% maior em lares chefiados por mulheres em comparação àqueles liderados por homens, e a vulnerabilidade em todos os níveis de insegurança </w:t>
      </w:r>
      <w:r>
        <w:rPr>
          <w:sz w:val="24"/>
          <w:szCs w:val="24"/>
        </w:rPr>
        <w:lastRenderedPageBreak/>
        <w:t>alimentar chega a 36,6% nessas residências. Em particular, a insegurança alimentar grave atinge 6% dos domicílios com mulheres negras como referência, índice três vezes superior ao encontrado em lares comandados por homens brancos (Pupulim, 2025).</w:t>
      </w:r>
    </w:p>
    <w:p w14:paraId="0D2C3499" w14:textId="77777777" w:rsidR="003D5D10" w:rsidRDefault="00B62A11">
      <w:pPr>
        <w:ind w:left="-2"/>
        <w:rPr>
          <w:sz w:val="24"/>
          <w:szCs w:val="24"/>
        </w:rPr>
      </w:pPr>
      <w:r>
        <w:rPr>
          <w:sz w:val="24"/>
          <w:szCs w:val="24"/>
        </w:rPr>
        <w:t>Diante dessa realidade, evidenciamos que as desigualdades estruturais que marcam a sociedade brasileira não são meramente conjunturais ou circunstanciais, mas profundamente enraizadas em um sistema que perpetua a exclusão social, a desigualdade de gênero e a concentração de riquezas. Assim, as mulheres, especialmente as negras e pobres, estão situadas nas interseções mais críticas dessas desigualdades, sendo historicamente responsabilizadas pelo cuidado dos lares e dos filhos em contextos marcados pela ausência do Estado. Os dados revelam que o acesso desigual a direitos básicos não apenas aprofunda a feminização da pobreza, mas também compromete a dignidade humana dessas mulheres, limitando sua autonomia e capacidade de participar plenamente da vida social, econômica e política do país.</w:t>
      </w:r>
    </w:p>
    <w:p w14:paraId="73EA92C4" w14:textId="77777777" w:rsidR="003D5D10" w:rsidRDefault="003D5D10">
      <w:pPr>
        <w:spacing w:line="240" w:lineRule="auto"/>
        <w:ind w:left="0" w:right="-137" w:hanging="2"/>
        <w:rPr>
          <w:b/>
        </w:rPr>
      </w:pPr>
    </w:p>
    <w:p w14:paraId="090D6A75" w14:textId="77777777" w:rsidR="003D5D10" w:rsidRDefault="00B62A11">
      <w:pPr>
        <w:spacing w:line="240" w:lineRule="auto"/>
        <w:ind w:left="0" w:right="-137" w:hanging="2"/>
        <w:rPr>
          <w:b/>
          <w:sz w:val="24"/>
          <w:szCs w:val="24"/>
        </w:rPr>
      </w:pPr>
      <w:r>
        <w:rPr>
          <w:b/>
          <w:color w:val="000000"/>
          <w:sz w:val="24"/>
          <w:szCs w:val="24"/>
        </w:rPr>
        <w:t xml:space="preserve">3 </w:t>
      </w:r>
      <w:r>
        <w:rPr>
          <w:b/>
          <w:sz w:val="24"/>
          <w:szCs w:val="24"/>
        </w:rPr>
        <w:t>POLÍTICAS PÚBLICAS DE GÊNERO: desigualdades sociais, pobreza e condições de vida das mulheres</w:t>
      </w:r>
    </w:p>
    <w:p w14:paraId="62B9CAB7" w14:textId="77777777" w:rsidR="003D5D10" w:rsidRDefault="003D5D10">
      <w:pPr>
        <w:spacing w:line="240" w:lineRule="auto"/>
        <w:ind w:left="0" w:right="-137" w:hanging="2"/>
        <w:rPr>
          <w:b/>
          <w:sz w:val="24"/>
          <w:szCs w:val="24"/>
        </w:rPr>
      </w:pPr>
    </w:p>
    <w:p w14:paraId="0CA2C1E0" w14:textId="77777777" w:rsidR="003D5D10" w:rsidRDefault="00B62A11">
      <w:pPr>
        <w:ind w:left="0" w:right="-137" w:hanging="2"/>
        <w:rPr>
          <w:sz w:val="24"/>
          <w:szCs w:val="24"/>
        </w:rPr>
      </w:pPr>
      <w:r>
        <w:rPr>
          <w:b/>
          <w:sz w:val="24"/>
          <w:szCs w:val="24"/>
        </w:rPr>
        <w:tab/>
      </w:r>
      <w:r>
        <w:rPr>
          <w:b/>
          <w:sz w:val="24"/>
          <w:szCs w:val="24"/>
        </w:rPr>
        <w:tab/>
      </w:r>
      <w:r>
        <w:rPr>
          <w:sz w:val="24"/>
          <w:szCs w:val="24"/>
        </w:rPr>
        <w:t xml:space="preserve">Reconhecer que as desigualdades que atingem as mulheres são estruturais e interseccionais é condição indispensável para a formulação de políticas públicas que possibilitem intervenção que visem ao menos a minimização desse fenómeno. A superação da pobreza feminina não se resolve com medidas pontuais ou compensatórias, mas exige um enfrentamento sistêmico das desigualdades de classe, gênero e raça, que historicamente relegaram mulheres (Soares, 2006). </w:t>
      </w:r>
    </w:p>
    <w:p w14:paraId="5AF4575C" w14:textId="77777777" w:rsidR="003D5D10" w:rsidRDefault="00B62A11">
      <w:pPr>
        <w:ind w:left="0" w:right="-137" w:hanging="2"/>
        <w:rPr>
          <w:sz w:val="24"/>
          <w:szCs w:val="24"/>
        </w:rPr>
      </w:pPr>
      <w:r>
        <w:rPr>
          <w:sz w:val="24"/>
          <w:szCs w:val="24"/>
        </w:rPr>
        <w:tab/>
      </w:r>
      <w:r>
        <w:rPr>
          <w:sz w:val="24"/>
          <w:szCs w:val="24"/>
        </w:rPr>
        <w:tab/>
        <w:t xml:space="preserve">Nesse sentido, a atuação do Estado deve ir além da criação de programas setoriais e incorporar de forma transversal a perspectiva de gênero em todas as políticas públicas. Como aponta Vera Soares (2006), a efetividade dessas políticas depende da atuação direta sobre os principais eixos de desigualdade: a ausência de autonomia econômica, a divisão sexual do trabalho, o controle sobre o corpo e a </w:t>
      </w:r>
      <w:r>
        <w:rPr>
          <w:sz w:val="24"/>
          <w:szCs w:val="24"/>
        </w:rPr>
        <w:lastRenderedPageBreak/>
        <w:t>sexualidade, e os marcadores sociais que aprofundam as opressões. Promover equidade de gênero, portanto, significa reestruturar as bases sobre as quais se sustentam as desigualdades sociais.</w:t>
      </w:r>
    </w:p>
    <w:p w14:paraId="6AC84BF8" w14:textId="77777777" w:rsidR="003D5D10" w:rsidRDefault="00B62A11">
      <w:pPr>
        <w:ind w:left="0" w:hanging="2"/>
        <w:rPr>
          <w:sz w:val="24"/>
          <w:szCs w:val="24"/>
        </w:rPr>
      </w:pPr>
      <w:r>
        <w:rPr>
          <w:sz w:val="24"/>
          <w:szCs w:val="24"/>
        </w:rPr>
        <w:tab/>
      </w:r>
      <w:r>
        <w:rPr>
          <w:sz w:val="24"/>
          <w:szCs w:val="24"/>
        </w:rPr>
        <w:tab/>
        <w:t>Ademais, Silveira (2004) destaca que resgatar as mulheres como sujeitos políticos exige a criação de espaços efetivos de escuta e participação, nos quais elas possam definir prioridades, propor estratégias e acompanhar a implementação de políticas públicas. No entanto, historicamente, essas políticas têm sido formuladas por homens, em estruturas burocráticas e hierarquizadas, desconsiderando as experiências e perspectivas femininas. Como resultado, mesmo ações bem-intencionadas tendem a reforçar lógicas paternalistas e tecnocráticas, distanciadas das reais demandas das mulheres.</w:t>
      </w:r>
    </w:p>
    <w:p w14:paraId="21176A59" w14:textId="77777777" w:rsidR="003D5D10" w:rsidRDefault="00B62A11">
      <w:pPr>
        <w:ind w:left="0" w:hanging="2"/>
        <w:rPr>
          <w:sz w:val="24"/>
          <w:szCs w:val="24"/>
        </w:rPr>
      </w:pPr>
      <w:r>
        <w:rPr>
          <w:sz w:val="24"/>
          <w:szCs w:val="24"/>
        </w:rPr>
        <w:tab/>
      </w:r>
      <w:r>
        <w:rPr>
          <w:sz w:val="24"/>
          <w:szCs w:val="24"/>
        </w:rPr>
        <w:tab/>
        <w:t>Nesse cenário, Vera Soares (2006) defende que a promoção da igualdade de gênero deve atuar em quatro dimensões fundamentais: (a) nas desigualdades produzidas por construções socioculturais e históricas; (b) na divisão sexual do trabalho, que concentra sobre as mulheres as tarefas de cuidado e reprodução social; (c) no acesso desigual a recursos produtivos, como terra, emprego, tecnologia e informação; e (d) na sub-representação política das mulheres, tanto no espaço público quanto privado.</w:t>
      </w:r>
    </w:p>
    <w:p w14:paraId="1A57988C" w14:textId="77777777" w:rsidR="003D5D10" w:rsidRDefault="00B62A11">
      <w:pPr>
        <w:ind w:left="0" w:hanging="2"/>
        <w:rPr>
          <w:sz w:val="24"/>
          <w:szCs w:val="24"/>
        </w:rPr>
      </w:pPr>
      <w:r>
        <w:rPr>
          <w:sz w:val="24"/>
          <w:szCs w:val="24"/>
        </w:rPr>
        <w:tab/>
      </w:r>
      <w:r>
        <w:rPr>
          <w:sz w:val="24"/>
          <w:szCs w:val="24"/>
        </w:rPr>
        <w:tab/>
        <w:t>Assim, não basta afirmar que “a pobreza tem um rosto feminino”; é preciso compreender e enfrentar os mecanismos estruturais que produzem essa realidade. Políticas públicas efetivas devem ir além da assistência pontual, fortalecendo canais de participação, garantindo recursos para ações integradas e promovendo mudanças culturais que reconheçam as mulheres como sujeitos históricos e políticos.</w:t>
      </w:r>
    </w:p>
    <w:p w14:paraId="2D83FFE3" w14:textId="77777777" w:rsidR="003D5D10" w:rsidRDefault="003D5D10">
      <w:pPr>
        <w:ind w:left="0" w:hanging="2"/>
        <w:rPr>
          <w:sz w:val="24"/>
          <w:szCs w:val="24"/>
        </w:rPr>
      </w:pPr>
    </w:p>
    <w:p w14:paraId="3BFC76D1" w14:textId="77777777" w:rsidR="003D5D10" w:rsidRDefault="00B62A11">
      <w:pPr>
        <w:ind w:left="0" w:hanging="2"/>
        <w:rPr>
          <w:sz w:val="24"/>
          <w:szCs w:val="24"/>
        </w:rPr>
      </w:pPr>
      <w:r>
        <w:rPr>
          <w:b/>
          <w:sz w:val="24"/>
          <w:szCs w:val="24"/>
        </w:rPr>
        <w:t>4   CONCLUSÃO</w:t>
      </w:r>
    </w:p>
    <w:p w14:paraId="19947CAB" w14:textId="77777777" w:rsidR="000746A0" w:rsidRDefault="00B62A11">
      <w:pPr>
        <w:ind w:left="0" w:hanging="2"/>
        <w:rPr>
          <w:sz w:val="24"/>
          <w:szCs w:val="24"/>
        </w:rPr>
      </w:pPr>
      <w:r>
        <w:rPr>
          <w:sz w:val="24"/>
          <w:szCs w:val="24"/>
        </w:rPr>
        <w:tab/>
      </w:r>
      <w:r>
        <w:rPr>
          <w:sz w:val="24"/>
          <w:szCs w:val="24"/>
        </w:rPr>
        <w:tab/>
      </w:r>
    </w:p>
    <w:p w14:paraId="5F66F11D" w14:textId="64911F13" w:rsidR="003D5D10" w:rsidRDefault="000746A0">
      <w:pPr>
        <w:ind w:left="0" w:hanging="2"/>
        <w:rPr>
          <w:sz w:val="24"/>
          <w:szCs w:val="24"/>
        </w:rPr>
      </w:pPr>
      <w:r>
        <w:rPr>
          <w:sz w:val="24"/>
          <w:szCs w:val="24"/>
        </w:rPr>
        <w:tab/>
      </w:r>
      <w:r>
        <w:rPr>
          <w:sz w:val="24"/>
          <w:szCs w:val="24"/>
        </w:rPr>
        <w:tab/>
        <w:t xml:space="preserve">Como já demonstrado, a compreensão da pobreza como expressão da questão social permite revelar suas raízes estruturais, historicamente vinculadas às contradições do modo de produção capitalista, alicerçado na exploração, expropriação </w:t>
      </w:r>
      <w:r>
        <w:rPr>
          <w:sz w:val="24"/>
          <w:szCs w:val="24"/>
        </w:rPr>
        <w:lastRenderedPageBreak/>
        <w:t>e apropriação desigual da riqueza socialmente produzida. Essa dinâmica não apenas sustenta a existência de uma massa empobrecida funcional à reprodução do capital, como também incide de forma seletiva sobre determinados corpos e territórios, aprofundando desigualdades sociais historicamente constituídas.</w:t>
      </w:r>
    </w:p>
    <w:p w14:paraId="0B3CC06D" w14:textId="7BC31AA1" w:rsidR="003D5D10" w:rsidRDefault="00B62A11">
      <w:pPr>
        <w:ind w:left="0" w:hanging="2"/>
        <w:rPr>
          <w:sz w:val="24"/>
          <w:szCs w:val="24"/>
        </w:rPr>
      </w:pPr>
      <w:r>
        <w:rPr>
          <w:sz w:val="24"/>
          <w:szCs w:val="24"/>
        </w:rPr>
        <w:tab/>
      </w:r>
      <w:r>
        <w:rPr>
          <w:sz w:val="24"/>
          <w:szCs w:val="24"/>
        </w:rPr>
        <w:tab/>
        <w:t>O estudo evidenciou que a pobreza não se distribui de forma homogênea entre os grupos sociais. De maneira seletiva, ela atinge de forma mais intensa mulheres</w:t>
      </w:r>
      <w:r w:rsidR="000746A0">
        <w:rPr>
          <w:sz w:val="24"/>
          <w:szCs w:val="24"/>
        </w:rPr>
        <w:t xml:space="preserve">, </w:t>
      </w:r>
      <w:r>
        <w:rPr>
          <w:sz w:val="24"/>
          <w:szCs w:val="24"/>
        </w:rPr>
        <w:t>especialmente as negras, periféricas e chefes de família</w:t>
      </w:r>
      <w:r w:rsidR="000746A0">
        <w:rPr>
          <w:sz w:val="24"/>
          <w:szCs w:val="24"/>
        </w:rPr>
        <w:t xml:space="preserve">, </w:t>
      </w:r>
      <w:r>
        <w:rPr>
          <w:sz w:val="24"/>
          <w:szCs w:val="24"/>
        </w:rPr>
        <w:t>que figuram entre as mais afetadas pelas múltiplas privações que caracterizam a experiência da pobreza. A sobrecarga com o trabalho reprodutivo e de cuidados, a inserção precária ou ausente no mercado de trabalho, o acesso limitado a serviços públicos e a contínua violação de direitos compõem um quadro de vida marcado pela intersecção das desigualdades de classe, raça e gênero. Este último, o gênero, se apresenta como categoria central para compreender as formas como a pobreza é vivida, administrada e sistematicamente negligenciada nas políticas públicas.</w:t>
      </w:r>
    </w:p>
    <w:p w14:paraId="34AED5BD" w14:textId="2C5D4C54" w:rsidR="003D5D10" w:rsidRDefault="00B62A11">
      <w:pPr>
        <w:ind w:left="0" w:hanging="2"/>
        <w:rPr>
          <w:sz w:val="24"/>
          <w:szCs w:val="24"/>
        </w:rPr>
      </w:pPr>
      <w:r>
        <w:rPr>
          <w:sz w:val="24"/>
          <w:szCs w:val="24"/>
        </w:rPr>
        <w:tab/>
      </w:r>
      <w:r>
        <w:rPr>
          <w:sz w:val="24"/>
          <w:szCs w:val="24"/>
        </w:rPr>
        <w:tab/>
        <w:t>Desse modo, enfrentar essa problemática exige mais do que dar um rosto ou atribuir um gênero à pobreza por meio de políticas compensatórias: demanda o enfrentamento direto das estruturas de poder que sustentam a desigualdade socioeconômica e a opressão de gênero. Implica, sobretudo, afirmar a centralidade dos direitos humanos e fundamentais</w:t>
      </w:r>
      <w:r w:rsidR="000746A0">
        <w:rPr>
          <w:sz w:val="24"/>
          <w:szCs w:val="24"/>
        </w:rPr>
        <w:t xml:space="preserve"> </w:t>
      </w:r>
      <w:r>
        <w:rPr>
          <w:sz w:val="24"/>
          <w:szCs w:val="24"/>
        </w:rPr>
        <w:t>como saúde, educação, moradia, saneamento básico, alimentação, transporte e trabalho digno</w:t>
      </w:r>
      <w:r w:rsidR="000746A0">
        <w:rPr>
          <w:sz w:val="24"/>
          <w:szCs w:val="24"/>
        </w:rPr>
        <w:t xml:space="preserve">, </w:t>
      </w:r>
      <w:r>
        <w:rPr>
          <w:sz w:val="24"/>
          <w:szCs w:val="24"/>
        </w:rPr>
        <w:t>enquanto pilares inegociáveis da justiça social. Esses direitos são indispensáveis não apenas para garantir a sobrevivência, mas também para possibilitar a construção de trajetórias de autonomia, independência e dignidade para as mulheres historicamente marginalizadas.</w:t>
      </w:r>
    </w:p>
    <w:p w14:paraId="324A79B8" w14:textId="77777777" w:rsidR="003D5D10" w:rsidRDefault="00B62A11">
      <w:pPr>
        <w:ind w:left="0" w:hanging="2"/>
        <w:rPr>
          <w:sz w:val="24"/>
          <w:szCs w:val="24"/>
        </w:rPr>
      </w:pPr>
      <w:r>
        <w:rPr>
          <w:sz w:val="24"/>
          <w:szCs w:val="24"/>
        </w:rPr>
        <w:tab/>
      </w:r>
      <w:r>
        <w:rPr>
          <w:sz w:val="24"/>
          <w:szCs w:val="24"/>
        </w:rPr>
        <w:tab/>
        <w:t>É necessário, portanto, romper com narrativas que individualizam ou moralizam a pobreza, culpabilizando os sujeitos por uma condição estruturalmente produzida. Superar a pobreza exige mais do que redistribuir recursos: exige reconhecer as raízes históricas e sociais da desigualdade e promover transformações estruturais que tenham como horizonte a emancipação dos sujeitos historicamente oprimidos.</w:t>
      </w:r>
    </w:p>
    <w:p w14:paraId="6E2C5B50" w14:textId="77777777" w:rsidR="003D5D10" w:rsidRDefault="003D5D10">
      <w:pPr>
        <w:ind w:left="0" w:hanging="2"/>
        <w:rPr>
          <w:sz w:val="24"/>
          <w:szCs w:val="24"/>
        </w:rPr>
      </w:pPr>
    </w:p>
    <w:p w14:paraId="36B7F33D" w14:textId="77777777" w:rsidR="003D5D10" w:rsidRDefault="003D5D10">
      <w:pPr>
        <w:ind w:left="0" w:hanging="2"/>
        <w:rPr>
          <w:b/>
          <w:sz w:val="24"/>
          <w:szCs w:val="24"/>
        </w:rPr>
      </w:pPr>
    </w:p>
    <w:p w14:paraId="49FB49A5" w14:textId="77777777" w:rsidR="003D5D10" w:rsidRDefault="003D5D10">
      <w:pPr>
        <w:ind w:left="0" w:hanging="2"/>
        <w:rPr>
          <w:b/>
          <w:sz w:val="24"/>
          <w:szCs w:val="24"/>
        </w:rPr>
      </w:pPr>
    </w:p>
    <w:p w14:paraId="48451AA7" w14:textId="77777777" w:rsidR="003D5D10" w:rsidRDefault="003D5D10">
      <w:pPr>
        <w:ind w:left="0" w:hanging="2"/>
        <w:rPr>
          <w:b/>
          <w:sz w:val="24"/>
          <w:szCs w:val="24"/>
        </w:rPr>
      </w:pPr>
    </w:p>
    <w:p w14:paraId="1E1C5F19" w14:textId="77777777" w:rsidR="003D5D10" w:rsidRDefault="00B62A11">
      <w:pPr>
        <w:ind w:left="0" w:hanging="2"/>
        <w:rPr>
          <w:sz w:val="24"/>
          <w:szCs w:val="24"/>
        </w:rPr>
      </w:pPr>
      <w:r>
        <w:rPr>
          <w:b/>
          <w:sz w:val="24"/>
          <w:szCs w:val="24"/>
        </w:rPr>
        <w:t xml:space="preserve">REFERÊNCIAS </w:t>
      </w:r>
    </w:p>
    <w:p w14:paraId="4179012C" w14:textId="77777777" w:rsidR="003D5D10" w:rsidRDefault="00B62A11">
      <w:pPr>
        <w:spacing w:before="240" w:after="240" w:line="240" w:lineRule="auto"/>
        <w:ind w:left="0" w:hanging="2"/>
        <w:rPr>
          <w:sz w:val="24"/>
          <w:szCs w:val="24"/>
        </w:rPr>
      </w:pPr>
      <w:r>
        <w:rPr>
          <w:sz w:val="24"/>
          <w:szCs w:val="24"/>
        </w:rPr>
        <w:t xml:space="preserve">DEPARTAMENTO INTERSINDICAL DE ESTATÍSTICA E ESTUDOS SOCIOECONÔMICOS (DIEESE). </w:t>
      </w:r>
      <w:r>
        <w:rPr>
          <w:i/>
          <w:sz w:val="24"/>
          <w:szCs w:val="24"/>
        </w:rPr>
        <w:t>Mulheres no mercado de trabalho: desigualdades e desafios</w:t>
      </w:r>
      <w:r>
        <w:rPr>
          <w:sz w:val="24"/>
          <w:szCs w:val="24"/>
        </w:rPr>
        <w:t>. São Paulo: DIEESE, 2023. Disponível em:</w:t>
      </w:r>
      <w:hyperlink r:id="rId8">
        <w:r>
          <w:rPr>
            <w:sz w:val="24"/>
            <w:szCs w:val="24"/>
          </w:rPr>
          <w:t xml:space="preserve"> </w:t>
        </w:r>
      </w:hyperlink>
      <w:hyperlink r:id="rId9">
        <w:r>
          <w:rPr>
            <w:color w:val="1155CC"/>
            <w:sz w:val="24"/>
            <w:szCs w:val="24"/>
            <w:u w:val="single"/>
          </w:rPr>
          <w:t>https://www.dieese.org.br</w:t>
        </w:r>
      </w:hyperlink>
      <w:r>
        <w:rPr>
          <w:sz w:val="24"/>
          <w:szCs w:val="24"/>
        </w:rPr>
        <w:t>. Acesso em: 05 jun. 2025.</w:t>
      </w:r>
    </w:p>
    <w:p w14:paraId="5A2ECC93" w14:textId="77777777" w:rsidR="003D5D10" w:rsidRDefault="00B62A11">
      <w:pPr>
        <w:spacing w:before="240" w:after="240" w:line="240" w:lineRule="auto"/>
        <w:ind w:left="0" w:hanging="2"/>
        <w:rPr>
          <w:sz w:val="24"/>
          <w:szCs w:val="24"/>
        </w:rPr>
      </w:pPr>
      <w:r>
        <w:rPr>
          <w:sz w:val="24"/>
          <w:szCs w:val="24"/>
        </w:rPr>
        <w:t xml:space="preserve">HIRATA, H. </w:t>
      </w:r>
      <w:r>
        <w:rPr>
          <w:i/>
          <w:sz w:val="24"/>
          <w:szCs w:val="24"/>
        </w:rPr>
        <w:t>Trabalho, gênero e desigualdades: para um debate transversal das relações de gênero</w:t>
      </w:r>
      <w:r>
        <w:rPr>
          <w:sz w:val="24"/>
          <w:szCs w:val="24"/>
        </w:rPr>
        <w:t>. Cadernos de Pesquisa, São Paulo, n. 137, p. 595-609, nov. 2007.</w:t>
      </w:r>
    </w:p>
    <w:p w14:paraId="506B0A34" w14:textId="77777777" w:rsidR="003D5D10" w:rsidRDefault="00B62A11">
      <w:pPr>
        <w:spacing w:before="240" w:after="240" w:line="240" w:lineRule="auto"/>
        <w:ind w:left="0" w:hanging="2"/>
        <w:rPr>
          <w:sz w:val="24"/>
          <w:szCs w:val="24"/>
        </w:rPr>
      </w:pPr>
      <w:r>
        <w:rPr>
          <w:sz w:val="24"/>
          <w:szCs w:val="24"/>
        </w:rPr>
        <w:t xml:space="preserve">INSTITUTO BRASILEIRO DE GEOGRAFIA E ESTATÍSTICA (IBGE). </w:t>
      </w:r>
      <w:r>
        <w:rPr>
          <w:i/>
          <w:sz w:val="24"/>
          <w:szCs w:val="24"/>
        </w:rPr>
        <w:t>Censo Demográfico 2022: Resultados</w:t>
      </w:r>
      <w:r>
        <w:rPr>
          <w:sz w:val="24"/>
          <w:szCs w:val="24"/>
        </w:rPr>
        <w:t>. Brasília: IBGE, 2023. Disponível em:</w:t>
      </w:r>
      <w:hyperlink r:id="rId10">
        <w:r>
          <w:rPr>
            <w:sz w:val="24"/>
            <w:szCs w:val="24"/>
          </w:rPr>
          <w:t xml:space="preserve"> </w:t>
        </w:r>
      </w:hyperlink>
      <w:hyperlink r:id="rId11">
        <w:r>
          <w:rPr>
            <w:color w:val="1155CC"/>
            <w:sz w:val="24"/>
            <w:szCs w:val="24"/>
            <w:u w:val="single"/>
          </w:rPr>
          <w:t>https://censo2022.ibge.gov.br</w:t>
        </w:r>
      </w:hyperlink>
      <w:r>
        <w:rPr>
          <w:sz w:val="24"/>
          <w:szCs w:val="24"/>
        </w:rPr>
        <w:t>. Acesso em: 05 jun. 2025.</w:t>
      </w:r>
    </w:p>
    <w:p w14:paraId="35734ED3" w14:textId="77777777" w:rsidR="003D5D10" w:rsidRDefault="00B62A11">
      <w:pPr>
        <w:spacing w:before="240" w:after="240" w:line="240" w:lineRule="auto"/>
        <w:ind w:left="0" w:hanging="2"/>
        <w:rPr>
          <w:sz w:val="24"/>
          <w:szCs w:val="24"/>
        </w:rPr>
      </w:pPr>
      <w:r>
        <w:rPr>
          <w:sz w:val="24"/>
          <w:szCs w:val="24"/>
        </w:rPr>
        <w:t xml:space="preserve">INSTITUTO BRASILEIRO DE GEOGRAFIA E ESTATÍSTICA – IBGE. </w:t>
      </w:r>
      <w:r>
        <w:rPr>
          <w:i/>
          <w:sz w:val="24"/>
          <w:szCs w:val="24"/>
        </w:rPr>
        <w:t>Estatísticas de gênero: indicadores sociais das mulheres no Brasil</w:t>
      </w:r>
      <w:r>
        <w:rPr>
          <w:sz w:val="24"/>
          <w:szCs w:val="24"/>
        </w:rPr>
        <w:t>. 3. ed. Rio de Janeiro: IBGE, 2023.Disponívelem:</w:t>
      </w:r>
      <w:hyperlink r:id="rId12">
        <w:r>
          <w:rPr>
            <w:color w:val="1155CC"/>
            <w:sz w:val="24"/>
            <w:szCs w:val="24"/>
            <w:u w:val="single"/>
          </w:rPr>
          <w:t>https://www.ibge.gov.br/estatisticas/multidominio/genero/20163-estatisticas-de-genero-indicadores-sociais-das-mulheres-no-brasil.html?=&amp;t=o-que-e</w:t>
        </w:r>
      </w:hyperlink>
      <w:r>
        <w:rPr>
          <w:sz w:val="24"/>
          <w:szCs w:val="24"/>
        </w:rPr>
        <w:t>. Acesso em: 5 jun. 2025.</w:t>
      </w:r>
    </w:p>
    <w:p w14:paraId="23A3B7A4" w14:textId="77777777" w:rsidR="003D5D10" w:rsidRDefault="00B62A11">
      <w:pPr>
        <w:spacing w:before="240" w:after="240" w:line="240" w:lineRule="auto"/>
        <w:ind w:left="0" w:hanging="2"/>
        <w:rPr>
          <w:sz w:val="24"/>
          <w:szCs w:val="24"/>
        </w:rPr>
      </w:pPr>
      <w:r>
        <w:rPr>
          <w:sz w:val="24"/>
          <w:szCs w:val="24"/>
        </w:rPr>
        <w:t xml:space="preserve">IBGE. </w:t>
      </w:r>
      <w:r>
        <w:rPr>
          <w:i/>
          <w:sz w:val="24"/>
          <w:szCs w:val="24"/>
        </w:rPr>
        <w:t>Pretos e pardos representam 72,9% dos moradores de favelas, indica Censo; mulheres também são maioria</w:t>
      </w:r>
      <w:r>
        <w:rPr>
          <w:sz w:val="24"/>
          <w:szCs w:val="24"/>
        </w:rPr>
        <w:t>. Instituto Brasileiro de Geografia e Estatística, 2022. Disponívelem:</w:t>
      </w:r>
      <w:hyperlink r:id="rId13">
        <w:r>
          <w:rPr>
            <w:color w:val="1155CC"/>
            <w:sz w:val="24"/>
            <w:szCs w:val="24"/>
            <w:u w:val="single"/>
          </w:rPr>
          <w:t>https://agenciadenoticias.ibge.gov.br/agencia-noticias/2012-agencia-de-noticias/noticias/32764-pretos-e-pardos-representam-72-9-dos-moradores-de-favelas-indica-censo-mulheres-tambem-sao-maioria</w:t>
        </w:r>
      </w:hyperlink>
      <w:r>
        <w:rPr>
          <w:sz w:val="24"/>
          <w:szCs w:val="24"/>
        </w:rPr>
        <w:t>. Acesso em: 5 jun. 2025.</w:t>
      </w:r>
    </w:p>
    <w:p w14:paraId="5AC8D0E3" w14:textId="77777777" w:rsidR="003D5D10" w:rsidRDefault="00B62A11">
      <w:pPr>
        <w:spacing w:before="240" w:after="240" w:line="240" w:lineRule="auto"/>
        <w:ind w:left="0" w:hanging="2"/>
        <w:rPr>
          <w:sz w:val="24"/>
          <w:szCs w:val="24"/>
        </w:rPr>
      </w:pPr>
      <w:r>
        <w:rPr>
          <w:sz w:val="24"/>
          <w:szCs w:val="24"/>
        </w:rPr>
        <w:t xml:space="preserve">INSTITUTO DE PESQUISA ECONÔMICA APLICADA (IPEA); ONU MULHERES BRASIL. </w:t>
      </w:r>
      <w:r>
        <w:rPr>
          <w:i/>
          <w:sz w:val="24"/>
          <w:szCs w:val="24"/>
        </w:rPr>
        <w:t>Retrato das Desigualdades de Gênero e Raça</w:t>
      </w:r>
      <w:r>
        <w:rPr>
          <w:sz w:val="24"/>
          <w:szCs w:val="24"/>
        </w:rPr>
        <w:t>. Brasília: IPEA, 2023. Disponível em:</w:t>
      </w:r>
      <w:hyperlink r:id="rId14">
        <w:r>
          <w:rPr>
            <w:sz w:val="24"/>
            <w:szCs w:val="24"/>
          </w:rPr>
          <w:t xml:space="preserve"> </w:t>
        </w:r>
      </w:hyperlink>
      <w:hyperlink r:id="rId15">
        <w:r>
          <w:rPr>
            <w:color w:val="1155CC"/>
            <w:sz w:val="24"/>
            <w:szCs w:val="24"/>
            <w:u w:val="single"/>
          </w:rPr>
          <w:t>https://www.ipea.gov.br/retrato</w:t>
        </w:r>
      </w:hyperlink>
      <w:r>
        <w:rPr>
          <w:sz w:val="24"/>
          <w:szCs w:val="24"/>
        </w:rPr>
        <w:t>. Acesso em: 05 jun. 2025.</w:t>
      </w:r>
    </w:p>
    <w:p w14:paraId="65028B26" w14:textId="77777777" w:rsidR="003D5D10" w:rsidRDefault="00B62A11">
      <w:pPr>
        <w:spacing w:before="240" w:after="240" w:line="240" w:lineRule="auto"/>
        <w:ind w:left="0" w:hanging="2"/>
        <w:rPr>
          <w:sz w:val="24"/>
          <w:szCs w:val="24"/>
        </w:rPr>
      </w:pPr>
      <w:r>
        <w:rPr>
          <w:sz w:val="24"/>
          <w:szCs w:val="24"/>
        </w:rPr>
        <w:t>IBGE</w:t>
      </w:r>
      <w:r>
        <w:rPr>
          <w:b/>
          <w:sz w:val="24"/>
          <w:szCs w:val="24"/>
        </w:rPr>
        <w:t>.</w:t>
      </w:r>
      <w:r>
        <w:rPr>
          <w:sz w:val="24"/>
          <w:szCs w:val="24"/>
        </w:rPr>
        <w:t xml:space="preserve"> Instituto Brasileiro de Geografia e Estatística. </w:t>
      </w:r>
      <w:r>
        <w:rPr>
          <w:i/>
          <w:sz w:val="24"/>
          <w:szCs w:val="24"/>
        </w:rPr>
        <w:t>PNAD Contínua: rendimento de todas as fontes 2022</w:t>
      </w:r>
      <w:r>
        <w:rPr>
          <w:sz w:val="24"/>
          <w:szCs w:val="24"/>
        </w:rPr>
        <w:t>. Rio de Janeiro: IBGE, 2023. Disponível em: https://www.ibge.gov.br/estatisticas/sociais/rendimento-despesa-e-consumo/17270-pnad-continua.html. Acesso em: 5 jun. 2025.</w:t>
      </w:r>
    </w:p>
    <w:p w14:paraId="2DA12638" w14:textId="77777777" w:rsidR="003D5D10" w:rsidRDefault="00B62A11">
      <w:pPr>
        <w:spacing w:before="240" w:after="240" w:line="240" w:lineRule="auto"/>
        <w:ind w:left="0" w:hanging="2"/>
        <w:rPr>
          <w:sz w:val="24"/>
          <w:szCs w:val="24"/>
        </w:rPr>
      </w:pPr>
      <w:r>
        <w:rPr>
          <w:sz w:val="24"/>
          <w:szCs w:val="24"/>
        </w:rPr>
        <w:t xml:space="preserve">LISBOA, Teresa Kleba. </w:t>
      </w:r>
      <w:r>
        <w:rPr>
          <w:i/>
          <w:sz w:val="24"/>
          <w:szCs w:val="24"/>
        </w:rPr>
        <w:t>Gênero e pobreza: aspectos heterogêneos e múltiplas dimensões</w:t>
      </w:r>
      <w:r>
        <w:rPr>
          <w:sz w:val="24"/>
          <w:szCs w:val="24"/>
        </w:rPr>
        <w:t>. Seminário Internacional Fazendo Gênero 10 (Anais Eletrônicos), Florianópolis, 2013.</w:t>
      </w:r>
    </w:p>
    <w:p w14:paraId="1A43FE06" w14:textId="77777777" w:rsidR="003D5D10" w:rsidRDefault="00B62A11">
      <w:pPr>
        <w:spacing w:before="240" w:after="240" w:line="240" w:lineRule="auto"/>
        <w:ind w:left="0" w:hanging="2"/>
        <w:rPr>
          <w:sz w:val="24"/>
          <w:szCs w:val="24"/>
        </w:rPr>
      </w:pPr>
      <w:r>
        <w:rPr>
          <w:sz w:val="24"/>
          <w:szCs w:val="24"/>
        </w:rPr>
        <w:lastRenderedPageBreak/>
        <w:t xml:space="preserve">MARX, Karl. </w:t>
      </w:r>
      <w:r>
        <w:rPr>
          <w:i/>
          <w:sz w:val="24"/>
          <w:szCs w:val="24"/>
        </w:rPr>
        <w:t>O capital: crítica da economia política</w:t>
      </w:r>
      <w:r>
        <w:rPr>
          <w:sz w:val="24"/>
          <w:szCs w:val="24"/>
        </w:rPr>
        <w:t>. Livro I. São Paulo: Boitempo, 2006.</w:t>
      </w:r>
    </w:p>
    <w:p w14:paraId="3D74F130" w14:textId="77777777" w:rsidR="003D5D10" w:rsidRDefault="00B62A11">
      <w:pPr>
        <w:spacing w:before="240" w:after="240" w:line="240" w:lineRule="auto"/>
        <w:ind w:left="0" w:hanging="2"/>
        <w:rPr>
          <w:sz w:val="24"/>
          <w:szCs w:val="24"/>
        </w:rPr>
      </w:pPr>
      <w:r>
        <w:rPr>
          <w:sz w:val="24"/>
          <w:szCs w:val="24"/>
        </w:rPr>
        <w:t>NOVELINO, Maria Carmen de Araújo. </w:t>
      </w:r>
      <w:r>
        <w:rPr>
          <w:i/>
          <w:sz w:val="24"/>
          <w:szCs w:val="24"/>
        </w:rPr>
        <w:t>Pobreza e cidadania feminina: o desafio das políticas públicas de enfrentamento da pobreza</w:t>
      </w:r>
      <w:r>
        <w:rPr>
          <w:sz w:val="24"/>
          <w:szCs w:val="24"/>
        </w:rPr>
        <w:t>. Brasília: CEPAL/UNIFEM, 2002.</w:t>
      </w:r>
    </w:p>
    <w:p w14:paraId="4A55A371" w14:textId="77777777" w:rsidR="003D5D10" w:rsidRDefault="00B62A11">
      <w:pPr>
        <w:spacing w:before="240" w:after="240" w:line="240" w:lineRule="auto"/>
        <w:ind w:left="0" w:hanging="2"/>
        <w:rPr>
          <w:sz w:val="24"/>
          <w:szCs w:val="24"/>
        </w:rPr>
      </w:pPr>
      <w:r>
        <w:rPr>
          <w:sz w:val="24"/>
          <w:szCs w:val="24"/>
        </w:rPr>
        <w:t xml:space="preserve">PROGRAMA DAS NAÇÕES UNIDAS PARA O DESENVOLVIMENTO (PNUD). </w:t>
      </w:r>
      <w:r>
        <w:rPr>
          <w:i/>
          <w:sz w:val="24"/>
          <w:szCs w:val="24"/>
        </w:rPr>
        <w:t>Relatório de Desenvolvimento Humano 2010: a verdadeira riqueza das nações – caminhos para o desenvolvimento humano</w:t>
      </w:r>
      <w:r>
        <w:rPr>
          <w:sz w:val="24"/>
          <w:szCs w:val="24"/>
        </w:rPr>
        <w:t>. Brasília: PNUD Brasil, 2010.</w:t>
      </w:r>
    </w:p>
    <w:p w14:paraId="526BFA32" w14:textId="77777777" w:rsidR="003D5D10" w:rsidRDefault="00B62A11">
      <w:pPr>
        <w:spacing w:before="240" w:after="240" w:line="240" w:lineRule="auto"/>
        <w:ind w:left="0" w:hanging="2"/>
        <w:rPr>
          <w:sz w:val="24"/>
          <w:szCs w:val="24"/>
        </w:rPr>
      </w:pPr>
      <w:r>
        <w:rPr>
          <w:sz w:val="24"/>
          <w:szCs w:val="24"/>
        </w:rPr>
        <w:t xml:space="preserve">PUPULIM, Pedro. </w:t>
      </w:r>
      <w:r>
        <w:rPr>
          <w:i/>
          <w:sz w:val="24"/>
          <w:szCs w:val="24"/>
        </w:rPr>
        <w:t>Insegurança alimentar grave é 31,4% maior em lares chefiados por mulheres</w:t>
      </w:r>
      <w:r>
        <w:rPr>
          <w:sz w:val="24"/>
          <w:szCs w:val="24"/>
        </w:rPr>
        <w:t>. Veja, 6 mar. 2025. Disponível em:</w:t>
      </w:r>
      <w:hyperlink r:id="rId16">
        <w:r>
          <w:rPr>
            <w:sz w:val="24"/>
            <w:szCs w:val="24"/>
          </w:rPr>
          <w:t xml:space="preserve"> </w:t>
        </w:r>
      </w:hyperlink>
      <w:hyperlink r:id="rId17">
        <w:r>
          <w:rPr>
            <w:color w:val="1155CC"/>
            <w:sz w:val="24"/>
            <w:szCs w:val="24"/>
            <w:u w:val="single"/>
          </w:rPr>
          <w:t>https://veja.abril.com.br/coluna/radar/inseguranca-alimentar-grave-e-314-maior-em-lares-chefiados-por-mulheres/</w:t>
        </w:r>
      </w:hyperlink>
      <w:r>
        <w:rPr>
          <w:sz w:val="24"/>
          <w:szCs w:val="24"/>
        </w:rPr>
        <w:t>. Acesso em: 5 jun. 2025.</w:t>
      </w:r>
    </w:p>
    <w:p w14:paraId="136A2955" w14:textId="77777777" w:rsidR="003D5D10" w:rsidRDefault="00B62A11">
      <w:pPr>
        <w:spacing w:before="240" w:after="240" w:line="240" w:lineRule="auto"/>
        <w:ind w:left="0" w:hanging="2"/>
        <w:rPr>
          <w:sz w:val="24"/>
          <w:szCs w:val="24"/>
        </w:rPr>
      </w:pPr>
      <w:r>
        <w:rPr>
          <w:sz w:val="24"/>
          <w:szCs w:val="24"/>
        </w:rPr>
        <w:t xml:space="preserve">SAFFIOTI, Heleieth Iara Bongiovani. </w:t>
      </w:r>
      <w:r>
        <w:rPr>
          <w:i/>
          <w:sz w:val="24"/>
          <w:szCs w:val="24"/>
        </w:rPr>
        <w:t>Uma mulher: sexo e classes sociais</w:t>
      </w:r>
      <w:r>
        <w:rPr>
          <w:sz w:val="24"/>
          <w:szCs w:val="24"/>
        </w:rPr>
        <w:t>. 2. ed. Rio de Janeiro: Livraria Francisco Alves Editora, 1969.</w:t>
      </w:r>
    </w:p>
    <w:p w14:paraId="6AC05B32" w14:textId="77777777" w:rsidR="003D5D10" w:rsidRDefault="00B62A11">
      <w:pPr>
        <w:spacing w:before="240" w:after="240" w:line="240" w:lineRule="auto"/>
        <w:ind w:left="0" w:hanging="2"/>
        <w:rPr>
          <w:sz w:val="24"/>
          <w:szCs w:val="24"/>
        </w:rPr>
      </w:pPr>
      <w:r>
        <w:rPr>
          <w:sz w:val="24"/>
          <w:szCs w:val="24"/>
        </w:rPr>
        <w:t xml:space="preserve">SILVA, M. O. S. </w:t>
      </w:r>
      <w:r>
        <w:rPr>
          <w:i/>
          <w:sz w:val="24"/>
          <w:szCs w:val="24"/>
        </w:rPr>
        <w:t>Pobreza e desigualdade no Brasil: trajetórias conceituais e interpretativas</w:t>
      </w:r>
      <w:r>
        <w:rPr>
          <w:sz w:val="24"/>
          <w:szCs w:val="24"/>
        </w:rPr>
        <w:t xml:space="preserve">. In: BOSCHETTI, I. et al. (Orgs.). </w:t>
      </w:r>
      <w:r>
        <w:rPr>
          <w:i/>
          <w:sz w:val="24"/>
          <w:szCs w:val="24"/>
        </w:rPr>
        <w:t>Política social no capitalismo: tendências contemporâneas</w:t>
      </w:r>
      <w:r>
        <w:rPr>
          <w:sz w:val="24"/>
          <w:szCs w:val="24"/>
        </w:rPr>
        <w:t>. São Paulo: Cortez, 2003. p. 231-250.</w:t>
      </w:r>
    </w:p>
    <w:p w14:paraId="70778BA4" w14:textId="77777777" w:rsidR="003D5D10" w:rsidRDefault="00B62A11">
      <w:pPr>
        <w:spacing w:before="240" w:after="240" w:line="240" w:lineRule="auto"/>
        <w:ind w:left="0" w:hanging="2"/>
        <w:rPr>
          <w:sz w:val="24"/>
          <w:szCs w:val="24"/>
        </w:rPr>
      </w:pPr>
      <w:r>
        <w:rPr>
          <w:sz w:val="24"/>
          <w:szCs w:val="24"/>
        </w:rPr>
        <w:t xml:space="preserve">SILVEIRA, Mariza. </w:t>
      </w:r>
      <w:r>
        <w:rPr>
          <w:i/>
          <w:sz w:val="24"/>
          <w:szCs w:val="24"/>
        </w:rPr>
        <w:t>Pobreza, desigualdade e políticas públicas: questões para o debate</w:t>
      </w:r>
      <w:r>
        <w:rPr>
          <w:sz w:val="24"/>
          <w:szCs w:val="24"/>
        </w:rPr>
        <w:t xml:space="preserve">. In: SILVEIRA, Mariza; OLIVEIRA, Francisco de. </w:t>
      </w:r>
      <w:r>
        <w:rPr>
          <w:i/>
          <w:sz w:val="24"/>
          <w:szCs w:val="24"/>
        </w:rPr>
        <w:t>Desigualdade e pobreza no Brasil</w:t>
      </w:r>
      <w:r>
        <w:rPr>
          <w:sz w:val="24"/>
          <w:szCs w:val="24"/>
        </w:rPr>
        <w:t>. São Paulo: Editora Vozes, 2004. p. 25-48.</w:t>
      </w:r>
    </w:p>
    <w:p w14:paraId="353503CC" w14:textId="77777777" w:rsidR="003D5D10" w:rsidRDefault="00B62A11">
      <w:pPr>
        <w:spacing w:before="240" w:after="240" w:line="240" w:lineRule="auto"/>
        <w:ind w:left="0" w:hanging="2"/>
        <w:rPr>
          <w:sz w:val="24"/>
          <w:szCs w:val="24"/>
        </w:rPr>
      </w:pPr>
      <w:r>
        <w:rPr>
          <w:sz w:val="24"/>
          <w:szCs w:val="24"/>
        </w:rPr>
        <w:t xml:space="preserve">SOARES, Vera. </w:t>
      </w:r>
      <w:r>
        <w:rPr>
          <w:i/>
          <w:sz w:val="24"/>
          <w:szCs w:val="24"/>
        </w:rPr>
        <w:t>Igualdade de gênero: uma questão de direitos humanos e de justiça social</w:t>
      </w:r>
      <w:r>
        <w:rPr>
          <w:sz w:val="24"/>
          <w:szCs w:val="24"/>
        </w:rPr>
        <w:t xml:space="preserve">. In: BRUSCHINI, Cristina; UNBEHAUM, Sandra (Orgs.). </w:t>
      </w:r>
      <w:r>
        <w:rPr>
          <w:i/>
          <w:sz w:val="24"/>
          <w:szCs w:val="24"/>
        </w:rPr>
        <w:t>Gênero e políticas públicas</w:t>
      </w:r>
      <w:r>
        <w:rPr>
          <w:sz w:val="24"/>
          <w:szCs w:val="24"/>
        </w:rPr>
        <w:t>. São Paulo: Fundação Carlos Chagas, 2006. p. 17-29.</w:t>
      </w:r>
    </w:p>
    <w:p w14:paraId="4DDF6E45" w14:textId="77777777" w:rsidR="003D5D10" w:rsidRDefault="00B62A11">
      <w:pPr>
        <w:spacing w:before="240" w:after="240" w:line="240" w:lineRule="auto"/>
        <w:ind w:left="0" w:hanging="2"/>
        <w:rPr>
          <w:sz w:val="24"/>
          <w:szCs w:val="24"/>
        </w:rPr>
      </w:pPr>
      <w:r>
        <w:rPr>
          <w:sz w:val="24"/>
          <w:szCs w:val="24"/>
        </w:rPr>
        <w:t xml:space="preserve">YAZBEK, Maria Carmelita. </w:t>
      </w:r>
      <w:r>
        <w:rPr>
          <w:i/>
          <w:sz w:val="24"/>
          <w:szCs w:val="24"/>
        </w:rPr>
        <w:t>A pobreza e as formas históricas de seu enfrentamento</w:t>
      </w:r>
      <w:r>
        <w:rPr>
          <w:sz w:val="24"/>
          <w:szCs w:val="24"/>
        </w:rPr>
        <w:t>. Serviço Social &amp; Sociedade, São Paulo, n. 110, p. 288-322, abr./jun. 2012. Disponível em:</w:t>
      </w:r>
      <w:hyperlink r:id="rId18">
        <w:r>
          <w:rPr>
            <w:sz w:val="24"/>
            <w:szCs w:val="24"/>
          </w:rPr>
          <w:t xml:space="preserve"> </w:t>
        </w:r>
      </w:hyperlink>
      <w:hyperlink r:id="rId19">
        <w:r>
          <w:rPr>
            <w:color w:val="1155CC"/>
            <w:sz w:val="24"/>
            <w:szCs w:val="24"/>
            <w:u w:val="single"/>
          </w:rPr>
          <w:t>https://www.scielo.br/j/sssoc/a/X7pK7y7RFsC8wnxB36MDbyx</w:t>
        </w:r>
      </w:hyperlink>
      <w:r>
        <w:rPr>
          <w:sz w:val="24"/>
          <w:szCs w:val="24"/>
        </w:rPr>
        <w:t>. Acesso em: 22 abr. 2025.</w:t>
      </w:r>
    </w:p>
    <w:sectPr w:rsidR="003D5D10">
      <w:headerReference w:type="even" r:id="rId20"/>
      <w:headerReference w:type="default" r:id="rId21"/>
      <w:footerReference w:type="even" r:id="rId22"/>
      <w:footerReference w:type="default" r:id="rId23"/>
      <w:headerReference w:type="first" r:id="rId24"/>
      <w:footerReference w:type="first" r:id="rId25"/>
      <w:pgSz w:w="11909" w:h="16834"/>
      <w:pgMar w:top="1701" w:right="1134" w:bottom="1134" w:left="1701" w:header="3401"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D9350D" w14:textId="77777777" w:rsidR="00261857" w:rsidRDefault="00261857">
      <w:pPr>
        <w:spacing w:line="240" w:lineRule="auto"/>
        <w:ind w:left="-2"/>
      </w:pPr>
      <w:r>
        <w:separator/>
      </w:r>
    </w:p>
  </w:endnote>
  <w:endnote w:type="continuationSeparator" w:id="0">
    <w:p w14:paraId="6E6711BD" w14:textId="77777777" w:rsidR="00261857" w:rsidRDefault="00261857">
      <w:pPr>
        <w:spacing w:line="240" w:lineRule="auto"/>
        <w:ind w:left="-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5501D" w14:textId="77777777" w:rsidR="00114D27" w:rsidRDefault="00114D27">
    <w:pPr>
      <w:pStyle w:val="Rodap"/>
      <w:ind w:lef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624DC2" w14:textId="77777777" w:rsidR="00114D27" w:rsidRDefault="00114D27">
    <w:pPr>
      <w:pStyle w:val="Rodap"/>
      <w:ind w:left="-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BD802" w14:textId="77777777" w:rsidR="00114D27" w:rsidRDefault="00114D27">
    <w:pPr>
      <w:pStyle w:val="Rodap"/>
      <w:ind w:lef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61949" w14:textId="77777777" w:rsidR="00261857" w:rsidRDefault="00261857">
      <w:pPr>
        <w:ind w:left="-2"/>
      </w:pPr>
      <w:r>
        <w:separator/>
      </w:r>
    </w:p>
  </w:footnote>
  <w:footnote w:type="continuationSeparator" w:id="0">
    <w:p w14:paraId="6B9494F8" w14:textId="77777777" w:rsidR="00261857" w:rsidRDefault="00261857">
      <w:pPr>
        <w:ind w:left="-2"/>
      </w:pPr>
      <w:r>
        <w:continuationSeparator/>
      </w:r>
    </w:p>
  </w:footnote>
  <w:footnote w:id="1">
    <w:p w14:paraId="711DA44B" w14:textId="66A66462" w:rsidR="00C73BF4" w:rsidRDefault="00C73BF4" w:rsidP="00C73BF4">
      <w:pPr>
        <w:pStyle w:val="Textodenotaderodap"/>
        <w:ind w:left="0" w:hanging="2"/>
        <w:rPr>
          <w:rFonts w:eastAsia="Times New Roman"/>
          <w:position w:val="0"/>
        </w:rPr>
      </w:pPr>
      <w:r w:rsidRPr="00C73BF4">
        <w:rPr>
          <w:rStyle w:val="Refdenotaderodap"/>
        </w:rPr>
        <w:footnoteRef/>
      </w:r>
      <w:r w:rsidRPr="00C73BF4">
        <w:t>Assistente Social.</w:t>
      </w:r>
      <w:r w:rsidRPr="00C73BF4">
        <w:rPr>
          <w:rFonts w:eastAsia="Times New Roman"/>
          <w:position w:val="0"/>
        </w:rPr>
        <w:t>Mestranda em Políticas Públicas (PPGPP) – Universidade Federal do Maranhão – UFMA. E</w:t>
      </w:r>
      <w:r w:rsidR="00D4792C">
        <w:rPr>
          <w:rFonts w:eastAsia="Times New Roman"/>
          <w:position w:val="0"/>
        </w:rPr>
        <w:t>-</w:t>
      </w:r>
      <w:r w:rsidRPr="00C73BF4">
        <w:rPr>
          <w:rFonts w:eastAsia="Times New Roman"/>
          <w:position w:val="0"/>
        </w:rPr>
        <w:t xml:space="preserve">mail: </w:t>
      </w:r>
      <w:hyperlink r:id="rId1" w:history="1">
        <w:r w:rsidRPr="00C73BF4">
          <w:rPr>
            <w:rStyle w:val="Hyperlink"/>
            <w:rFonts w:eastAsia="Times New Roman"/>
            <w:color w:val="auto"/>
            <w:position w:val="0"/>
            <w:u w:val="none"/>
          </w:rPr>
          <w:t>isabel.barros@discente.ufma.br</w:t>
        </w:r>
      </w:hyperlink>
    </w:p>
    <w:p w14:paraId="6AEF692B" w14:textId="09796260" w:rsidR="00C73BF4" w:rsidRPr="00350788" w:rsidRDefault="00CF2042" w:rsidP="00500A52">
      <w:pPr>
        <w:pStyle w:val="Textodenotaderodap"/>
        <w:ind w:left="0" w:hanging="2"/>
      </w:pPr>
      <w:r>
        <w:rPr>
          <w:rStyle w:val="Refdenotaderodap"/>
        </w:rPr>
        <w:t>2</w:t>
      </w:r>
      <w:r w:rsidR="00500A52">
        <w:t>Assistente Social. Doutora em Políticas Públicas/UFMA.</w:t>
      </w:r>
      <w:r w:rsidR="00350788">
        <w:t xml:space="preserve"> </w:t>
      </w:r>
      <w:r w:rsidR="00500A52">
        <w:t>Professora</w:t>
      </w:r>
      <w:r w:rsidR="00350788">
        <w:t xml:space="preserve"> </w:t>
      </w:r>
      <w:r w:rsidR="00500A52">
        <w:t>Titular</w:t>
      </w:r>
      <w:r w:rsidR="00350788">
        <w:t xml:space="preserve"> </w:t>
      </w:r>
      <w:r w:rsidR="00500A52">
        <w:t>com exercício na graduação em Serviço Social e no Programa de Pós-graduação em Políticas Públicas/UFMA.</w:t>
      </w:r>
      <w:r w:rsidR="00350788">
        <w:t xml:space="preserve"> </w:t>
      </w:r>
      <w:r w:rsidR="00500A52">
        <w:t>E-mail: contato.socorro@gmail.com</w:t>
      </w:r>
    </w:p>
  </w:footnote>
  <w:footnote w:id="2">
    <w:p w14:paraId="6F2612CD" w14:textId="5309EB77" w:rsidR="00C73BF4" w:rsidRDefault="00C73BF4">
      <w:pPr>
        <w:pStyle w:val="Textodenotaderodap"/>
        <w:ind w:left="-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502D0" w14:textId="77777777" w:rsidR="00114D27" w:rsidRDefault="00114D27">
    <w:pPr>
      <w:pStyle w:val="Cabealho"/>
      <w:ind w:left="-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8B3D0" w14:textId="77777777" w:rsidR="003D5D10" w:rsidRDefault="00B62A11">
    <w:pPr>
      <w:ind w:left="0" w:hanging="2"/>
    </w:pPr>
    <w:r>
      <w:rPr>
        <w:noProof/>
      </w:rPr>
      <w:drawing>
        <wp:anchor distT="0" distB="0" distL="0" distR="0" simplePos="0" relativeHeight="251659264" behindDoc="1" locked="0" layoutInCell="1" allowOverlap="1" wp14:anchorId="03CBFB40" wp14:editId="43726F16">
          <wp:simplePos x="0" y="0"/>
          <wp:positionH relativeFrom="page">
            <wp:posOffset>0</wp:posOffset>
          </wp:positionH>
          <wp:positionV relativeFrom="page">
            <wp:posOffset>6985</wp:posOffset>
          </wp:positionV>
          <wp:extent cx="7563485" cy="1072769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referRelativeResize="0"/>
                </pic:nvPicPr>
                <pic:blipFill>
                  <a:blip r:embed="rId1"/>
                  <a:srcRect/>
                  <a:stretch>
                    <a:fillRect/>
                  </a:stretch>
                </pic:blipFill>
                <pic:spPr>
                  <a:xfrm>
                    <a:off x="0" y="0"/>
                    <a:ext cx="7563485" cy="1072769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D7D10" w14:textId="77777777" w:rsidR="00114D27" w:rsidRDefault="00114D27">
    <w:pPr>
      <w:pStyle w:val="Cabealho"/>
      <w:ind w:left="-2"/>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4AC"/>
    <w:rsid w:val="000746A0"/>
    <w:rsid w:val="0009431F"/>
    <w:rsid w:val="000B3A6D"/>
    <w:rsid w:val="00114D27"/>
    <w:rsid w:val="0012640E"/>
    <w:rsid w:val="00184833"/>
    <w:rsid w:val="001B34AC"/>
    <w:rsid w:val="001E3400"/>
    <w:rsid w:val="001F6848"/>
    <w:rsid w:val="00261857"/>
    <w:rsid w:val="00307382"/>
    <w:rsid w:val="00350788"/>
    <w:rsid w:val="003D5D10"/>
    <w:rsid w:val="00500A52"/>
    <w:rsid w:val="005C0EAA"/>
    <w:rsid w:val="00691135"/>
    <w:rsid w:val="006E77DA"/>
    <w:rsid w:val="00926C47"/>
    <w:rsid w:val="0098537B"/>
    <w:rsid w:val="009D501C"/>
    <w:rsid w:val="00A93291"/>
    <w:rsid w:val="00B35D76"/>
    <w:rsid w:val="00B4721E"/>
    <w:rsid w:val="00B62A11"/>
    <w:rsid w:val="00BE572E"/>
    <w:rsid w:val="00BF5450"/>
    <w:rsid w:val="00C1153F"/>
    <w:rsid w:val="00C453CE"/>
    <w:rsid w:val="00C73BF4"/>
    <w:rsid w:val="00CF2042"/>
    <w:rsid w:val="00D000C4"/>
    <w:rsid w:val="00D4792C"/>
    <w:rsid w:val="00D66597"/>
    <w:rsid w:val="00D93BD4"/>
    <w:rsid w:val="00DB2099"/>
    <w:rsid w:val="00E1098F"/>
    <w:rsid w:val="00EA4C04"/>
    <w:rsid w:val="00F159DE"/>
    <w:rsid w:val="00F44608"/>
    <w:rsid w:val="547F3EEF"/>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4BB571"/>
  <w15:docId w15:val="{67A87A39-1DFE-44C2-B778-F18228E22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semiHidden="1" w:unhideWhenUsed="1"/>
    <w:lsdException w:name="Intense Quote" w:semiHidden="1" w:unhideWhenUsed="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360" w:lineRule="auto"/>
      <w:ind w:leftChars="-1" w:left="-1" w:firstLine="709"/>
      <w:jc w:val="both"/>
    </w:pPr>
    <w:rPr>
      <w:position w:val="-1"/>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Pr>
      <w:b/>
      <w:bCs/>
    </w:rPr>
  </w:style>
  <w:style w:type="character" w:styleId="Refdenotaderodap">
    <w:name w:val="footnote reference"/>
    <w:basedOn w:val="Fontepargpadro"/>
    <w:uiPriority w:val="99"/>
    <w:semiHidden/>
    <w:unhideWhenUsed/>
    <w:qFormat/>
    <w:rPr>
      <w:vertAlign w:val="superscript"/>
    </w:rPr>
  </w:style>
  <w:style w:type="paragraph" w:styleId="Ttulo">
    <w:name w:val="Title"/>
    <w:basedOn w:val="Normal"/>
    <w:next w:val="Normal"/>
    <w:uiPriority w:val="10"/>
    <w:qFormat/>
    <w:pPr>
      <w:keepNext/>
      <w:keepLines/>
      <w:spacing w:after="60"/>
    </w:pPr>
    <w:rPr>
      <w:sz w:val="52"/>
      <w:szCs w:val="52"/>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paragraph" w:styleId="Cabealho">
    <w:name w:val="header"/>
    <w:basedOn w:val="Normal"/>
    <w:qFormat/>
    <w:pPr>
      <w:tabs>
        <w:tab w:val="center" w:pos="4252"/>
        <w:tab w:val="right" w:pos="8504"/>
      </w:tabs>
      <w:spacing w:line="240" w:lineRule="auto"/>
    </w:pPr>
  </w:style>
  <w:style w:type="paragraph" w:styleId="Rodap">
    <w:name w:val="footer"/>
    <w:basedOn w:val="Normal"/>
    <w:qFormat/>
    <w:pPr>
      <w:tabs>
        <w:tab w:val="center" w:pos="4252"/>
        <w:tab w:val="right" w:pos="8504"/>
      </w:tabs>
      <w:spacing w:line="240" w:lineRule="auto"/>
    </w:p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link w:val="TextodenotaderodapChar"/>
    <w:uiPriority w:val="99"/>
    <w:semiHidden/>
    <w:unhideWhenUsed/>
    <w:qFormat/>
    <w:pPr>
      <w:spacing w:line="240" w:lineRule="auto"/>
    </w:pPr>
    <w:rPr>
      <w:sz w:val="20"/>
      <w:szCs w:val="20"/>
    </w:rPr>
  </w:style>
  <w:style w:type="table" w:customStyle="1" w:styleId="TableNormal">
    <w:name w:val="TableNormal"/>
    <w:qFormat/>
    <w:tblPr>
      <w:tblCellMar>
        <w:top w:w="0" w:type="dxa"/>
        <w:left w:w="0" w:type="dxa"/>
        <w:bottom w:w="0" w:type="dxa"/>
        <w:right w:w="0" w:type="dxa"/>
      </w:tblCellMar>
    </w:tblPr>
  </w:style>
  <w:style w:type="table" w:customStyle="1" w:styleId="TableNormal0">
    <w:name w:val="Table Normal"/>
    <w:qFormat/>
    <w:pPr>
      <w:suppressAutoHyphens/>
      <w:ind w:hangingChars="1" w:hanging="1"/>
      <w:textAlignment w:val="top"/>
      <w:outlineLvl w:val="0"/>
    </w:pPr>
    <w:rPr>
      <w:position w:val="-1"/>
    </w:rPr>
    <w:tblPr>
      <w:tblCellMar>
        <w:top w:w="0" w:type="dxa"/>
        <w:left w:w="0" w:type="dxa"/>
        <w:bottom w:w="0" w:type="dxa"/>
        <w:right w:w="0" w:type="dxa"/>
      </w:tblCellMar>
    </w:tblPr>
  </w:style>
  <w:style w:type="character" w:customStyle="1" w:styleId="CabealhoChar">
    <w:name w:val="Cabeçalho Char"/>
    <w:basedOn w:val="Fontepargpadro"/>
    <w:qFormat/>
    <w:rPr>
      <w:w w:val="100"/>
      <w:position w:val="-1"/>
      <w:vertAlign w:val="baseline"/>
      <w:cs w:val="0"/>
    </w:rPr>
  </w:style>
  <w:style w:type="character" w:customStyle="1" w:styleId="RodapChar">
    <w:name w:val="Rodapé Char"/>
    <w:basedOn w:val="Fontepargpadro"/>
    <w:qFormat/>
    <w:rPr>
      <w:w w:val="100"/>
      <w:position w:val="-1"/>
      <w:vertAlign w:val="baseline"/>
      <w:cs w:val="0"/>
    </w:rPr>
  </w:style>
  <w:style w:type="character" w:customStyle="1" w:styleId="TextodenotaderodapChar">
    <w:name w:val="Texto de nota de rodapé Char"/>
    <w:basedOn w:val="Fontepargpadro"/>
    <w:link w:val="Textodenotaderodap"/>
    <w:uiPriority w:val="99"/>
    <w:semiHidden/>
    <w:qFormat/>
    <w:rPr>
      <w:position w:val="-1"/>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sid w:val="006E77DA"/>
    <w:rPr>
      <w:color w:val="0000FF" w:themeColor="hyperlink"/>
      <w:u w:val="single"/>
    </w:rPr>
  </w:style>
  <w:style w:type="character" w:styleId="MenoPendente">
    <w:name w:val="Unresolved Mention"/>
    <w:basedOn w:val="Fontepargpadro"/>
    <w:uiPriority w:val="99"/>
    <w:semiHidden/>
    <w:unhideWhenUsed/>
    <w:rsid w:val="006E7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dieese.org.br" TargetMode="External"/><Relationship Id="rId13" Type="http://schemas.openxmlformats.org/officeDocument/2006/relationships/hyperlink" Target="https://agenciadenoticias.ibge.gov.br/agencia-noticias/2012-agencia-de-noticias/noticias/32764-pretos-e-pardos-representam-72-9-dos-moradores-de-favelas-indica-censo-mulheres-tambem-sao-maioria" TargetMode="External"/><Relationship Id="rId18" Type="http://schemas.openxmlformats.org/officeDocument/2006/relationships/hyperlink" Target="https://www.scielo.br/j/sssoc/a/X7pK7y7RFsC8wnxB36MDbyx"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ibge.gov.br/estatisticas/multidominio/genero/20163-estatisticas-de-genero-indicadores-sociais-das-mulheres-no-brasil.html?=&amp;t=o-que-e" TargetMode="External"/><Relationship Id="rId17" Type="http://schemas.openxmlformats.org/officeDocument/2006/relationships/hyperlink" Target="https://veja.abril.com.br/coluna/radar/inseguranca-alimentar-grave-e-314-maior-em-lares-chefiados-por-mulhere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veja.abril.com.br/coluna/radar/inseguranca-alimentar-grave-e-314-maior-em-lares-chefiados-por-mulheres/"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enso2022.ibge.gov.br"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ipea.gov.br/retrato" TargetMode="External"/><Relationship Id="rId23" Type="http://schemas.openxmlformats.org/officeDocument/2006/relationships/footer" Target="footer2.xml"/><Relationship Id="rId10" Type="http://schemas.openxmlformats.org/officeDocument/2006/relationships/hyperlink" Target="https://censo2022.ibge.gov.br" TargetMode="External"/><Relationship Id="rId19" Type="http://schemas.openxmlformats.org/officeDocument/2006/relationships/hyperlink" Target="https://www.scielo.br/j/sssoc/a/X7pK7y7RFsC8wnxB36MDbyx" TargetMode="External"/><Relationship Id="rId4" Type="http://schemas.openxmlformats.org/officeDocument/2006/relationships/settings" Target="settings.xml"/><Relationship Id="rId9" Type="http://schemas.openxmlformats.org/officeDocument/2006/relationships/hyperlink" Target="https://www.dieese.org.br" TargetMode="External"/><Relationship Id="rId14" Type="http://schemas.openxmlformats.org/officeDocument/2006/relationships/hyperlink" Target="https://www.ipea.gov.br/retrato" TargetMode="External"/><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isabel.barros@discente.ufma.b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m4HVFdYSkg8qU3VXM0MMQOf1hg==">CgMxLjA4AHIhMTZzUmhiTkY0ZUpoRXN4a0VyLXVnSm5HV3NqR2hyNWhE</go:docsCustomData>
</go:gDocsCustomXmlDataStorage>
</file>

<file path=customXml/itemProps1.xml><?xml version="1.0" encoding="utf-8"?>
<ds:datastoreItem xmlns:ds="http://schemas.openxmlformats.org/officeDocument/2006/customXml" ds:itemID="{22643FF0-9A83-4AD7-BCA6-8CAF50C6E181}">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12</Pages>
  <Words>4034</Words>
  <Characters>21787</Characters>
  <Application>Microsoft Office Word</Application>
  <DocSecurity>0</DocSecurity>
  <Lines>181</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Isabel Barros</cp:lastModifiedBy>
  <cp:revision>7</cp:revision>
  <dcterms:created xsi:type="dcterms:W3CDTF">2025-06-21T15:37:00Z</dcterms:created>
  <dcterms:modified xsi:type="dcterms:W3CDTF">2025-06-21T16:23:00Z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1046-12.2.0.21179</vt:lpwstr>
  </property>
  <property fmtid="{D5CDD505-2E9C-101B-9397-08002B2CF9AE}" pid="3" name="ICV">
    <vt:lpwstr>78CAF84616CD412BAE8A65CC07344A55_13</vt:lpwstr>
  </property>
</Properties>
</file>