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27D82" w14:textId="77777777" w:rsidR="00077A51" w:rsidRPr="00E91A4E" w:rsidRDefault="007D352C" w:rsidP="006720B0">
      <w:pPr>
        <w:spacing w:line="240" w:lineRule="auto"/>
        <w:ind w:right="142"/>
        <w:jc w:val="center"/>
        <w:rPr>
          <w:b/>
          <w:sz w:val="24"/>
          <w:szCs w:val="24"/>
        </w:rPr>
      </w:pPr>
      <w:r w:rsidRPr="00E91A4E">
        <w:rPr>
          <w:b/>
          <w:sz w:val="24"/>
          <w:szCs w:val="24"/>
        </w:rPr>
        <w:t>ACOLHIMENTO INSTITUCIONAL DE CRIANÇAS E ADOLESCENTES:</w:t>
      </w:r>
    </w:p>
    <w:p w14:paraId="2757274D" w14:textId="77777777" w:rsidR="00FE4A86" w:rsidRPr="00E91A4E" w:rsidRDefault="00FE4A86" w:rsidP="006720B0">
      <w:pPr>
        <w:spacing w:line="240" w:lineRule="auto"/>
        <w:ind w:right="142"/>
        <w:jc w:val="center"/>
        <w:rPr>
          <w:sz w:val="24"/>
          <w:szCs w:val="24"/>
        </w:rPr>
      </w:pPr>
      <w:r w:rsidRPr="00E91A4E">
        <w:rPr>
          <w:sz w:val="24"/>
          <w:szCs w:val="24"/>
        </w:rPr>
        <w:t>Da institucionalidade ao processo de desligamento obrigatório no âmbito do Estado do Maranhão</w:t>
      </w:r>
    </w:p>
    <w:p w14:paraId="261F6519" w14:textId="77777777" w:rsidR="00CE560F" w:rsidRPr="004D2AD2" w:rsidRDefault="00CE560F" w:rsidP="00955791">
      <w:pPr>
        <w:spacing w:line="240" w:lineRule="auto"/>
        <w:ind w:right="142"/>
        <w:jc w:val="center"/>
        <w:rPr>
          <w:b/>
          <w:sz w:val="24"/>
          <w:szCs w:val="24"/>
        </w:rPr>
      </w:pPr>
    </w:p>
    <w:p w14:paraId="16181780" w14:textId="3C085130" w:rsidR="00077A51" w:rsidRPr="00E91A4E" w:rsidRDefault="007D352C" w:rsidP="00955791">
      <w:pPr>
        <w:spacing w:line="240" w:lineRule="auto"/>
        <w:ind w:right="142"/>
        <w:jc w:val="center"/>
        <w:rPr>
          <w:b/>
          <w:sz w:val="24"/>
          <w:szCs w:val="24"/>
          <w:lang w:val="en-US"/>
        </w:rPr>
      </w:pPr>
      <w:r w:rsidRPr="00E91A4E">
        <w:rPr>
          <w:b/>
          <w:sz w:val="24"/>
          <w:szCs w:val="24"/>
          <w:lang w:val="en-US"/>
        </w:rPr>
        <w:t>INSTITUTIONAL RECEIPT OF CHILDREN AND ADOLESCENTS:</w:t>
      </w:r>
    </w:p>
    <w:p w14:paraId="0E4C36D4" w14:textId="77777777" w:rsidR="00FE4A86" w:rsidRPr="004B509F" w:rsidRDefault="00FE4A86" w:rsidP="00955791">
      <w:pPr>
        <w:spacing w:line="240" w:lineRule="auto"/>
        <w:ind w:right="142"/>
        <w:jc w:val="center"/>
        <w:rPr>
          <w:sz w:val="24"/>
          <w:szCs w:val="24"/>
          <w:lang w:val="en-US"/>
        </w:rPr>
      </w:pPr>
      <w:r w:rsidRPr="004B509F">
        <w:rPr>
          <w:sz w:val="24"/>
          <w:szCs w:val="24"/>
          <w:lang w:val="en-US"/>
        </w:rPr>
        <w:t>From institutionalization to the mandatory disconnection process in the state of Maranhão</w:t>
      </w:r>
    </w:p>
    <w:p w14:paraId="244C4980" w14:textId="77777777" w:rsidR="00077A51" w:rsidRPr="00A61463" w:rsidRDefault="00077A51">
      <w:pPr>
        <w:spacing w:line="360" w:lineRule="auto"/>
        <w:jc w:val="both"/>
        <w:rPr>
          <w:sz w:val="24"/>
          <w:szCs w:val="24"/>
          <w:lang w:val="en-US"/>
        </w:rPr>
      </w:pPr>
    </w:p>
    <w:p w14:paraId="1DAC77FD" w14:textId="6E293478" w:rsidR="00077A51" w:rsidRPr="00E91A4E" w:rsidRDefault="007D352C" w:rsidP="00A01028">
      <w:pPr>
        <w:spacing w:line="240" w:lineRule="auto"/>
        <w:jc w:val="right"/>
        <w:rPr>
          <w:b/>
          <w:sz w:val="24"/>
          <w:szCs w:val="24"/>
        </w:rPr>
      </w:pPr>
      <w:r w:rsidRPr="00E91A4E">
        <w:rPr>
          <w:sz w:val="24"/>
          <w:szCs w:val="24"/>
          <w:lang w:val="en-US"/>
        </w:rPr>
        <w:t xml:space="preserve">                                                                   </w:t>
      </w:r>
      <w:r w:rsidR="00955791" w:rsidRPr="00E91A4E">
        <w:rPr>
          <w:sz w:val="24"/>
          <w:szCs w:val="24"/>
          <w:lang w:val="en-US"/>
        </w:rPr>
        <w:t xml:space="preserve"> </w:t>
      </w:r>
      <w:r w:rsidRPr="00E91A4E">
        <w:rPr>
          <w:sz w:val="24"/>
          <w:szCs w:val="24"/>
          <w:lang w:val="en-US"/>
        </w:rPr>
        <w:t xml:space="preserve">               </w:t>
      </w:r>
      <w:r w:rsidR="006343C0" w:rsidRPr="00E91A4E">
        <w:rPr>
          <w:sz w:val="24"/>
          <w:szCs w:val="24"/>
          <w:lang w:val="en-US"/>
        </w:rPr>
        <w:t xml:space="preserve">  </w:t>
      </w:r>
      <w:r w:rsidR="005454B9" w:rsidRPr="00E91A4E">
        <w:rPr>
          <w:sz w:val="24"/>
          <w:szCs w:val="24"/>
          <w:lang w:val="en-US"/>
        </w:rPr>
        <w:t xml:space="preserve"> </w:t>
      </w:r>
      <w:r w:rsidRPr="00E91A4E">
        <w:rPr>
          <w:sz w:val="24"/>
          <w:szCs w:val="24"/>
          <w:lang w:val="en-US"/>
        </w:rPr>
        <w:t xml:space="preserve"> </w:t>
      </w:r>
      <w:r w:rsidR="0077094B">
        <w:rPr>
          <w:b/>
          <w:sz w:val="24"/>
          <w:szCs w:val="24"/>
        </w:rPr>
        <w:t>Anne Mary Reis Pereira</w:t>
      </w:r>
      <w:r w:rsidR="0077094B">
        <w:rPr>
          <w:rStyle w:val="Refdenotaderodap"/>
          <w:b/>
          <w:sz w:val="24"/>
          <w:szCs w:val="24"/>
        </w:rPr>
        <w:footnoteReference w:id="1"/>
      </w:r>
    </w:p>
    <w:p w14:paraId="1FB7AC83" w14:textId="307754B1" w:rsidR="00077A51" w:rsidRDefault="007D352C" w:rsidP="00A01028">
      <w:pPr>
        <w:spacing w:line="240" w:lineRule="auto"/>
        <w:jc w:val="right"/>
        <w:rPr>
          <w:b/>
          <w:sz w:val="24"/>
          <w:szCs w:val="24"/>
        </w:rPr>
      </w:pPr>
      <w:r w:rsidRPr="00E91A4E">
        <w:rPr>
          <w:b/>
          <w:sz w:val="24"/>
          <w:szCs w:val="24"/>
        </w:rPr>
        <w:t xml:space="preserve">                                                                                     </w:t>
      </w:r>
      <w:r w:rsidR="006343C0" w:rsidRPr="00E91A4E">
        <w:rPr>
          <w:b/>
          <w:sz w:val="24"/>
          <w:szCs w:val="24"/>
        </w:rPr>
        <w:t xml:space="preserve"> </w:t>
      </w:r>
      <w:r w:rsidR="00187DC2" w:rsidRPr="00E91A4E">
        <w:rPr>
          <w:b/>
          <w:sz w:val="24"/>
          <w:szCs w:val="24"/>
        </w:rPr>
        <w:t xml:space="preserve"> </w:t>
      </w:r>
      <w:r w:rsidR="0077094B">
        <w:rPr>
          <w:b/>
          <w:sz w:val="24"/>
          <w:szCs w:val="24"/>
        </w:rPr>
        <w:t>Cássius Guimarães Chai</w:t>
      </w:r>
      <w:r w:rsidR="0077094B">
        <w:rPr>
          <w:rStyle w:val="Refdenotaderodap"/>
          <w:b/>
          <w:sz w:val="24"/>
          <w:szCs w:val="24"/>
        </w:rPr>
        <w:footnoteReference w:id="2"/>
      </w:r>
    </w:p>
    <w:p w14:paraId="6CF8E4BD" w14:textId="50BBB5F0" w:rsidR="00C124BA" w:rsidRPr="00E91A4E" w:rsidRDefault="00C124BA" w:rsidP="00A01028">
      <w:pPr>
        <w:spacing w:line="240" w:lineRule="auto"/>
        <w:jc w:val="right"/>
        <w:rPr>
          <w:b/>
          <w:sz w:val="24"/>
          <w:szCs w:val="24"/>
        </w:rPr>
      </w:pPr>
      <w:r>
        <w:rPr>
          <w:b/>
          <w:sz w:val="24"/>
          <w:szCs w:val="24"/>
        </w:rPr>
        <w:t xml:space="preserve">                                                           </w:t>
      </w:r>
      <w:r w:rsidR="00C60ECE">
        <w:rPr>
          <w:b/>
          <w:sz w:val="24"/>
          <w:szCs w:val="24"/>
        </w:rPr>
        <w:t xml:space="preserve">                       </w:t>
      </w:r>
      <w:r>
        <w:rPr>
          <w:b/>
          <w:sz w:val="24"/>
          <w:szCs w:val="24"/>
        </w:rPr>
        <w:t>Mariana Lucena Sousa Santos</w:t>
      </w:r>
      <w:r>
        <w:rPr>
          <w:rStyle w:val="Refdenotaderodap"/>
          <w:b/>
          <w:sz w:val="24"/>
          <w:szCs w:val="24"/>
        </w:rPr>
        <w:footnoteReference w:id="3"/>
      </w:r>
    </w:p>
    <w:p w14:paraId="1814B801" w14:textId="77777777" w:rsidR="008A53B8" w:rsidRPr="00E91A4E" w:rsidRDefault="008A53B8" w:rsidP="000D07DA">
      <w:pPr>
        <w:spacing w:line="240" w:lineRule="auto"/>
        <w:jc w:val="both"/>
        <w:rPr>
          <w:b/>
          <w:sz w:val="24"/>
          <w:szCs w:val="24"/>
        </w:rPr>
      </w:pPr>
    </w:p>
    <w:p w14:paraId="0BD2057F" w14:textId="6BD7C029" w:rsidR="006343C0" w:rsidRDefault="006343C0" w:rsidP="006343C0">
      <w:pPr>
        <w:spacing w:line="240" w:lineRule="auto"/>
        <w:ind w:left="2268"/>
        <w:jc w:val="both"/>
        <w:rPr>
          <w:b/>
          <w:sz w:val="24"/>
          <w:szCs w:val="24"/>
        </w:rPr>
      </w:pPr>
      <w:r>
        <w:rPr>
          <w:b/>
          <w:sz w:val="24"/>
          <w:szCs w:val="24"/>
        </w:rPr>
        <w:t xml:space="preserve">       </w:t>
      </w:r>
      <w:r w:rsidR="008A1580">
        <w:rPr>
          <w:b/>
          <w:sz w:val="24"/>
          <w:szCs w:val="24"/>
        </w:rPr>
        <w:t xml:space="preserve"> </w:t>
      </w:r>
      <w:r w:rsidR="007D352C">
        <w:rPr>
          <w:b/>
          <w:sz w:val="24"/>
          <w:szCs w:val="24"/>
        </w:rPr>
        <w:t>Resumo</w:t>
      </w:r>
    </w:p>
    <w:p w14:paraId="5923E75F" w14:textId="43D3E905" w:rsidR="006343C0" w:rsidRDefault="00A61463" w:rsidP="00954A0C">
      <w:pPr>
        <w:spacing w:before="2" w:line="240" w:lineRule="auto"/>
        <w:ind w:left="2835" w:right="142"/>
        <w:jc w:val="both"/>
        <w:rPr>
          <w:sz w:val="20"/>
          <w:szCs w:val="20"/>
        </w:rPr>
      </w:pPr>
      <w:r w:rsidRPr="006343C0">
        <w:rPr>
          <w:sz w:val="20"/>
          <w:szCs w:val="20"/>
        </w:rPr>
        <w:t>Este estudo aborda o acolhimento institucional de crianças e adolescentes no Maranhão, conforme o Estatuto da</w:t>
      </w:r>
      <w:r w:rsidR="00954A0C">
        <w:rPr>
          <w:sz w:val="20"/>
          <w:szCs w:val="20"/>
        </w:rPr>
        <w:t xml:space="preserve"> Criança e do Adolescente (ECA), para destacar a importância de </w:t>
      </w:r>
      <w:r w:rsidR="009A7EF9">
        <w:rPr>
          <w:sz w:val="20"/>
          <w:szCs w:val="20"/>
        </w:rPr>
        <w:t xml:space="preserve">ações </w:t>
      </w:r>
      <w:r w:rsidR="00954A0C">
        <w:rPr>
          <w:sz w:val="20"/>
          <w:szCs w:val="20"/>
        </w:rPr>
        <w:t>que envolvam a desistitucionalização. Inicialmente, será explorado</w:t>
      </w:r>
      <w:r w:rsidRPr="006343C0">
        <w:rPr>
          <w:sz w:val="20"/>
          <w:szCs w:val="20"/>
        </w:rPr>
        <w:t xml:space="preserve"> o conceito e contexto histórico do acolhimento no Brasil e Maranhão, desde a Roda dos Expostos até a atualidade. </w:t>
      </w:r>
      <w:r w:rsidR="00954A0C">
        <w:rPr>
          <w:sz w:val="20"/>
          <w:szCs w:val="20"/>
        </w:rPr>
        <w:t>Será analisado</w:t>
      </w:r>
      <w:r w:rsidRPr="006343C0">
        <w:rPr>
          <w:sz w:val="20"/>
          <w:szCs w:val="20"/>
        </w:rPr>
        <w:t xml:space="preserve"> os desafios na preparação para o desligamento dos adolescentes em transição para a vida adulta.</w:t>
      </w:r>
      <w:r w:rsidR="00954A0C">
        <w:rPr>
          <w:sz w:val="20"/>
          <w:szCs w:val="20"/>
        </w:rPr>
        <w:t xml:space="preserve"> Por fim, a</w:t>
      </w:r>
      <w:r w:rsidR="009A7EF9">
        <w:rPr>
          <w:sz w:val="20"/>
          <w:szCs w:val="20"/>
        </w:rPr>
        <w:t xml:space="preserve"> pesquisa também investigará </w:t>
      </w:r>
      <w:r w:rsidRPr="006343C0">
        <w:rPr>
          <w:sz w:val="20"/>
          <w:szCs w:val="20"/>
        </w:rPr>
        <w:t xml:space="preserve">a existência de políticas públicas eficazes, com base em entrevistas com promotores de justiça. </w:t>
      </w:r>
      <w:r w:rsidR="009A7EF9">
        <w:rPr>
          <w:sz w:val="20"/>
          <w:szCs w:val="20"/>
        </w:rPr>
        <w:t>O trabalho</w:t>
      </w:r>
      <w:r w:rsidR="00954A0C" w:rsidRPr="006343C0">
        <w:rPr>
          <w:sz w:val="20"/>
          <w:szCs w:val="20"/>
        </w:rPr>
        <w:t xml:space="preserve"> visa descrever os posicionamentos doutrinários relevantes</w:t>
      </w:r>
      <w:r w:rsidR="00954A0C">
        <w:rPr>
          <w:sz w:val="20"/>
          <w:szCs w:val="20"/>
        </w:rPr>
        <w:t xml:space="preserve">, </w:t>
      </w:r>
      <w:r w:rsidR="00954A0C" w:rsidRPr="006343C0">
        <w:rPr>
          <w:sz w:val="20"/>
          <w:szCs w:val="20"/>
        </w:rPr>
        <w:t>utilizando metodologia</w:t>
      </w:r>
      <w:r w:rsidR="009A7EF9">
        <w:rPr>
          <w:sz w:val="20"/>
          <w:szCs w:val="20"/>
        </w:rPr>
        <w:t xml:space="preserve"> dedutiva, com abordagem qualitativa, através do uso de fontes bibliográficas, documentais e entrevistas especificas. </w:t>
      </w:r>
    </w:p>
    <w:p w14:paraId="4AA48F37" w14:textId="77777777" w:rsidR="00954A0C" w:rsidRPr="006343C0" w:rsidRDefault="00954A0C" w:rsidP="00954A0C">
      <w:pPr>
        <w:spacing w:before="2" w:line="240" w:lineRule="auto"/>
        <w:ind w:left="2835" w:right="142"/>
        <w:jc w:val="both"/>
        <w:rPr>
          <w:sz w:val="20"/>
          <w:szCs w:val="20"/>
        </w:rPr>
      </w:pPr>
    </w:p>
    <w:p w14:paraId="3F5300BD" w14:textId="46E4C752" w:rsidR="006A4786" w:rsidRPr="004D2AD2" w:rsidRDefault="007D352C" w:rsidP="00470422">
      <w:pPr>
        <w:spacing w:line="240" w:lineRule="auto"/>
        <w:ind w:left="2835" w:right="142"/>
        <w:jc w:val="both"/>
        <w:rPr>
          <w:sz w:val="20"/>
          <w:szCs w:val="20"/>
          <w:lang w:val="en-US"/>
        </w:rPr>
      </w:pPr>
      <w:r w:rsidRPr="006343C0">
        <w:rPr>
          <w:b/>
          <w:sz w:val="20"/>
          <w:szCs w:val="20"/>
        </w:rPr>
        <w:t>Palavras-chave:</w:t>
      </w:r>
      <w:r w:rsidR="006343C0">
        <w:rPr>
          <w:b/>
          <w:sz w:val="24"/>
          <w:szCs w:val="24"/>
        </w:rPr>
        <w:t xml:space="preserve"> </w:t>
      </w:r>
      <w:r w:rsidR="0077094B">
        <w:rPr>
          <w:sz w:val="20"/>
          <w:szCs w:val="20"/>
        </w:rPr>
        <w:t xml:space="preserve">Acolhimento. ECA. Políticas Públicas. </w:t>
      </w:r>
      <w:r w:rsidRPr="004D2AD2">
        <w:rPr>
          <w:sz w:val="20"/>
          <w:szCs w:val="20"/>
          <w:lang w:val="en-US"/>
        </w:rPr>
        <w:t>Adolescentes</w:t>
      </w:r>
      <w:r w:rsidR="00955791" w:rsidRPr="004D2AD2">
        <w:rPr>
          <w:sz w:val="20"/>
          <w:szCs w:val="20"/>
          <w:lang w:val="en-US"/>
        </w:rPr>
        <w:t>.</w:t>
      </w:r>
    </w:p>
    <w:p w14:paraId="12C21B76" w14:textId="170F4190" w:rsidR="00077A51" w:rsidRPr="00A61463" w:rsidRDefault="008A1580" w:rsidP="00470422">
      <w:pPr>
        <w:spacing w:line="240" w:lineRule="auto"/>
        <w:jc w:val="both"/>
        <w:rPr>
          <w:b/>
          <w:sz w:val="24"/>
          <w:szCs w:val="24"/>
          <w:lang w:val="en-US"/>
        </w:rPr>
      </w:pPr>
      <w:r w:rsidRPr="004D2AD2">
        <w:rPr>
          <w:b/>
          <w:sz w:val="24"/>
          <w:szCs w:val="24"/>
          <w:lang w:val="en-US"/>
        </w:rPr>
        <w:t xml:space="preserve">                                          </w:t>
      </w:r>
      <w:r w:rsidR="007D352C" w:rsidRPr="00A61463">
        <w:rPr>
          <w:b/>
          <w:sz w:val="24"/>
          <w:szCs w:val="24"/>
          <w:lang w:val="en-US"/>
        </w:rPr>
        <w:t>Abstract</w:t>
      </w:r>
    </w:p>
    <w:p w14:paraId="004C326A" w14:textId="68509B2D" w:rsidR="008A1580" w:rsidRPr="008A1580" w:rsidRDefault="009A7EF9" w:rsidP="009A7EF9">
      <w:pPr>
        <w:spacing w:before="2" w:line="240" w:lineRule="auto"/>
        <w:ind w:left="2835" w:right="142"/>
        <w:jc w:val="both"/>
        <w:rPr>
          <w:sz w:val="20"/>
          <w:szCs w:val="20"/>
          <w:lang w:val="en-US"/>
        </w:rPr>
      </w:pPr>
      <w:r w:rsidRPr="009A7EF9">
        <w:rPr>
          <w:sz w:val="20"/>
          <w:szCs w:val="20"/>
          <w:lang w:val="en-US"/>
        </w:rPr>
        <w:t xml:space="preserve">This study looks at institutional foster care for children and adolescents in Maranhão, in accordance with the Statute of the Child and Adolescent (ECA), </w:t>
      </w:r>
      <w:r w:rsidR="0006591C" w:rsidRPr="009A7EF9">
        <w:rPr>
          <w:sz w:val="20"/>
          <w:szCs w:val="20"/>
          <w:lang w:val="en-US"/>
        </w:rPr>
        <w:t>to</w:t>
      </w:r>
      <w:r w:rsidRPr="009A7EF9">
        <w:rPr>
          <w:sz w:val="20"/>
          <w:szCs w:val="20"/>
          <w:lang w:val="en-US"/>
        </w:rPr>
        <w:t xml:space="preserve"> highlight the importance of actions that involve de-institutionalization. Initially, the concept and historical context of foster care in Brazil and Maranhão will be explored, from the </w:t>
      </w:r>
      <w:r>
        <w:rPr>
          <w:sz w:val="20"/>
          <w:szCs w:val="20"/>
          <w:lang w:val="en-US"/>
        </w:rPr>
        <w:t>“</w:t>
      </w:r>
      <w:r w:rsidRPr="009A7EF9">
        <w:rPr>
          <w:sz w:val="20"/>
          <w:szCs w:val="20"/>
          <w:lang w:val="en-US"/>
        </w:rPr>
        <w:t>Wheel of the Exposed</w:t>
      </w:r>
      <w:r>
        <w:rPr>
          <w:sz w:val="20"/>
          <w:szCs w:val="20"/>
          <w:lang w:val="en-US"/>
        </w:rPr>
        <w:t>”</w:t>
      </w:r>
      <w:r w:rsidRPr="009A7EF9">
        <w:rPr>
          <w:sz w:val="20"/>
          <w:szCs w:val="20"/>
          <w:lang w:val="en-US"/>
        </w:rPr>
        <w:t xml:space="preserve"> to the present day. The challenges of preparing adolescents in transition to adulthood for disconnection will be analyzed. Finally, the research will also investigate the existence of effective public policies, based on interviews with prosecutors. The work aims to describe the relevant doctrinal positions, using deductive methodology, with a qualitative approach, </w:t>
      </w:r>
      <w:r w:rsidR="0006591C" w:rsidRPr="009A7EF9">
        <w:rPr>
          <w:sz w:val="20"/>
          <w:szCs w:val="20"/>
          <w:lang w:val="en-US"/>
        </w:rPr>
        <w:t>using</w:t>
      </w:r>
      <w:r w:rsidRPr="009A7EF9">
        <w:rPr>
          <w:sz w:val="20"/>
          <w:szCs w:val="20"/>
          <w:lang w:val="en-US"/>
        </w:rPr>
        <w:t xml:space="preserve"> bibliographic and documentary s</w:t>
      </w:r>
      <w:r>
        <w:rPr>
          <w:sz w:val="20"/>
          <w:szCs w:val="20"/>
          <w:lang w:val="en-US"/>
        </w:rPr>
        <w:t>ources and specific interviews.</w:t>
      </w:r>
    </w:p>
    <w:p w14:paraId="2A47C90C" w14:textId="0E90C8C8" w:rsidR="000D7E0E" w:rsidRPr="004D2AD2" w:rsidRDefault="007D352C" w:rsidP="00187DC2">
      <w:pPr>
        <w:spacing w:before="2" w:line="240" w:lineRule="auto"/>
        <w:ind w:left="2835" w:right="142"/>
        <w:jc w:val="both"/>
        <w:rPr>
          <w:sz w:val="20"/>
          <w:szCs w:val="20"/>
        </w:rPr>
      </w:pPr>
      <w:r w:rsidRPr="008A1580">
        <w:rPr>
          <w:b/>
          <w:sz w:val="20"/>
          <w:szCs w:val="20"/>
          <w:lang w:val="en-US"/>
        </w:rPr>
        <w:lastRenderedPageBreak/>
        <w:t>Keywords</w:t>
      </w:r>
      <w:r w:rsidR="0077094B">
        <w:rPr>
          <w:sz w:val="20"/>
          <w:szCs w:val="20"/>
          <w:lang w:val="en-US"/>
        </w:rPr>
        <w:t xml:space="preserve">: Reception. Child and Adolescent Statute. </w:t>
      </w:r>
      <w:r w:rsidR="0077094B" w:rsidRPr="004D2AD2">
        <w:rPr>
          <w:sz w:val="20"/>
          <w:szCs w:val="20"/>
        </w:rPr>
        <w:t xml:space="preserve">Public Policies. </w:t>
      </w:r>
      <w:r w:rsidR="00E0213D">
        <w:rPr>
          <w:sz w:val="20"/>
          <w:szCs w:val="20"/>
          <w:lang w:val="en-US"/>
        </w:rPr>
        <w:t>Adolescence</w:t>
      </w:r>
      <w:r w:rsidRPr="004D2AD2">
        <w:rPr>
          <w:sz w:val="20"/>
          <w:szCs w:val="20"/>
        </w:rPr>
        <w:t>.</w:t>
      </w:r>
    </w:p>
    <w:p w14:paraId="070E8DD0" w14:textId="77777777" w:rsidR="005E2DD2" w:rsidRPr="004D2AD2" w:rsidRDefault="005E2DD2" w:rsidP="005E2DD2">
      <w:pPr>
        <w:spacing w:before="2" w:line="240" w:lineRule="auto"/>
        <w:ind w:right="142"/>
        <w:jc w:val="both"/>
        <w:rPr>
          <w:sz w:val="20"/>
          <w:szCs w:val="20"/>
        </w:rPr>
      </w:pPr>
    </w:p>
    <w:p w14:paraId="3CA0307D" w14:textId="453C4B96" w:rsidR="00AE7B60" w:rsidRPr="00AE7B60" w:rsidRDefault="002E759E" w:rsidP="00150FAC">
      <w:pPr>
        <w:spacing w:line="360" w:lineRule="auto"/>
        <w:jc w:val="both"/>
        <w:rPr>
          <w:sz w:val="20"/>
          <w:szCs w:val="20"/>
        </w:rPr>
      </w:pPr>
      <w:r>
        <w:rPr>
          <w:b/>
          <w:sz w:val="24"/>
          <w:szCs w:val="24"/>
        </w:rPr>
        <w:t xml:space="preserve">1 </w:t>
      </w:r>
      <w:r w:rsidR="007D352C">
        <w:rPr>
          <w:b/>
          <w:sz w:val="24"/>
          <w:szCs w:val="24"/>
        </w:rPr>
        <w:t>INTRODUÇÃO</w:t>
      </w:r>
    </w:p>
    <w:p w14:paraId="694FB84F" w14:textId="6A94782A" w:rsidR="00E372A3" w:rsidRPr="00C95511" w:rsidRDefault="00C95511" w:rsidP="00150FAC">
      <w:pPr>
        <w:spacing w:line="360" w:lineRule="auto"/>
        <w:ind w:firstLine="709"/>
        <w:jc w:val="both"/>
        <w:rPr>
          <w:sz w:val="24"/>
          <w:szCs w:val="24"/>
        </w:rPr>
      </w:pPr>
      <w:r w:rsidRPr="00C95511">
        <w:rPr>
          <w:sz w:val="24"/>
          <w:szCs w:val="24"/>
        </w:rPr>
        <w:t>A Santa Casa da Misericórdia, criada em Portugal em 1498 e instalada no Maranhão em 1693, foi um dos primeiros locais a acolher crianças abandonadas por mulheres, muitas em situação de pobreza extrema e maternidade solo, que recorriam à Roda dos Expostos</w:t>
      </w:r>
      <w:r>
        <w:rPr>
          <w:rStyle w:val="Refdenotaderodap"/>
          <w:sz w:val="24"/>
          <w:szCs w:val="24"/>
        </w:rPr>
        <w:footnoteReference w:id="4"/>
      </w:r>
      <w:r w:rsidRPr="00C95511">
        <w:rPr>
          <w:sz w:val="24"/>
          <w:szCs w:val="24"/>
        </w:rPr>
        <w:t xml:space="preserve"> por não conseguirem sustentar seus filhos. Essas práticas, marcadas por influências religiosas e uma sociedade elitista, espalharam-se pelo país e perduraram mesmo após a monarquia, até que, ao longo do tempo, as políticas de atenção à infância migraram da caridade religiosa para a responsabilidade do Estado, consolidando a compreensão de que a proteção das crianças é dever de toda a sociedade.</w:t>
      </w:r>
    </w:p>
    <w:p w14:paraId="552FB3D5" w14:textId="6D71A759" w:rsidR="004963DD" w:rsidRPr="00C95511" w:rsidRDefault="00F102E1" w:rsidP="00C95511">
      <w:pPr>
        <w:spacing w:line="360" w:lineRule="auto"/>
        <w:jc w:val="both"/>
        <w:rPr>
          <w:sz w:val="24"/>
          <w:szCs w:val="24"/>
        </w:rPr>
      </w:pPr>
      <w:r>
        <w:rPr>
          <w:sz w:val="24"/>
          <w:szCs w:val="24"/>
        </w:rPr>
        <w:t xml:space="preserve">       </w:t>
      </w:r>
      <w:r w:rsidR="00416EC0">
        <w:rPr>
          <w:sz w:val="24"/>
          <w:szCs w:val="24"/>
        </w:rPr>
        <w:t xml:space="preserve"> </w:t>
      </w:r>
      <w:r w:rsidR="00655447" w:rsidRPr="00655447">
        <w:rPr>
          <w:sz w:val="24"/>
          <w:szCs w:val="24"/>
        </w:rPr>
        <w:t>Segundo dados do Sistema Nacional de Adoção e Acolhimento (</w:t>
      </w:r>
      <w:r w:rsidR="0077094B">
        <w:rPr>
          <w:sz w:val="24"/>
          <w:szCs w:val="24"/>
        </w:rPr>
        <w:t>SNA)</w:t>
      </w:r>
      <w:r w:rsidR="00C95511">
        <w:rPr>
          <w:rStyle w:val="Refdenotaderodap"/>
          <w:sz w:val="24"/>
          <w:szCs w:val="24"/>
        </w:rPr>
        <w:footnoteReference w:id="5"/>
      </w:r>
      <w:r w:rsidR="00655447" w:rsidRPr="00655447">
        <w:rPr>
          <w:sz w:val="24"/>
          <w:szCs w:val="24"/>
        </w:rPr>
        <w:t>, há atualmente 34.504 crianças e adolescentes em situação de acolhimento no Brasil, sendo que as meninas e as crianças negras representam a maior parte desse grupo. A Fundação Abrinq (2023) aponta que 46,5% das crianças com até seis anos vivem em extrema pobreza — o que corresponde a cerca de 9,4 milhões de crianças —, das quais aproximadamente 3,3 milhões enfrentam condições que comprometem sua dignidade e desenvolvimento. Essa realidade não se distancia significativamente da vivida, no passado, pelos chamados “enjeitados”, perpetuada pela desig</w:t>
      </w:r>
      <w:r w:rsidR="000C1C4C">
        <w:rPr>
          <w:sz w:val="24"/>
          <w:szCs w:val="24"/>
        </w:rPr>
        <w:t>ualdade socioeconômica.</w:t>
      </w:r>
    </w:p>
    <w:p w14:paraId="7CDC0D8D" w14:textId="77777777" w:rsidR="00C95511" w:rsidRDefault="00C613F9" w:rsidP="007A3587">
      <w:pPr>
        <w:spacing w:line="360" w:lineRule="auto"/>
        <w:jc w:val="both"/>
        <w:rPr>
          <w:sz w:val="24"/>
          <w:szCs w:val="24"/>
        </w:rPr>
      </w:pPr>
      <w:r>
        <w:rPr>
          <w:sz w:val="24"/>
          <w:szCs w:val="24"/>
        </w:rPr>
        <w:t xml:space="preserve">         </w:t>
      </w:r>
      <w:r w:rsidR="00655447" w:rsidRPr="00655447">
        <w:rPr>
          <w:sz w:val="24"/>
          <w:szCs w:val="24"/>
        </w:rPr>
        <w:t xml:space="preserve">Diante desse cenário, compreender o funcionamento do acolhimento institucional no Brasil e suas implicações é fundamental para dimensionar a importância de políticas públicas voltadas à proteção integral de crianças e adolescentes. Assim, o presente estudo teve como objetivo analisar, a partir de uma perspectiva histórica, o processo de institucionalização da infância até o momento do </w:t>
      </w:r>
      <w:r w:rsidR="00655447" w:rsidRPr="00655447">
        <w:rPr>
          <w:sz w:val="24"/>
          <w:szCs w:val="24"/>
        </w:rPr>
        <w:lastRenderedPageBreak/>
        <w:t xml:space="preserve">desligamento obrigatório, com ênfase na atuação do Ministério Público frente às demandas relacionadas à vulnerabilidade social. </w:t>
      </w:r>
    </w:p>
    <w:p w14:paraId="334C1F58" w14:textId="7238E8D5" w:rsidR="00C95511" w:rsidRPr="00037551" w:rsidRDefault="001D1005" w:rsidP="008934BF">
      <w:pPr>
        <w:spacing w:line="360" w:lineRule="auto"/>
        <w:ind w:firstLine="709"/>
        <w:jc w:val="both"/>
        <w:rPr>
          <w:sz w:val="24"/>
          <w:szCs w:val="24"/>
        </w:rPr>
      </w:pPr>
      <w:r w:rsidRPr="00037551">
        <w:rPr>
          <w:sz w:val="24"/>
          <w:szCs w:val="24"/>
        </w:rPr>
        <w:t>A relevância social deste estudo reside na reflexão crítica acerca da necessidade de institucionalização de crianças e adolescentes, consid</w:t>
      </w:r>
      <w:r w:rsidR="008934BF" w:rsidRPr="00037551">
        <w:rPr>
          <w:sz w:val="24"/>
          <w:szCs w:val="24"/>
        </w:rPr>
        <w:t xml:space="preserve">erando os impactos dessa medida. </w:t>
      </w:r>
      <w:r w:rsidRPr="00037551">
        <w:rPr>
          <w:sz w:val="24"/>
          <w:szCs w:val="24"/>
        </w:rPr>
        <w:t>Do ponto de vista jurídico, a discussão se mostra imprescindível para a garantia do princípio do melhor interesse da criança e do adolescente, bem como para a efetivação do direito à convivência familiar e comunitária. Em termos pessoais e profissionais, a temática revela-se significativa em virtude da vivência direta com a realidade do acolhimento institucional, tanto na trajetória de vida quanto na prática profissional, conferindo ao estudo um olhar sensível e comprometido com a transformação social.</w:t>
      </w:r>
    </w:p>
    <w:p w14:paraId="0AA72814" w14:textId="3F8D85A0" w:rsidR="00912132" w:rsidRPr="00037551" w:rsidRDefault="00655447" w:rsidP="00954A0C">
      <w:pPr>
        <w:spacing w:line="360" w:lineRule="auto"/>
        <w:ind w:firstLine="709"/>
        <w:jc w:val="both"/>
        <w:rPr>
          <w:sz w:val="24"/>
          <w:szCs w:val="24"/>
        </w:rPr>
      </w:pPr>
      <w:r w:rsidRPr="00037551">
        <w:rPr>
          <w:sz w:val="24"/>
          <w:szCs w:val="24"/>
        </w:rPr>
        <w:t xml:space="preserve">Para isso, </w:t>
      </w:r>
      <w:r w:rsidR="00C95511" w:rsidRPr="00037551">
        <w:rPr>
          <w:sz w:val="24"/>
          <w:szCs w:val="24"/>
        </w:rPr>
        <w:t>utilizou-se o método dedutivo, através de</w:t>
      </w:r>
      <w:r w:rsidRPr="00037551">
        <w:rPr>
          <w:sz w:val="24"/>
          <w:szCs w:val="24"/>
        </w:rPr>
        <w:t xml:space="preserve"> uma abordagem qualitativa, baseada em revisão bibliográfica de livros, artigos científicos e legislações específicas, além da realização de entrevistas semiestruturadas com promotores de justiça da Infância e Juventude. A combinação dessas técnicas possibilitou um aprofundamento teórico e prático sobre o tema. </w:t>
      </w:r>
    </w:p>
    <w:p w14:paraId="1E3C406F" w14:textId="77777777" w:rsidR="00F76957" w:rsidRPr="00037551" w:rsidRDefault="00F76957" w:rsidP="007A3587">
      <w:pPr>
        <w:spacing w:line="360" w:lineRule="auto"/>
        <w:jc w:val="both"/>
        <w:rPr>
          <w:sz w:val="24"/>
          <w:szCs w:val="24"/>
        </w:rPr>
      </w:pPr>
    </w:p>
    <w:p w14:paraId="13AAE4CA" w14:textId="49155B95" w:rsidR="00A27893" w:rsidRDefault="0010104D">
      <w:pPr>
        <w:spacing w:line="360" w:lineRule="auto"/>
        <w:jc w:val="both"/>
        <w:rPr>
          <w:b/>
          <w:sz w:val="24"/>
          <w:szCs w:val="24"/>
        </w:rPr>
      </w:pPr>
      <w:r>
        <w:rPr>
          <w:b/>
          <w:sz w:val="24"/>
          <w:szCs w:val="24"/>
        </w:rPr>
        <w:t>2</w:t>
      </w:r>
      <w:r w:rsidR="00D1168C">
        <w:rPr>
          <w:b/>
          <w:sz w:val="24"/>
          <w:szCs w:val="24"/>
        </w:rPr>
        <w:t xml:space="preserve"> </w:t>
      </w:r>
      <w:r>
        <w:rPr>
          <w:b/>
          <w:sz w:val="24"/>
          <w:szCs w:val="24"/>
        </w:rPr>
        <w:t>HISTÓRICO</w:t>
      </w:r>
      <w:r w:rsidRPr="0010104D">
        <w:rPr>
          <w:b/>
          <w:sz w:val="24"/>
          <w:szCs w:val="24"/>
        </w:rPr>
        <w:t xml:space="preserve"> DO ASSISTENCIALISMO NA INFÂNCIA</w:t>
      </w:r>
      <w:r w:rsidR="00A27893">
        <w:rPr>
          <w:b/>
          <w:sz w:val="24"/>
          <w:szCs w:val="24"/>
        </w:rPr>
        <w:t xml:space="preserve"> E O ADVENTO DO ESTATUTO DA CRIANÇA E DO ADOLESCENTE (ECA)</w:t>
      </w:r>
    </w:p>
    <w:p w14:paraId="66C3B9C4" w14:textId="6BA1A788" w:rsidR="00C150F1" w:rsidRPr="00C150F1" w:rsidRDefault="001631C9" w:rsidP="00E81139">
      <w:pPr>
        <w:spacing w:line="360" w:lineRule="auto"/>
        <w:jc w:val="both"/>
        <w:rPr>
          <w:bCs/>
          <w:sz w:val="24"/>
          <w:szCs w:val="24"/>
        </w:rPr>
      </w:pPr>
      <w:r>
        <w:rPr>
          <w:bCs/>
          <w:sz w:val="24"/>
          <w:szCs w:val="24"/>
        </w:rPr>
        <w:t xml:space="preserve">       </w:t>
      </w:r>
      <w:r w:rsidR="00AB3933">
        <w:rPr>
          <w:bCs/>
          <w:sz w:val="24"/>
          <w:szCs w:val="24"/>
        </w:rPr>
        <w:t xml:space="preserve"> </w:t>
      </w:r>
      <w:r w:rsidR="00C150F1" w:rsidRPr="00C150F1">
        <w:rPr>
          <w:bCs/>
          <w:sz w:val="24"/>
          <w:szCs w:val="24"/>
        </w:rPr>
        <w:t xml:space="preserve">O Brasil Colônia marcou o início da criação da chamada Roda dos Expostos, uma estrutura utilizada para o abandono anônimo de crianças. Essa prática se expandiu durante o período imperial, consolidou-se na República e só foi extinta definitivamente em 1950. </w:t>
      </w:r>
    </w:p>
    <w:p w14:paraId="7DBA7B14" w14:textId="05F2F737" w:rsidR="00C150F1" w:rsidRPr="00C150F1" w:rsidRDefault="003318A5" w:rsidP="00784AE2">
      <w:pPr>
        <w:spacing w:line="360" w:lineRule="auto"/>
        <w:jc w:val="both"/>
        <w:rPr>
          <w:bCs/>
          <w:sz w:val="24"/>
          <w:szCs w:val="24"/>
        </w:rPr>
      </w:pPr>
      <w:r>
        <w:rPr>
          <w:bCs/>
          <w:sz w:val="24"/>
          <w:szCs w:val="24"/>
        </w:rPr>
        <w:t xml:space="preserve">       </w:t>
      </w:r>
      <w:r w:rsidR="002670CF">
        <w:rPr>
          <w:bCs/>
          <w:sz w:val="24"/>
          <w:szCs w:val="24"/>
        </w:rPr>
        <w:t xml:space="preserve"> </w:t>
      </w:r>
      <w:r>
        <w:rPr>
          <w:bCs/>
          <w:sz w:val="24"/>
          <w:szCs w:val="24"/>
        </w:rPr>
        <w:t xml:space="preserve"> </w:t>
      </w:r>
      <w:r w:rsidR="00C150F1" w:rsidRPr="00C150F1">
        <w:rPr>
          <w:bCs/>
          <w:sz w:val="24"/>
          <w:szCs w:val="24"/>
        </w:rPr>
        <w:t>Essa foi a forma encontrada pelas autoridades para tentar, dentro das possibilidades do período, enfrentar uma questão social inquietante: a pobreza generalizada. Assim, as instituições recolhiam bebês deixados nesse objeto cilíndrico e cuidavam deles, constituindo-se como uma das práticas mais duradouras de assistencialismo à infância (Marcilio, 1997). Contudo, com o tempo, essas crianças deixavam de ser apenas acolhidas e acabavam sendo aproveitadas como mão de obra, já na juventude ou vida adulta.</w:t>
      </w:r>
    </w:p>
    <w:p w14:paraId="7610972A" w14:textId="33A50E8F" w:rsidR="00C150F1" w:rsidRPr="00C150F1" w:rsidRDefault="0048398A" w:rsidP="00C150F1">
      <w:pPr>
        <w:spacing w:line="360" w:lineRule="auto"/>
        <w:jc w:val="both"/>
        <w:rPr>
          <w:bCs/>
          <w:sz w:val="24"/>
          <w:szCs w:val="24"/>
        </w:rPr>
      </w:pPr>
      <w:r>
        <w:rPr>
          <w:bCs/>
          <w:sz w:val="24"/>
          <w:szCs w:val="24"/>
        </w:rPr>
        <w:lastRenderedPageBreak/>
        <w:t xml:space="preserve">         </w:t>
      </w:r>
      <w:r w:rsidR="00C150F1" w:rsidRPr="00C150F1">
        <w:rPr>
          <w:bCs/>
          <w:sz w:val="24"/>
          <w:szCs w:val="24"/>
        </w:rPr>
        <w:t>É</w:t>
      </w:r>
      <w:r w:rsidR="002670CF">
        <w:rPr>
          <w:bCs/>
          <w:sz w:val="24"/>
          <w:szCs w:val="24"/>
        </w:rPr>
        <w:t xml:space="preserve"> </w:t>
      </w:r>
      <w:r w:rsidR="00C150F1" w:rsidRPr="00C150F1">
        <w:rPr>
          <w:bCs/>
          <w:sz w:val="24"/>
          <w:szCs w:val="24"/>
        </w:rPr>
        <w:t xml:space="preserve">importante ressaltar que, naquele contexto, não havia uma distinção clara entre infância e adolescência: ambas as fases eram marcadas pelo trabalho precoce e, em muitos casos, por condições de vida comparáveis à escravidão (LIMA; PÁDUA, 2022). Além disso, a prática de "criar filhos alheios", muitas vezes de forma informal e sem vínculos legais, permaneceu culturalmente aceita ao longo dos séculos. </w:t>
      </w:r>
    </w:p>
    <w:p w14:paraId="4FF01153" w14:textId="5E2C4B0E" w:rsidR="00C150F1" w:rsidRPr="00C150F1" w:rsidRDefault="00AE3E1A" w:rsidP="00C150F1">
      <w:pPr>
        <w:spacing w:line="360" w:lineRule="auto"/>
        <w:jc w:val="both"/>
        <w:rPr>
          <w:bCs/>
          <w:sz w:val="24"/>
          <w:szCs w:val="24"/>
        </w:rPr>
      </w:pPr>
      <w:r>
        <w:rPr>
          <w:bCs/>
          <w:sz w:val="24"/>
          <w:szCs w:val="24"/>
        </w:rPr>
        <w:t xml:space="preserve">         </w:t>
      </w:r>
      <w:r w:rsidR="00C150F1" w:rsidRPr="00C150F1">
        <w:rPr>
          <w:bCs/>
          <w:sz w:val="24"/>
          <w:szCs w:val="24"/>
        </w:rPr>
        <w:t xml:space="preserve">Durante mais de um século, essa foi a realidade de milhares de crianças recém-nascidas ou não muitas das quais cresceram em instituições conhecidas como “orfanatos”. Essas estruturas, que priorizavam o isolamento e o controle, hoje são superadas por novas terminologias e diretrizes. </w:t>
      </w:r>
    </w:p>
    <w:p w14:paraId="65B97D2B" w14:textId="6CE69140" w:rsidR="00C150F1" w:rsidRDefault="0035745C" w:rsidP="00C150F1">
      <w:pPr>
        <w:spacing w:line="360" w:lineRule="auto"/>
        <w:jc w:val="both"/>
        <w:rPr>
          <w:bCs/>
          <w:sz w:val="24"/>
          <w:szCs w:val="24"/>
        </w:rPr>
      </w:pPr>
      <w:r>
        <w:rPr>
          <w:bCs/>
          <w:sz w:val="24"/>
          <w:szCs w:val="24"/>
        </w:rPr>
        <w:t xml:space="preserve">         </w:t>
      </w:r>
      <w:r w:rsidR="00C150F1" w:rsidRPr="00C150F1">
        <w:rPr>
          <w:bCs/>
          <w:sz w:val="24"/>
          <w:szCs w:val="24"/>
        </w:rPr>
        <w:t>A partir desse cenário, observa-se que a infância passou historicamente por um processo de invisibilização social e jurídica. Apesar da lentidão em reconhecer essa fase como singular e determinante para o desenvolvimento humano, a promulgação do Estatuto da Criança e do Adolescente (1990) representou um marco importante na construção de uma nova lógica de proteção. O ECA passou a prever o acolhimento institucional apenas como medida excepcional, a ser adotada somente após o esgotamento das possibilidades de permanência familiar.</w:t>
      </w:r>
    </w:p>
    <w:p w14:paraId="6E803B67" w14:textId="0999D0A9" w:rsidR="00C150F1" w:rsidRPr="00C150F1" w:rsidRDefault="00DA5F6F" w:rsidP="00C150F1">
      <w:pPr>
        <w:spacing w:line="360" w:lineRule="auto"/>
        <w:jc w:val="both"/>
        <w:rPr>
          <w:bCs/>
          <w:sz w:val="24"/>
          <w:szCs w:val="24"/>
        </w:rPr>
      </w:pPr>
      <w:r>
        <w:rPr>
          <w:bCs/>
          <w:sz w:val="24"/>
          <w:szCs w:val="24"/>
        </w:rPr>
        <w:t xml:space="preserve">        </w:t>
      </w:r>
      <w:r w:rsidR="00C150F1" w:rsidRPr="00C150F1">
        <w:rPr>
          <w:bCs/>
          <w:sz w:val="24"/>
          <w:szCs w:val="24"/>
        </w:rPr>
        <w:t>Como destaca Freitas (2005), essa transição — de um modelo tutelar para uma abordagem pautada na proteção integral — exige mais do que mudanças legais: requer uma profunda transformação de mentalidades. Para a autora, reconhecer crianças como sujeitos de direitos é um processo contínuo e desafiador, especialmente em sociedades marcadas por desigualdades históricas e heranças autoritárias, como é o caso brasileiro.</w:t>
      </w:r>
    </w:p>
    <w:p w14:paraId="6608ACAB" w14:textId="64484062" w:rsidR="00C150F1" w:rsidRDefault="00D6297A" w:rsidP="00C150F1">
      <w:pPr>
        <w:spacing w:line="360" w:lineRule="auto"/>
        <w:jc w:val="both"/>
        <w:rPr>
          <w:bCs/>
          <w:sz w:val="24"/>
          <w:szCs w:val="24"/>
        </w:rPr>
      </w:pPr>
      <w:r>
        <w:rPr>
          <w:bCs/>
          <w:sz w:val="24"/>
          <w:szCs w:val="24"/>
        </w:rPr>
        <w:t xml:space="preserve">        </w:t>
      </w:r>
      <w:r w:rsidR="00C150F1" w:rsidRPr="00C150F1">
        <w:rPr>
          <w:bCs/>
          <w:sz w:val="24"/>
          <w:szCs w:val="24"/>
        </w:rPr>
        <w:t>Embora o avanço legal representado pelo ECA tenha inaugurado um novo paradigma, muitos resquícios das práticas anteriores persistem. Problemas estruturais, como a desigualdade social, o abandono e a negligência institucionalizada, continuam a afetar milhares de crianças em todo o país.</w:t>
      </w:r>
    </w:p>
    <w:p w14:paraId="030AA196" w14:textId="46BC9825" w:rsidR="00655447" w:rsidRDefault="006A636A" w:rsidP="00F87C57">
      <w:pPr>
        <w:spacing w:line="360" w:lineRule="auto"/>
        <w:jc w:val="both"/>
        <w:rPr>
          <w:bCs/>
          <w:sz w:val="24"/>
          <w:szCs w:val="24"/>
        </w:rPr>
      </w:pPr>
      <w:r>
        <w:rPr>
          <w:bCs/>
          <w:sz w:val="24"/>
          <w:szCs w:val="24"/>
        </w:rPr>
        <w:t xml:space="preserve">        </w:t>
      </w:r>
      <w:r w:rsidR="00C150F1" w:rsidRPr="00C150F1">
        <w:rPr>
          <w:bCs/>
          <w:sz w:val="24"/>
          <w:szCs w:val="24"/>
        </w:rPr>
        <w:t xml:space="preserve">Assim, percebe-se que os debates iniciados há décadas permanecem atuais. A efetivação dos direitos </w:t>
      </w:r>
      <w:r w:rsidR="00FC4B4A" w:rsidRPr="00C150F1">
        <w:rPr>
          <w:bCs/>
          <w:sz w:val="24"/>
          <w:szCs w:val="24"/>
        </w:rPr>
        <w:t>infanto-juvenis</w:t>
      </w:r>
      <w:r w:rsidR="00C150F1" w:rsidRPr="00C150F1">
        <w:rPr>
          <w:bCs/>
          <w:sz w:val="24"/>
          <w:szCs w:val="24"/>
        </w:rPr>
        <w:t>, portanto, exige não apenas políticas públicas consistentes, mas também um esforço coletivo e contínuo de toda a sociedade na construção de uma cultura verdadeiramente protetiva e inclusiva para a infância</w:t>
      </w:r>
      <w:r w:rsidR="00C150F1">
        <w:rPr>
          <w:bCs/>
          <w:sz w:val="24"/>
          <w:szCs w:val="24"/>
        </w:rPr>
        <w:t>.</w:t>
      </w:r>
    </w:p>
    <w:p w14:paraId="2323BF49" w14:textId="77F02FEE" w:rsidR="00054B4E" w:rsidRDefault="00D95363" w:rsidP="00AE7B60">
      <w:pPr>
        <w:pStyle w:val="NormalWeb"/>
        <w:spacing w:after="0" w:afterAutospacing="0" w:line="360" w:lineRule="auto"/>
        <w:rPr>
          <w:rStyle w:val="Forte"/>
          <w:rFonts w:ascii="Arial" w:hAnsi="Arial" w:cs="Arial"/>
        </w:rPr>
      </w:pPr>
      <w:r>
        <w:rPr>
          <w:rFonts w:ascii="Arial" w:hAnsi="Arial" w:cs="Arial"/>
          <w:b/>
          <w:bCs/>
        </w:rPr>
        <w:lastRenderedPageBreak/>
        <w:t>3</w:t>
      </w:r>
      <w:r w:rsidR="00054B4E" w:rsidRPr="00FC4B4A">
        <w:rPr>
          <w:b/>
          <w:bCs/>
        </w:rPr>
        <w:t xml:space="preserve"> </w:t>
      </w:r>
      <w:r w:rsidR="00054B4E" w:rsidRPr="00FC4B4A">
        <w:rPr>
          <w:rStyle w:val="Forte"/>
          <w:rFonts w:ascii="Arial" w:hAnsi="Arial" w:cs="Arial"/>
        </w:rPr>
        <w:t>“É PRECISO UMA ALDEIA INTEIRA PARA CUIDAR DE UMA CRIANÇA”: UMA ANÁLISE CRÍTICA DO ACOLHIMENTO INSTITUCIONAL E DAS LACUNAS NAS POLÍTICAS</w:t>
      </w:r>
      <w:r w:rsidR="00AE7B60">
        <w:rPr>
          <w:rStyle w:val="Forte"/>
          <w:rFonts w:ascii="Arial" w:hAnsi="Arial" w:cs="Arial"/>
        </w:rPr>
        <w:t xml:space="preserve"> PÚBLICAS ANTES E APÓS O DESLIGA</w:t>
      </w:r>
      <w:r w:rsidR="00054B4E" w:rsidRPr="00FC4B4A">
        <w:rPr>
          <w:rStyle w:val="Forte"/>
          <w:rFonts w:ascii="Arial" w:hAnsi="Arial" w:cs="Arial"/>
        </w:rPr>
        <w:t>MENTO</w:t>
      </w:r>
    </w:p>
    <w:p w14:paraId="027528ED" w14:textId="2E6CE72F" w:rsidR="00F87C57" w:rsidRDefault="00F87C57" w:rsidP="00F87C57">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Se o acolhimento institucional visa à</w:t>
      </w:r>
      <w:r w:rsidR="00054B4E">
        <w:rPr>
          <w:rFonts w:ascii="Arial" w:hAnsi="Arial" w:cs="Arial"/>
        </w:rPr>
        <w:t xml:space="preserve"> proteção integral da criança, o</w:t>
      </w:r>
      <w:r w:rsidR="00054B4E" w:rsidRPr="00054B4E">
        <w:rPr>
          <w:rFonts w:ascii="Arial" w:hAnsi="Arial" w:cs="Arial"/>
        </w:rPr>
        <w:t xml:space="preserve"> que significa retirá-la de uma situação de vulnerabilidade, em qualq</w:t>
      </w:r>
      <w:r w:rsidR="00054B4E">
        <w:rPr>
          <w:rFonts w:ascii="Arial" w:hAnsi="Arial" w:cs="Arial"/>
        </w:rPr>
        <w:t>uer estágio em que se encontre,</w:t>
      </w:r>
      <w:r w:rsidR="00054B4E" w:rsidRPr="00054B4E">
        <w:rPr>
          <w:rFonts w:ascii="Arial" w:hAnsi="Arial" w:cs="Arial"/>
        </w:rPr>
        <w:t xml:space="preserve"> trata-se de uma medida que precisa ser aplicada não apenas sob a ótica legal, mas também a partir de um olhar ampliado, qu</w:t>
      </w:r>
      <w:r w:rsidR="00675C79">
        <w:rPr>
          <w:rFonts w:ascii="Arial" w:hAnsi="Arial" w:cs="Arial"/>
        </w:rPr>
        <w:t>e contemple todos os envolvidos.</w:t>
      </w:r>
    </w:p>
    <w:p w14:paraId="725CA74E" w14:textId="22EDC400" w:rsidR="00054B4E" w:rsidRPr="00054B4E" w:rsidRDefault="00554B6F" w:rsidP="00635D3C">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 xml:space="preserve">Esse afastamento do convívio familiar, ainda que previsto no Estatuto da Criança e do Adolescente como medida excepcional e de caráter temporário, não possui uma previsibilidade, podendo a criança ou adolescente permanecer na instituição por um </w:t>
      </w:r>
      <w:r w:rsidR="0006591C" w:rsidRPr="00054B4E">
        <w:rPr>
          <w:rFonts w:ascii="Arial" w:hAnsi="Arial" w:cs="Arial"/>
        </w:rPr>
        <w:t>período</w:t>
      </w:r>
      <w:r w:rsidR="00054B4E" w:rsidRPr="00054B4E">
        <w:rPr>
          <w:rFonts w:ascii="Arial" w:hAnsi="Arial" w:cs="Arial"/>
        </w:rPr>
        <w:t xml:space="preserve"> acima do que se espera. </w:t>
      </w:r>
    </w:p>
    <w:p w14:paraId="678B4967" w14:textId="1E04ED57" w:rsidR="00054B4E" w:rsidRPr="00635D3C" w:rsidRDefault="00635D3C" w:rsidP="00E621B8">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635D3C">
        <w:rPr>
          <w:rFonts w:ascii="Arial" w:hAnsi="Arial" w:cs="Arial"/>
        </w:rPr>
        <w:t>Cabe reforçar aqui o papel do Conselho Tutelar, por ser o primeiro agente a ter contato com o acolhido. É ele quem irá avaliar, considerando que todas as medidas aplicáveis junto à família foram esgotadas, se há necessidade de encaminhamento ao acolhimento institucional, conforme previsto no art. 136, inciso I, da Lei Federal nº 8.069/1990 — Estatuto da Criança e do Adolescente (ECA), que atribui ao órgão a responsabilidade de “atender crianças e adolescentes nas hipóteses previstas nesta Lei, aplicando as medidas de proteção adequadas a cada caso” (BRASIL, 1990, art. 136, I).</w:t>
      </w:r>
    </w:p>
    <w:p w14:paraId="658BEE2D" w14:textId="63F0719B" w:rsidR="00054B4E" w:rsidRPr="00054B4E" w:rsidRDefault="00E621B8" w:rsidP="00E621B8">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635D3C">
        <w:rPr>
          <w:rFonts w:ascii="Arial" w:hAnsi="Arial" w:cs="Arial"/>
        </w:rPr>
        <w:t>Partindo desse preceito, e na tentativa de direcionar a atenção para camadas pouco discutidas, ousamos questionar a institucionalização em sua totalidade, reconhecendo a complexidade desse serviço e compreendendo que, de fato, “é preciso uma aldeia</w:t>
      </w:r>
      <w:r w:rsidR="00054B4E" w:rsidRPr="00054B4E">
        <w:rPr>
          <w:rFonts w:ascii="Arial" w:hAnsi="Arial" w:cs="Arial"/>
        </w:rPr>
        <w:t xml:space="preserve"> inteira para cuidar de uma criança”. Essa complexidade também é apontada por Bronfenbrenner (1996), ao destacar que o desenvolvimento humano se dá em um sistema de relações recíprocas entre o indivíduo e os ambientes nos quais está inserido. O acolhimento institucional, quando isolado da rede comunitária e familiar, pode comprometer essa ecologia do desenvolvimento.</w:t>
      </w:r>
    </w:p>
    <w:p w14:paraId="443D148E" w14:textId="16850A3F" w:rsidR="00054B4E" w:rsidRPr="00054B4E" w:rsidRDefault="005028A1" w:rsidP="00E621B8">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 xml:space="preserve">Esse deve ser um dos principais pontos de atenção dos que integram a rede de proteção, responsável por conduzir as etapas seguintes dessa trajetória, segundo as atribuições que lhes são conferidas. A articulação entre as diferentes instituições que </w:t>
      </w:r>
      <w:r w:rsidR="00054B4E" w:rsidRPr="00054B4E">
        <w:rPr>
          <w:rFonts w:ascii="Arial" w:hAnsi="Arial" w:cs="Arial"/>
        </w:rPr>
        <w:lastRenderedPageBreak/>
        <w:t xml:space="preserve">compõem o Sistema de Garantias de Direitos — como o Judiciário, o Ministério Público, os Conselhos Tutelares, os serviços de saúde, educação e assistência social — é o que Digiácomo (s.d.) descreve como um conjunto interligado de órgãos e entidades voltado à efetivação dos direitos fundamentais de crianças e adolescentes. </w:t>
      </w:r>
    </w:p>
    <w:p w14:paraId="0E84C514" w14:textId="325D1B55" w:rsidR="00320971" w:rsidRPr="00675C79" w:rsidRDefault="00090E4D" w:rsidP="00675C79">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Essa compreensão é reforçada por Rizzini (2004, p. 14), ao analisar o percurso histórico da instituciona</w:t>
      </w:r>
      <w:r w:rsidR="00675C79">
        <w:rPr>
          <w:rFonts w:ascii="Arial" w:hAnsi="Arial" w:cs="Arial"/>
        </w:rPr>
        <w:t>lização, afirmando que as demandas de internatos entre os séculos XIX e XX, não foram enfrentadas com políticas públicas.</w:t>
      </w:r>
    </w:p>
    <w:p w14:paraId="685AA3EC" w14:textId="3D29AABF" w:rsidR="00054B4E" w:rsidRPr="00054B4E" w:rsidRDefault="00397D65" w:rsidP="00230359">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Uma vez detectada a real necessidade de integração da criança ao sistema de proteção, passamos agora a acompanhar o serviço de acolhimento propriamente dito, onde é composto por equipes multiprofissionais que, exercendo seus papéis, irão auxiliar no desenvolvimento e fortalecimento do infante, trabalhando suas potencialidades com as peculiaridades que se lhes apresenta, para que o seu desligamento não represente um segundo abandono. Assim, sua reintegração social se torna possível, considerando que essa é uma das dificuldades enfrentadas por egressos.</w:t>
      </w:r>
    </w:p>
    <w:p w14:paraId="784F75FD" w14:textId="0DB6E987" w:rsidR="00054B4E" w:rsidRPr="00054B4E" w:rsidRDefault="009B153A" w:rsidP="00230359">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Seguindo essa mesma linha, é necessário que, em complemento a esse processo, haja um trabalho voltado para a família, considerando que de lá se originou a causa que o levou para uma instituição. A proposta de reintegração familiar deve vir acompanhada de políticas públicas eficazes que atendam também os responsáveis, com ações de suporte psicossocial, orientação, inserção em programas de geração de renda e acompanhamento continuado — sem isso, há o risco de repetir o ciclo de vulnerabilidade que motivou o afastamento. Como observa Minayo (2000), a desestruturação familiar é resultado de múltiplas vulnerabilidades, que exigem respostas intersetoriais e sensíveis à complexidade social das famílias. Pereira (2009) complementa ao destacar que a fragmentação das políticas públicas compromete a continuidade no cuidado e dificulta a construção de soluções duradouras para as famílias em situação de risco.</w:t>
      </w:r>
    </w:p>
    <w:p w14:paraId="105D7F10" w14:textId="1FBF6CA0" w:rsidR="006D5717" w:rsidRDefault="00557B50" w:rsidP="00230359">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 xml:space="preserve">Esse cuidado estende-se ainda mais quando falamos dos acolhimentos emergenciais, previstos legalmente, mas que quando realizados em larga escala precisam ser revistos e acompanhados de perto por Promotores de Justiça, conforme </w:t>
      </w:r>
      <w:r w:rsidR="00054B4E" w:rsidRPr="00054B4E">
        <w:rPr>
          <w:rFonts w:ascii="Arial" w:hAnsi="Arial" w:cs="Arial"/>
        </w:rPr>
        <w:lastRenderedPageBreak/>
        <w:t>regulamentações do Sistema de Justiça e das normativas complementares do Conselho Nacional do Ministério Público (CNMP).</w:t>
      </w:r>
    </w:p>
    <w:p w14:paraId="4FD184E8" w14:textId="08DF6FDB" w:rsidR="006D5717" w:rsidRDefault="006D5717" w:rsidP="00781009">
      <w:pPr>
        <w:pStyle w:val="NormalWeb"/>
        <w:spacing w:before="0" w:beforeAutospacing="0" w:after="0" w:afterAutospacing="0"/>
        <w:ind w:left="2268"/>
        <w:jc w:val="both"/>
        <w:rPr>
          <w:rFonts w:ascii="Arial" w:hAnsi="Arial" w:cs="Arial"/>
          <w:sz w:val="20"/>
          <w:szCs w:val="20"/>
        </w:rPr>
      </w:pPr>
      <w:r w:rsidRPr="006D5717">
        <w:rPr>
          <w:rFonts w:ascii="Arial" w:hAnsi="Arial" w:cs="Arial"/>
          <w:sz w:val="20"/>
          <w:szCs w:val="20"/>
        </w:rPr>
        <w:t>Art. 93.  As entidades que mantenham programa de acolhimento institucional poderão, em caráter excepcional e de urgência, acolher crianças e adolescentes sem prévia determinação da autoridade competente, fazendo comunicação do fato em até 24 (vinte e quatro) horas ao Juiz da Infância e da Juventude, sob pena de responsabilidade. (Redação dada pe</w:t>
      </w:r>
      <w:r>
        <w:rPr>
          <w:rFonts w:ascii="Arial" w:hAnsi="Arial" w:cs="Arial"/>
          <w:sz w:val="20"/>
          <w:szCs w:val="20"/>
        </w:rPr>
        <w:t>la Lei nº 12.010, de 2009).</w:t>
      </w:r>
    </w:p>
    <w:p w14:paraId="7ED2C992" w14:textId="77777777" w:rsidR="00475421" w:rsidRPr="006D5717" w:rsidRDefault="00475421" w:rsidP="00781009">
      <w:pPr>
        <w:pStyle w:val="NormalWeb"/>
        <w:spacing w:before="0" w:beforeAutospacing="0" w:after="0" w:afterAutospacing="0"/>
        <w:ind w:left="2268"/>
        <w:jc w:val="both"/>
        <w:rPr>
          <w:rFonts w:ascii="Arial" w:hAnsi="Arial" w:cs="Arial"/>
          <w:sz w:val="20"/>
          <w:szCs w:val="20"/>
        </w:rPr>
      </w:pPr>
    </w:p>
    <w:p w14:paraId="74BCD88A" w14:textId="5716C639" w:rsidR="00054B4E" w:rsidRPr="00054B4E" w:rsidRDefault="00475421" w:rsidP="00475421">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É necessário ainda observar o deslocamento de crianças provenientes de cidades do interior para grandes centros, o que evidencia a ausência de políticas públicas locais de acolhimento. Essa transferência, além de fragilizar ainda mais os vínculos familiares, dificulta o trabalho de reintegração, que depende, sobretudo, da proximidade e do fortalecimento contínuo desses laços. Abramovay (2003) destaca que a concentração dos serviços nos grandes centros perpetua desigualdades regionais e compromete a efetividade da proteção. Segundo relatórios do IPEA (2015), a interiorização das políticas sociais enfrenta limitações técnicas e orçamentárias, que dificultam a implementação de serviços especializados em municípios de pequeno porte.</w:t>
      </w:r>
    </w:p>
    <w:p w14:paraId="0BCC206B" w14:textId="12D01A62" w:rsidR="00054B4E" w:rsidRPr="00054B4E" w:rsidRDefault="00AB3933" w:rsidP="00475421">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Para tanto, é imprescindível que o Plano de Acompanhamento Familiar seja adaptado às especificidades desses contextos, prevendo estratégias que favoreçam o contato contínuo com os familiares — como visitas assistidas periódicas, apoio logístico para deslocamentos e o uso de tecnologias de comunicação para estreitar o vínculo entre a criança e seu núcleo de origem. O fortalecimento desses laços, mesmo à distância, é fundamental para evitar rupturas definitivas e permitir que, sempre que possível, a reintegração aconteça de forma segura e afetiva.</w:t>
      </w:r>
    </w:p>
    <w:p w14:paraId="31046D22" w14:textId="31102F34" w:rsidR="00054B4E" w:rsidRDefault="00416EC0" w:rsidP="00B36D33">
      <w:pPr>
        <w:pStyle w:val="NormalWeb"/>
        <w:spacing w:before="0" w:beforeAutospacing="0" w:after="0" w:afterAutospacing="0" w:line="360" w:lineRule="auto"/>
        <w:jc w:val="both"/>
        <w:rPr>
          <w:rFonts w:ascii="Arial" w:hAnsi="Arial" w:cs="Arial"/>
        </w:rPr>
      </w:pPr>
      <w:r>
        <w:rPr>
          <w:rFonts w:ascii="Arial" w:hAnsi="Arial" w:cs="Arial"/>
        </w:rPr>
        <w:t xml:space="preserve">           </w:t>
      </w:r>
      <w:r w:rsidR="00054B4E" w:rsidRPr="00054B4E">
        <w:rPr>
          <w:rFonts w:ascii="Arial" w:hAnsi="Arial" w:cs="Arial"/>
        </w:rPr>
        <w:t>Conclui-se, portanto, que o acolhimento institucional, para cumprir verdadeiramente seu papel de proteção e desenvolvimento integral, precisa ser compreendido como parte de uma rede integrada de cuidado, que envolva não apenas a criança, mas também sua família e comunidade de origem. É necessário superar a lógica de respostas emergenciais e fragmentadas, e consolidar políticas públicas que articulem proteção, prevenção e reintegração, com foco em</w:t>
      </w:r>
      <w:r w:rsidR="00675C79">
        <w:rPr>
          <w:rFonts w:ascii="Arial" w:hAnsi="Arial" w:cs="Arial"/>
        </w:rPr>
        <w:t xml:space="preserve"> vínculos, territórios e afetos</w:t>
      </w:r>
      <w:r w:rsidR="00054B4E" w:rsidRPr="00054B4E">
        <w:rPr>
          <w:rFonts w:ascii="Arial" w:hAnsi="Arial" w:cs="Arial"/>
        </w:rPr>
        <w:t xml:space="preserve">. Somente assim será possível garantir que o desligamento não represente um </w:t>
      </w:r>
      <w:r w:rsidR="00054B4E" w:rsidRPr="00054B4E">
        <w:rPr>
          <w:rFonts w:ascii="Arial" w:hAnsi="Arial" w:cs="Arial"/>
        </w:rPr>
        <w:lastRenderedPageBreak/>
        <w:t>novo rompimento, mas uma etapa de reconstrução de histórias marcadas pela ausência e pela dor, ressignificando-as em trajetórias de pertencimento, dignidade e cidadania.</w:t>
      </w:r>
    </w:p>
    <w:p w14:paraId="54EFAFC9" w14:textId="77777777" w:rsidR="005D166D" w:rsidRPr="00054B4E" w:rsidRDefault="005D166D" w:rsidP="00B36D33">
      <w:pPr>
        <w:pStyle w:val="NormalWeb"/>
        <w:spacing w:before="0" w:beforeAutospacing="0" w:after="0" w:afterAutospacing="0" w:line="360" w:lineRule="auto"/>
        <w:jc w:val="both"/>
        <w:rPr>
          <w:rFonts w:ascii="Arial" w:hAnsi="Arial" w:cs="Arial"/>
        </w:rPr>
      </w:pPr>
    </w:p>
    <w:p w14:paraId="1CA4B34E" w14:textId="621EB9E9" w:rsidR="00D64853" w:rsidRPr="00AE7B60" w:rsidRDefault="004F47ED">
      <w:pPr>
        <w:spacing w:line="360" w:lineRule="auto"/>
        <w:jc w:val="both"/>
        <w:rPr>
          <w:b/>
          <w:sz w:val="24"/>
          <w:szCs w:val="24"/>
        </w:rPr>
      </w:pPr>
      <w:r w:rsidRPr="00FC4B4A">
        <w:rPr>
          <w:b/>
          <w:sz w:val="24"/>
          <w:szCs w:val="24"/>
        </w:rPr>
        <w:t>4</w:t>
      </w:r>
      <w:r w:rsidR="007D352C" w:rsidRPr="00FC4B4A">
        <w:rPr>
          <w:b/>
          <w:sz w:val="24"/>
          <w:szCs w:val="24"/>
        </w:rPr>
        <w:t xml:space="preserve"> DESAFIOS E ATRIBUIÇÕES DO MINISTÉRIO PÚBLICO ESTADUAL NA FISCALIZAÇÃO DAS INSTITUIÇÕES DE ACOLHIMENTO EM SÃO LUÍS</w:t>
      </w:r>
      <w:r w:rsidR="007D352C">
        <w:rPr>
          <w:b/>
          <w:sz w:val="24"/>
          <w:szCs w:val="24"/>
        </w:rPr>
        <w:t xml:space="preserve"> </w:t>
      </w:r>
    </w:p>
    <w:p w14:paraId="6812BA5B" w14:textId="08BA5550" w:rsidR="00600C9F" w:rsidRDefault="000B4D92" w:rsidP="00600C9F">
      <w:pPr>
        <w:spacing w:line="360" w:lineRule="auto"/>
        <w:jc w:val="both"/>
        <w:rPr>
          <w:sz w:val="24"/>
          <w:szCs w:val="24"/>
        </w:rPr>
      </w:pPr>
      <w:r>
        <w:rPr>
          <w:sz w:val="24"/>
          <w:szCs w:val="24"/>
        </w:rPr>
        <w:t xml:space="preserve">          </w:t>
      </w:r>
      <w:r w:rsidR="00DE3C1F">
        <w:rPr>
          <w:sz w:val="24"/>
          <w:szCs w:val="24"/>
        </w:rPr>
        <w:t xml:space="preserve"> </w:t>
      </w:r>
      <w:r w:rsidR="00600C9F" w:rsidRPr="00600C9F">
        <w:rPr>
          <w:sz w:val="24"/>
          <w:szCs w:val="24"/>
        </w:rPr>
        <w:t>A atuação do Ministério Público é indispensável na proteção integral da infância e da adolescência, especialmente na fiscalização d</w:t>
      </w:r>
      <w:r w:rsidR="00AE7B60">
        <w:rPr>
          <w:sz w:val="24"/>
          <w:szCs w:val="24"/>
        </w:rPr>
        <w:t>as instituições de acolhimento.</w:t>
      </w:r>
      <w:r w:rsidR="00DE3C1F">
        <w:rPr>
          <w:sz w:val="24"/>
          <w:szCs w:val="24"/>
        </w:rPr>
        <w:t xml:space="preserve"> </w:t>
      </w:r>
      <w:r w:rsidR="00600C9F" w:rsidRPr="00600C9F">
        <w:rPr>
          <w:sz w:val="24"/>
          <w:szCs w:val="24"/>
        </w:rPr>
        <w:t xml:space="preserve">No Maranhão, esse trabalho é reforçado pelo Centro de Apoio Operacional da Infância e Juventude (CAO-IJ), que oferece suporte estratégico às promotorias de Justiça, com o objetivo de </w:t>
      </w:r>
      <w:r w:rsidR="00AE7B60">
        <w:rPr>
          <w:sz w:val="24"/>
          <w:szCs w:val="24"/>
        </w:rPr>
        <w:t>aprimorar a atuação ministerial.</w:t>
      </w:r>
    </w:p>
    <w:p w14:paraId="6B7AA070" w14:textId="6F6792F6" w:rsidR="00600C9F" w:rsidRDefault="003F3A06" w:rsidP="003F3A06">
      <w:pPr>
        <w:spacing w:line="360" w:lineRule="auto"/>
        <w:jc w:val="both"/>
        <w:rPr>
          <w:sz w:val="24"/>
          <w:szCs w:val="24"/>
        </w:rPr>
      </w:pPr>
      <w:r>
        <w:rPr>
          <w:sz w:val="24"/>
          <w:szCs w:val="24"/>
        </w:rPr>
        <w:t xml:space="preserve">          </w:t>
      </w:r>
      <w:r w:rsidR="00600C9F" w:rsidRPr="00600C9F">
        <w:rPr>
          <w:sz w:val="24"/>
          <w:szCs w:val="24"/>
        </w:rPr>
        <w:t>Com o objetivo de compreender os principais desafios enfrentados pelas instituições de acolhimento em São Luís, realizamos uma entrevista com o Dr. Gleudson Malheiros, coordenador do CAO-IJ no estado, cuja experiência traz importantes insights sobre a fiscalização ministerial e as demandas presentes nesse contexto.</w:t>
      </w:r>
    </w:p>
    <w:p w14:paraId="6F92EA51" w14:textId="221245CD" w:rsidR="00077A51" w:rsidRPr="00AE7B60" w:rsidRDefault="00600C9F" w:rsidP="00AE7B60">
      <w:pPr>
        <w:spacing w:line="240" w:lineRule="auto"/>
        <w:ind w:left="2267"/>
        <w:jc w:val="both"/>
        <w:rPr>
          <w:i/>
          <w:sz w:val="20"/>
          <w:szCs w:val="20"/>
          <w:highlight w:val="white"/>
        </w:rPr>
      </w:pPr>
      <w:r w:rsidRPr="00600C9F">
        <w:rPr>
          <w:b/>
          <w:bCs/>
          <w:sz w:val="20"/>
          <w:szCs w:val="20"/>
          <w:highlight w:val="white"/>
        </w:rPr>
        <w:t>Pergunta 1:</w:t>
      </w:r>
      <w:r w:rsidRPr="00600C9F">
        <w:rPr>
          <w:sz w:val="20"/>
          <w:szCs w:val="20"/>
          <w:highlight w:val="white"/>
        </w:rPr>
        <w:t xml:space="preserve"> Existe algum fator predominante que facilite a permanência prolongada dos acolhidos?</w:t>
      </w:r>
      <w:r w:rsidR="00954A0C">
        <w:rPr>
          <w:sz w:val="20"/>
          <w:szCs w:val="20"/>
          <w:highlight w:val="white"/>
        </w:rPr>
        <w:t xml:space="preserve"> </w:t>
      </w:r>
      <w:r w:rsidR="002A7B4C" w:rsidRPr="002A7B4C">
        <w:rPr>
          <w:i/>
          <w:sz w:val="20"/>
          <w:szCs w:val="20"/>
          <w:highlight w:val="white"/>
        </w:rPr>
        <w:t xml:space="preserve">O Dr. Gleudson explica que a questão do tempo prolongado de acolhimento é recorrente e justificada. “O acolhimento parece ter uma porta grande para entrar, mas pequena para sair. Isso reflete a falta de um trabalho técnico efetivo, com equipes que muitas vezes acabam apenas acumulando crianças em casos emergenciais, sem priorizar a excepcionalidade e temporariedade previstas em lei. Para reduzir esse tempo, é fundamental que as equipes sejam qualificadas e que os casos sejam revisados periodicamente conforme as diretrizes </w:t>
      </w:r>
      <w:r w:rsidR="00FC4B4A" w:rsidRPr="002A7B4C">
        <w:rPr>
          <w:i/>
          <w:sz w:val="20"/>
          <w:szCs w:val="20"/>
          <w:highlight w:val="white"/>
        </w:rPr>
        <w:t>legais</w:t>
      </w:r>
      <w:r w:rsidR="00BD43C7" w:rsidRPr="002A7B4C">
        <w:rPr>
          <w:i/>
          <w:sz w:val="20"/>
          <w:szCs w:val="20"/>
          <w:highlight w:val="white"/>
        </w:rPr>
        <w:t>.”</w:t>
      </w:r>
      <w:r w:rsidR="002A7B4C" w:rsidRPr="002A7B4C">
        <w:rPr>
          <w:i/>
          <w:sz w:val="20"/>
          <w:szCs w:val="20"/>
          <w:highlight w:val="white"/>
        </w:rPr>
        <w:t xml:space="preserve"> Ele também destaca que a ausência de planos individuais de atendimento e estratégias para reintegração familiar contribuem para a permanência prolongada, reforçando a necessidade de fortalecer as equipes técnicas e aprimorar os processos.</w:t>
      </w:r>
      <w:r w:rsidR="007D352C">
        <w:rPr>
          <w:i/>
          <w:sz w:val="24"/>
          <w:szCs w:val="24"/>
          <w:highlight w:val="white"/>
        </w:rPr>
        <w:t xml:space="preserve">        </w:t>
      </w:r>
    </w:p>
    <w:p w14:paraId="27FF54C7" w14:textId="2E67754C" w:rsidR="002A7B4C" w:rsidRPr="002A7B4C" w:rsidRDefault="002A7B4C" w:rsidP="009A2922">
      <w:pPr>
        <w:spacing w:line="240" w:lineRule="auto"/>
        <w:ind w:left="2267"/>
        <w:jc w:val="both"/>
        <w:rPr>
          <w:i/>
          <w:sz w:val="20"/>
          <w:szCs w:val="20"/>
          <w:highlight w:val="white"/>
        </w:rPr>
      </w:pPr>
      <w:r w:rsidRPr="002A7B4C">
        <w:rPr>
          <w:b/>
          <w:bCs/>
          <w:sz w:val="20"/>
          <w:szCs w:val="20"/>
          <w:highlight w:val="white"/>
        </w:rPr>
        <w:t>Pergunta 2:</w:t>
      </w:r>
      <w:r w:rsidRPr="002A7B4C">
        <w:rPr>
          <w:sz w:val="20"/>
          <w:szCs w:val="20"/>
          <w:highlight w:val="white"/>
        </w:rPr>
        <w:t xml:space="preserve"> Quais os principais pontos observados pelo Ministério Público durante as fiscalizações nas instituições?</w:t>
      </w:r>
      <w:r w:rsidR="00954A0C">
        <w:rPr>
          <w:sz w:val="20"/>
          <w:szCs w:val="20"/>
          <w:highlight w:val="white"/>
        </w:rPr>
        <w:t xml:space="preserve"> </w:t>
      </w:r>
      <w:r w:rsidRPr="002A7B4C">
        <w:rPr>
          <w:i/>
          <w:sz w:val="20"/>
          <w:szCs w:val="20"/>
          <w:highlight w:val="white"/>
        </w:rPr>
        <w:t>Segundo o Dr. Gleudson, “o Ministério Público deve fiscalizar todos os tipos de acolhimento — institucional ou familiar — com a presença física do promotor ao menos duas vezes por ano, conforme a Resolução nº 71/2011</w:t>
      </w:r>
      <w:r w:rsidR="00C95511">
        <w:rPr>
          <w:rStyle w:val="Refdenotaderodap"/>
          <w:i/>
          <w:sz w:val="20"/>
          <w:szCs w:val="20"/>
          <w:highlight w:val="white"/>
        </w:rPr>
        <w:footnoteReference w:id="6"/>
      </w:r>
      <w:r w:rsidRPr="002A7B4C">
        <w:rPr>
          <w:i/>
          <w:sz w:val="20"/>
          <w:szCs w:val="20"/>
          <w:highlight w:val="white"/>
        </w:rPr>
        <w:t xml:space="preserve">, atualmente atualizada. </w:t>
      </w:r>
      <w:r w:rsidRPr="002A7B4C">
        <w:rPr>
          <w:i/>
          <w:sz w:val="20"/>
          <w:szCs w:val="20"/>
          <w:highlight w:val="white"/>
        </w:rPr>
        <w:lastRenderedPageBreak/>
        <w:t xml:space="preserve">Durante as visitas, verificamos o número de crianças, a existência de plano pedagógico, a atuação das equipes técnicas e as condições gerais da instituição. Quando identificamos problemas, como falta de alimentação adequada ou condições precárias nos dormitórios, recomendamos as adequações </w:t>
      </w:r>
      <w:r w:rsidR="00675C79" w:rsidRPr="002A7B4C">
        <w:rPr>
          <w:i/>
          <w:sz w:val="20"/>
          <w:szCs w:val="20"/>
          <w:highlight w:val="white"/>
        </w:rPr>
        <w:t>necessárias. ”</w:t>
      </w:r>
      <w:r w:rsidRPr="002A7B4C">
        <w:rPr>
          <w:i/>
          <w:sz w:val="20"/>
          <w:szCs w:val="20"/>
          <w:highlight w:val="white"/>
        </w:rPr>
        <w:t xml:space="preserve"> </w:t>
      </w:r>
    </w:p>
    <w:p w14:paraId="5141B51A" w14:textId="205640C4" w:rsidR="00077A51" w:rsidRDefault="007D352C" w:rsidP="009A2922">
      <w:pPr>
        <w:spacing w:line="240" w:lineRule="auto"/>
        <w:ind w:left="2267"/>
        <w:jc w:val="both"/>
        <w:rPr>
          <w:sz w:val="24"/>
          <w:szCs w:val="24"/>
          <w:highlight w:val="white"/>
        </w:rPr>
      </w:pPr>
      <w:r>
        <w:rPr>
          <w:i/>
          <w:sz w:val="24"/>
          <w:szCs w:val="24"/>
          <w:highlight w:val="white"/>
        </w:rPr>
        <w:t xml:space="preserve">                                               </w:t>
      </w:r>
    </w:p>
    <w:p w14:paraId="215FC8D7" w14:textId="066A6994" w:rsidR="002A7B4C" w:rsidRPr="00FC4B4A" w:rsidRDefault="00C35333">
      <w:pPr>
        <w:spacing w:line="360" w:lineRule="auto"/>
        <w:jc w:val="both"/>
        <w:rPr>
          <w:sz w:val="24"/>
          <w:szCs w:val="24"/>
        </w:rPr>
      </w:pPr>
      <w:r>
        <w:rPr>
          <w:sz w:val="24"/>
          <w:szCs w:val="24"/>
        </w:rPr>
        <w:t xml:space="preserve">        </w:t>
      </w:r>
      <w:r w:rsidR="002A7B4C" w:rsidRPr="002A7B4C">
        <w:rPr>
          <w:sz w:val="24"/>
          <w:szCs w:val="24"/>
        </w:rPr>
        <w:t>Ao abordar o desligamento dos jovens ao atingirem a maioridade, ele enfatiza a importância do suporte para que esses jovens possam se reinserir plenamente na sociedade, destacando a necessidade de políticas públicas que fomentem a inclusão social, educação e qualificação profissional.</w:t>
      </w:r>
    </w:p>
    <w:p w14:paraId="4BCCB72E" w14:textId="101BF9DF" w:rsidR="00FC4B4A" w:rsidRPr="00FC4B4A" w:rsidRDefault="002A7B4C" w:rsidP="00954A0C">
      <w:pPr>
        <w:spacing w:line="240" w:lineRule="auto"/>
        <w:ind w:left="2268"/>
        <w:jc w:val="both"/>
        <w:rPr>
          <w:i/>
          <w:sz w:val="20"/>
          <w:szCs w:val="20"/>
          <w:highlight w:val="white"/>
        </w:rPr>
      </w:pPr>
      <w:r w:rsidRPr="002A7B4C">
        <w:rPr>
          <w:b/>
          <w:bCs/>
          <w:sz w:val="20"/>
          <w:szCs w:val="20"/>
          <w:highlight w:val="white"/>
        </w:rPr>
        <w:t>Pergunta 3:</w:t>
      </w:r>
      <w:r w:rsidRPr="002A7B4C">
        <w:rPr>
          <w:sz w:val="20"/>
          <w:szCs w:val="20"/>
          <w:highlight w:val="white"/>
        </w:rPr>
        <w:t xml:space="preserve"> Quais as principais dificuldades enfrentadas pelos egressos ao deixarem as instituições? E quais políticas públicas apoiam essa transição?</w:t>
      </w:r>
      <w:r>
        <w:rPr>
          <w:i/>
          <w:sz w:val="20"/>
          <w:szCs w:val="20"/>
          <w:highlight w:val="white"/>
        </w:rPr>
        <w:t xml:space="preserve">     </w:t>
      </w:r>
      <w:r w:rsidRPr="002A7B4C">
        <w:rPr>
          <w:i/>
          <w:sz w:val="20"/>
          <w:szCs w:val="20"/>
          <w:highlight w:val="white"/>
        </w:rPr>
        <w:t xml:space="preserve">O Dr. Gleudson aponta que o desligamento abrupto é uma das maiores falhas no processo de acolhimento. “O desligamento não pode ser repentino e deve estar previsto e planejado no Plano Individual de Atendimento desde a adolescência, contemplando a preparação para a vida adulta, como profissionalização e </w:t>
      </w:r>
      <w:r w:rsidR="00FC4B4A" w:rsidRPr="002A7B4C">
        <w:rPr>
          <w:i/>
          <w:sz w:val="20"/>
          <w:szCs w:val="20"/>
          <w:highlight w:val="white"/>
        </w:rPr>
        <w:t>autonomia</w:t>
      </w:r>
      <w:r w:rsidR="00BD43C7" w:rsidRPr="002A7B4C">
        <w:rPr>
          <w:i/>
          <w:sz w:val="20"/>
          <w:szCs w:val="20"/>
          <w:highlight w:val="white"/>
        </w:rPr>
        <w:t>.”</w:t>
      </w:r>
      <w:r w:rsidRPr="002A7B4C">
        <w:rPr>
          <w:i/>
          <w:sz w:val="20"/>
          <w:szCs w:val="20"/>
          <w:highlight w:val="white"/>
        </w:rPr>
        <w:t xml:space="preserve"> Ele destaca que, embora existam políticas públicas, como as repúblicas para jovens que completam 18 anos, sua implementação ainda é insuficiente. “A quantidade de repúblicas disponíveis é muito baixa, o que limita o apoio aos egressos e compromete a efetividade das </w:t>
      </w:r>
      <w:r w:rsidR="00FC4B4A">
        <w:rPr>
          <w:i/>
          <w:sz w:val="20"/>
          <w:szCs w:val="20"/>
          <w:highlight w:val="white"/>
        </w:rPr>
        <w:t xml:space="preserve">políticas. </w:t>
      </w:r>
    </w:p>
    <w:p w14:paraId="6AB42265" w14:textId="214C577D" w:rsidR="006D5717" w:rsidRDefault="006D5717" w:rsidP="00FC4B4A">
      <w:pPr>
        <w:spacing w:line="240" w:lineRule="auto"/>
        <w:jc w:val="both"/>
        <w:rPr>
          <w:sz w:val="20"/>
          <w:szCs w:val="20"/>
        </w:rPr>
      </w:pPr>
    </w:p>
    <w:p w14:paraId="4188ABC5" w14:textId="26BBC017" w:rsidR="004D2495" w:rsidRDefault="002801AF">
      <w:pPr>
        <w:spacing w:line="360" w:lineRule="auto"/>
        <w:jc w:val="both"/>
        <w:rPr>
          <w:sz w:val="20"/>
          <w:szCs w:val="20"/>
          <w:highlight w:val="white"/>
        </w:rPr>
      </w:pPr>
      <w:r>
        <w:rPr>
          <w:sz w:val="24"/>
          <w:szCs w:val="24"/>
        </w:rPr>
        <w:t xml:space="preserve">        </w:t>
      </w:r>
      <w:r w:rsidR="002A7B4C" w:rsidRPr="002A7B4C">
        <w:rPr>
          <w:sz w:val="24"/>
          <w:szCs w:val="24"/>
        </w:rPr>
        <w:t>Em suma, a entrevista evidencia a necessidade de maior atenção e ação do poder público para garantir direitos fundamentais, como moradia digna e privacidade, além de fiscalizações mais frequentes e aprofundadas. Também ressalta a importância da capacitação contínua dos agentes responsáveis pelo acompanhamento dos acolhidos, especialmente durante o processo de desinstitucionalização e reintegração social.</w:t>
      </w:r>
    </w:p>
    <w:p w14:paraId="60656539" w14:textId="77777777" w:rsidR="00270BA3" w:rsidRPr="00270BA3" w:rsidRDefault="00270BA3">
      <w:pPr>
        <w:spacing w:line="360" w:lineRule="auto"/>
        <w:jc w:val="both"/>
        <w:rPr>
          <w:sz w:val="20"/>
          <w:szCs w:val="20"/>
          <w:highlight w:val="white"/>
        </w:rPr>
      </w:pPr>
    </w:p>
    <w:p w14:paraId="72D9B288" w14:textId="28DF5160" w:rsidR="00E13457" w:rsidRPr="00AE7B60" w:rsidRDefault="007D352C" w:rsidP="0040647B">
      <w:pPr>
        <w:spacing w:line="360" w:lineRule="auto"/>
        <w:jc w:val="both"/>
        <w:rPr>
          <w:b/>
          <w:sz w:val="24"/>
          <w:szCs w:val="24"/>
          <w:highlight w:val="white"/>
        </w:rPr>
      </w:pPr>
      <w:r>
        <w:rPr>
          <w:b/>
          <w:sz w:val="24"/>
          <w:szCs w:val="24"/>
          <w:highlight w:val="white"/>
        </w:rPr>
        <w:t>6 CONCLUSÃO</w:t>
      </w:r>
    </w:p>
    <w:p w14:paraId="4C98B14C" w14:textId="10F71B29" w:rsidR="0040647B" w:rsidRPr="003C57A7" w:rsidRDefault="00081582" w:rsidP="0040647B">
      <w:pPr>
        <w:spacing w:line="360" w:lineRule="auto"/>
        <w:jc w:val="both"/>
        <w:rPr>
          <w:sz w:val="24"/>
          <w:szCs w:val="24"/>
        </w:rPr>
      </w:pPr>
      <w:r w:rsidRPr="0040647B">
        <w:rPr>
          <w:sz w:val="24"/>
          <w:szCs w:val="24"/>
        </w:rPr>
        <w:t xml:space="preserve">        </w:t>
      </w:r>
      <w:r w:rsidR="0040647B" w:rsidRPr="005D166D">
        <w:rPr>
          <w:sz w:val="24"/>
          <w:szCs w:val="24"/>
        </w:rPr>
        <w:t>O percurso analítico empreendido confirma que o acolhimento institucional, tal como hoje estruturado, ainda opera como um remédio emergencial que, ao atenuar a violação de direitos no plano imediato, falha em reconfigurar as causas sistêmicas da exclusão que precipitaram a medida protetiva. O desligamento, por sua vez, converte</w:t>
      </w:r>
      <w:r w:rsidR="0040647B" w:rsidRPr="005D166D">
        <w:rPr>
          <w:rFonts w:ascii="Cambria Math" w:hAnsi="Cambria Math" w:cs="Cambria Math"/>
          <w:sz w:val="24"/>
          <w:szCs w:val="24"/>
        </w:rPr>
        <w:t>‐</w:t>
      </w:r>
      <w:r w:rsidR="0040647B" w:rsidRPr="005D166D">
        <w:rPr>
          <w:sz w:val="24"/>
          <w:szCs w:val="24"/>
        </w:rPr>
        <w:t xml:space="preserve">se num segundo </w:t>
      </w:r>
      <w:r w:rsidR="0040647B" w:rsidRPr="005D166D">
        <w:rPr>
          <w:i/>
          <w:iCs/>
          <w:sz w:val="24"/>
          <w:szCs w:val="24"/>
        </w:rPr>
        <w:t>rito de ruptura</w:t>
      </w:r>
      <w:r w:rsidR="0040647B" w:rsidRPr="005D166D">
        <w:rPr>
          <w:sz w:val="24"/>
          <w:szCs w:val="24"/>
        </w:rPr>
        <w:t>: jovens atingem a maioridade civil e, não raro, retornam à mesma tessitura de vulnerabilidades — desemprego, violência, ausência de moradia digna e suporte socioafetivo — que outrora motivou seu ingresso na instituição. Em vez de representar uma passagem planejada à vida autônoma, o</w:t>
      </w:r>
      <w:r w:rsidR="0040647B" w:rsidRPr="0040647B">
        <w:rPr>
          <w:sz w:val="24"/>
          <w:szCs w:val="24"/>
        </w:rPr>
        <w:t xml:space="preserve"> </w:t>
      </w:r>
      <w:r w:rsidR="0040647B" w:rsidRPr="003C57A7">
        <w:rPr>
          <w:sz w:val="24"/>
          <w:szCs w:val="24"/>
        </w:rPr>
        <w:lastRenderedPageBreak/>
        <w:t>processo tem sido marcado pela improvisação e pela carência de recursos articulados.</w:t>
      </w:r>
    </w:p>
    <w:p w14:paraId="18D68F8C" w14:textId="29209EB8" w:rsidR="0040647B" w:rsidRPr="003C57A7" w:rsidRDefault="0040647B" w:rsidP="00D948DB">
      <w:pPr>
        <w:spacing w:line="360" w:lineRule="auto"/>
        <w:ind w:firstLine="709"/>
        <w:jc w:val="both"/>
        <w:rPr>
          <w:sz w:val="24"/>
          <w:szCs w:val="24"/>
        </w:rPr>
      </w:pPr>
      <w:r w:rsidRPr="003C57A7">
        <w:rPr>
          <w:sz w:val="24"/>
          <w:szCs w:val="24"/>
        </w:rPr>
        <w:t>À luz dessa realidade, impõe</w:t>
      </w:r>
      <w:r w:rsidRPr="003C57A7">
        <w:rPr>
          <w:rFonts w:ascii="Cambria Math" w:hAnsi="Cambria Math" w:cs="Cambria Math"/>
          <w:sz w:val="24"/>
          <w:szCs w:val="24"/>
        </w:rPr>
        <w:t>‐</w:t>
      </w:r>
      <w:r w:rsidRPr="003C57A7">
        <w:rPr>
          <w:sz w:val="24"/>
          <w:szCs w:val="24"/>
        </w:rPr>
        <w:t xml:space="preserve">se um redesenho ousado da rede de apoio e assistência </w:t>
      </w:r>
      <w:r w:rsidR="00BD43C7" w:rsidRPr="003C57A7">
        <w:rPr>
          <w:sz w:val="24"/>
          <w:szCs w:val="24"/>
        </w:rPr>
        <w:t>socioprofissional</w:t>
      </w:r>
      <w:r w:rsidRPr="003C57A7">
        <w:rPr>
          <w:sz w:val="24"/>
          <w:szCs w:val="24"/>
        </w:rPr>
        <w:t xml:space="preserve"> aos egressos, ancorado em três eixos estruturantes e </w:t>
      </w:r>
      <w:r w:rsidR="00D948DB" w:rsidRPr="003C57A7">
        <w:rPr>
          <w:sz w:val="24"/>
          <w:szCs w:val="24"/>
        </w:rPr>
        <w:t>sete recomendações operacionais:</w:t>
      </w:r>
    </w:p>
    <w:p w14:paraId="5E3EF637" w14:textId="00006EE5" w:rsidR="00AE7B60" w:rsidRPr="00AE7B60" w:rsidRDefault="00AE7B60" w:rsidP="00D948DB">
      <w:pPr>
        <w:spacing w:line="360" w:lineRule="auto"/>
        <w:ind w:firstLine="709"/>
        <w:jc w:val="both"/>
        <w:rPr>
          <w:sz w:val="24"/>
          <w:szCs w:val="24"/>
        </w:rPr>
      </w:pPr>
      <w:r w:rsidRPr="00D948DB">
        <w:rPr>
          <w:b/>
          <w:sz w:val="24"/>
          <w:szCs w:val="24"/>
        </w:rPr>
        <w:t>Eixo I – Governança Intersetorial Permanente</w:t>
      </w:r>
      <w:r w:rsidR="00D948DB" w:rsidRPr="00D948DB">
        <w:rPr>
          <w:b/>
          <w:sz w:val="24"/>
          <w:szCs w:val="24"/>
        </w:rPr>
        <w:t>:</w:t>
      </w:r>
      <w:r w:rsidR="00D948DB">
        <w:rPr>
          <w:sz w:val="24"/>
          <w:szCs w:val="24"/>
        </w:rPr>
        <w:t xml:space="preserve"> </w:t>
      </w:r>
      <w:r w:rsidRPr="00AE7B60">
        <w:rPr>
          <w:sz w:val="24"/>
          <w:szCs w:val="24"/>
        </w:rPr>
        <w:t>Criação dos Núcleos Territoriais de Transição Assistida (NTTAs): Estruturas intermunicipais para coordenar planos de transição de jovens egressos, com participação obrigatória de órgãos</w:t>
      </w:r>
      <w:r w:rsidR="00D948DB">
        <w:rPr>
          <w:sz w:val="24"/>
          <w:szCs w:val="24"/>
        </w:rPr>
        <w:t xml:space="preserve"> públicos e da sociedade civil; e </w:t>
      </w:r>
      <w:r w:rsidRPr="00AE7B60">
        <w:rPr>
          <w:sz w:val="24"/>
          <w:szCs w:val="24"/>
        </w:rPr>
        <w:t>Fundo Estadual de Autonomia Juvenil: Destinado a apoiar financeiramente jovens egressos por até cinco anos, com bolsas, moradia e microcrédito, via cofinanciamento com municípios.</w:t>
      </w:r>
    </w:p>
    <w:p w14:paraId="7DF6B48F" w14:textId="56098A34" w:rsidR="00AE7B60" w:rsidRPr="00AE7B60" w:rsidRDefault="00AE7B60" w:rsidP="00D948DB">
      <w:pPr>
        <w:spacing w:line="360" w:lineRule="auto"/>
        <w:ind w:firstLine="709"/>
        <w:jc w:val="both"/>
        <w:rPr>
          <w:sz w:val="24"/>
          <w:szCs w:val="24"/>
        </w:rPr>
      </w:pPr>
      <w:r w:rsidRPr="00D948DB">
        <w:rPr>
          <w:b/>
          <w:sz w:val="24"/>
          <w:szCs w:val="24"/>
        </w:rPr>
        <w:t>Eixo II – Dispositivos de Autonomia Progressiva</w:t>
      </w:r>
      <w:r w:rsidR="00D948DB" w:rsidRPr="00D948DB">
        <w:rPr>
          <w:b/>
          <w:sz w:val="24"/>
          <w:szCs w:val="24"/>
        </w:rPr>
        <w:t>:</w:t>
      </w:r>
      <w:r w:rsidR="00D948DB">
        <w:rPr>
          <w:sz w:val="24"/>
          <w:szCs w:val="24"/>
        </w:rPr>
        <w:t xml:space="preserve"> </w:t>
      </w:r>
      <w:r w:rsidRPr="00AE7B60">
        <w:rPr>
          <w:sz w:val="24"/>
          <w:szCs w:val="24"/>
        </w:rPr>
        <w:t>Expansão das Repúblicas de Semiautonomia: Moradias com supervisão técnica para promover autossu</w:t>
      </w:r>
      <w:r w:rsidR="00D948DB">
        <w:rPr>
          <w:sz w:val="24"/>
          <w:szCs w:val="24"/>
        </w:rPr>
        <w:t xml:space="preserve">ficiência e capacitação prática; </w:t>
      </w:r>
      <w:r w:rsidRPr="00AE7B60">
        <w:rPr>
          <w:sz w:val="24"/>
          <w:szCs w:val="24"/>
        </w:rPr>
        <w:t>Pactos de empregabilidade: Cotas e incentivos fiscais para facilitar o acesso dos egressos ao trabalho forma</w:t>
      </w:r>
      <w:r w:rsidR="00D948DB">
        <w:rPr>
          <w:sz w:val="24"/>
          <w:szCs w:val="24"/>
        </w:rPr>
        <w:t xml:space="preserve">l e à qualificação profissional; e </w:t>
      </w:r>
      <w:r w:rsidRPr="00AE7B60">
        <w:rPr>
          <w:sz w:val="24"/>
          <w:szCs w:val="24"/>
        </w:rPr>
        <w:t>Programa de Tutoria Cívica e Profissional: Acompanhamento individualizado por adultos voluntários por pelo menos dois anos, oferecend</w:t>
      </w:r>
      <w:r w:rsidR="00D948DB">
        <w:rPr>
          <w:sz w:val="24"/>
          <w:szCs w:val="24"/>
        </w:rPr>
        <w:t>o suporte afetivo e orientação.</w:t>
      </w:r>
    </w:p>
    <w:p w14:paraId="749D028A" w14:textId="32792D61" w:rsidR="00491B8F" w:rsidRDefault="00AE7B60" w:rsidP="00D948DB">
      <w:pPr>
        <w:spacing w:line="360" w:lineRule="auto"/>
        <w:ind w:firstLine="709"/>
        <w:jc w:val="both"/>
        <w:rPr>
          <w:sz w:val="24"/>
          <w:szCs w:val="24"/>
        </w:rPr>
      </w:pPr>
      <w:r w:rsidRPr="00D948DB">
        <w:rPr>
          <w:b/>
          <w:sz w:val="24"/>
          <w:szCs w:val="24"/>
        </w:rPr>
        <w:t>Eixo III – Monitoramento, Avaliação e Participação Social</w:t>
      </w:r>
      <w:r w:rsidR="00D948DB" w:rsidRPr="00D948DB">
        <w:rPr>
          <w:b/>
          <w:sz w:val="24"/>
          <w:szCs w:val="24"/>
        </w:rPr>
        <w:t>:</w:t>
      </w:r>
      <w:r w:rsidR="00D948DB">
        <w:rPr>
          <w:sz w:val="24"/>
          <w:szCs w:val="24"/>
        </w:rPr>
        <w:t xml:space="preserve"> </w:t>
      </w:r>
      <w:r w:rsidRPr="00AE7B60">
        <w:rPr>
          <w:sz w:val="24"/>
          <w:szCs w:val="24"/>
        </w:rPr>
        <w:t>Sistema Único de Dados dos Egressos (SUDE): Plataforma digital integrada para monitorar o percurso dos jovens e orientar políticas públicas com base em e</w:t>
      </w:r>
      <w:r w:rsidR="00D948DB">
        <w:rPr>
          <w:sz w:val="24"/>
          <w:szCs w:val="24"/>
        </w:rPr>
        <w:t xml:space="preserve">vidências.; e </w:t>
      </w:r>
      <w:r w:rsidRPr="00AE7B60">
        <w:rPr>
          <w:sz w:val="24"/>
          <w:szCs w:val="24"/>
        </w:rPr>
        <w:t>Participação dos jovens: Garantia de voz ativa e voto em conselhos e comitês, assegurando sua representatividade nas decisões que os afetam.</w:t>
      </w:r>
    </w:p>
    <w:p w14:paraId="1C84F120" w14:textId="50E4A377" w:rsidR="00954A0C" w:rsidRDefault="00491B8F" w:rsidP="000953C1">
      <w:pPr>
        <w:spacing w:line="360" w:lineRule="auto"/>
        <w:ind w:firstLine="720"/>
        <w:jc w:val="both"/>
        <w:rPr>
          <w:sz w:val="24"/>
          <w:szCs w:val="24"/>
        </w:rPr>
      </w:pPr>
      <w:r w:rsidRPr="00491B8F">
        <w:rPr>
          <w:sz w:val="24"/>
          <w:szCs w:val="24"/>
        </w:rPr>
        <w:t xml:space="preserve">Ao incorporar esses eixos, o Estado do Maranhão poderá superar a lógica episódica do acolhimento e transitar para uma política de ciclo completo, que articule </w:t>
      </w:r>
      <w:r w:rsidRPr="00491B8F">
        <w:rPr>
          <w:b/>
          <w:bCs/>
          <w:sz w:val="24"/>
          <w:szCs w:val="24"/>
        </w:rPr>
        <w:t>proteção, emancipação e pertencimento</w:t>
      </w:r>
      <w:r w:rsidRPr="00491B8F">
        <w:rPr>
          <w:sz w:val="24"/>
          <w:szCs w:val="24"/>
        </w:rPr>
        <w:t>. O desafio não é meramente administrativo; é ético e civilizatório. Permitirá que trajetórias antes marcadas pela ruptura se convertam em experiências de formação cidadã, reparação simbólica e mobilidade social</w:t>
      </w:r>
      <w:r>
        <w:rPr>
          <w:sz w:val="24"/>
          <w:szCs w:val="24"/>
        </w:rPr>
        <w:t>,</w:t>
      </w:r>
      <w:r w:rsidRPr="00491B8F">
        <w:rPr>
          <w:sz w:val="24"/>
          <w:szCs w:val="24"/>
        </w:rPr>
        <w:t xml:space="preserve"> requisitos mínimos para que o direito fundamental à convivência familiar e comunitária deixe de ser promessa legal e se transforme em conquista concreta.</w:t>
      </w:r>
    </w:p>
    <w:p w14:paraId="6E5FFAE6" w14:textId="77777777" w:rsidR="000953C1" w:rsidRPr="000953C1" w:rsidRDefault="000953C1" w:rsidP="000953C1">
      <w:pPr>
        <w:spacing w:line="360" w:lineRule="auto"/>
        <w:ind w:firstLine="720"/>
        <w:jc w:val="both"/>
        <w:rPr>
          <w:sz w:val="24"/>
          <w:szCs w:val="24"/>
        </w:rPr>
      </w:pPr>
    </w:p>
    <w:p w14:paraId="4588B64B" w14:textId="1163FD8E" w:rsidR="00077A51" w:rsidRDefault="007D352C" w:rsidP="00467920">
      <w:pPr>
        <w:spacing w:line="360" w:lineRule="auto"/>
        <w:jc w:val="both"/>
        <w:rPr>
          <w:b/>
          <w:sz w:val="24"/>
          <w:szCs w:val="24"/>
          <w:highlight w:val="white"/>
        </w:rPr>
      </w:pPr>
      <w:bookmarkStart w:id="0" w:name="_GoBack"/>
      <w:bookmarkEnd w:id="0"/>
      <w:r>
        <w:rPr>
          <w:b/>
          <w:sz w:val="24"/>
          <w:szCs w:val="24"/>
          <w:highlight w:val="white"/>
        </w:rPr>
        <w:t>REFERÊNCIAS BIBLIOGRÁFICAS</w:t>
      </w:r>
    </w:p>
    <w:p w14:paraId="085F7935" w14:textId="77777777" w:rsidR="002B0B73" w:rsidRPr="002B0B73" w:rsidRDefault="002B0B73" w:rsidP="00467920">
      <w:pPr>
        <w:pStyle w:val="NormalWeb"/>
        <w:spacing w:before="0" w:beforeAutospacing="0" w:after="0" w:afterAutospacing="0"/>
        <w:rPr>
          <w:rFonts w:ascii="Arial" w:hAnsi="Arial" w:cs="Arial"/>
        </w:rPr>
      </w:pPr>
      <w:r w:rsidRPr="002B0B73">
        <w:rPr>
          <w:rFonts w:ascii="Arial" w:hAnsi="Arial" w:cs="Arial"/>
        </w:rPr>
        <w:t>ABRAMOVAY, Miriam. Desigualdades sociais e violência: a infância e a adolescência em foco. Brasília: UNESCO, 2003.</w:t>
      </w:r>
    </w:p>
    <w:p w14:paraId="51B98A98" w14:textId="77777777" w:rsidR="002B0B73" w:rsidRPr="002B0B73" w:rsidRDefault="002B0B73" w:rsidP="002B0B73">
      <w:pPr>
        <w:pStyle w:val="NormalWeb"/>
        <w:rPr>
          <w:rFonts w:ascii="Arial" w:hAnsi="Arial" w:cs="Arial"/>
        </w:rPr>
      </w:pPr>
      <w:r w:rsidRPr="002B0B73">
        <w:rPr>
          <w:rFonts w:ascii="Arial" w:hAnsi="Arial" w:cs="Arial"/>
        </w:rPr>
        <w:t>ALMEIDA, José Ricardo Caetano de. Acolhimento institucional e políticas públicas: desafios e possibilidades. Curitiba: Juruá, 2011.</w:t>
      </w:r>
    </w:p>
    <w:p w14:paraId="2A7DD007" w14:textId="77777777" w:rsidR="002B0B73" w:rsidRPr="002B0B73" w:rsidRDefault="002B0B73" w:rsidP="002B0B73">
      <w:pPr>
        <w:pStyle w:val="NormalWeb"/>
        <w:rPr>
          <w:rFonts w:ascii="Arial" w:hAnsi="Arial" w:cs="Arial"/>
        </w:rPr>
      </w:pPr>
      <w:r w:rsidRPr="002B0B73">
        <w:rPr>
          <w:rFonts w:ascii="Arial" w:hAnsi="Arial" w:cs="Arial"/>
        </w:rPr>
        <w:t>BOBBIO, Norberto. A era dos direitos. Rio de Janeiro: Elsevier, 2004.</w:t>
      </w:r>
    </w:p>
    <w:p w14:paraId="37A25C4F" w14:textId="77777777" w:rsidR="002B0B73" w:rsidRPr="002B0B73" w:rsidRDefault="002B0B73" w:rsidP="002B0B73">
      <w:pPr>
        <w:pStyle w:val="NormalWeb"/>
        <w:rPr>
          <w:rFonts w:ascii="Arial" w:hAnsi="Arial" w:cs="Arial"/>
        </w:rPr>
      </w:pPr>
      <w:r w:rsidRPr="002B0B73">
        <w:rPr>
          <w:rFonts w:ascii="Arial" w:hAnsi="Arial" w:cs="Arial"/>
        </w:rPr>
        <w:t>BRASIL. Estatuto da Criança e do Adolescente. Lei nº 8.069, de 13 de julho de 1990. Brasília, DF: Presidência da República, 1990.</w:t>
      </w:r>
    </w:p>
    <w:p w14:paraId="667D1034" w14:textId="77777777" w:rsidR="002B0B73" w:rsidRPr="002B0B73" w:rsidRDefault="002B0B73" w:rsidP="002B0B73">
      <w:pPr>
        <w:pStyle w:val="NormalWeb"/>
        <w:rPr>
          <w:rFonts w:ascii="Arial" w:hAnsi="Arial" w:cs="Arial"/>
        </w:rPr>
      </w:pPr>
      <w:r w:rsidRPr="002B0B73">
        <w:rPr>
          <w:rFonts w:ascii="Arial" w:hAnsi="Arial" w:cs="Arial"/>
        </w:rPr>
        <w:t>BRONFENBRENNER, Urie. A ecologia do desenvolvimento humano: experimentos naturais e planejados. Porto Alegre: Artmed, 1996.</w:t>
      </w:r>
    </w:p>
    <w:p w14:paraId="66E38669" w14:textId="77777777" w:rsidR="002B0B73" w:rsidRPr="002B0B73" w:rsidRDefault="002B0B73" w:rsidP="002B0B73">
      <w:pPr>
        <w:pStyle w:val="NormalWeb"/>
        <w:rPr>
          <w:rFonts w:ascii="Arial" w:hAnsi="Arial" w:cs="Arial"/>
        </w:rPr>
      </w:pPr>
      <w:r w:rsidRPr="002B0B73">
        <w:rPr>
          <w:rFonts w:ascii="Arial" w:hAnsi="Arial" w:cs="Arial"/>
        </w:rPr>
        <w:t>BRITO, C. O. O processo de reinserção familiar de crianças e adolescentes em acolhimento institucional. 2010. Dissertação (Mestrado) – Universidade Federal do Espírito Santo, Vitória, 2010.</w:t>
      </w:r>
    </w:p>
    <w:p w14:paraId="41A85D16" w14:textId="77777777" w:rsidR="002B0B73" w:rsidRPr="002B0B73" w:rsidRDefault="002B0B73" w:rsidP="002B0B73">
      <w:pPr>
        <w:pStyle w:val="NormalWeb"/>
        <w:rPr>
          <w:rFonts w:ascii="Arial" w:hAnsi="Arial" w:cs="Arial"/>
        </w:rPr>
      </w:pPr>
      <w:r w:rsidRPr="002B0B73">
        <w:rPr>
          <w:rFonts w:ascii="Arial" w:hAnsi="Arial" w:cs="Arial"/>
        </w:rPr>
        <w:t>CONSELHO NACIONAL DO MINISTÉRIO PÚBLICO (CNMP). Resolução nº 293, de 28 de maio de 2024. Dispõe sobre a atuação dos membros do Ministério Público na defesa do direito fundamental à convivência familiar e comunitária de crianças e adolescentes em serviços de acolhimento. Brasília, DF: CNMP, 2024.</w:t>
      </w:r>
    </w:p>
    <w:p w14:paraId="7307E0E4" w14:textId="77777777" w:rsidR="002B0B73" w:rsidRPr="002B0B73" w:rsidRDefault="002B0B73" w:rsidP="002B0B73">
      <w:pPr>
        <w:pStyle w:val="NormalWeb"/>
        <w:rPr>
          <w:rFonts w:ascii="Arial" w:hAnsi="Arial" w:cs="Arial"/>
        </w:rPr>
      </w:pPr>
      <w:r w:rsidRPr="002B0B73">
        <w:rPr>
          <w:rFonts w:ascii="Arial" w:hAnsi="Arial" w:cs="Arial"/>
        </w:rPr>
        <w:t>CONSELHO NACIONAL DOS DIREITOS DA CRIANÇA E DO ADOLESCENTE. Disponível em: 11 dez. 2024.</w:t>
      </w:r>
    </w:p>
    <w:p w14:paraId="104B8B1C" w14:textId="77777777" w:rsidR="002B0B73" w:rsidRPr="002B0B73" w:rsidRDefault="002B0B73" w:rsidP="002B0B73">
      <w:pPr>
        <w:pStyle w:val="NormalWeb"/>
        <w:rPr>
          <w:rFonts w:ascii="Arial" w:hAnsi="Arial" w:cs="Arial"/>
        </w:rPr>
      </w:pPr>
      <w:r w:rsidRPr="002B0B73">
        <w:rPr>
          <w:rFonts w:ascii="Arial" w:hAnsi="Arial" w:cs="Arial"/>
        </w:rPr>
        <w:t>COIMBRA, Cecília Maria Bouças; AYRES, Lygia Santa Maria; NASCIMENTO, Maria Lívia. Construindo uma psicologia no judiciário. Curitiba: Juruá, 2008.</w:t>
      </w:r>
    </w:p>
    <w:p w14:paraId="3D246373" w14:textId="77777777" w:rsidR="002B0B73" w:rsidRPr="002B0B73" w:rsidRDefault="002B0B73" w:rsidP="002B0B73">
      <w:pPr>
        <w:pStyle w:val="NormalWeb"/>
        <w:rPr>
          <w:rFonts w:ascii="Arial" w:hAnsi="Arial" w:cs="Arial"/>
        </w:rPr>
      </w:pPr>
      <w:r w:rsidRPr="002B0B73">
        <w:rPr>
          <w:rFonts w:ascii="Arial" w:hAnsi="Arial" w:cs="Arial"/>
        </w:rPr>
        <w:t>DIGIÁCOMO, M. de F. O Conselho Tutelar e a garantia dos direitos da criança e do adolescente. Brasília: ANDI, s.d.</w:t>
      </w:r>
    </w:p>
    <w:p w14:paraId="3808080C" w14:textId="77777777" w:rsidR="002B0B73" w:rsidRPr="002B0B73" w:rsidRDefault="002B0B73" w:rsidP="002B0B73">
      <w:pPr>
        <w:pStyle w:val="NormalWeb"/>
        <w:rPr>
          <w:rFonts w:ascii="Arial" w:hAnsi="Arial" w:cs="Arial"/>
        </w:rPr>
      </w:pPr>
      <w:r w:rsidRPr="002B0B73">
        <w:rPr>
          <w:rFonts w:ascii="Arial" w:hAnsi="Arial" w:cs="Arial"/>
        </w:rPr>
        <w:t>DIAS, Maria Berenice. Manual de Direito das Famílias. 10. ed. São Paulo: Revista dos Tribunais, 2016.</w:t>
      </w:r>
    </w:p>
    <w:p w14:paraId="272982F6" w14:textId="77777777" w:rsidR="002B0B73" w:rsidRPr="002B0B73" w:rsidRDefault="002B0B73" w:rsidP="002B0B73">
      <w:pPr>
        <w:pStyle w:val="NormalWeb"/>
        <w:rPr>
          <w:rFonts w:ascii="Arial" w:hAnsi="Arial" w:cs="Arial"/>
        </w:rPr>
      </w:pPr>
      <w:r w:rsidRPr="002B0B73">
        <w:rPr>
          <w:rFonts w:ascii="Arial" w:hAnsi="Arial" w:cs="Arial"/>
        </w:rPr>
        <w:t>FUNDAÇÃO ABRINQ. Notícias. Fundação Abrinq lança edição de 2025 do Cenário da Infância e Adolescência no Brasil. São Paulo, 2025.</w:t>
      </w:r>
    </w:p>
    <w:p w14:paraId="7E91DF98" w14:textId="496237EF" w:rsidR="002B0B73" w:rsidRDefault="002B0B73" w:rsidP="002B0B73">
      <w:pPr>
        <w:pStyle w:val="NormalWeb"/>
        <w:rPr>
          <w:rFonts w:ascii="Arial" w:hAnsi="Arial" w:cs="Arial"/>
        </w:rPr>
      </w:pPr>
      <w:r w:rsidRPr="002B0B73">
        <w:rPr>
          <w:rFonts w:ascii="Arial" w:hAnsi="Arial" w:cs="Arial"/>
        </w:rPr>
        <w:t>IPEA. Avaliação do Sistema Único de Assistência Social: avanços e desafios na consolidação da proteção social no Brasil. Brasília: IPEA, 2015.</w:t>
      </w:r>
    </w:p>
    <w:p w14:paraId="58089CBF" w14:textId="4A69FFCA" w:rsidR="00043EB9" w:rsidRPr="002B0B73" w:rsidRDefault="00043EB9" w:rsidP="002B0B73">
      <w:pPr>
        <w:pStyle w:val="NormalWeb"/>
        <w:rPr>
          <w:rFonts w:ascii="Arial" w:hAnsi="Arial" w:cs="Arial"/>
        </w:rPr>
      </w:pPr>
      <w:r w:rsidRPr="00043EB9">
        <w:rPr>
          <w:rFonts w:ascii="Arial" w:hAnsi="Arial" w:cs="Arial"/>
        </w:rPr>
        <w:lastRenderedPageBreak/>
        <w:t>MARCONI, M. de A.; LAKATOS, E. M. Fundamentos de metodologia científica. 5. ed. São Paulo: Atlas, 2003.</w:t>
      </w:r>
    </w:p>
    <w:p w14:paraId="3D3BCE51" w14:textId="664EF99F" w:rsidR="002B0B73" w:rsidRDefault="002B0B73" w:rsidP="002B0B73">
      <w:pPr>
        <w:pStyle w:val="NormalWeb"/>
        <w:rPr>
          <w:rFonts w:ascii="Arial" w:hAnsi="Arial" w:cs="Arial"/>
        </w:rPr>
      </w:pPr>
      <w:r w:rsidRPr="002B0B73">
        <w:rPr>
          <w:rFonts w:ascii="Arial" w:hAnsi="Arial" w:cs="Arial"/>
        </w:rPr>
        <w:t>MINAYO, Maria Cecília de Souza. Violência social sob a perspectiva da saúde pública. Cadernos de Saúde Pública, Rio de Janeiro, v. 10, supl. 1, p. 7–18, 2000.</w:t>
      </w:r>
    </w:p>
    <w:p w14:paraId="3A66DC42" w14:textId="77777777" w:rsidR="002B0B73" w:rsidRPr="002B0B73" w:rsidRDefault="002B0B73" w:rsidP="002B0B73">
      <w:pPr>
        <w:pStyle w:val="NormalWeb"/>
        <w:rPr>
          <w:rFonts w:ascii="Arial" w:hAnsi="Arial" w:cs="Arial"/>
        </w:rPr>
      </w:pPr>
      <w:r w:rsidRPr="002B0B73">
        <w:rPr>
          <w:rFonts w:ascii="Arial" w:hAnsi="Arial" w:cs="Arial"/>
        </w:rPr>
        <w:t>PEREIRA, Maria Thereza. Fragmentação das políticas públicas e as famílias em situação de vulnerabilidade. Serviço Social &amp; Sociedade, São Paulo, n. 97, p. 31–52, 2009.</w:t>
      </w:r>
    </w:p>
    <w:p w14:paraId="171C99DC" w14:textId="77777777" w:rsidR="002B0B73" w:rsidRPr="002B0B73" w:rsidRDefault="002B0B73" w:rsidP="002B0B73">
      <w:pPr>
        <w:pStyle w:val="NormalWeb"/>
        <w:rPr>
          <w:rFonts w:ascii="Arial" w:hAnsi="Arial" w:cs="Arial"/>
        </w:rPr>
      </w:pPr>
      <w:r w:rsidRPr="002B0B73">
        <w:rPr>
          <w:rFonts w:ascii="Arial" w:hAnsi="Arial" w:cs="Arial"/>
        </w:rPr>
        <w:t>PRIÓRE, Mary del. Histórias da gente brasileira: Império: de 1831 a 1889. São Paulo: LeYa, 2016.</w:t>
      </w:r>
    </w:p>
    <w:p w14:paraId="3F474425" w14:textId="77777777" w:rsidR="002B0B73" w:rsidRPr="002B0B73" w:rsidRDefault="002B0B73" w:rsidP="002B0B73">
      <w:pPr>
        <w:pStyle w:val="NormalWeb"/>
        <w:rPr>
          <w:rFonts w:ascii="Arial" w:hAnsi="Arial" w:cs="Arial"/>
        </w:rPr>
      </w:pPr>
      <w:r w:rsidRPr="002B0B73">
        <w:rPr>
          <w:rFonts w:ascii="Arial" w:hAnsi="Arial" w:cs="Arial"/>
        </w:rPr>
        <w:t>RIZZINI, Irene. Acolhimento institucional de crianças e adolescentes: repensando práticas e políticas. Cadernos de Pesquisa, São Paulo, v. 41, n. 142, p. 126-145, maio/ago. 2011.</w:t>
      </w:r>
    </w:p>
    <w:p w14:paraId="2C0E1443" w14:textId="77777777" w:rsidR="002B0B73" w:rsidRPr="002B0B73" w:rsidRDefault="002B0B73" w:rsidP="002B0B73">
      <w:pPr>
        <w:pStyle w:val="NormalWeb"/>
        <w:rPr>
          <w:rFonts w:ascii="Arial" w:hAnsi="Arial" w:cs="Arial"/>
        </w:rPr>
      </w:pPr>
      <w:r w:rsidRPr="002B0B73">
        <w:rPr>
          <w:rFonts w:ascii="Arial" w:hAnsi="Arial" w:cs="Arial"/>
        </w:rPr>
        <w:t>RIZZINI, Irene. A criança e a lei no Brasil: revisitando a história. Rio de Janeiro: PUC-Rio; São Paulo: Cortez, 2009.</w:t>
      </w:r>
    </w:p>
    <w:p w14:paraId="332C197E" w14:textId="77777777" w:rsidR="002B0B73" w:rsidRPr="002B0B73" w:rsidRDefault="002B0B73" w:rsidP="002B0B73">
      <w:pPr>
        <w:pStyle w:val="NormalWeb"/>
        <w:rPr>
          <w:rFonts w:ascii="Arial" w:hAnsi="Arial" w:cs="Arial"/>
        </w:rPr>
      </w:pPr>
      <w:r w:rsidRPr="002B0B73">
        <w:rPr>
          <w:rFonts w:ascii="Arial" w:hAnsi="Arial" w:cs="Arial"/>
        </w:rPr>
        <w:t>RIZZINI, Irene. Institucionalização de crianças no Brasil: um século de políticas públicas. Rio de Janeiro: Editora PUC-Rio, 2004.</w:t>
      </w:r>
    </w:p>
    <w:p w14:paraId="3DDAD7BB" w14:textId="77777777" w:rsidR="002B0B73" w:rsidRPr="002B0B73" w:rsidRDefault="002B0B73" w:rsidP="002B0B73">
      <w:pPr>
        <w:pStyle w:val="NormalWeb"/>
        <w:rPr>
          <w:rFonts w:ascii="Arial" w:hAnsi="Arial" w:cs="Arial"/>
        </w:rPr>
      </w:pPr>
      <w:r w:rsidRPr="002B0B73">
        <w:rPr>
          <w:rFonts w:ascii="Arial" w:hAnsi="Arial" w:cs="Arial"/>
        </w:rPr>
        <w:t>RIZZINI, I.; NAIFF, L.; BAPTISTA, R. Acolhendo crianças e adolescentes: experiências de Roberta. Serviços de Acolhimento Institucional infanto-juvenil: desafios históricos e. São Paulo: Cortez, 2011.</w:t>
      </w:r>
    </w:p>
    <w:p w14:paraId="0F92FC6D" w14:textId="77777777" w:rsidR="002B0B73" w:rsidRPr="002B0B73" w:rsidRDefault="002B0B73" w:rsidP="002B0B73">
      <w:pPr>
        <w:pStyle w:val="NormalWeb"/>
        <w:rPr>
          <w:rFonts w:ascii="Arial" w:hAnsi="Arial" w:cs="Arial"/>
        </w:rPr>
      </w:pPr>
      <w:r w:rsidRPr="002B0B73">
        <w:rPr>
          <w:rFonts w:ascii="Arial" w:hAnsi="Arial" w:cs="Arial"/>
        </w:rPr>
        <w:t>SILVA, R. A. da; ROSA, R. S. Crianças e adolescentes em acolhimento institucional: perspectivas de reintegração familiar. Psicologia em Estudo, v. 17, n. 1, p. 137–145, 2012.</w:t>
      </w:r>
    </w:p>
    <w:p w14:paraId="14EA8CC2" w14:textId="77777777" w:rsidR="002B0B73" w:rsidRPr="002B0B73" w:rsidRDefault="002B0B73" w:rsidP="002B0B73">
      <w:pPr>
        <w:pStyle w:val="NormalWeb"/>
        <w:rPr>
          <w:rFonts w:ascii="Arial" w:hAnsi="Arial" w:cs="Arial"/>
        </w:rPr>
      </w:pPr>
      <w:r w:rsidRPr="002B0B73">
        <w:rPr>
          <w:rFonts w:ascii="Arial" w:hAnsi="Arial" w:cs="Arial"/>
        </w:rPr>
        <w:t>SIQUEIRA, A.; DELL'ÁGIO, D. O impacto da institucionalização na infância e na adolescência: uma revisão de literatura. Psicologia e Sociedade, v. 18, n. 1, p. 71-80, 2006.</w:t>
      </w:r>
    </w:p>
    <w:p w14:paraId="0526B9EF" w14:textId="77777777" w:rsidR="002B0B73" w:rsidRPr="002B0B73" w:rsidRDefault="002B0B73" w:rsidP="002B0B73">
      <w:pPr>
        <w:pStyle w:val="NormalWeb"/>
        <w:rPr>
          <w:rFonts w:ascii="Arial" w:hAnsi="Arial" w:cs="Arial"/>
        </w:rPr>
      </w:pPr>
      <w:r w:rsidRPr="002B0B73">
        <w:rPr>
          <w:rFonts w:ascii="Arial" w:hAnsi="Arial" w:cs="Arial"/>
        </w:rPr>
        <w:t>SARMENTO, Manuel Jacinto; GOUVÊA, Maria Cristina. Crianças e infâncias: entre práticas e representações. Educação &amp; Sociedade, v. 31, n. 112, p. 981–999, 2010.</w:t>
      </w:r>
    </w:p>
    <w:p w14:paraId="1105D1BC" w14:textId="65264630" w:rsidR="00077A51" w:rsidRPr="002B0B73" w:rsidRDefault="00077A51" w:rsidP="002B0B73">
      <w:pPr>
        <w:spacing w:after="200" w:line="240" w:lineRule="auto"/>
        <w:jc w:val="both"/>
        <w:rPr>
          <w:rFonts w:eastAsia="Calibri"/>
          <w:sz w:val="24"/>
          <w:szCs w:val="24"/>
        </w:rPr>
      </w:pPr>
    </w:p>
    <w:sectPr w:rsidR="00077A51" w:rsidRPr="002B0B73" w:rsidSect="00A551A7">
      <w:headerReference w:type="default" r:id="rId8"/>
      <w:pgSz w:w="11909" w:h="16834"/>
      <w:pgMar w:top="1701" w:right="1134" w:bottom="1134" w:left="1701" w:header="2835" w:footer="34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80DF2" w14:textId="77777777" w:rsidR="005D31F1" w:rsidRDefault="005D31F1">
      <w:pPr>
        <w:spacing w:line="240" w:lineRule="auto"/>
      </w:pPr>
      <w:r>
        <w:separator/>
      </w:r>
    </w:p>
  </w:endnote>
  <w:endnote w:type="continuationSeparator" w:id="0">
    <w:p w14:paraId="5DBA03BB" w14:textId="77777777" w:rsidR="005D31F1" w:rsidRDefault="005D31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F1B8E" w14:textId="77777777" w:rsidR="005D31F1" w:rsidRDefault="005D31F1">
      <w:pPr>
        <w:spacing w:line="240" w:lineRule="auto"/>
      </w:pPr>
      <w:r>
        <w:separator/>
      </w:r>
    </w:p>
  </w:footnote>
  <w:footnote w:type="continuationSeparator" w:id="0">
    <w:p w14:paraId="5625967E" w14:textId="77777777" w:rsidR="005D31F1" w:rsidRDefault="005D31F1">
      <w:pPr>
        <w:spacing w:line="240" w:lineRule="auto"/>
      </w:pPr>
      <w:r>
        <w:continuationSeparator/>
      </w:r>
    </w:p>
  </w:footnote>
  <w:footnote w:id="1">
    <w:p w14:paraId="3DCEE32B" w14:textId="30C4D403" w:rsidR="0077094B" w:rsidRPr="00D948DB" w:rsidRDefault="0077094B" w:rsidP="00163109">
      <w:pPr>
        <w:pStyle w:val="Textodenotaderodap"/>
        <w:jc w:val="both"/>
      </w:pPr>
      <w:r w:rsidRPr="00D948DB">
        <w:rPr>
          <w:rStyle w:val="Refdenotaderodap"/>
        </w:rPr>
        <w:footnoteRef/>
      </w:r>
      <w:r w:rsidRPr="00D948DB">
        <w:t xml:space="preserve"> Universidade Federal do Maranhão, Graduanda em Direito, </w:t>
      </w:r>
      <w:hyperlink r:id="rId1" w:history="1">
        <w:r w:rsidRPr="00D948DB">
          <w:rPr>
            <w:rStyle w:val="Hyperlink"/>
          </w:rPr>
          <w:t>anne.reis@discente.ufma.br</w:t>
        </w:r>
      </w:hyperlink>
      <w:r w:rsidRPr="00D948DB">
        <w:t xml:space="preserve">.  </w:t>
      </w:r>
    </w:p>
  </w:footnote>
  <w:footnote w:id="2">
    <w:p w14:paraId="52A9E976" w14:textId="4EF049BA" w:rsidR="0077094B" w:rsidRPr="00D948DB" w:rsidRDefault="0077094B" w:rsidP="00163109">
      <w:pPr>
        <w:spacing w:before="2" w:line="240" w:lineRule="auto"/>
        <w:ind w:right="142"/>
        <w:jc w:val="both"/>
        <w:rPr>
          <w:sz w:val="20"/>
          <w:szCs w:val="20"/>
        </w:rPr>
      </w:pPr>
      <w:r w:rsidRPr="00D948DB">
        <w:rPr>
          <w:rStyle w:val="Refdenotaderodap"/>
          <w:sz w:val="20"/>
          <w:szCs w:val="20"/>
        </w:rPr>
        <w:footnoteRef/>
      </w:r>
      <w:r w:rsidRPr="00D948DB">
        <w:rPr>
          <w:sz w:val="20"/>
          <w:szCs w:val="20"/>
        </w:rPr>
        <w:t xml:space="preserve"> Universidade Federal do Maranhão, Professor Phd, Doutor e mestre em Direito pela Universidade Federal de Minas Gerais (UFMG). Professor </w:t>
      </w:r>
      <w:r w:rsidR="004D2AD2" w:rsidRPr="00D948DB">
        <w:rPr>
          <w:sz w:val="20"/>
          <w:szCs w:val="20"/>
        </w:rPr>
        <w:t>Titular</w:t>
      </w:r>
      <w:r w:rsidRPr="00D948DB">
        <w:rPr>
          <w:sz w:val="20"/>
          <w:szCs w:val="20"/>
        </w:rPr>
        <w:t xml:space="preserve"> da Universidade Federal do Maranhão do PPGD/FDV. Coordenador do Grupo de Pesquisa Cultura, Direito e Sociedade,</w:t>
      </w:r>
    </w:p>
    <w:p w14:paraId="2ADADFFE" w14:textId="30578F66" w:rsidR="0077094B" w:rsidRPr="00D948DB" w:rsidRDefault="005D31F1" w:rsidP="00163109">
      <w:pPr>
        <w:spacing w:before="2" w:line="240" w:lineRule="auto"/>
        <w:ind w:right="142"/>
        <w:jc w:val="both"/>
        <w:rPr>
          <w:sz w:val="20"/>
          <w:szCs w:val="20"/>
        </w:rPr>
      </w:pPr>
      <w:hyperlink r:id="rId2" w:history="1">
        <w:r w:rsidR="0077094B" w:rsidRPr="00D948DB">
          <w:rPr>
            <w:rStyle w:val="Hyperlink"/>
            <w:sz w:val="20"/>
            <w:szCs w:val="20"/>
          </w:rPr>
          <w:t>cassius.chai@ufma.br</w:t>
        </w:r>
      </w:hyperlink>
      <w:r w:rsidR="0077094B" w:rsidRPr="00D948DB">
        <w:rPr>
          <w:sz w:val="20"/>
          <w:szCs w:val="20"/>
        </w:rPr>
        <w:t>.</w:t>
      </w:r>
    </w:p>
  </w:footnote>
  <w:footnote w:id="3">
    <w:p w14:paraId="4A63B03C" w14:textId="449B3490" w:rsidR="00C124BA" w:rsidRDefault="00C124BA" w:rsidP="00163109">
      <w:pPr>
        <w:pStyle w:val="Textodenotaderodap"/>
        <w:jc w:val="both"/>
      </w:pPr>
      <w:r w:rsidRPr="00D948DB">
        <w:rPr>
          <w:rStyle w:val="Refdenotaderodap"/>
        </w:rPr>
        <w:footnoteRef/>
      </w:r>
      <w:r w:rsidRPr="00D948DB">
        <w:t xml:space="preserve"> </w:t>
      </w:r>
      <w:r w:rsidR="00C60ECE" w:rsidRPr="00D948DB">
        <w:t xml:space="preserve">Universidade Federal do Maranhão, Professora, Mestra em Direitos Humanos pela Universidade Federal do Pará. Pesquisadora em Direitos Humanos e Empresas. Pesquisadora no Grupo de Pesquisa Cultura, Direito e Sociedade, </w:t>
      </w:r>
      <w:hyperlink r:id="rId3" w:history="1">
        <w:r w:rsidR="00C60ECE" w:rsidRPr="00D948DB">
          <w:rPr>
            <w:rStyle w:val="Hyperlink"/>
          </w:rPr>
          <w:t>mariana.lucena@ufma.br</w:t>
        </w:r>
      </w:hyperlink>
      <w:r w:rsidR="00037551" w:rsidRPr="00D948DB">
        <w:t>.</w:t>
      </w:r>
    </w:p>
  </w:footnote>
  <w:footnote w:id="4">
    <w:p w14:paraId="686F3488" w14:textId="2CC79982" w:rsidR="00C95511" w:rsidRPr="00D948DB" w:rsidRDefault="00C95511" w:rsidP="00163109">
      <w:pPr>
        <w:spacing w:line="240" w:lineRule="auto"/>
        <w:jc w:val="both"/>
        <w:rPr>
          <w:sz w:val="20"/>
          <w:szCs w:val="20"/>
        </w:rPr>
      </w:pPr>
      <w:r w:rsidRPr="00D948DB">
        <w:rPr>
          <w:rStyle w:val="Refdenotaderodap"/>
          <w:sz w:val="20"/>
          <w:szCs w:val="20"/>
        </w:rPr>
        <w:footnoteRef/>
      </w:r>
      <w:r w:rsidRPr="00D948DB">
        <w:rPr>
          <w:sz w:val="20"/>
          <w:szCs w:val="20"/>
        </w:rPr>
        <w:t xml:space="preserve"> Roda dos Expostos- Caixa dupla em formato cilíndrico adaptado ao muro das Instituições.</w:t>
      </w:r>
    </w:p>
  </w:footnote>
  <w:footnote w:id="5">
    <w:p w14:paraId="1CB2EA5F" w14:textId="77777777" w:rsidR="00C95511" w:rsidRPr="00D948DB" w:rsidRDefault="00C95511" w:rsidP="00163109">
      <w:pPr>
        <w:spacing w:line="240" w:lineRule="auto"/>
        <w:jc w:val="both"/>
        <w:rPr>
          <w:spacing w:val="5"/>
          <w:sz w:val="20"/>
          <w:szCs w:val="20"/>
          <w:shd w:val="clear" w:color="auto" w:fill="FFFFFF"/>
        </w:rPr>
      </w:pPr>
      <w:r w:rsidRPr="00D948DB">
        <w:rPr>
          <w:rStyle w:val="Refdenotaderodap"/>
          <w:sz w:val="20"/>
          <w:szCs w:val="20"/>
        </w:rPr>
        <w:footnoteRef/>
      </w:r>
      <w:r w:rsidRPr="00D948DB">
        <w:rPr>
          <w:sz w:val="20"/>
          <w:szCs w:val="20"/>
        </w:rPr>
        <w:t xml:space="preserve"> Sistema Nacional de Adoção e Acolhimento (SNA) </w:t>
      </w:r>
      <w:r w:rsidRPr="00D948DB">
        <w:rPr>
          <w:color w:val="212529"/>
          <w:spacing w:val="5"/>
          <w:sz w:val="20"/>
          <w:szCs w:val="20"/>
          <w:shd w:val="clear" w:color="auto" w:fill="FFFFFF"/>
        </w:rPr>
        <w:t>regulamentado por meio da </w:t>
      </w:r>
      <w:hyperlink r:id="rId4" w:history="1">
        <w:r w:rsidRPr="00D948DB">
          <w:rPr>
            <w:rStyle w:val="Hyperlink"/>
            <w:spacing w:val="5"/>
            <w:sz w:val="20"/>
            <w:szCs w:val="20"/>
            <w:shd w:val="clear" w:color="auto" w:fill="FFFFFF"/>
          </w:rPr>
          <w:t>Resolução nº 289/2019 – CNJ</w:t>
        </w:r>
      </w:hyperlink>
      <w:r w:rsidRPr="00D948DB">
        <w:rPr>
          <w:color w:val="212529"/>
          <w:spacing w:val="5"/>
          <w:sz w:val="20"/>
          <w:szCs w:val="20"/>
          <w:shd w:val="clear" w:color="auto" w:fill="FFFFFF"/>
        </w:rPr>
        <w:t xml:space="preserve">. </w:t>
      </w:r>
      <w:r w:rsidRPr="00D948DB">
        <w:rPr>
          <w:spacing w:val="5"/>
          <w:sz w:val="20"/>
          <w:szCs w:val="20"/>
          <w:shd w:val="clear" w:color="auto" w:fill="FFFFFF"/>
        </w:rPr>
        <w:t>Traz uma visão integral do processo da criança e adolescente desde sua entrada no sistema de proteção até a sua saída.</w:t>
      </w:r>
    </w:p>
    <w:p w14:paraId="11F2F1F9" w14:textId="2F230856" w:rsidR="00C95511" w:rsidRDefault="00C95511" w:rsidP="00163109">
      <w:pPr>
        <w:pStyle w:val="Textodenotaderodap"/>
        <w:jc w:val="both"/>
      </w:pPr>
    </w:p>
  </w:footnote>
  <w:footnote w:id="6">
    <w:p w14:paraId="759EC4BF" w14:textId="2BE4B345" w:rsidR="00C95511" w:rsidRPr="00D948DB" w:rsidRDefault="00C95511" w:rsidP="00163109">
      <w:pPr>
        <w:spacing w:line="240" w:lineRule="auto"/>
        <w:jc w:val="both"/>
        <w:rPr>
          <w:sz w:val="20"/>
          <w:szCs w:val="20"/>
        </w:rPr>
      </w:pPr>
      <w:r w:rsidRPr="00D948DB">
        <w:rPr>
          <w:rStyle w:val="Refdenotaderodap"/>
          <w:sz w:val="20"/>
          <w:szCs w:val="20"/>
        </w:rPr>
        <w:footnoteRef/>
      </w:r>
      <w:r w:rsidRPr="00D948DB">
        <w:rPr>
          <w:sz w:val="20"/>
          <w:szCs w:val="20"/>
        </w:rPr>
        <w:t xml:space="preserve"> A Atuação dos representantes ministeriais nos serviços de acolhimento é disciplinada, atualmente, pela Resolução CNMP nº 293/2024, de 28 de maio de 2024. No entanto, diante da necessidade de inclusão dos prazos para preenchimento do formulário eletrônico da visita de inspeção do 2º semestre e envio pela Corregedoria-Geral da unidade ministerial ao CNMP, editou-se a Resolução CNMP nº 299, de 10 de setembro de 2024, para realizar os devidos ajustes na redação e correções materiais na referida Resolução.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DEF17" w14:textId="519D64C9" w:rsidR="00557408" w:rsidRDefault="00557408">
    <w:pPr>
      <w:pStyle w:val="Cabealho"/>
    </w:pPr>
    <w:r>
      <w:rPr>
        <w:noProof/>
      </w:rPr>
      <w:drawing>
        <wp:anchor distT="114300" distB="114300" distL="114300" distR="114300" simplePos="0" relativeHeight="251659264" behindDoc="1" locked="0" layoutInCell="1" allowOverlap="1" wp14:anchorId="1E304345" wp14:editId="628067CD">
          <wp:simplePos x="0" y="0"/>
          <wp:positionH relativeFrom="page">
            <wp:align>left</wp:align>
          </wp:positionH>
          <wp:positionV relativeFrom="page">
            <wp:align>top</wp:align>
          </wp:positionV>
          <wp:extent cx="7589081" cy="10764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081" cy="1076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7750B"/>
    <w:multiLevelType w:val="multilevel"/>
    <w:tmpl w:val="164E2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1A54EEF"/>
    <w:multiLevelType w:val="multilevel"/>
    <w:tmpl w:val="E5F0B6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4B7713"/>
    <w:multiLevelType w:val="multilevel"/>
    <w:tmpl w:val="BC08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51"/>
    <w:rsid w:val="00003546"/>
    <w:rsid w:val="0002556C"/>
    <w:rsid w:val="00037551"/>
    <w:rsid w:val="00043EB9"/>
    <w:rsid w:val="00054B4E"/>
    <w:rsid w:val="0005622F"/>
    <w:rsid w:val="00063C5D"/>
    <w:rsid w:val="0006591C"/>
    <w:rsid w:val="00070300"/>
    <w:rsid w:val="00077A51"/>
    <w:rsid w:val="00081582"/>
    <w:rsid w:val="00090E4D"/>
    <w:rsid w:val="000912F5"/>
    <w:rsid w:val="00094465"/>
    <w:rsid w:val="000953C1"/>
    <w:rsid w:val="000A12F0"/>
    <w:rsid w:val="000A1F8E"/>
    <w:rsid w:val="000B4D92"/>
    <w:rsid w:val="000C1C4C"/>
    <w:rsid w:val="000D07DA"/>
    <w:rsid w:val="000D7E0E"/>
    <w:rsid w:val="000E13C9"/>
    <w:rsid w:val="000F2888"/>
    <w:rsid w:val="000F460F"/>
    <w:rsid w:val="0010104D"/>
    <w:rsid w:val="001055BB"/>
    <w:rsid w:val="001464BF"/>
    <w:rsid w:val="00150FAC"/>
    <w:rsid w:val="00163109"/>
    <w:rsid w:val="001631C9"/>
    <w:rsid w:val="00170D4A"/>
    <w:rsid w:val="00177074"/>
    <w:rsid w:val="001807B8"/>
    <w:rsid w:val="0018300B"/>
    <w:rsid w:val="00187DC2"/>
    <w:rsid w:val="001A6E8C"/>
    <w:rsid w:val="001C037A"/>
    <w:rsid w:val="001D1005"/>
    <w:rsid w:val="001F573D"/>
    <w:rsid w:val="001F7AFE"/>
    <w:rsid w:val="002072F3"/>
    <w:rsid w:val="00220739"/>
    <w:rsid w:val="002240F6"/>
    <w:rsid w:val="00230359"/>
    <w:rsid w:val="00231618"/>
    <w:rsid w:val="00236E07"/>
    <w:rsid w:val="00237AE0"/>
    <w:rsid w:val="00243CCE"/>
    <w:rsid w:val="00246E96"/>
    <w:rsid w:val="0024709F"/>
    <w:rsid w:val="002501E8"/>
    <w:rsid w:val="00251BDD"/>
    <w:rsid w:val="00251D9F"/>
    <w:rsid w:val="002670CF"/>
    <w:rsid w:val="00270BA3"/>
    <w:rsid w:val="002729A0"/>
    <w:rsid w:val="00275743"/>
    <w:rsid w:val="002801AF"/>
    <w:rsid w:val="00284C81"/>
    <w:rsid w:val="002A7B4C"/>
    <w:rsid w:val="002B0B73"/>
    <w:rsid w:val="002D2042"/>
    <w:rsid w:val="002D4D16"/>
    <w:rsid w:val="002E2F53"/>
    <w:rsid w:val="002E444A"/>
    <w:rsid w:val="002E759E"/>
    <w:rsid w:val="002F095D"/>
    <w:rsid w:val="003147AF"/>
    <w:rsid w:val="00320971"/>
    <w:rsid w:val="003318A5"/>
    <w:rsid w:val="003467CF"/>
    <w:rsid w:val="00347945"/>
    <w:rsid w:val="00354C64"/>
    <w:rsid w:val="00356634"/>
    <w:rsid w:val="0035745C"/>
    <w:rsid w:val="003773F4"/>
    <w:rsid w:val="0038057D"/>
    <w:rsid w:val="0038333E"/>
    <w:rsid w:val="00397D65"/>
    <w:rsid w:val="003B7EC6"/>
    <w:rsid w:val="003C2F3B"/>
    <w:rsid w:val="003C57A7"/>
    <w:rsid w:val="003F3A06"/>
    <w:rsid w:val="003F7143"/>
    <w:rsid w:val="0040312E"/>
    <w:rsid w:val="0040647B"/>
    <w:rsid w:val="00407E99"/>
    <w:rsid w:val="004114EA"/>
    <w:rsid w:val="004135E4"/>
    <w:rsid w:val="00416EC0"/>
    <w:rsid w:val="004230F1"/>
    <w:rsid w:val="004233F7"/>
    <w:rsid w:val="00424B6F"/>
    <w:rsid w:val="00426A93"/>
    <w:rsid w:val="00457BFF"/>
    <w:rsid w:val="00460143"/>
    <w:rsid w:val="00467920"/>
    <w:rsid w:val="00470422"/>
    <w:rsid w:val="00475421"/>
    <w:rsid w:val="0048398A"/>
    <w:rsid w:val="00491B8F"/>
    <w:rsid w:val="004963DD"/>
    <w:rsid w:val="004B4467"/>
    <w:rsid w:val="004B509F"/>
    <w:rsid w:val="004B7F51"/>
    <w:rsid w:val="004C46D0"/>
    <w:rsid w:val="004D2495"/>
    <w:rsid w:val="004D2AD2"/>
    <w:rsid w:val="004E42DA"/>
    <w:rsid w:val="004E4A7E"/>
    <w:rsid w:val="004F47ED"/>
    <w:rsid w:val="004F4B2C"/>
    <w:rsid w:val="004F7F94"/>
    <w:rsid w:val="00501C7F"/>
    <w:rsid w:val="00502768"/>
    <w:rsid w:val="005028A1"/>
    <w:rsid w:val="00526B2F"/>
    <w:rsid w:val="00535F75"/>
    <w:rsid w:val="005454B9"/>
    <w:rsid w:val="00554B6F"/>
    <w:rsid w:val="00556F86"/>
    <w:rsid w:val="00557408"/>
    <w:rsid w:val="00557B50"/>
    <w:rsid w:val="00557F02"/>
    <w:rsid w:val="005646C5"/>
    <w:rsid w:val="00571069"/>
    <w:rsid w:val="00580DBF"/>
    <w:rsid w:val="005823A1"/>
    <w:rsid w:val="005A3223"/>
    <w:rsid w:val="005B3ECC"/>
    <w:rsid w:val="005B6ED8"/>
    <w:rsid w:val="005C1AE1"/>
    <w:rsid w:val="005D166D"/>
    <w:rsid w:val="005D31F1"/>
    <w:rsid w:val="005E2DD2"/>
    <w:rsid w:val="005E549C"/>
    <w:rsid w:val="00600C9F"/>
    <w:rsid w:val="0060340F"/>
    <w:rsid w:val="0060658A"/>
    <w:rsid w:val="006343C0"/>
    <w:rsid w:val="00634970"/>
    <w:rsid w:val="00635D3C"/>
    <w:rsid w:val="00651145"/>
    <w:rsid w:val="00655447"/>
    <w:rsid w:val="0066136A"/>
    <w:rsid w:val="00666F1C"/>
    <w:rsid w:val="006720B0"/>
    <w:rsid w:val="00675979"/>
    <w:rsid w:val="00675C79"/>
    <w:rsid w:val="006951D7"/>
    <w:rsid w:val="00696562"/>
    <w:rsid w:val="006A42E6"/>
    <w:rsid w:val="006A4786"/>
    <w:rsid w:val="006A4C78"/>
    <w:rsid w:val="006A636A"/>
    <w:rsid w:val="006B149B"/>
    <w:rsid w:val="006B3377"/>
    <w:rsid w:val="006C30A6"/>
    <w:rsid w:val="006C6665"/>
    <w:rsid w:val="006D1CB6"/>
    <w:rsid w:val="006D2DB3"/>
    <w:rsid w:val="006D3DC2"/>
    <w:rsid w:val="006D5717"/>
    <w:rsid w:val="006E0FAF"/>
    <w:rsid w:val="006E39CD"/>
    <w:rsid w:val="006E57FE"/>
    <w:rsid w:val="007046F8"/>
    <w:rsid w:val="007127AE"/>
    <w:rsid w:val="00713BC2"/>
    <w:rsid w:val="00724254"/>
    <w:rsid w:val="00724D3C"/>
    <w:rsid w:val="00730F08"/>
    <w:rsid w:val="007333B2"/>
    <w:rsid w:val="00734AF6"/>
    <w:rsid w:val="00741C3D"/>
    <w:rsid w:val="00745F5B"/>
    <w:rsid w:val="007524B4"/>
    <w:rsid w:val="007528D9"/>
    <w:rsid w:val="00760566"/>
    <w:rsid w:val="00767524"/>
    <w:rsid w:val="0077094B"/>
    <w:rsid w:val="00772F0E"/>
    <w:rsid w:val="007736EA"/>
    <w:rsid w:val="007775C8"/>
    <w:rsid w:val="00781009"/>
    <w:rsid w:val="00784AE2"/>
    <w:rsid w:val="007A3587"/>
    <w:rsid w:val="007B20B2"/>
    <w:rsid w:val="007C3898"/>
    <w:rsid w:val="007D352C"/>
    <w:rsid w:val="007D36C4"/>
    <w:rsid w:val="007D45FF"/>
    <w:rsid w:val="007E0190"/>
    <w:rsid w:val="007F4B0B"/>
    <w:rsid w:val="0080425D"/>
    <w:rsid w:val="00804457"/>
    <w:rsid w:val="008341A0"/>
    <w:rsid w:val="00834512"/>
    <w:rsid w:val="00834850"/>
    <w:rsid w:val="00852C56"/>
    <w:rsid w:val="00854A92"/>
    <w:rsid w:val="00861FFB"/>
    <w:rsid w:val="0087324B"/>
    <w:rsid w:val="008742E9"/>
    <w:rsid w:val="008934BF"/>
    <w:rsid w:val="00893724"/>
    <w:rsid w:val="00893D9F"/>
    <w:rsid w:val="008A1580"/>
    <w:rsid w:val="008A53B8"/>
    <w:rsid w:val="008B6CE5"/>
    <w:rsid w:val="008C1863"/>
    <w:rsid w:val="008C7553"/>
    <w:rsid w:val="008D6970"/>
    <w:rsid w:val="008E1C24"/>
    <w:rsid w:val="00904048"/>
    <w:rsid w:val="0091084F"/>
    <w:rsid w:val="00912132"/>
    <w:rsid w:val="0093239B"/>
    <w:rsid w:val="00932854"/>
    <w:rsid w:val="00945A6E"/>
    <w:rsid w:val="009529DC"/>
    <w:rsid w:val="00954A0C"/>
    <w:rsid w:val="00955791"/>
    <w:rsid w:val="00970149"/>
    <w:rsid w:val="0097079F"/>
    <w:rsid w:val="009762D8"/>
    <w:rsid w:val="009763E1"/>
    <w:rsid w:val="009A2922"/>
    <w:rsid w:val="009A7EF9"/>
    <w:rsid w:val="009B153A"/>
    <w:rsid w:val="009C4279"/>
    <w:rsid w:val="009E4000"/>
    <w:rsid w:val="009E4249"/>
    <w:rsid w:val="009F0C0B"/>
    <w:rsid w:val="00A01028"/>
    <w:rsid w:val="00A04878"/>
    <w:rsid w:val="00A27893"/>
    <w:rsid w:val="00A511AA"/>
    <w:rsid w:val="00A51C65"/>
    <w:rsid w:val="00A52A86"/>
    <w:rsid w:val="00A551A7"/>
    <w:rsid w:val="00A61463"/>
    <w:rsid w:val="00A61E29"/>
    <w:rsid w:val="00A66CF6"/>
    <w:rsid w:val="00A66FA0"/>
    <w:rsid w:val="00A72235"/>
    <w:rsid w:val="00A74276"/>
    <w:rsid w:val="00A840A0"/>
    <w:rsid w:val="00A855C7"/>
    <w:rsid w:val="00AA164A"/>
    <w:rsid w:val="00AB3933"/>
    <w:rsid w:val="00AC0139"/>
    <w:rsid w:val="00AD12A5"/>
    <w:rsid w:val="00AD2181"/>
    <w:rsid w:val="00AE3E1A"/>
    <w:rsid w:val="00AE7B60"/>
    <w:rsid w:val="00AF3603"/>
    <w:rsid w:val="00B00C9C"/>
    <w:rsid w:val="00B14F42"/>
    <w:rsid w:val="00B17360"/>
    <w:rsid w:val="00B202A5"/>
    <w:rsid w:val="00B26C04"/>
    <w:rsid w:val="00B36D33"/>
    <w:rsid w:val="00B435E6"/>
    <w:rsid w:val="00B62496"/>
    <w:rsid w:val="00B8223A"/>
    <w:rsid w:val="00B84785"/>
    <w:rsid w:val="00B90313"/>
    <w:rsid w:val="00B90CDD"/>
    <w:rsid w:val="00B92E44"/>
    <w:rsid w:val="00BA7A7F"/>
    <w:rsid w:val="00BB09C3"/>
    <w:rsid w:val="00BC2A51"/>
    <w:rsid w:val="00BD43C7"/>
    <w:rsid w:val="00BD5923"/>
    <w:rsid w:val="00BD6B05"/>
    <w:rsid w:val="00BE2BDF"/>
    <w:rsid w:val="00BE46CD"/>
    <w:rsid w:val="00BF1110"/>
    <w:rsid w:val="00BF1338"/>
    <w:rsid w:val="00C06BBE"/>
    <w:rsid w:val="00C124BA"/>
    <w:rsid w:val="00C150F1"/>
    <w:rsid w:val="00C208EE"/>
    <w:rsid w:val="00C24534"/>
    <w:rsid w:val="00C24B31"/>
    <w:rsid w:val="00C2546A"/>
    <w:rsid w:val="00C25536"/>
    <w:rsid w:val="00C35333"/>
    <w:rsid w:val="00C36E91"/>
    <w:rsid w:val="00C52BCF"/>
    <w:rsid w:val="00C60ECE"/>
    <w:rsid w:val="00C613F9"/>
    <w:rsid w:val="00C92B95"/>
    <w:rsid w:val="00C94572"/>
    <w:rsid w:val="00C95511"/>
    <w:rsid w:val="00C9702D"/>
    <w:rsid w:val="00CB37B2"/>
    <w:rsid w:val="00CB7864"/>
    <w:rsid w:val="00CC2FF3"/>
    <w:rsid w:val="00CD137B"/>
    <w:rsid w:val="00CE560F"/>
    <w:rsid w:val="00CF1607"/>
    <w:rsid w:val="00CF23EA"/>
    <w:rsid w:val="00CF4DFA"/>
    <w:rsid w:val="00D1168C"/>
    <w:rsid w:val="00D43BCB"/>
    <w:rsid w:val="00D57B0A"/>
    <w:rsid w:val="00D6297A"/>
    <w:rsid w:val="00D64853"/>
    <w:rsid w:val="00D92A10"/>
    <w:rsid w:val="00D948DB"/>
    <w:rsid w:val="00D95363"/>
    <w:rsid w:val="00D95600"/>
    <w:rsid w:val="00DA5F6F"/>
    <w:rsid w:val="00DB0D34"/>
    <w:rsid w:val="00DD6C4E"/>
    <w:rsid w:val="00DE3C1F"/>
    <w:rsid w:val="00E0213D"/>
    <w:rsid w:val="00E13457"/>
    <w:rsid w:val="00E34B1C"/>
    <w:rsid w:val="00E372A3"/>
    <w:rsid w:val="00E42CDA"/>
    <w:rsid w:val="00E44299"/>
    <w:rsid w:val="00E542E2"/>
    <w:rsid w:val="00E621B8"/>
    <w:rsid w:val="00E62C4B"/>
    <w:rsid w:val="00E70C58"/>
    <w:rsid w:val="00E71633"/>
    <w:rsid w:val="00E732CF"/>
    <w:rsid w:val="00E76E47"/>
    <w:rsid w:val="00E81139"/>
    <w:rsid w:val="00E865D4"/>
    <w:rsid w:val="00E86FC4"/>
    <w:rsid w:val="00E91A4E"/>
    <w:rsid w:val="00E91C11"/>
    <w:rsid w:val="00ED38A2"/>
    <w:rsid w:val="00EF04C4"/>
    <w:rsid w:val="00EF293E"/>
    <w:rsid w:val="00EF75DA"/>
    <w:rsid w:val="00F0020E"/>
    <w:rsid w:val="00F102E1"/>
    <w:rsid w:val="00F321E0"/>
    <w:rsid w:val="00F402A0"/>
    <w:rsid w:val="00F44F32"/>
    <w:rsid w:val="00F5700A"/>
    <w:rsid w:val="00F65028"/>
    <w:rsid w:val="00F72950"/>
    <w:rsid w:val="00F74B55"/>
    <w:rsid w:val="00F76957"/>
    <w:rsid w:val="00F807FC"/>
    <w:rsid w:val="00F80E3A"/>
    <w:rsid w:val="00F87C57"/>
    <w:rsid w:val="00F9041D"/>
    <w:rsid w:val="00F93235"/>
    <w:rsid w:val="00F97175"/>
    <w:rsid w:val="00FB419F"/>
    <w:rsid w:val="00FC42E0"/>
    <w:rsid w:val="00FC4B4A"/>
    <w:rsid w:val="00FC5ADA"/>
    <w:rsid w:val="00FE39B1"/>
    <w:rsid w:val="00FE44A0"/>
    <w:rsid w:val="00FE4A86"/>
    <w:rsid w:val="00FF00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A3FFF"/>
  <w15:docId w15:val="{E3EEDA5E-CBF9-4287-B355-F1A1A1E2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A61463"/>
    <w:rPr>
      <w:color w:val="0000FF" w:themeColor="hyperlink"/>
      <w:u w:val="single"/>
    </w:rPr>
  </w:style>
  <w:style w:type="character" w:customStyle="1" w:styleId="MenoPendente1">
    <w:name w:val="Menção Pendente1"/>
    <w:basedOn w:val="Fontepargpadro"/>
    <w:uiPriority w:val="99"/>
    <w:semiHidden/>
    <w:unhideWhenUsed/>
    <w:rsid w:val="00A61463"/>
    <w:rPr>
      <w:color w:val="605E5C"/>
      <w:shd w:val="clear" w:color="auto" w:fill="E1DFDD"/>
    </w:rPr>
  </w:style>
  <w:style w:type="paragraph" w:styleId="Cabealho">
    <w:name w:val="header"/>
    <w:basedOn w:val="Normal"/>
    <w:link w:val="CabealhoChar"/>
    <w:uiPriority w:val="99"/>
    <w:unhideWhenUsed/>
    <w:rsid w:val="000D7E0E"/>
    <w:pPr>
      <w:tabs>
        <w:tab w:val="center" w:pos="4252"/>
        <w:tab w:val="right" w:pos="8504"/>
      </w:tabs>
      <w:spacing w:line="240" w:lineRule="auto"/>
    </w:pPr>
  </w:style>
  <w:style w:type="character" w:customStyle="1" w:styleId="CabealhoChar">
    <w:name w:val="Cabeçalho Char"/>
    <w:basedOn w:val="Fontepargpadro"/>
    <w:link w:val="Cabealho"/>
    <w:uiPriority w:val="99"/>
    <w:rsid w:val="000D7E0E"/>
  </w:style>
  <w:style w:type="paragraph" w:styleId="Rodap">
    <w:name w:val="footer"/>
    <w:basedOn w:val="Normal"/>
    <w:link w:val="RodapChar"/>
    <w:uiPriority w:val="99"/>
    <w:unhideWhenUsed/>
    <w:rsid w:val="000D7E0E"/>
    <w:pPr>
      <w:tabs>
        <w:tab w:val="center" w:pos="4252"/>
        <w:tab w:val="right" w:pos="8504"/>
      </w:tabs>
      <w:spacing w:line="240" w:lineRule="auto"/>
    </w:pPr>
  </w:style>
  <w:style w:type="character" w:customStyle="1" w:styleId="RodapChar">
    <w:name w:val="Rodapé Char"/>
    <w:basedOn w:val="Fontepargpadro"/>
    <w:link w:val="Rodap"/>
    <w:uiPriority w:val="99"/>
    <w:rsid w:val="000D7E0E"/>
  </w:style>
  <w:style w:type="paragraph" w:styleId="Textodenotaderodap">
    <w:name w:val="footnote text"/>
    <w:basedOn w:val="Normal"/>
    <w:link w:val="TextodenotaderodapChar"/>
    <w:uiPriority w:val="99"/>
    <w:semiHidden/>
    <w:unhideWhenUsed/>
    <w:rsid w:val="002E2F53"/>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E2F53"/>
    <w:rPr>
      <w:sz w:val="20"/>
      <w:szCs w:val="20"/>
    </w:rPr>
  </w:style>
  <w:style w:type="character" w:styleId="Refdenotaderodap">
    <w:name w:val="footnote reference"/>
    <w:basedOn w:val="Fontepargpadro"/>
    <w:uiPriority w:val="99"/>
    <w:semiHidden/>
    <w:unhideWhenUsed/>
    <w:rsid w:val="002E2F53"/>
    <w:rPr>
      <w:vertAlign w:val="superscript"/>
    </w:rPr>
  </w:style>
  <w:style w:type="paragraph" w:styleId="NormalWeb">
    <w:name w:val="Normal (Web)"/>
    <w:basedOn w:val="Normal"/>
    <w:uiPriority w:val="99"/>
    <w:semiHidden/>
    <w:unhideWhenUsed/>
    <w:rsid w:val="00054B4E"/>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054B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6187">
      <w:bodyDiv w:val="1"/>
      <w:marLeft w:val="0"/>
      <w:marRight w:val="0"/>
      <w:marTop w:val="0"/>
      <w:marBottom w:val="0"/>
      <w:divBdr>
        <w:top w:val="none" w:sz="0" w:space="0" w:color="auto"/>
        <w:left w:val="none" w:sz="0" w:space="0" w:color="auto"/>
        <w:bottom w:val="none" w:sz="0" w:space="0" w:color="auto"/>
        <w:right w:val="none" w:sz="0" w:space="0" w:color="auto"/>
      </w:divBdr>
    </w:div>
    <w:div w:id="91095222">
      <w:bodyDiv w:val="1"/>
      <w:marLeft w:val="0"/>
      <w:marRight w:val="0"/>
      <w:marTop w:val="0"/>
      <w:marBottom w:val="0"/>
      <w:divBdr>
        <w:top w:val="none" w:sz="0" w:space="0" w:color="auto"/>
        <w:left w:val="none" w:sz="0" w:space="0" w:color="auto"/>
        <w:bottom w:val="none" w:sz="0" w:space="0" w:color="auto"/>
        <w:right w:val="none" w:sz="0" w:space="0" w:color="auto"/>
      </w:divBdr>
    </w:div>
    <w:div w:id="162203922">
      <w:bodyDiv w:val="1"/>
      <w:marLeft w:val="0"/>
      <w:marRight w:val="0"/>
      <w:marTop w:val="0"/>
      <w:marBottom w:val="0"/>
      <w:divBdr>
        <w:top w:val="none" w:sz="0" w:space="0" w:color="auto"/>
        <w:left w:val="none" w:sz="0" w:space="0" w:color="auto"/>
        <w:bottom w:val="none" w:sz="0" w:space="0" w:color="auto"/>
        <w:right w:val="none" w:sz="0" w:space="0" w:color="auto"/>
      </w:divBdr>
    </w:div>
    <w:div w:id="227964788">
      <w:bodyDiv w:val="1"/>
      <w:marLeft w:val="0"/>
      <w:marRight w:val="0"/>
      <w:marTop w:val="0"/>
      <w:marBottom w:val="0"/>
      <w:divBdr>
        <w:top w:val="none" w:sz="0" w:space="0" w:color="auto"/>
        <w:left w:val="none" w:sz="0" w:space="0" w:color="auto"/>
        <w:bottom w:val="none" w:sz="0" w:space="0" w:color="auto"/>
        <w:right w:val="none" w:sz="0" w:space="0" w:color="auto"/>
      </w:divBdr>
    </w:div>
    <w:div w:id="240407582">
      <w:bodyDiv w:val="1"/>
      <w:marLeft w:val="0"/>
      <w:marRight w:val="0"/>
      <w:marTop w:val="0"/>
      <w:marBottom w:val="0"/>
      <w:divBdr>
        <w:top w:val="none" w:sz="0" w:space="0" w:color="auto"/>
        <w:left w:val="none" w:sz="0" w:space="0" w:color="auto"/>
        <w:bottom w:val="none" w:sz="0" w:space="0" w:color="auto"/>
        <w:right w:val="none" w:sz="0" w:space="0" w:color="auto"/>
      </w:divBdr>
    </w:div>
    <w:div w:id="265583799">
      <w:bodyDiv w:val="1"/>
      <w:marLeft w:val="0"/>
      <w:marRight w:val="0"/>
      <w:marTop w:val="0"/>
      <w:marBottom w:val="0"/>
      <w:divBdr>
        <w:top w:val="none" w:sz="0" w:space="0" w:color="auto"/>
        <w:left w:val="none" w:sz="0" w:space="0" w:color="auto"/>
        <w:bottom w:val="none" w:sz="0" w:space="0" w:color="auto"/>
        <w:right w:val="none" w:sz="0" w:space="0" w:color="auto"/>
      </w:divBdr>
    </w:div>
    <w:div w:id="298924021">
      <w:bodyDiv w:val="1"/>
      <w:marLeft w:val="0"/>
      <w:marRight w:val="0"/>
      <w:marTop w:val="0"/>
      <w:marBottom w:val="0"/>
      <w:divBdr>
        <w:top w:val="none" w:sz="0" w:space="0" w:color="auto"/>
        <w:left w:val="none" w:sz="0" w:space="0" w:color="auto"/>
        <w:bottom w:val="none" w:sz="0" w:space="0" w:color="auto"/>
        <w:right w:val="none" w:sz="0" w:space="0" w:color="auto"/>
      </w:divBdr>
    </w:div>
    <w:div w:id="324020506">
      <w:bodyDiv w:val="1"/>
      <w:marLeft w:val="0"/>
      <w:marRight w:val="0"/>
      <w:marTop w:val="0"/>
      <w:marBottom w:val="0"/>
      <w:divBdr>
        <w:top w:val="none" w:sz="0" w:space="0" w:color="auto"/>
        <w:left w:val="none" w:sz="0" w:space="0" w:color="auto"/>
        <w:bottom w:val="none" w:sz="0" w:space="0" w:color="auto"/>
        <w:right w:val="none" w:sz="0" w:space="0" w:color="auto"/>
      </w:divBdr>
    </w:div>
    <w:div w:id="332878920">
      <w:bodyDiv w:val="1"/>
      <w:marLeft w:val="0"/>
      <w:marRight w:val="0"/>
      <w:marTop w:val="0"/>
      <w:marBottom w:val="0"/>
      <w:divBdr>
        <w:top w:val="none" w:sz="0" w:space="0" w:color="auto"/>
        <w:left w:val="none" w:sz="0" w:space="0" w:color="auto"/>
        <w:bottom w:val="none" w:sz="0" w:space="0" w:color="auto"/>
        <w:right w:val="none" w:sz="0" w:space="0" w:color="auto"/>
      </w:divBdr>
    </w:div>
    <w:div w:id="439835017">
      <w:bodyDiv w:val="1"/>
      <w:marLeft w:val="0"/>
      <w:marRight w:val="0"/>
      <w:marTop w:val="0"/>
      <w:marBottom w:val="0"/>
      <w:divBdr>
        <w:top w:val="none" w:sz="0" w:space="0" w:color="auto"/>
        <w:left w:val="none" w:sz="0" w:space="0" w:color="auto"/>
        <w:bottom w:val="none" w:sz="0" w:space="0" w:color="auto"/>
        <w:right w:val="none" w:sz="0" w:space="0" w:color="auto"/>
      </w:divBdr>
    </w:div>
    <w:div w:id="471950240">
      <w:bodyDiv w:val="1"/>
      <w:marLeft w:val="0"/>
      <w:marRight w:val="0"/>
      <w:marTop w:val="0"/>
      <w:marBottom w:val="0"/>
      <w:divBdr>
        <w:top w:val="none" w:sz="0" w:space="0" w:color="auto"/>
        <w:left w:val="none" w:sz="0" w:space="0" w:color="auto"/>
        <w:bottom w:val="none" w:sz="0" w:space="0" w:color="auto"/>
        <w:right w:val="none" w:sz="0" w:space="0" w:color="auto"/>
      </w:divBdr>
    </w:div>
    <w:div w:id="490294127">
      <w:bodyDiv w:val="1"/>
      <w:marLeft w:val="0"/>
      <w:marRight w:val="0"/>
      <w:marTop w:val="0"/>
      <w:marBottom w:val="0"/>
      <w:divBdr>
        <w:top w:val="none" w:sz="0" w:space="0" w:color="auto"/>
        <w:left w:val="none" w:sz="0" w:space="0" w:color="auto"/>
        <w:bottom w:val="none" w:sz="0" w:space="0" w:color="auto"/>
        <w:right w:val="none" w:sz="0" w:space="0" w:color="auto"/>
      </w:divBdr>
    </w:div>
    <w:div w:id="550961312">
      <w:bodyDiv w:val="1"/>
      <w:marLeft w:val="0"/>
      <w:marRight w:val="0"/>
      <w:marTop w:val="0"/>
      <w:marBottom w:val="0"/>
      <w:divBdr>
        <w:top w:val="none" w:sz="0" w:space="0" w:color="auto"/>
        <w:left w:val="none" w:sz="0" w:space="0" w:color="auto"/>
        <w:bottom w:val="none" w:sz="0" w:space="0" w:color="auto"/>
        <w:right w:val="none" w:sz="0" w:space="0" w:color="auto"/>
      </w:divBdr>
    </w:div>
    <w:div w:id="587615408">
      <w:bodyDiv w:val="1"/>
      <w:marLeft w:val="0"/>
      <w:marRight w:val="0"/>
      <w:marTop w:val="0"/>
      <w:marBottom w:val="0"/>
      <w:divBdr>
        <w:top w:val="none" w:sz="0" w:space="0" w:color="auto"/>
        <w:left w:val="none" w:sz="0" w:space="0" w:color="auto"/>
        <w:bottom w:val="none" w:sz="0" w:space="0" w:color="auto"/>
        <w:right w:val="none" w:sz="0" w:space="0" w:color="auto"/>
      </w:divBdr>
    </w:div>
    <w:div w:id="590621676">
      <w:bodyDiv w:val="1"/>
      <w:marLeft w:val="0"/>
      <w:marRight w:val="0"/>
      <w:marTop w:val="0"/>
      <w:marBottom w:val="0"/>
      <w:divBdr>
        <w:top w:val="none" w:sz="0" w:space="0" w:color="auto"/>
        <w:left w:val="none" w:sz="0" w:space="0" w:color="auto"/>
        <w:bottom w:val="none" w:sz="0" w:space="0" w:color="auto"/>
        <w:right w:val="none" w:sz="0" w:space="0" w:color="auto"/>
      </w:divBdr>
    </w:div>
    <w:div w:id="65256557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72071820">
      <w:bodyDiv w:val="1"/>
      <w:marLeft w:val="0"/>
      <w:marRight w:val="0"/>
      <w:marTop w:val="0"/>
      <w:marBottom w:val="0"/>
      <w:divBdr>
        <w:top w:val="none" w:sz="0" w:space="0" w:color="auto"/>
        <w:left w:val="none" w:sz="0" w:space="0" w:color="auto"/>
        <w:bottom w:val="none" w:sz="0" w:space="0" w:color="auto"/>
        <w:right w:val="none" w:sz="0" w:space="0" w:color="auto"/>
      </w:divBdr>
    </w:div>
    <w:div w:id="680814001">
      <w:bodyDiv w:val="1"/>
      <w:marLeft w:val="0"/>
      <w:marRight w:val="0"/>
      <w:marTop w:val="0"/>
      <w:marBottom w:val="0"/>
      <w:divBdr>
        <w:top w:val="none" w:sz="0" w:space="0" w:color="auto"/>
        <w:left w:val="none" w:sz="0" w:space="0" w:color="auto"/>
        <w:bottom w:val="none" w:sz="0" w:space="0" w:color="auto"/>
        <w:right w:val="none" w:sz="0" w:space="0" w:color="auto"/>
      </w:divBdr>
    </w:div>
    <w:div w:id="694430129">
      <w:bodyDiv w:val="1"/>
      <w:marLeft w:val="0"/>
      <w:marRight w:val="0"/>
      <w:marTop w:val="0"/>
      <w:marBottom w:val="0"/>
      <w:divBdr>
        <w:top w:val="none" w:sz="0" w:space="0" w:color="auto"/>
        <w:left w:val="none" w:sz="0" w:space="0" w:color="auto"/>
        <w:bottom w:val="none" w:sz="0" w:space="0" w:color="auto"/>
        <w:right w:val="none" w:sz="0" w:space="0" w:color="auto"/>
      </w:divBdr>
    </w:div>
    <w:div w:id="715128983">
      <w:bodyDiv w:val="1"/>
      <w:marLeft w:val="0"/>
      <w:marRight w:val="0"/>
      <w:marTop w:val="0"/>
      <w:marBottom w:val="0"/>
      <w:divBdr>
        <w:top w:val="none" w:sz="0" w:space="0" w:color="auto"/>
        <w:left w:val="none" w:sz="0" w:space="0" w:color="auto"/>
        <w:bottom w:val="none" w:sz="0" w:space="0" w:color="auto"/>
        <w:right w:val="none" w:sz="0" w:space="0" w:color="auto"/>
      </w:divBdr>
    </w:div>
    <w:div w:id="728965528">
      <w:bodyDiv w:val="1"/>
      <w:marLeft w:val="0"/>
      <w:marRight w:val="0"/>
      <w:marTop w:val="0"/>
      <w:marBottom w:val="0"/>
      <w:divBdr>
        <w:top w:val="none" w:sz="0" w:space="0" w:color="auto"/>
        <w:left w:val="none" w:sz="0" w:space="0" w:color="auto"/>
        <w:bottom w:val="none" w:sz="0" w:space="0" w:color="auto"/>
        <w:right w:val="none" w:sz="0" w:space="0" w:color="auto"/>
      </w:divBdr>
    </w:div>
    <w:div w:id="746998787">
      <w:bodyDiv w:val="1"/>
      <w:marLeft w:val="0"/>
      <w:marRight w:val="0"/>
      <w:marTop w:val="0"/>
      <w:marBottom w:val="0"/>
      <w:divBdr>
        <w:top w:val="none" w:sz="0" w:space="0" w:color="auto"/>
        <w:left w:val="none" w:sz="0" w:space="0" w:color="auto"/>
        <w:bottom w:val="none" w:sz="0" w:space="0" w:color="auto"/>
        <w:right w:val="none" w:sz="0" w:space="0" w:color="auto"/>
      </w:divBdr>
      <w:divsChild>
        <w:div w:id="1934047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654116">
      <w:bodyDiv w:val="1"/>
      <w:marLeft w:val="0"/>
      <w:marRight w:val="0"/>
      <w:marTop w:val="0"/>
      <w:marBottom w:val="0"/>
      <w:divBdr>
        <w:top w:val="none" w:sz="0" w:space="0" w:color="auto"/>
        <w:left w:val="none" w:sz="0" w:space="0" w:color="auto"/>
        <w:bottom w:val="none" w:sz="0" w:space="0" w:color="auto"/>
        <w:right w:val="none" w:sz="0" w:space="0" w:color="auto"/>
      </w:divBdr>
    </w:div>
    <w:div w:id="792526976">
      <w:bodyDiv w:val="1"/>
      <w:marLeft w:val="0"/>
      <w:marRight w:val="0"/>
      <w:marTop w:val="0"/>
      <w:marBottom w:val="0"/>
      <w:divBdr>
        <w:top w:val="none" w:sz="0" w:space="0" w:color="auto"/>
        <w:left w:val="none" w:sz="0" w:space="0" w:color="auto"/>
        <w:bottom w:val="none" w:sz="0" w:space="0" w:color="auto"/>
        <w:right w:val="none" w:sz="0" w:space="0" w:color="auto"/>
      </w:divBdr>
    </w:div>
    <w:div w:id="803078742">
      <w:bodyDiv w:val="1"/>
      <w:marLeft w:val="0"/>
      <w:marRight w:val="0"/>
      <w:marTop w:val="0"/>
      <w:marBottom w:val="0"/>
      <w:divBdr>
        <w:top w:val="none" w:sz="0" w:space="0" w:color="auto"/>
        <w:left w:val="none" w:sz="0" w:space="0" w:color="auto"/>
        <w:bottom w:val="none" w:sz="0" w:space="0" w:color="auto"/>
        <w:right w:val="none" w:sz="0" w:space="0" w:color="auto"/>
      </w:divBdr>
    </w:div>
    <w:div w:id="884367708">
      <w:bodyDiv w:val="1"/>
      <w:marLeft w:val="0"/>
      <w:marRight w:val="0"/>
      <w:marTop w:val="0"/>
      <w:marBottom w:val="0"/>
      <w:divBdr>
        <w:top w:val="none" w:sz="0" w:space="0" w:color="auto"/>
        <w:left w:val="none" w:sz="0" w:space="0" w:color="auto"/>
        <w:bottom w:val="none" w:sz="0" w:space="0" w:color="auto"/>
        <w:right w:val="none" w:sz="0" w:space="0" w:color="auto"/>
      </w:divBdr>
      <w:divsChild>
        <w:div w:id="290717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7011832">
      <w:bodyDiv w:val="1"/>
      <w:marLeft w:val="0"/>
      <w:marRight w:val="0"/>
      <w:marTop w:val="0"/>
      <w:marBottom w:val="0"/>
      <w:divBdr>
        <w:top w:val="none" w:sz="0" w:space="0" w:color="auto"/>
        <w:left w:val="none" w:sz="0" w:space="0" w:color="auto"/>
        <w:bottom w:val="none" w:sz="0" w:space="0" w:color="auto"/>
        <w:right w:val="none" w:sz="0" w:space="0" w:color="auto"/>
      </w:divBdr>
    </w:div>
    <w:div w:id="977996127">
      <w:bodyDiv w:val="1"/>
      <w:marLeft w:val="0"/>
      <w:marRight w:val="0"/>
      <w:marTop w:val="0"/>
      <w:marBottom w:val="0"/>
      <w:divBdr>
        <w:top w:val="none" w:sz="0" w:space="0" w:color="auto"/>
        <w:left w:val="none" w:sz="0" w:space="0" w:color="auto"/>
        <w:bottom w:val="none" w:sz="0" w:space="0" w:color="auto"/>
        <w:right w:val="none" w:sz="0" w:space="0" w:color="auto"/>
      </w:divBdr>
    </w:div>
    <w:div w:id="1057245365">
      <w:bodyDiv w:val="1"/>
      <w:marLeft w:val="0"/>
      <w:marRight w:val="0"/>
      <w:marTop w:val="0"/>
      <w:marBottom w:val="0"/>
      <w:divBdr>
        <w:top w:val="none" w:sz="0" w:space="0" w:color="auto"/>
        <w:left w:val="none" w:sz="0" w:space="0" w:color="auto"/>
        <w:bottom w:val="none" w:sz="0" w:space="0" w:color="auto"/>
        <w:right w:val="none" w:sz="0" w:space="0" w:color="auto"/>
      </w:divBdr>
    </w:div>
    <w:div w:id="1078361392">
      <w:bodyDiv w:val="1"/>
      <w:marLeft w:val="0"/>
      <w:marRight w:val="0"/>
      <w:marTop w:val="0"/>
      <w:marBottom w:val="0"/>
      <w:divBdr>
        <w:top w:val="none" w:sz="0" w:space="0" w:color="auto"/>
        <w:left w:val="none" w:sz="0" w:space="0" w:color="auto"/>
        <w:bottom w:val="none" w:sz="0" w:space="0" w:color="auto"/>
        <w:right w:val="none" w:sz="0" w:space="0" w:color="auto"/>
      </w:divBdr>
    </w:div>
    <w:div w:id="1235360783">
      <w:bodyDiv w:val="1"/>
      <w:marLeft w:val="0"/>
      <w:marRight w:val="0"/>
      <w:marTop w:val="0"/>
      <w:marBottom w:val="0"/>
      <w:divBdr>
        <w:top w:val="none" w:sz="0" w:space="0" w:color="auto"/>
        <w:left w:val="none" w:sz="0" w:space="0" w:color="auto"/>
        <w:bottom w:val="none" w:sz="0" w:space="0" w:color="auto"/>
        <w:right w:val="none" w:sz="0" w:space="0" w:color="auto"/>
      </w:divBdr>
    </w:div>
    <w:div w:id="1242637704">
      <w:bodyDiv w:val="1"/>
      <w:marLeft w:val="0"/>
      <w:marRight w:val="0"/>
      <w:marTop w:val="0"/>
      <w:marBottom w:val="0"/>
      <w:divBdr>
        <w:top w:val="none" w:sz="0" w:space="0" w:color="auto"/>
        <w:left w:val="none" w:sz="0" w:space="0" w:color="auto"/>
        <w:bottom w:val="none" w:sz="0" w:space="0" w:color="auto"/>
        <w:right w:val="none" w:sz="0" w:space="0" w:color="auto"/>
      </w:divBdr>
    </w:div>
    <w:div w:id="1269582433">
      <w:bodyDiv w:val="1"/>
      <w:marLeft w:val="0"/>
      <w:marRight w:val="0"/>
      <w:marTop w:val="0"/>
      <w:marBottom w:val="0"/>
      <w:divBdr>
        <w:top w:val="none" w:sz="0" w:space="0" w:color="auto"/>
        <w:left w:val="none" w:sz="0" w:space="0" w:color="auto"/>
        <w:bottom w:val="none" w:sz="0" w:space="0" w:color="auto"/>
        <w:right w:val="none" w:sz="0" w:space="0" w:color="auto"/>
      </w:divBdr>
    </w:div>
    <w:div w:id="1337725529">
      <w:bodyDiv w:val="1"/>
      <w:marLeft w:val="0"/>
      <w:marRight w:val="0"/>
      <w:marTop w:val="0"/>
      <w:marBottom w:val="0"/>
      <w:divBdr>
        <w:top w:val="none" w:sz="0" w:space="0" w:color="auto"/>
        <w:left w:val="none" w:sz="0" w:space="0" w:color="auto"/>
        <w:bottom w:val="none" w:sz="0" w:space="0" w:color="auto"/>
        <w:right w:val="none" w:sz="0" w:space="0" w:color="auto"/>
      </w:divBdr>
    </w:div>
    <w:div w:id="1391726442">
      <w:bodyDiv w:val="1"/>
      <w:marLeft w:val="0"/>
      <w:marRight w:val="0"/>
      <w:marTop w:val="0"/>
      <w:marBottom w:val="0"/>
      <w:divBdr>
        <w:top w:val="none" w:sz="0" w:space="0" w:color="auto"/>
        <w:left w:val="none" w:sz="0" w:space="0" w:color="auto"/>
        <w:bottom w:val="none" w:sz="0" w:space="0" w:color="auto"/>
        <w:right w:val="none" w:sz="0" w:space="0" w:color="auto"/>
      </w:divBdr>
    </w:div>
    <w:div w:id="1491604092">
      <w:bodyDiv w:val="1"/>
      <w:marLeft w:val="0"/>
      <w:marRight w:val="0"/>
      <w:marTop w:val="0"/>
      <w:marBottom w:val="0"/>
      <w:divBdr>
        <w:top w:val="none" w:sz="0" w:space="0" w:color="auto"/>
        <w:left w:val="none" w:sz="0" w:space="0" w:color="auto"/>
        <w:bottom w:val="none" w:sz="0" w:space="0" w:color="auto"/>
        <w:right w:val="none" w:sz="0" w:space="0" w:color="auto"/>
      </w:divBdr>
    </w:div>
    <w:div w:id="1505514462">
      <w:bodyDiv w:val="1"/>
      <w:marLeft w:val="0"/>
      <w:marRight w:val="0"/>
      <w:marTop w:val="0"/>
      <w:marBottom w:val="0"/>
      <w:divBdr>
        <w:top w:val="none" w:sz="0" w:space="0" w:color="auto"/>
        <w:left w:val="none" w:sz="0" w:space="0" w:color="auto"/>
        <w:bottom w:val="none" w:sz="0" w:space="0" w:color="auto"/>
        <w:right w:val="none" w:sz="0" w:space="0" w:color="auto"/>
      </w:divBdr>
    </w:div>
    <w:div w:id="1532953642">
      <w:bodyDiv w:val="1"/>
      <w:marLeft w:val="0"/>
      <w:marRight w:val="0"/>
      <w:marTop w:val="0"/>
      <w:marBottom w:val="0"/>
      <w:divBdr>
        <w:top w:val="none" w:sz="0" w:space="0" w:color="auto"/>
        <w:left w:val="none" w:sz="0" w:space="0" w:color="auto"/>
        <w:bottom w:val="none" w:sz="0" w:space="0" w:color="auto"/>
        <w:right w:val="none" w:sz="0" w:space="0" w:color="auto"/>
      </w:divBdr>
    </w:div>
    <w:div w:id="1566449119">
      <w:bodyDiv w:val="1"/>
      <w:marLeft w:val="0"/>
      <w:marRight w:val="0"/>
      <w:marTop w:val="0"/>
      <w:marBottom w:val="0"/>
      <w:divBdr>
        <w:top w:val="none" w:sz="0" w:space="0" w:color="auto"/>
        <w:left w:val="none" w:sz="0" w:space="0" w:color="auto"/>
        <w:bottom w:val="none" w:sz="0" w:space="0" w:color="auto"/>
        <w:right w:val="none" w:sz="0" w:space="0" w:color="auto"/>
      </w:divBdr>
    </w:div>
    <w:div w:id="1570381920">
      <w:bodyDiv w:val="1"/>
      <w:marLeft w:val="0"/>
      <w:marRight w:val="0"/>
      <w:marTop w:val="0"/>
      <w:marBottom w:val="0"/>
      <w:divBdr>
        <w:top w:val="none" w:sz="0" w:space="0" w:color="auto"/>
        <w:left w:val="none" w:sz="0" w:space="0" w:color="auto"/>
        <w:bottom w:val="none" w:sz="0" w:space="0" w:color="auto"/>
        <w:right w:val="none" w:sz="0" w:space="0" w:color="auto"/>
      </w:divBdr>
    </w:div>
    <w:div w:id="1580942625">
      <w:bodyDiv w:val="1"/>
      <w:marLeft w:val="0"/>
      <w:marRight w:val="0"/>
      <w:marTop w:val="0"/>
      <w:marBottom w:val="0"/>
      <w:divBdr>
        <w:top w:val="none" w:sz="0" w:space="0" w:color="auto"/>
        <w:left w:val="none" w:sz="0" w:space="0" w:color="auto"/>
        <w:bottom w:val="none" w:sz="0" w:space="0" w:color="auto"/>
        <w:right w:val="none" w:sz="0" w:space="0" w:color="auto"/>
      </w:divBdr>
    </w:div>
    <w:div w:id="1588223051">
      <w:bodyDiv w:val="1"/>
      <w:marLeft w:val="0"/>
      <w:marRight w:val="0"/>
      <w:marTop w:val="0"/>
      <w:marBottom w:val="0"/>
      <w:divBdr>
        <w:top w:val="none" w:sz="0" w:space="0" w:color="auto"/>
        <w:left w:val="none" w:sz="0" w:space="0" w:color="auto"/>
        <w:bottom w:val="none" w:sz="0" w:space="0" w:color="auto"/>
        <w:right w:val="none" w:sz="0" w:space="0" w:color="auto"/>
      </w:divBdr>
    </w:div>
    <w:div w:id="1600260007">
      <w:bodyDiv w:val="1"/>
      <w:marLeft w:val="0"/>
      <w:marRight w:val="0"/>
      <w:marTop w:val="0"/>
      <w:marBottom w:val="0"/>
      <w:divBdr>
        <w:top w:val="none" w:sz="0" w:space="0" w:color="auto"/>
        <w:left w:val="none" w:sz="0" w:space="0" w:color="auto"/>
        <w:bottom w:val="none" w:sz="0" w:space="0" w:color="auto"/>
        <w:right w:val="none" w:sz="0" w:space="0" w:color="auto"/>
      </w:divBdr>
    </w:div>
    <w:div w:id="1623070394">
      <w:bodyDiv w:val="1"/>
      <w:marLeft w:val="0"/>
      <w:marRight w:val="0"/>
      <w:marTop w:val="0"/>
      <w:marBottom w:val="0"/>
      <w:divBdr>
        <w:top w:val="none" w:sz="0" w:space="0" w:color="auto"/>
        <w:left w:val="none" w:sz="0" w:space="0" w:color="auto"/>
        <w:bottom w:val="none" w:sz="0" w:space="0" w:color="auto"/>
        <w:right w:val="none" w:sz="0" w:space="0" w:color="auto"/>
      </w:divBdr>
      <w:divsChild>
        <w:div w:id="2120634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828665">
      <w:bodyDiv w:val="1"/>
      <w:marLeft w:val="0"/>
      <w:marRight w:val="0"/>
      <w:marTop w:val="0"/>
      <w:marBottom w:val="0"/>
      <w:divBdr>
        <w:top w:val="none" w:sz="0" w:space="0" w:color="auto"/>
        <w:left w:val="none" w:sz="0" w:space="0" w:color="auto"/>
        <w:bottom w:val="none" w:sz="0" w:space="0" w:color="auto"/>
        <w:right w:val="none" w:sz="0" w:space="0" w:color="auto"/>
      </w:divBdr>
    </w:div>
    <w:div w:id="1657223038">
      <w:bodyDiv w:val="1"/>
      <w:marLeft w:val="0"/>
      <w:marRight w:val="0"/>
      <w:marTop w:val="0"/>
      <w:marBottom w:val="0"/>
      <w:divBdr>
        <w:top w:val="none" w:sz="0" w:space="0" w:color="auto"/>
        <w:left w:val="none" w:sz="0" w:space="0" w:color="auto"/>
        <w:bottom w:val="none" w:sz="0" w:space="0" w:color="auto"/>
        <w:right w:val="none" w:sz="0" w:space="0" w:color="auto"/>
      </w:divBdr>
    </w:div>
    <w:div w:id="1679309004">
      <w:bodyDiv w:val="1"/>
      <w:marLeft w:val="0"/>
      <w:marRight w:val="0"/>
      <w:marTop w:val="0"/>
      <w:marBottom w:val="0"/>
      <w:divBdr>
        <w:top w:val="none" w:sz="0" w:space="0" w:color="auto"/>
        <w:left w:val="none" w:sz="0" w:space="0" w:color="auto"/>
        <w:bottom w:val="none" w:sz="0" w:space="0" w:color="auto"/>
        <w:right w:val="none" w:sz="0" w:space="0" w:color="auto"/>
      </w:divBdr>
    </w:div>
    <w:div w:id="1686903955">
      <w:bodyDiv w:val="1"/>
      <w:marLeft w:val="0"/>
      <w:marRight w:val="0"/>
      <w:marTop w:val="0"/>
      <w:marBottom w:val="0"/>
      <w:divBdr>
        <w:top w:val="none" w:sz="0" w:space="0" w:color="auto"/>
        <w:left w:val="none" w:sz="0" w:space="0" w:color="auto"/>
        <w:bottom w:val="none" w:sz="0" w:space="0" w:color="auto"/>
        <w:right w:val="none" w:sz="0" w:space="0" w:color="auto"/>
      </w:divBdr>
    </w:div>
    <w:div w:id="1706253462">
      <w:bodyDiv w:val="1"/>
      <w:marLeft w:val="0"/>
      <w:marRight w:val="0"/>
      <w:marTop w:val="0"/>
      <w:marBottom w:val="0"/>
      <w:divBdr>
        <w:top w:val="none" w:sz="0" w:space="0" w:color="auto"/>
        <w:left w:val="none" w:sz="0" w:space="0" w:color="auto"/>
        <w:bottom w:val="none" w:sz="0" w:space="0" w:color="auto"/>
        <w:right w:val="none" w:sz="0" w:space="0" w:color="auto"/>
      </w:divBdr>
    </w:div>
    <w:div w:id="1765998880">
      <w:bodyDiv w:val="1"/>
      <w:marLeft w:val="0"/>
      <w:marRight w:val="0"/>
      <w:marTop w:val="0"/>
      <w:marBottom w:val="0"/>
      <w:divBdr>
        <w:top w:val="none" w:sz="0" w:space="0" w:color="auto"/>
        <w:left w:val="none" w:sz="0" w:space="0" w:color="auto"/>
        <w:bottom w:val="none" w:sz="0" w:space="0" w:color="auto"/>
        <w:right w:val="none" w:sz="0" w:space="0" w:color="auto"/>
      </w:divBdr>
    </w:div>
    <w:div w:id="1773895126">
      <w:bodyDiv w:val="1"/>
      <w:marLeft w:val="0"/>
      <w:marRight w:val="0"/>
      <w:marTop w:val="0"/>
      <w:marBottom w:val="0"/>
      <w:divBdr>
        <w:top w:val="none" w:sz="0" w:space="0" w:color="auto"/>
        <w:left w:val="none" w:sz="0" w:space="0" w:color="auto"/>
        <w:bottom w:val="none" w:sz="0" w:space="0" w:color="auto"/>
        <w:right w:val="none" w:sz="0" w:space="0" w:color="auto"/>
      </w:divBdr>
    </w:div>
    <w:div w:id="1820732499">
      <w:bodyDiv w:val="1"/>
      <w:marLeft w:val="0"/>
      <w:marRight w:val="0"/>
      <w:marTop w:val="0"/>
      <w:marBottom w:val="0"/>
      <w:divBdr>
        <w:top w:val="none" w:sz="0" w:space="0" w:color="auto"/>
        <w:left w:val="none" w:sz="0" w:space="0" w:color="auto"/>
        <w:bottom w:val="none" w:sz="0" w:space="0" w:color="auto"/>
        <w:right w:val="none" w:sz="0" w:space="0" w:color="auto"/>
      </w:divBdr>
    </w:div>
    <w:div w:id="1851605357">
      <w:bodyDiv w:val="1"/>
      <w:marLeft w:val="0"/>
      <w:marRight w:val="0"/>
      <w:marTop w:val="0"/>
      <w:marBottom w:val="0"/>
      <w:divBdr>
        <w:top w:val="none" w:sz="0" w:space="0" w:color="auto"/>
        <w:left w:val="none" w:sz="0" w:space="0" w:color="auto"/>
        <w:bottom w:val="none" w:sz="0" w:space="0" w:color="auto"/>
        <w:right w:val="none" w:sz="0" w:space="0" w:color="auto"/>
      </w:divBdr>
    </w:div>
    <w:div w:id="1887139303">
      <w:bodyDiv w:val="1"/>
      <w:marLeft w:val="0"/>
      <w:marRight w:val="0"/>
      <w:marTop w:val="0"/>
      <w:marBottom w:val="0"/>
      <w:divBdr>
        <w:top w:val="none" w:sz="0" w:space="0" w:color="auto"/>
        <w:left w:val="none" w:sz="0" w:space="0" w:color="auto"/>
        <w:bottom w:val="none" w:sz="0" w:space="0" w:color="auto"/>
        <w:right w:val="none" w:sz="0" w:space="0" w:color="auto"/>
      </w:divBdr>
    </w:div>
    <w:div w:id="1893467484">
      <w:bodyDiv w:val="1"/>
      <w:marLeft w:val="0"/>
      <w:marRight w:val="0"/>
      <w:marTop w:val="0"/>
      <w:marBottom w:val="0"/>
      <w:divBdr>
        <w:top w:val="none" w:sz="0" w:space="0" w:color="auto"/>
        <w:left w:val="none" w:sz="0" w:space="0" w:color="auto"/>
        <w:bottom w:val="none" w:sz="0" w:space="0" w:color="auto"/>
        <w:right w:val="none" w:sz="0" w:space="0" w:color="auto"/>
      </w:divBdr>
    </w:div>
    <w:div w:id="1900626165">
      <w:bodyDiv w:val="1"/>
      <w:marLeft w:val="0"/>
      <w:marRight w:val="0"/>
      <w:marTop w:val="0"/>
      <w:marBottom w:val="0"/>
      <w:divBdr>
        <w:top w:val="none" w:sz="0" w:space="0" w:color="auto"/>
        <w:left w:val="none" w:sz="0" w:space="0" w:color="auto"/>
        <w:bottom w:val="none" w:sz="0" w:space="0" w:color="auto"/>
        <w:right w:val="none" w:sz="0" w:space="0" w:color="auto"/>
      </w:divBdr>
    </w:div>
    <w:div w:id="1900746546">
      <w:bodyDiv w:val="1"/>
      <w:marLeft w:val="0"/>
      <w:marRight w:val="0"/>
      <w:marTop w:val="0"/>
      <w:marBottom w:val="0"/>
      <w:divBdr>
        <w:top w:val="none" w:sz="0" w:space="0" w:color="auto"/>
        <w:left w:val="none" w:sz="0" w:space="0" w:color="auto"/>
        <w:bottom w:val="none" w:sz="0" w:space="0" w:color="auto"/>
        <w:right w:val="none" w:sz="0" w:space="0" w:color="auto"/>
      </w:divBdr>
    </w:div>
    <w:div w:id="1904752953">
      <w:bodyDiv w:val="1"/>
      <w:marLeft w:val="0"/>
      <w:marRight w:val="0"/>
      <w:marTop w:val="0"/>
      <w:marBottom w:val="0"/>
      <w:divBdr>
        <w:top w:val="none" w:sz="0" w:space="0" w:color="auto"/>
        <w:left w:val="none" w:sz="0" w:space="0" w:color="auto"/>
        <w:bottom w:val="none" w:sz="0" w:space="0" w:color="auto"/>
        <w:right w:val="none" w:sz="0" w:space="0" w:color="auto"/>
      </w:divBdr>
    </w:div>
    <w:div w:id="1932932272">
      <w:bodyDiv w:val="1"/>
      <w:marLeft w:val="0"/>
      <w:marRight w:val="0"/>
      <w:marTop w:val="0"/>
      <w:marBottom w:val="0"/>
      <w:divBdr>
        <w:top w:val="none" w:sz="0" w:space="0" w:color="auto"/>
        <w:left w:val="none" w:sz="0" w:space="0" w:color="auto"/>
        <w:bottom w:val="none" w:sz="0" w:space="0" w:color="auto"/>
        <w:right w:val="none" w:sz="0" w:space="0" w:color="auto"/>
      </w:divBdr>
    </w:div>
    <w:div w:id="1945265175">
      <w:bodyDiv w:val="1"/>
      <w:marLeft w:val="0"/>
      <w:marRight w:val="0"/>
      <w:marTop w:val="0"/>
      <w:marBottom w:val="0"/>
      <w:divBdr>
        <w:top w:val="none" w:sz="0" w:space="0" w:color="auto"/>
        <w:left w:val="none" w:sz="0" w:space="0" w:color="auto"/>
        <w:bottom w:val="none" w:sz="0" w:space="0" w:color="auto"/>
        <w:right w:val="none" w:sz="0" w:space="0" w:color="auto"/>
      </w:divBdr>
    </w:div>
    <w:div w:id="1966040432">
      <w:bodyDiv w:val="1"/>
      <w:marLeft w:val="0"/>
      <w:marRight w:val="0"/>
      <w:marTop w:val="0"/>
      <w:marBottom w:val="0"/>
      <w:divBdr>
        <w:top w:val="none" w:sz="0" w:space="0" w:color="auto"/>
        <w:left w:val="none" w:sz="0" w:space="0" w:color="auto"/>
        <w:bottom w:val="none" w:sz="0" w:space="0" w:color="auto"/>
        <w:right w:val="none" w:sz="0" w:space="0" w:color="auto"/>
      </w:divBdr>
    </w:div>
    <w:div w:id="1997103484">
      <w:bodyDiv w:val="1"/>
      <w:marLeft w:val="0"/>
      <w:marRight w:val="0"/>
      <w:marTop w:val="0"/>
      <w:marBottom w:val="0"/>
      <w:divBdr>
        <w:top w:val="none" w:sz="0" w:space="0" w:color="auto"/>
        <w:left w:val="none" w:sz="0" w:space="0" w:color="auto"/>
        <w:bottom w:val="none" w:sz="0" w:space="0" w:color="auto"/>
        <w:right w:val="none" w:sz="0" w:space="0" w:color="auto"/>
      </w:divBdr>
    </w:div>
    <w:div w:id="2001614310">
      <w:bodyDiv w:val="1"/>
      <w:marLeft w:val="0"/>
      <w:marRight w:val="0"/>
      <w:marTop w:val="0"/>
      <w:marBottom w:val="0"/>
      <w:divBdr>
        <w:top w:val="none" w:sz="0" w:space="0" w:color="auto"/>
        <w:left w:val="none" w:sz="0" w:space="0" w:color="auto"/>
        <w:bottom w:val="none" w:sz="0" w:space="0" w:color="auto"/>
        <w:right w:val="none" w:sz="0" w:space="0" w:color="auto"/>
      </w:divBdr>
    </w:div>
    <w:div w:id="2012484652">
      <w:bodyDiv w:val="1"/>
      <w:marLeft w:val="0"/>
      <w:marRight w:val="0"/>
      <w:marTop w:val="0"/>
      <w:marBottom w:val="0"/>
      <w:divBdr>
        <w:top w:val="none" w:sz="0" w:space="0" w:color="auto"/>
        <w:left w:val="none" w:sz="0" w:space="0" w:color="auto"/>
        <w:bottom w:val="none" w:sz="0" w:space="0" w:color="auto"/>
        <w:right w:val="none" w:sz="0" w:space="0" w:color="auto"/>
      </w:divBdr>
    </w:div>
    <w:div w:id="2108842548">
      <w:bodyDiv w:val="1"/>
      <w:marLeft w:val="0"/>
      <w:marRight w:val="0"/>
      <w:marTop w:val="0"/>
      <w:marBottom w:val="0"/>
      <w:divBdr>
        <w:top w:val="none" w:sz="0" w:space="0" w:color="auto"/>
        <w:left w:val="none" w:sz="0" w:space="0" w:color="auto"/>
        <w:bottom w:val="none" w:sz="0" w:space="0" w:color="auto"/>
        <w:right w:val="none" w:sz="0" w:space="0" w:color="auto"/>
      </w:divBdr>
    </w:div>
    <w:div w:id="2132086813">
      <w:bodyDiv w:val="1"/>
      <w:marLeft w:val="0"/>
      <w:marRight w:val="0"/>
      <w:marTop w:val="0"/>
      <w:marBottom w:val="0"/>
      <w:divBdr>
        <w:top w:val="none" w:sz="0" w:space="0" w:color="auto"/>
        <w:left w:val="none" w:sz="0" w:space="0" w:color="auto"/>
        <w:bottom w:val="none" w:sz="0" w:space="0" w:color="auto"/>
        <w:right w:val="none" w:sz="0" w:space="0" w:color="auto"/>
      </w:divBdr>
    </w:div>
    <w:div w:id="214218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mariana.lucena@ufma.br" TargetMode="External"/><Relationship Id="rId2" Type="http://schemas.openxmlformats.org/officeDocument/2006/relationships/hyperlink" Target="mailto:cassius.chai@ufma.br" TargetMode="External"/><Relationship Id="rId1" Type="http://schemas.openxmlformats.org/officeDocument/2006/relationships/hyperlink" Target="mailto:anne.reis@discente.ufma.br" TargetMode="External"/><Relationship Id="rId4" Type="http://schemas.openxmlformats.org/officeDocument/2006/relationships/hyperlink" Target="https://novogerenciador.tjma.jus.br/storage/arquivos/hotsite_cooinfancia_e_juventude/anexo_3861144_anexo_8_resolucao_cnj_289_2019_20_01_2022_14_38_4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1815A-AFCB-49CF-88B2-7B986B7A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4032</Words>
  <Characters>21773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 MARY REIS PEREIRA</cp:lastModifiedBy>
  <cp:revision>12</cp:revision>
  <dcterms:created xsi:type="dcterms:W3CDTF">2025-06-13T17:54:00Z</dcterms:created>
  <dcterms:modified xsi:type="dcterms:W3CDTF">2025-06-17T15:18:00Z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638d58a0-4c82-458b-8a93-94b2cf49c6e6</vt:lpwstr>
  </property>
</Properties>
</file>