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360" w:lineRule="auto"/>
        <w:ind w:left="0" w:hanging="2"/>
        <w:jc w:val="center"/>
        <w:rPr>
          <w:b w:val="1"/>
          <w:sz w:val="24"/>
          <w:szCs w:val="24"/>
        </w:rPr>
      </w:pPr>
      <w:r w:rsidDel="00000000" w:rsidR="00000000" w:rsidRPr="00000000">
        <w:rPr>
          <w:b w:val="1"/>
          <w:sz w:val="24"/>
          <w:szCs w:val="24"/>
          <w:rtl w:val="0"/>
        </w:rPr>
        <w:t xml:space="preserve">O ESTADO BRASILEIRO E A REPARAÇÃO CIVIL NOS CASOS DE VIOLÊNCIA DOMÉSTICA CONTRA A MULHER</w:t>
      </w:r>
    </w:p>
    <w:p w:rsidR="00000000" w:rsidDel="00000000" w:rsidP="00000000" w:rsidRDefault="00000000" w:rsidRPr="00000000" w14:paraId="00000002">
      <w:pPr>
        <w:spacing w:line="360" w:lineRule="auto"/>
        <w:ind w:left="0" w:hanging="2"/>
        <w:jc w:val="right"/>
        <w:rPr>
          <w:sz w:val="24"/>
          <w:szCs w:val="24"/>
        </w:rPr>
      </w:pPr>
      <w:r w:rsidDel="00000000" w:rsidR="00000000" w:rsidRPr="00000000">
        <w:rPr>
          <w:sz w:val="24"/>
          <w:szCs w:val="24"/>
          <w:rtl w:val="0"/>
        </w:rPr>
        <w:t xml:space="preserve">Éric da Rocha de Menezes</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360" w:lineRule="auto"/>
        <w:ind w:left="0" w:hanging="2"/>
        <w:jc w:val="right"/>
        <w:rPr>
          <w:sz w:val="24"/>
          <w:szCs w:val="24"/>
        </w:rPr>
      </w:pPr>
      <w:r w:rsidDel="00000000" w:rsidR="00000000" w:rsidRPr="00000000">
        <w:rPr>
          <w:sz w:val="24"/>
          <w:szCs w:val="24"/>
          <w:rtl w:val="0"/>
        </w:rPr>
        <w:t xml:space="preserve">Ângela Elizabeth Ferreira de Assis</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360" w:lineRule="auto"/>
        <w:ind w:left="0" w:hanging="2"/>
        <w:jc w:val="right"/>
        <w:rPr>
          <w:sz w:val="24"/>
          <w:szCs w:val="24"/>
          <w:vertAlign w:val="superscript"/>
        </w:rPr>
      </w:pPr>
      <w:r w:rsidDel="00000000" w:rsidR="00000000" w:rsidRPr="00000000">
        <w:rPr>
          <w:sz w:val="24"/>
          <w:szCs w:val="24"/>
          <w:rtl w:val="0"/>
        </w:rPr>
        <w:t xml:space="preserve">Melissa Mayumi Shirai Martins</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5">
      <w:pPr>
        <w:spacing w:line="360" w:lineRule="auto"/>
        <w:ind w:left="0" w:hanging="2"/>
        <w:jc w:val="right"/>
        <w:rPr>
          <w:sz w:val="24"/>
          <w:szCs w:val="24"/>
          <w:vertAlign w:val="superscript"/>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7">
      <w:pPr>
        <w:ind w:left="2834.645669291339" w:firstLine="0"/>
        <w:jc w:val="both"/>
        <w:rPr>
          <w:sz w:val="20"/>
          <w:szCs w:val="20"/>
        </w:rPr>
      </w:pPr>
      <w:r w:rsidDel="00000000" w:rsidR="00000000" w:rsidRPr="00000000">
        <w:rPr>
          <w:sz w:val="20"/>
          <w:szCs w:val="20"/>
          <w:rtl w:val="0"/>
        </w:rPr>
        <w:t xml:space="preserve">O presente artigo discute a reparação civil nos casos de violência doméstica contra a mulher no Brasil, com foco na responsabilidade civil por danos morais. A partir da revisão de literatura, verificou-se que a responsabilidade civil por danos morais decorrentes da violência doméstica desempenha um papel não apenas compensatório, mas pedagógico e simbólico, que busca reparar a vítima e sinalizar a reprovação social e estatal da conduta violenta. Por fim, o estudo </w:t>
      </w:r>
      <w:r w:rsidDel="00000000" w:rsidR="00000000" w:rsidRPr="00000000">
        <w:rPr>
          <w:sz w:val="20"/>
          <w:szCs w:val="20"/>
          <w:rtl w:val="0"/>
        </w:rPr>
        <w:t xml:space="preserve">tensiona</w:t>
      </w:r>
      <w:r w:rsidDel="00000000" w:rsidR="00000000" w:rsidRPr="00000000">
        <w:rPr>
          <w:sz w:val="20"/>
          <w:szCs w:val="20"/>
          <w:rtl w:val="0"/>
        </w:rPr>
        <w:t xml:space="preserve"> o compromisso do Estado com a proteção da dignidade da mulher através de políticas públicas que busquem reduzir as desigualdades socioeconômicas, estas que estruturam a realidade brasileira, intensificam a vulnerabilidade feminina e perpetuam ciclos de violência.</w:t>
      </w:r>
    </w:p>
    <w:p w:rsidR="00000000" w:rsidDel="00000000" w:rsidP="00000000" w:rsidRDefault="00000000" w:rsidRPr="00000000" w14:paraId="00000008">
      <w:pPr>
        <w:ind w:left="2834.645669291339"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Estado; Violência Doméstica; Políticas Públicas, Reparação Civil.</w:t>
      </w:r>
    </w:p>
    <w:p w:rsidR="00000000" w:rsidDel="00000000" w:rsidP="00000000" w:rsidRDefault="00000000" w:rsidRPr="00000000" w14:paraId="00000009">
      <w:pPr>
        <w:ind w:left="2834.645669291339" w:firstLine="0"/>
        <w:jc w:val="both"/>
        <w:rPr>
          <w:sz w:val="20"/>
          <w:szCs w:val="20"/>
        </w:rPr>
      </w:pPr>
      <w:r w:rsidDel="00000000" w:rsidR="00000000" w:rsidRPr="00000000">
        <w:rPr>
          <w:rtl w:val="0"/>
        </w:rPr>
      </w:r>
    </w:p>
    <w:p w:rsidR="00000000" w:rsidDel="00000000" w:rsidP="00000000" w:rsidRDefault="00000000" w:rsidRPr="00000000" w14:paraId="0000000A">
      <w:pPr>
        <w:ind w:left="2834.645669291339" w:firstLine="0"/>
        <w:jc w:val="both"/>
        <w:rPr>
          <w:sz w:val="20"/>
          <w:szCs w:val="20"/>
        </w:rPr>
      </w:pP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0B">
      <w:pPr>
        <w:ind w:left="2834.645669291339" w:firstLine="0"/>
        <w:jc w:val="both"/>
        <w:rPr>
          <w:sz w:val="20"/>
          <w:szCs w:val="20"/>
        </w:rPr>
      </w:pPr>
      <w:r w:rsidDel="00000000" w:rsidR="00000000" w:rsidRPr="00000000">
        <w:rPr>
          <w:sz w:val="20"/>
          <w:szCs w:val="20"/>
          <w:rtl w:val="0"/>
        </w:rPr>
        <w:t xml:space="preserve">This article discusses civil reparation in cases of domestic violence against women in Brazil, with a focus on civil liability for moral damages. Based on the literature review, it was found that civil liability for moral damages resulting from domestic violence plays a role that is not only compensatory, but also pedagogical and symbolic, seeking to make reparation to the victim and signal social and state disapproval of violent conduct. Finally, the study stresses the state's commitment to protecting women's dignity through public policies that seek to reduce socio-economic inequalities, which structure the Brazilian reality, intensify women's vulnerability and perpetuate cycles of violence.</w:t>
      </w:r>
    </w:p>
    <w:p w:rsidR="00000000" w:rsidDel="00000000" w:rsidP="00000000" w:rsidRDefault="00000000" w:rsidRPr="00000000" w14:paraId="0000000C">
      <w:pPr>
        <w:ind w:left="2834.645669291339"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State; Domestic Violence; Public Policies, Civil Reparations.</w:t>
      </w:r>
    </w:p>
    <w:p w:rsidR="00000000" w:rsidDel="00000000" w:rsidP="00000000" w:rsidRDefault="00000000" w:rsidRPr="00000000" w14:paraId="0000000D">
      <w:pPr>
        <w:spacing w:line="240" w:lineRule="auto"/>
        <w:ind w:left="0" w:hanging="2"/>
        <w:jc w:val="both"/>
        <w:rPr>
          <w:sz w:val="20"/>
          <w:szCs w:val="20"/>
        </w:rPr>
      </w:pPr>
      <w:r w:rsidDel="00000000" w:rsidR="00000000" w:rsidRPr="00000000">
        <w:rPr>
          <w:rtl w:val="0"/>
        </w:rPr>
      </w:r>
    </w:p>
    <w:p w:rsidR="00000000" w:rsidDel="00000000" w:rsidP="00000000" w:rsidRDefault="00000000" w:rsidRPr="00000000" w14:paraId="0000000E">
      <w:pPr>
        <w:spacing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0F">
      <w:pPr>
        <w:spacing w:line="360" w:lineRule="auto"/>
        <w:ind w:left="0" w:hanging="2"/>
        <w:rPr>
          <w:sz w:val="24"/>
          <w:szCs w:val="24"/>
        </w:rPr>
      </w:pPr>
      <w:r w:rsidDel="00000000" w:rsidR="00000000" w:rsidRPr="00000000">
        <w:rPr>
          <w:b w:val="1"/>
          <w:sz w:val="24"/>
          <w:szCs w:val="24"/>
          <w:rtl w:val="0"/>
        </w:rPr>
        <w:t xml:space="preserve">1</w:t>
        <w:tab/>
        <w:t xml:space="preserve">INTRODUÇÃO </w:t>
      </w:r>
      <w:r w:rsidDel="00000000" w:rsidR="00000000" w:rsidRPr="00000000">
        <w:rPr>
          <w:rtl w:val="0"/>
        </w:rPr>
      </w:r>
    </w:p>
    <w:p w:rsidR="00000000" w:rsidDel="00000000" w:rsidP="00000000" w:rsidRDefault="00000000" w:rsidRPr="00000000" w14:paraId="00000010">
      <w:pPr>
        <w:spacing w:line="360" w:lineRule="auto"/>
        <w:ind w:left="0" w:hanging="2"/>
        <w:rPr>
          <w:sz w:val="24"/>
          <w:szCs w:val="24"/>
        </w:rPr>
      </w:pPr>
      <w:r w:rsidDel="00000000" w:rsidR="00000000" w:rsidRPr="00000000">
        <w:rPr>
          <w:rtl w:val="0"/>
        </w:rPr>
      </w:r>
    </w:p>
    <w:p w:rsidR="00000000" w:rsidDel="00000000" w:rsidP="00000000" w:rsidRDefault="00000000" w:rsidRPr="00000000" w14:paraId="00000011">
      <w:pPr>
        <w:spacing w:after="200" w:line="360" w:lineRule="auto"/>
        <w:ind w:left="0" w:firstLine="708.6614173228347"/>
        <w:jc w:val="both"/>
        <w:rPr>
          <w:sz w:val="24"/>
          <w:szCs w:val="24"/>
        </w:rPr>
      </w:pPr>
      <w:r w:rsidDel="00000000" w:rsidR="00000000" w:rsidRPr="00000000">
        <w:rPr>
          <w:sz w:val="24"/>
          <w:szCs w:val="24"/>
          <w:rtl w:val="0"/>
        </w:rPr>
        <w:t xml:space="preserve">A violência doméstica e familiar contra a mulher é um fenômeno estrutural que se manifesta no âmbito íntimo da família, mas com profundas implicações sociais, jurídicas e psicológicas. Este fenômeno é caracterizado pela imposição coercitiva de poder e controle, que transcende as esferas física e psicológica, minando a autonomia e a dignidade das vítimas em seus próprios lares, com práticas de dominação, controle e agressão baseadas no gênero.</w:t>
      </w:r>
    </w:p>
    <w:p w:rsidR="00000000" w:rsidDel="00000000" w:rsidP="00000000" w:rsidRDefault="00000000" w:rsidRPr="00000000" w14:paraId="00000012">
      <w:pPr>
        <w:widowControl w:val="0"/>
        <w:spacing w:after="200" w:line="360" w:lineRule="auto"/>
        <w:ind w:left="0" w:firstLine="708.6614173228347"/>
        <w:jc w:val="both"/>
        <w:rPr>
          <w:sz w:val="24"/>
          <w:szCs w:val="24"/>
        </w:rPr>
      </w:pPr>
      <w:r w:rsidDel="00000000" w:rsidR="00000000" w:rsidRPr="00000000">
        <w:rPr>
          <w:sz w:val="24"/>
          <w:szCs w:val="24"/>
          <w:rtl w:val="0"/>
        </w:rPr>
        <w:t xml:space="preserve">Com base no Art. 5º e 7º da Lei Maria da Penha (Lei nº 11.340/2006), a violência doméstica e familiar contra a mulher é configurada por “qualquer ação ou omissão baseada no gênero que lhe cause morte, lesão, sofrimento físico, sexual ou psicológico e dano moral ou patrimonial”, cometida no âmbito da unidade doméstica, da família, ou em qualquer relação íntima de afeto, que pode ser externada através de violência física, sexual, psicológica, moral ou patrimonial.</w:t>
      </w:r>
    </w:p>
    <w:p w:rsidR="00000000" w:rsidDel="00000000" w:rsidP="00000000" w:rsidRDefault="00000000" w:rsidRPr="00000000" w14:paraId="00000013">
      <w:pPr>
        <w:spacing w:after="200" w:line="360" w:lineRule="auto"/>
        <w:ind w:left="0" w:firstLine="708.6614173228347"/>
        <w:jc w:val="both"/>
        <w:rPr>
          <w:sz w:val="24"/>
          <w:szCs w:val="24"/>
        </w:rPr>
      </w:pPr>
      <w:r w:rsidDel="00000000" w:rsidR="00000000" w:rsidRPr="00000000">
        <w:rPr>
          <w:sz w:val="24"/>
          <w:szCs w:val="24"/>
          <w:rtl w:val="0"/>
        </w:rPr>
        <w:t xml:space="preserve">Esta problemática atinge mulheres de diferentes classes sociais, etnias e idades no Brasil, no entanto, a interseccionalidade dos marcadores sociais (como raça, classe, escolaridade e localização geográfica) pode aprofundar a situação de vulnerabilidade das vítimas, o que demanda uma abordagem ampla, que envolva não apenas a responsabilização penal dos agressores, mas que atue junto a mecanismos civis de reparação, especialmente diante dos profundos danos morais sofridos pelas vítimas. Justifica-se, portanto, a análise da responsabilidade civil como instrumento efetivo de proteção e valorização da dignidade da mulher em situação de violência doméstica.</w:t>
      </w:r>
    </w:p>
    <w:p w:rsidR="00000000" w:rsidDel="00000000" w:rsidP="00000000" w:rsidRDefault="00000000" w:rsidRPr="00000000" w14:paraId="00000014">
      <w:pPr>
        <w:widowControl w:val="0"/>
        <w:spacing w:after="200" w:line="360" w:lineRule="auto"/>
        <w:ind w:left="0" w:firstLine="708.6614173228347"/>
        <w:jc w:val="both"/>
        <w:rPr>
          <w:sz w:val="24"/>
          <w:szCs w:val="24"/>
        </w:rPr>
      </w:pPr>
      <w:r w:rsidDel="00000000" w:rsidR="00000000" w:rsidRPr="00000000">
        <w:rPr>
          <w:sz w:val="24"/>
          <w:szCs w:val="24"/>
          <w:rtl w:val="0"/>
        </w:rPr>
        <w:t xml:space="preserve">Compreendendo as políticas públicas como um conjunto de programas, ações e decisões estatais para alcançar objetivos sociais específicos e enfrentar problemas coletivos (Secchi, 2012), o presente artigo propõe-se a discutir a maneira com que a responsabilização civil por danos morais decorrentes da violência doméstica e familiar contra a mulher contribui para a efetivação dos direitos fundamentais das vítimas, atuando como uma resposta à violência simbólica, como parte integrante de uma política pública mais ampla de combate à violência doméstica. Como objetivo geral, busca-se examinar como a implementação e o aprimoramento de políticas públicas voltadas para a responsabilização civil, notadamente a indenização por danos morais, se consolidam como um instrumento estatal para dar respostas à violação da dignidade da vítima de violência doméstica e familiar contra a mulher.</w:t>
      </w:r>
    </w:p>
    <w:p w:rsidR="00000000" w:rsidDel="00000000" w:rsidP="00000000" w:rsidRDefault="00000000" w:rsidRPr="00000000" w14:paraId="00000015">
      <w:pPr>
        <w:spacing w:after="200" w:line="360" w:lineRule="auto"/>
        <w:ind w:left="0" w:firstLine="708.6614173228347"/>
        <w:jc w:val="both"/>
        <w:rPr>
          <w:sz w:val="24"/>
          <w:szCs w:val="24"/>
        </w:rPr>
      </w:pPr>
      <w:r w:rsidDel="00000000" w:rsidR="00000000" w:rsidRPr="00000000">
        <w:rPr>
          <w:sz w:val="24"/>
          <w:szCs w:val="24"/>
          <w:rtl w:val="0"/>
        </w:rPr>
        <w:t xml:space="preserve">Esta análise qualitativa teve como base a revisão bibliográfica (Marconi e Lakatos, 1991) e, complementarmente, utiliza-se dados sobre violência doméstica no Brasil, provenientes da pesquisa DataSenado (2024), resultante dos estudos desenvolvidos na área do Direito das Famílias e Sucessões, concomitante à dissertação de mestrado a ser defendida no âmbito do Programa de Pós-graduação em Direito da Universidade Federal do Ceará (PPGD/UFC).</w:t>
      </w:r>
    </w:p>
    <w:p w:rsidR="00000000" w:rsidDel="00000000" w:rsidP="00000000" w:rsidRDefault="00000000" w:rsidRPr="00000000" w14:paraId="00000016">
      <w:pPr>
        <w:spacing w:after="200" w:line="360" w:lineRule="auto"/>
        <w:ind w:left="0" w:firstLine="708.6614173228347"/>
        <w:jc w:val="both"/>
        <w:rPr>
          <w:sz w:val="24"/>
          <w:szCs w:val="24"/>
        </w:rPr>
      </w:pPr>
      <w:r w:rsidDel="00000000" w:rsidR="00000000" w:rsidRPr="00000000">
        <w:rPr>
          <w:sz w:val="24"/>
          <w:szCs w:val="24"/>
          <w:rtl w:val="0"/>
        </w:rPr>
        <w:t xml:space="preserve">Nos tópicos a seguir, a análise revela que a responsabilidade civil por danos morais decorrentes da violência doméstica desempenha um papel não apenas compensatório, mas também pedagógico e simbólico (Bourdieu, 2014), que busca reparar a vítima, mas também sinalizar a reprovação social e estatal da conduta violenta. São apresentados os pressupostos da responsabilidade civil, conduta, culpa, nexo causal e dano, e o entendimento jurisprudencial que admite a presunção do dano moral nesses casos. No que tange às políticas públicas, a implementação e o aprimoramento, notadamente no que se refere à indenização por danos morais, consolidam-se como um instrumento estatal crucial a fim de evitar a revitimização da mulher no processo judicial.</w:t>
      </w:r>
    </w:p>
    <w:p w:rsidR="00000000" w:rsidDel="00000000" w:rsidP="00000000" w:rsidRDefault="00000000" w:rsidRPr="00000000" w14:paraId="00000017">
      <w:pPr>
        <w:spacing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18">
      <w:pPr>
        <w:spacing w:line="360" w:lineRule="auto"/>
        <w:ind w:left="0" w:hanging="2"/>
        <w:jc w:val="both"/>
        <w:rPr>
          <w:b w:val="1"/>
          <w:sz w:val="24"/>
          <w:szCs w:val="24"/>
        </w:rPr>
      </w:pPr>
      <w:r w:rsidDel="00000000" w:rsidR="00000000" w:rsidRPr="00000000">
        <w:rPr>
          <w:b w:val="1"/>
          <w:sz w:val="24"/>
          <w:szCs w:val="24"/>
          <w:rtl w:val="0"/>
        </w:rPr>
        <w:t xml:space="preserve">2</w:t>
        <w:tab/>
        <w:t xml:space="preserve">DANO MORAL POR PRÁTICA DE VIOLÊNCIA DOMÉSTICA E FAMILIAR CONTRA A MULHER E A RESPONSABILIDADE CIVIL</w:t>
      </w:r>
    </w:p>
    <w:p w:rsidR="00000000" w:rsidDel="00000000" w:rsidP="00000000" w:rsidRDefault="00000000" w:rsidRPr="00000000" w14:paraId="00000019">
      <w:pPr>
        <w:spacing w:line="360" w:lineRule="auto"/>
        <w:ind w:left="0" w:hanging="2"/>
        <w:jc w:val="both"/>
        <w:rPr>
          <w:b w:val="1"/>
          <w:sz w:val="24"/>
          <w:szCs w:val="24"/>
        </w:rPr>
      </w:pPr>
      <w:r w:rsidDel="00000000" w:rsidR="00000000" w:rsidRPr="00000000">
        <w:rPr>
          <w:rtl w:val="0"/>
        </w:rPr>
      </w:r>
    </w:p>
    <w:p w:rsidR="00000000" w:rsidDel="00000000" w:rsidP="00000000" w:rsidRDefault="00000000" w:rsidRPr="00000000" w14:paraId="0000001A">
      <w:pPr>
        <w:widowControl w:val="0"/>
        <w:spacing w:after="200" w:line="360" w:lineRule="auto"/>
        <w:ind w:left="0" w:firstLine="708.6614173228347"/>
        <w:jc w:val="both"/>
        <w:rPr>
          <w:sz w:val="24"/>
          <w:szCs w:val="24"/>
        </w:rPr>
      </w:pPr>
      <w:r w:rsidDel="00000000" w:rsidR="00000000" w:rsidRPr="00000000">
        <w:rPr>
          <w:sz w:val="24"/>
          <w:szCs w:val="24"/>
          <w:rtl w:val="0"/>
        </w:rPr>
        <w:t xml:space="preserve">Os efeitos da violência doméstica não se restringem ao instante da agressão, pois deixam impressões profundas e, em muitos casos, duradouras no corpo e na mente das mulheres. Além dos ferimentos físicos visíveis, os abalos emocionais decorrentes da violência acarretam repercussões persistentes na saúde psíquica das vítimas, ocasionando sintomas como angústia, tristeza, temor e crises de ansiedade. Mesmo quando não existem cicatrizes perceptíveis, os danos emocionais permanecem, comprometendo a autoconfiança, a percepção de si mesma e a estabilidade mental da mulher, que frequentemente se encontra presa em um estado de vulnerabilidade e sofrimento constante (Ritt; Kurz, 2020).</w:t>
      </w:r>
    </w:p>
    <w:p w:rsidR="00000000" w:rsidDel="00000000" w:rsidP="00000000" w:rsidRDefault="00000000" w:rsidRPr="00000000" w14:paraId="0000001B">
      <w:pPr>
        <w:widowControl w:val="0"/>
        <w:spacing w:after="200" w:line="360" w:lineRule="auto"/>
        <w:ind w:left="0" w:firstLine="708.6614173228347"/>
        <w:jc w:val="both"/>
        <w:rPr>
          <w:sz w:val="24"/>
          <w:szCs w:val="24"/>
        </w:rPr>
      </w:pPr>
      <w:r w:rsidDel="00000000" w:rsidR="00000000" w:rsidRPr="00000000">
        <w:rPr>
          <w:sz w:val="24"/>
          <w:szCs w:val="24"/>
          <w:rtl w:val="0"/>
        </w:rPr>
        <w:t xml:space="preserve">Cordeiro (2016) ensina que para atingir a igualdade constitucional, é preciso sensibilizar a sociedade sobre a violência contra a mulher, sobre o desrespeito à imagem e a dignidade delas. O ordenamento jurídico brasileiro deve possuir mecanismos de proteção das mulheres vítimas de violência doméstica, mas também de punição dos agressores, tanto na seara criminal quanto na seara cível. </w:t>
      </w:r>
    </w:p>
    <w:p w:rsidR="00000000" w:rsidDel="00000000" w:rsidP="00000000" w:rsidRDefault="00000000" w:rsidRPr="00000000" w14:paraId="0000001C">
      <w:pPr>
        <w:widowControl w:val="0"/>
        <w:spacing w:after="200" w:line="360" w:lineRule="auto"/>
        <w:ind w:left="0" w:firstLine="708.6614173228347"/>
        <w:jc w:val="both"/>
        <w:rPr>
          <w:sz w:val="24"/>
          <w:szCs w:val="24"/>
        </w:rPr>
      </w:pPr>
      <w:r w:rsidDel="00000000" w:rsidR="00000000" w:rsidRPr="00000000">
        <w:rPr>
          <w:sz w:val="24"/>
          <w:szCs w:val="24"/>
          <w:rtl w:val="0"/>
        </w:rPr>
        <w:t xml:space="preserve">O princípio da dignidade da pessoa humana, enquanto pilar fundamental do ordenamento jurídico brasileiro, deve nortear a compreensão e a execução de todas as normas, inclusive as de natureza infraconstitucional. Tal princípio não pode ser encarado como simples ornamento programático, mas sim como elemento estruturante que impõe ao Estado e à coletividade a obrigação de assegurar condições básicas de subsistência, promovendo equidade substancial e prevenindo disparidades legais (Brasilino; Domingues, 2019).</w:t>
      </w:r>
    </w:p>
    <w:p w:rsidR="00000000" w:rsidDel="00000000" w:rsidP="00000000" w:rsidRDefault="00000000" w:rsidRPr="00000000" w14:paraId="0000001D">
      <w:pPr>
        <w:widowControl w:val="0"/>
        <w:spacing w:after="200" w:line="360" w:lineRule="auto"/>
        <w:ind w:left="0" w:firstLine="708.6614173228347"/>
        <w:jc w:val="both"/>
        <w:rPr>
          <w:sz w:val="24"/>
          <w:szCs w:val="24"/>
        </w:rPr>
      </w:pPr>
      <w:r w:rsidDel="00000000" w:rsidR="00000000" w:rsidRPr="00000000">
        <w:rPr>
          <w:sz w:val="24"/>
          <w:szCs w:val="24"/>
          <w:rtl w:val="0"/>
        </w:rPr>
        <w:t xml:space="preserve">Com o avanço da constitucionalização dos direitos fundamentais, o Direito passou a priorizar o ser humano em sua integralidade, superando os paradigmas individualistas de outrora. Nesse cenário, é fundamental reconhecer que, nos casos de violência doméstica, a proteção à vítima não deve se limitar à esfera penal, sendo igualmente necessária a atuação da responsabilidade civil como instrumento de reparação, prevenção e efetivação do princípio da dignidade (Brasilino; Domingues, 2019).</w:t>
      </w:r>
    </w:p>
    <w:p w:rsidR="00000000" w:rsidDel="00000000" w:rsidP="00000000" w:rsidRDefault="00000000" w:rsidRPr="00000000" w14:paraId="0000001E">
      <w:pPr>
        <w:widowControl w:val="0"/>
        <w:spacing w:after="200" w:line="360" w:lineRule="auto"/>
        <w:ind w:left="0" w:firstLine="708.6614173228347"/>
        <w:jc w:val="both"/>
        <w:rPr>
          <w:sz w:val="24"/>
          <w:szCs w:val="24"/>
        </w:rPr>
      </w:pPr>
      <w:r w:rsidDel="00000000" w:rsidR="00000000" w:rsidRPr="00000000">
        <w:rPr>
          <w:sz w:val="24"/>
          <w:szCs w:val="24"/>
          <w:rtl w:val="0"/>
        </w:rPr>
        <w:t xml:space="preserve">A Lei Maria da Penha (Lei nº 11.340/06), que teve como base a Convenção de Belém do Pará, que trata a violência contra a mulher como forma de violação de direitos humanos, constitui efetivo mecanismo processual para defesa das mulheres, coibindo e prevenindo atos de violência doméstica e familiar. </w:t>
      </w:r>
    </w:p>
    <w:p w:rsidR="00000000" w:rsidDel="00000000" w:rsidP="00000000" w:rsidRDefault="00000000" w:rsidRPr="00000000" w14:paraId="0000001F">
      <w:pPr>
        <w:widowControl w:val="0"/>
        <w:spacing w:after="200" w:line="360" w:lineRule="auto"/>
        <w:ind w:left="0" w:firstLine="708.6614173228347"/>
        <w:jc w:val="both"/>
        <w:rPr>
          <w:sz w:val="24"/>
          <w:szCs w:val="24"/>
        </w:rPr>
      </w:pPr>
      <w:r w:rsidDel="00000000" w:rsidR="00000000" w:rsidRPr="00000000">
        <w:rPr>
          <w:sz w:val="24"/>
          <w:szCs w:val="24"/>
          <w:rtl w:val="0"/>
        </w:rPr>
        <w:t xml:space="preserve">A referida Lei tem esse nome como referência à história de luta de Maria da Penha Maia Fernandes, farmacêutica e mãe de três filhas que se tornou símbolo da luta contra a violência doméstica no Brasil. Vítima de agressões contínuas durante o casamento, ela sobreviveu a duas tentativas de feminicídio cometidas por seu então marido, que a deixou paraplégica. Apesar das denúncias, o sistema judicial demorou quase duas décadas para efetivar a prisão do agressor, que acabou cumprindo apenas dois anos.</w:t>
      </w:r>
    </w:p>
    <w:p w:rsidR="00000000" w:rsidDel="00000000" w:rsidP="00000000" w:rsidRDefault="00000000" w:rsidRPr="00000000" w14:paraId="00000020">
      <w:pPr>
        <w:widowControl w:val="0"/>
        <w:spacing w:after="200" w:line="360" w:lineRule="auto"/>
        <w:ind w:left="0" w:firstLine="708.6614173228347"/>
        <w:jc w:val="both"/>
        <w:rPr>
          <w:sz w:val="24"/>
          <w:szCs w:val="24"/>
        </w:rPr>
      </w:pPr>
      <w:r w:rsidDel="00000000" w:rsidR="00000000" w:rsidRPr="00000000">
        <w:rPr>
          <w:sz w:val="24"/>
          <w:szCs w:val="24"/>
          <w:rtl w:val="0"/>
        </w:rPr>
        <w:t xml:space="preserve">De acordo com a 10ª edição da pesquisa DataSenado (2024), a violência doméstica e familiar contra a mulher continua sendo uma realidade amplamente disseminada no Brasil</w:t>
      </w:r>
      <w:r w:rsidDel="00000000" w:rsidR="00000000" w:rsidRPr="00000000">
        <w:rPr>
          <w:b w:val="1"/>
          <w:sz w:val="24"/>
          <w:szCs w:val="24"/>
          <w:rtl w:val="0"/>
        </w:rPr>
        <w:t xml:space="preserve">. </w:t>
      </w:r>
      <w:r w:rsidDel="00000000" w:rsidR="00000000" w:rsidRPr="00000000">
        <w:rPr>
          <w:sz w:val="24"/>
          <w:szCs w:val="24"/>
          <w:rtl w:val="0"/>
        </w:rPr>
        <w:t xml:space="preserve">O levantamento revela que 68% das brasileiras afirmam ter uma amiga, familiar ou conhecida que já sofreu algum tipo de violência doméstica, sendo esse índice ainda mais elevado nos estados do Tocantins (75%), Acre (74%) e Amazonas (74%). O caminho para superar o ciclo da violência doméstica ainda é longo e os dados sobre violência doméstica e familiar no Brasil deixam claro que o Estado e a sociedade são essenciais para mudar essa realidade. </w:t>
      </w:r>
    </w:p>
    <w:p w:rsidR="00000000" w:rsidDel="00000000" w:rsidP="00000000" w:rsidRDefault="00000000" w:rsidRPr="00000000" w14:paraId="00000021">
      <w:pPr>
        <w:widowControl w:val="0"/>
        <w:spacing w:after="200" w:line="360" w:lineRule="auto"/>
        <w:ind w:left="0" w:firstLine="708.6614173228347"/>
        <w:jc w:val="both"/>
        <w:rPr>
          <w:sz w:val="24"/>
          <w:szCs w:val="24"/>
        </w:rPr>
      </w:pPr>
      <w:r w:rsidDel="00000000" w:rsidR="00000000" w:rsidRPr="00000000">
        <w:rPr>
          <w:sz w:val="24"/>
          <w:szCs w:val="24"/>
          <w:rtl w:val="0"/>
        </w:rPr>
        <w:t xml:space="preserve">Nesse contexto, é essencial destacar que, para além das implicações criminais, os danos sofridos pelas mulheres em situação de violência doméstica também ensejam reparação na esfera cível. A responsabilização do agressor deve alcançar não apenas a punição penal, mas também a compensação pelos danos morais e materiais causados. Trata-se de uma resposta jurídica que visa restaurar, na medida do possível, a dignidade da vítima, reconhecendo o sofrimento imposto e contribuindo para sua reconstrução subjetiva e social. </w:t>
      </w:r>
    </w:p>
    <w:p w:rsidR="00000000" w:rsidDel="00000000" w:rsidP="00000000" w:rsidRDefault="00000000" w:rsidRPr="00000000" w14:paraId="00000022">
      <w:pPr>
        <w:widowControl w:val="0"/>
        <w:spacing w:after="200" w:line="360" w:lineRule="auto"/>
        <w:ind w:left="0" w:firstLine="708.6614173228347"/>
        <w:jc w:val="both"/>
        <w:rPr>
          <w:sz w:val="24"/>
          <w:szCs w:val="24"/>
        </w:rPr>
      </w:pPr>
      <w:r w:rsidDel="00000000" w:rsidR="00000000" w:rsidRPr="00000000">
        <w:rPr>
          <w:sz w:val="24"/>
          <w:szCs w:val="24"/>
          <w:rtl w:val="0"/>
        </w:rPr>
        <w:t xml:space="preserve">A Constituição Federal, em seu artigo 5º, inciso V, assegura o direito à indenização por danos morais e à proteção da honra e da imagem. Por sua vez, o Código Civil, nos termos dos arts. 186 e art. 927, prevê que o ato ilícito que viola direito e causa danos a outrem gera o dever de reparação. O dano moral pode ser entendido como “uma lesão a interesse existencial concretamente merecedor de tutela” (Farias; Netto; Rosenvald, 2019, p. 938) Assim, a doutrina o aproxima do princípio da dignidade da pessoa humana. </w:t>
      </w:r>
    </w:p>
    <w:p w:rsidR="00000000" w:rsidDel="00000000" w:rsidP="00000000" w:rsidRDefault="00000000" w:rsidRPr="00000000" w14:paraId="00000023">
      <w:pPr>
        <w:widowControl w:val="0"/>
        <w:spacing w:after="200" w:line="360" w:lineRule="auto"/>
        <w:ind w:left="0" w:firstLine="708.6614173228347"/>
        <w:jc w:val="both"/>
        <w:rPr>
          <w:sz w:val="24"/>
          <w:szCs w:val="24"/>
        </w:rPr>
      </w:pPr>
      <w:r w:rsidDel="00000000" w:rsidR="00000000" w:rsidRPr="00000000">
        <w:rPr>
          <w:sz w:val="24"/>
          <w:szCs w:val="24"/>
          <w:rtl w:val="0"/>
        </w:rPr>
        <w:t xml:space="preserve">Na dinâmica jurídica atual, a responsabilidade civil desempenha papel fundamental não apenas ao reparar o prejuízo causado à vítima, seja de ordem material ou imaterial, mas também ao reafirmar valores sociais violados pelo dano. Para além da função indenizatória, que visa restaurar o equilíbrio rompido entre as partes, ela assume uma dimensão pedagógica e preventiva, ao impor ao ofensor uma resposta jurídica que o desestimula a reincidir na conduta lesiva (Brasilino; Domingues, 2019). </w:t>
      </w:r>
    </w:p>
    <w:p w:rsidR="00000000" w:rsidDel="00000000" w:rsidP="00000000" w:rsidRDefault="00000000" w:rsidRPr="00000000" w14:paraId="00000024">
      <w:pPr>
        <w:widowControl w:val="0"/>
        <w:spacing w:after="200" w:line="360" w:lineRule="auto"/>
        <w:ind w:left="0" w:firstLine="708.6614173228347"/>
        <w:jc w:val="both"/>
        <w:rPr>
          <w:sz w:val="24"/>
          <w:szCs w:val="24"/>
        </w:rPr>
      </w:pPr>
      <w:r w:rsidDel="00000000" w:rsidR="00000000" w:rsidRPr="00000000">
        <w:rPr>
          <w:sz w:val="24"/>
          <w:szCs w:val="24"/>
          <w:rtl w:val="0"/>
        </w:rPr>
        <w:t xml:space="preserve">A publicidade conferida à condenação por dano moral, sobretudo nos casos de agressões à dignidade da pessoa humana, contribui para alertar a sociedade de que determinados comportamentos, mesmo quando praticados no âmbito privado, geram consequências legais. A reparação civil, nesse contexto, atua também como forma de reprovação social, funcionando como um instrumento de dissuasão e responsabilização individual (Brasilino e Domingues, 2019). Nesse contexto, representa mais do que uma simples compensação individual: ela configura um instrumento jurídico de afirmação de valores constitucionais fundamentais, como a dignidade da pessoa humana e a igualdade entre os gêneros (Silva e Costa, 2024).</w:t>
      </w:r>
    </w:p>
    <w:p w:rsidR="00000000" w:rsidDel="00000000" w:rsidP="00000000" w:rsidRDefault="00000000" w:rsidRPr="00000000" w14:paraId="00000025">
      <w:pPr>
        <w:widowControl w:val="0"/>
        <w:spacing w:after="200" w:line="360" w:lineRule="auto"/>
        <w:ind w:left="0" w:firstLine="708.6614173228347"/>
        <w:jc w:val="both"/>
        <w:rPr>
          <w:b w:val="1"/>
          <w:sz w:val="24"/>
          <w:szCs w:val="24"/>
        </w:rPr>
      </w:pPr>
      <w:r w:rsidDel="00000000" w:rsidR="00000000" w:rsidRPr="00000000">
        <w:rPr>
          <w:sz w:val="24"/>
          <w:szCs w:val="24"/>
          <w:rtl w:val="0"/>
        </w:rPr>
        <w:t xml:space="preserve">Não se trata, portanto, de precificar a dor da mulher vítima de violência doméstica, mas de reconhecer juridicamente a gravidade do impacto causado e oferecer uma reparação que reafirme a dignidade da vítima e sua condição de sujeito de direitos. Ademais, é fundamental considerar os efeitos concretos da agressão sobre a vida da mulher: a perda do prazer em realizar atividades, o afastamento de relações afetivas e sociais, a frustração de projetos de vida e as consequências emocionais e psicológicas, como depressão, medo e transtornos de ansiedade, o que demanda mais do que um instrumento jurídico de caráter individual (quando a vítima busca a reparação de um dano específico), fazendo-se necessária uma postura responsiva e interventiva do Estado para efetivação dos direitos fundamentais nos casos de violência doméstica.</w:t>
      </w:r>
      <w:r w:rsidDel="00000000" w:rsidR="00000000" w:rsidRPr="00000000">
        <w:rPr>
          <w:rtl w:val="0"/>
        </w:rPr>
      </w:r>
    </w:p>
    <w:p w:rsidR="00000000" w:rsidDel="00000000" w:rsidP="00000000" w:rsidRDefault="00000000" w:rsidRPr="00000000" w14:paraId="00000026">
      <w:pPr>
        <w:spacing w:line="360" w:lineRule="auto"/>
        <w:ind w:left="0" w:hanging="2"/>
        <w:jc w:val="both"/>
        <w:rPr>
          <w:b w:val="1"/>
          <w:sz w:val="24"/>
          <w:szCs w:val="24"/>
        </w:rPr>
      </w:pPr>
      <w:r w:rsidDel="00000000" w:rsidR="00000000" w:rsidRPr="00000000">
        <w:rPr>
          <w:b w:val="1"/>
          <w:sz w:val="24"/>
          <w:szCs w:val="24"/>
          <w:rtl w:val="0"/>
        </w:rPr>
        <w:t xml:space="preserve">3</w:t>
        <w:tab/>
        <w:t xml:space="preserve">O PAPEL DO ESTADO BRASILEIRO NA EFETIVAÇÃO DOS DIREITOS FUNDAMENTAIS NOS CASOS DE VIOLÊNCIA DOMÉSTICA CONTRA A MULHER</w:t>
      </w:r>
    </w:p>
    <w:p w:rsidR="00000000" w:rsidDel="00000000" w:rsidP="00000000" w:rsidRDefault="00000000" w:rsidRPr="00000000" w14:paraId="00000027">
      <w:pPr>
        <w:spacing w:line="360" w:lineRule="auto"/>
        <w:ind w:left="0" w:hanging="2"/>
        <w:jc w:val="both"/>
        <w:rPr>
          <w:b w:val="1"/>
          <w:sz w:val="24"/>
          <w:szCs w:val="24"/>
        </w:rPr>
      </w:pPr>
      <w:r w:rsidDel="00000000" w:rsidR="00000000" w:rsidRPr="00000000">
        <w:rPr>
          <w:rtl w:val="0"/>
        </w:rPr>
      </w:r>
    </w:p>
    <w:p w:rsidR="00000000" w:rsidDel="00000000" w:rsidP="00000000" w:rsidRDefault="00000000" w:rsidRPr="00000000" w14:paraId="00000028">
      <w:pPr>
        <w:widowControl w:val="0"/>
        <w:spacing w:after="200" w:line="360" w:lineRule="auto"/>
        <w:ind w:left="0" w:firstLine="708.6614173228347"/>
        <w:jc w:val="both"/>
        <w:rPr>
          <w:sz w:val="24"/>
          <w:szCs w:val="24"/>
        </w:rPr>
      </w:pPr>
      <w:r w:rsidDel="00000000" w:rsidR="00000000" w:rsidRPr="00000000">
        <w:rPr>
          <w:sz w:val="24"/>
          <w:szCs w:val="24"/>
          <w:rtl w:val="0"/>
        </w:rPr>
        <w:t xml:space="preserve">A responsabilização civil do agressor por danos morais decorrentes da prática de violência doméstica e familiar contra a mulher deve ser compreendida à luz de uma leitura constitucional dos direitos da personalidade e da dignidade da pessoa humana, que, por sua vez, exige do Poder Judiciário uma atuação sensível às desigualdades estruturais de gênero. Nesse contexto, o Protocolo para Julgamento com Perspectiva de Gênero, publicado pelo CNJ e atualmente de aplicação obrigatória, conforme Resolução Nº 492, de 17/02/2023, constitui ferramenta fundamental para que as decisões judiciais rompam com práticas machistas institucionalizadas e promovam uma verdadeira justiça reparadora.</w:t>
      </w:r>
    </w:p>
    <w:p w:rsidR="00000000" w:rsidDel="00000000" w:rsidP="00000000" w:rsidRDefault="00000000" w:rsidRPr="00000000" w14:paraId="00000029">
      <w:pPr>
        <w:widowControl w:val="0"/>
        <w:spacing w:after="200" w:line="360" w:lineRule="auto"/>
        <w:ind w:left="0" w:firstLine="708.6614173228347"/>
        <w:jc w:val="both"/>
        <w:rPr>
          <w:sz w:val="24"/>
          <w:szCs w:val="24"/>
        </w:rPr>
      </w:pPr>
      <w:r w:rsidDel="00000000" w:rsidR="00000000" w:rsidRPr="00000000">
        <w:rPr>
          <w:sz w:val="24"/>
          <w:szCs w:val="24"/>
          <w:rtl w:val="0"/>
        </w:rPr>
        <w:t xml:space="preserve">A responsabilização civil, portanto, requer o reconhecimento da violação concreta aos direitos da personalidade da vítima, como sua honra, integridade psíquica e imagem, e a reparação proporcional aos danos sofridos, consideradas as desigualdades de gênero. Neste caso, a construção de políticas públicas eficazes, conforme delineado por autores como Secchi (2012) e </w:t>
      </w:r>
      <w:r w:rsidDel="00000000" w:rsidR="00000000" w:rsidRPr="00000000">
        <w:rPr>
          <w:sz w:val="24"/>
          <w:szCs w:val="24"/>
          <w:rtl w:val="0"/>
        </w:rPr>
        <w:t xml:space="preserve">Agum</w:t>
      </w:r>
      <w:r w:rsidDel="00000000" w:rsidR="00000000" w:rsidRPr="00000000">
        <w:rPr>
          <w:sz w:val="24"/>
          <w:szCs w:val="24"/>
          <w:rtl w:val="0"/>
        </w:rPr>
        <w:t xml:space="preserve">, Riscado e Menezes (2015), exige uma compreensão aprofundada dos repertórios de interação Estado-sociedade (Abers, Serafim &amp; Tatagiba, 2014) e das dinâmicas burocráticas (Pires, Lota e Oliveira, 2018) que permeiam a implementação dessas iniciativas.</w:t>
      </w:r>
    </w:p>
    <w:p w:rsidR="00000000" w:rsidDel="00000000" w:rsidP="00000000" w:rsidRDefault="00000000" w:rsidRPr="00000000" w14:paraId="0000002A">
      <w:pPr>
        <w:spacing w:after="200" w:line="360" w:lineRule="auto"/>
        <w:ind w:left="0" w:firstLine="708.6614173228347"/>
        <w:jc w:val="both"/>
        <w:rPr>
          <w:sz w:val="24"/>
          <w:szCs w:val="24"/>
        </w:rPr>
      </w:pPr>
      <w:r w:rsidDel="00000000" w:rsidR="00000000" w:rsidRPr="00000000">
        <w:rPr>
          <w:sz w:val="24"/>
          <w:szCs w:val="24"/>
          <w:rtl w:val="0"/>
        </w:rPr>
        <w:t xml:space="preserve">No âmbito da violência doméstica, destaca-se que a garantia da reparação por danos morais demanda a previsão legal, mas também se faz necessária a instauração de mecanismos processuais que evitem a revitimização da mulher, facilitando o acesso à justiça e minimizando os obstáculos inerentes à comprovação do sofrimento psíquico. A presunção do dano moral, amplamente admitida na jurisprudência, é um exemplo notório de como o sistema jurídico pode se adaptar para salvaguardar a vulnerabilidade da vítima, reconhecendo o impacto intrínseco da violência na sua esfera moral.</w:t>
      </w:r>
    </w:p>
    <w:p w:rsidR="00000000" w:rsidDel="00000000" w:rsidP="00000000" w:rsidRDefault="00000000" w:rsidRPr="00000000" w14:paraId="0000002B">
      <w:pPr>
        <w:spacing w:after="200" w:line="360" w:lineRule="auto"/>
        <w:ind w:left="0" w:firstLine="708.6614173228347"/>
        <w:jc w:val="both"/>
        <w:rPr>
          <w:sz w:val="24"/>
          <w:szCs w:val="24"/>
        </w:rPr>
      </w:pPr>
      <w:r w:rsidDel="00000000" w:rsidR="00000000" w:rsidRPr="00000000">
        <w:rPr>
          <w:sz w:val="24"/>
          <w:szCs w:val="24"/>
          <w:rtl w:val="0"/>
        </w:rPr>
        <w:t xml:space="preserve">Ademais, com inspiração nos estudos de Capella (2015) e Menicucci (2018), considera-se que a efetividade da reparação por danos morais nos casos de violência doméstica depende de uma articulação intersetorial ampla, que não se restrinja à esfera judicial. É imperativo que o Estado promova ações coordenadas que incluam o apoio psicossocial, a assistência jurídica especializada e a conscientização social, visando desconstruir as estruturas patriarcais que subjazem à violência de gênero.</w:t>
      </w:r>
    </w:p>
    <w:p w:rsidR="00000000" w:rsidDel="00000000" w:rsidP="00000000" w:rsidRDefault="00000000" w:rsidRPr="00000000" w14:paraId="0000002C">
      <w:pPr>
        <w:spacing w:after="200" w:line="360" w:lineRule="auto"/>
        <w:ind w:left="0" w:firstLine="708.6614173228347"/>
        <w:jc w:val="both"/>
        <w:rPr>
          <w:sz w:val="24"/>
          <w:szCs w:val="24"/>
        </w:rPr>
      </w:pPr>
      <w:r w:rsidDel="00000000" w:rsidR="00000000" w:rsidRPr="00000000">
        <w:rPr>
          <w:sz w:val="24"/>
          <w:szCs w:val="24"/>
          <w:rtl w:val="0"/>
        </w:rPr>
        <w:t xml:space="preserve">Nesse contexto, a indenização deve ser vista como parte de um conjunto mais amplo de medidas estatais que não apenas reparam o passado, mas também constroem um futuro de maior equidade e respeito à dignidade da mulher. A consolidação dessas políticas públicas representa um compromisso inegável do Estado brasileiro com a proteção dos direitos fundamentais e a promoção da justiça social.</w:t>
      </w:r>
    </w:p>
    <w:p w:rsidR="00000000" w:rsidDel="00000000" w:rsidP="00000000" w:rsidRDefault="00000000" w:rsidRPr="00000000" w14:paraId="0000002D">
      <w:pPr>
        <w:spacing w:after="200" w:line="360" w:lineRule="auto"/>
        <w:ind w:left="0" w:firstLine="708.6614173228347"/>
        <w:jc w:val="both"/>
        <w:rPr>
          <w:sz w:val="24"/>
          <w:szCs w:val="24"/>
        </w:rPr>
      </w:pPr>
      <w:r w:rsidDel="00000000" w:rsidR="00000000" w:rsidRPr="00000000">
        <w:rPr>
          <w:sz w:val="24"/>
          <w:szCs w:val="24"/>
          <w:rtl w:val="0"/>
        </w:rPr>
        <w:t xml:space="preserve">Para além da implementação e da articulação intersetorial, a efetividade das políticas públicas voltadas à reparação por danos morais nos casos de violência doméstica exige um robusto sistema de monitoramento e avaliação contínua. Conforme Secchi (2012) e Capella (2015), embora sejam bem concebidas, é fundamental que os impactos das iniciativas estatais sejam sistematicamente medidos e seus resultados avaliados periodicamente, o implica a produção de dados sobre o número de indenizações concedidas, os valores médios arbitrados, o tempo de tramitação dos processos e, crucialmente, o retorno subjetivo das vítimas quanto à percepção de justiça e reparação, por exemplo. Tal acompanhamento permite identificar gargalos na execução, como a lentidão processual ou a desinformação das vítimas sobre seus direitos, e possibilita a realização de ajustes e aprimoramentos que garantam a contínua adequação das políticas às necessidades reais das mulheres.</w:t>
      </w:r>
    </w:p>
    <w:p w:rsidR="00000000" w:rsidDel="00000000" w:rsidP="00000000" w:rsidRDefault="00000000" w:rsidRPr="00000000" w14:paraId="0000002E">
      <w:pPr>
        <w:spacing w:after="200" w:line="360" w:lineRule="auto"/>
        <w:ind w:left="0" w:firstLine="708.6614173228347"/>
        <w:jc w:val="both"/>
        <w:rPr>
          <w:sz w:val="24"/>
          <w:szCs w:val="24"/>
        </w:rPr>
      </w:pPr>
      <w:r w:rsidDel="00000000" w:rsidR="00000000" w:rsidRPr="00000000">
        <w:rPr>
          <w:sz w:val="24"/>
          <w:szCs w:val="24"/>
          <w:rtl w:val="0"/>
        </w:rPr>
        <w:t xml:space="preserve">A transparência desses processos de monitoramento e avaliação é vital para a prestação de contas do Estado à sociedade civil. Essa interação Estado-sociedade, conforme discutido por Abers, Serafim e Tatagiba (2014), é crucial para a legitimidade e a permanência das políticas públicas, permitindo que elas sejam aprimoradas em resposta às mudanças sociais e às novas compreensões sobre a violência de gênero. </w:t>
      </w:r>
    </w:p>
    <w:p w:rsidR="00000000" w:rsidDel="00000000" w:rsidP="00000000" w:rsidRDefault="00000000" w:rsidRPr="00000000" w14:paraId="0000002F">
      <w:pPr>
        <w:spacing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30">
      <w:pPr>
        <w:spacing w:line="360" w:lineRule="auto"/>
        <w:ind w:left="0" w:hanging="2"/>
        <w:jc w:val="both"/>
        <w:rPr>
          <w:b w:val="1"/>
          <w:sz w:val="24"/>
          <w:szCs w:val="24"/>
        </w:rPr>
      </w:pPr>
      <w:r w:rsidDel="00000000" w:rsidR="00000000" w:rsidRPr="00000000">
        <w:rPr>
          <w:b w:val="1"/>
          <w:sz w:val="24"/>
          <w:szCs w:val="24"/>
          <w:rtl w:val="0"/>
        </w:rPr>
        <w:t xml:space="preserve">4</w:t>
        <w:tab/>
        <w:t xml:space="preserve">CONCLUSÃO</w:t>
      </w:r>
    </w:p>
    <w:p w:rsidR="00000000" w:rsidDel="00000000" w:rsidP="00000000" w:rsidRDefault="00000000" w:rsidRPr="00000000" w14:paraId="00000031">
      <w:pPr>
        <w:spacing w:line="360" w:lineRule="auto"/>
        <w:ind w:left="0" w:hanging="2"/>
        <w:jc w:val="both"/>
        <w:rPr>
          <w:b w:val="1"/>
          <w:sz w:val="24"/>
          <w:szCs w:val="24"/>
        </w:rPr>
      </w:pPr>
      <w:r w:rsidDel="00000000" w:rsidR="00000000" w:rsidRPr="00000000">
        <w:rPr>
          <w:rtl w:val="0"/>
        </w:rPr>
      </w:r>
    </w:p>
    <w:p w:rsidR="00000000" w:rsidDel="00000000" w:rsidP="00000000" w:rsidRDefault="00000000" w:rsidRPr="00000000" w14:paraId="00000032">
      <w:pPr>
        <w:widowControl w:val="0"/>
        <w:spacing w:after="200" w:line="360" w:lineRule="auto"/>
        <w:ind w:left="0" w:firstLine="708.6614173228347"/>
        <w:jc w:val="both"/>
        <w:rPr>
          <w:sz w:val="24"/>
          <w:szCs w:val="24"/>
        </w:rPr>
      </w:pPr>
      <w:r w:rsidDel="00000000" w:rsidR="00000000" w:rsidRPr="00000000">
        <w:rPr>
          <w:sz w:val="24"/>
          <w:szCs w:val="24"/>
          <w:rtl w:val="0"/>
        </w:rPr>
        <w:t xml:space="preserve">O ordenamento jurídico brasileiro, ao reconhecer a violência doméstica contra a mulher como uma violação de direitos humanos, por meio da Lei Maria da Penha, reafirma o compromisso do Estado com a proteção da dignidade da mulher. Apesar da existência de normas específicas e de políticas públicas, a realidade ainda evidencia a persistência de práticas violentas sustentadas por uma cultura patriarcal profundamente enraizada, que dificulta a denúncia e a superação do ciclo de violência.</w:t>
      </w:r>
    </w:p>
    <w:p w:rsidR="00000000" w:rsidDel="00000000" w:rsidP="00000000" w:rsidRDefault="00000000" w:rsidRPr="00000000" w14:paraId="00000033">
      <w:pPr>
        <w:widowControl w:val="0"/>
        <w:spacing w:after="200" w:line="360" w:lineRule="auto"/>
        <w:ind w:left="0" w:firstLine="708.6614173228347"/>
        <w:jc w:val="both"/>
        <w:rPr>
          <w:sz w:val="24"/>
          <w:szCs w:val="24"/>
        </w:rPr>
      </w:pPr>
      <w:r w:rsidDel="00000000" w:rsidR="00000000" w:rsidRPr="00000000">
        <w:rPr>
          <w:sz w:val="24"/>
          <w:szCs w:val="24"/>
          <w:rtl w:val="0"/>
        </w:rPr>
        <w:t xml:space="preserve">O uso de instrumentos como o Protocolo de Julgamento com Perspectiva de Gênero se mostra essencial para o combate a esse tipo de violência no âmbito judicial, funcionando como mecanismo de interpretação das questões de gênero que pode orientar a aplicação da lei para defesa dos direitos das personalidades das mulheres vítimas de violência doméstica. Essa abordagem representa uma resposta robusta à violação da dignidade da vítima, atuando simultaneamente como medida pedagógica, ao desnaturalizar a dominação masculina (Bourdieu, 2014), e como ferramenta simbólica de reprovação social.</w:t>
      </w:r>
    </w:p>
    <w:p w:rsidR="00000000" w:rsidDel="00000000" w:rsidP="00000000" w:rsidRDefault="00000000" w:rsidRPr="00000000" w14:paraId="00000034">
      <w:pPr>
        <w:spacing w:after="200" w:before="240" w:line="360" w:lineRule="auto"/>
        <w:ind w:left="0" w:firstLine="708.6614173228347"/>
        <w:jc w:val="both"/>
        <w:rPr>
          <w:sz w:val="24"/>
          <w:szCs w:val="24"/>
        </w:rPr>
      </w:pPr>
      <w:r w:rsidDel="00000000" w:rsidR="00000000" w:rsidRPr="00000000">
        <w:rPr>
          <w:sz w:val="24"/>
          <w:szCs w:val="24"/>
          <w:rtl w:val="0"/>
        </w:rPr>
        <w:t xml:space="preserve">No que concerne à efetividade das políticas públicas, compreende-se que a previsão legal é insuficiente para o combate à violência doméstica, dada a complexidade e múltiplos fatores que contribuem para que este fenômeno se perpetue na sociedade brasileira. Pontua-se a necessidade de que o arcabouço legal se materialize em ações concretas, com a implementação estratégica e do aprimoramento contínuo, alicerçado em monitoramento rigoroso e na interação dinâmica entre Estado e sociedade civil (Abers, Serafim e Tatagiba, 2014). Deste modo, o Estado poderá reafirmar seu compromisso inegável com a proteção dos direitos fundamentais e a construção de uma sociedade mais justa e equitativa, onde a dignidade da mulher seja plenamente assegurada.</w:t>
      </w:r>
    </w:p>
    <w:p w:rsidR="00000000" w:rsidDel="00000000" w:rsidP="00000000" w:rsidRDefault="00000000" w:rsidRPr="00000000" w14:paraId="00000035">
      <w:pPr>
        <w:spacing w:after="200" w:before="240" w:line="360" w:lineRule="auto"/>
        <w:ind w:left="0" w:firstLine="708.6614173228347"/>
        <w:jc w:val="both"/>
        <w:rPr>
          <w:sz w:val="24"/>
          <w:szCs w:val="24"/>
        </w:rPr>
      </w:pPr>
      <w:r w:rsidDel="00000000" w:rsidR="00000000" w:rsidRPr="00000000">
        <w:rPr>
          <w:sz w:val="24"/>
          <w:szCs w:val="24"/>
          <w:rtl w:val="0"/>
        </w:rPr>
        <w:t xml:space="preserve">Por fim, ressalta-se que as desigualdades socioeconômicas estruturam a realidade brasileira, sobretudo no que diz respeito ao gênero. Aspectos como o envolvimento ativo de mulheres e outras minorias de gênero em processos decisórios, seja em espaços políticos, sociais ou econômicos; a presença proporcional de mulheres e pessoas de diferentes identidades de gênero em posições de poder e decisão; devem ser considerados na implementação de políticas públicas que reconheçam e busquem superar as desigualdades de gênero.</w:t>
      </w:r>
    </w:p>
    <w:p w:rsidR="00000000" w:rsidDel="00000000" w:rsidP="00000000" w:rsidRDefault="00000000" w:rsidRPr="00000000" w14:paraId="00000036">
      <w:pPr>
        <w:spacing w:line="360" w:lineRule="auto"/>
        <w:ind w:left="0" w:hanging="2"/>
        <w:rPr>
          <w:sz w:val="24"/>
          <w:szCs w:val="24"/>
        </w:rPr>
      </w:pPr>
      <w:r w:rsidDel="00000000" w:rsidR="00000000" w:rsidRPr="00000000">
        <w:rPr>
          <w:rtl w:val="0"/>
        </w:rPr>
      </w:r>
    </w:p>
    <w:p w:rsidR="00000000" w:rsidDel="00000000" w:rsidP="00000000" w:rsidRDefault="00000000" w:rsidRPr="00000000" w14:paraId="00000037">
      <w:pPr>
        <w:spacing w:line="360" w:lineRule="auto"/>
        <w:ind w:left="0" w:hanging="2"/>
        <w:rPr>
          <w:sz w:val="24"/>
          <w:szCs w:val="24"/>
        </w:rPr>
      </w:pPr>
      <w:r w:rsidDel="00000000" w:rsidR="00000000" w:rsidRPr="00000000">
        <w:rPr>
          <w:rtl w:val="0"/>
        </w:rPr>
      </w:r>
    </w:p>
    <w:p w:rsidR="00000000" w:rsidDel="00000000" w:rsidP="00000000" w:rsidRDefault="00000000" w:rsidRPr="00000000" w14:paraId="00000038">
      <w:pPr>
        <w:spacing w:line="360" w:lineRule="auto"/>
        <w:ind w:left="0" w:hanging="2"/>
        <w:jc w:val="center"/>
        <w:rPr>
          <w:sz w:val="24"/>
          <w:szCs w:val="24"/>
        </w:rPr>
      </w:pPr>
      <w:r w:rsidDel="00000000" w:rsidR="00000000" w:rsidRPr="00000000">
        <w:rPr>
          <w:b w:val="1"/>
          <w:sz w:val="24"/>
          <w:szCs w:val="24"/>
          <w:rtl w:val="0"/>
        </w:rPr>
        <w:t xml:space="preserve">REFERÊNCIAS</w:t>
      </w:r>
      <w:r w:rsidDel="00000000" w:rsidR="00000000" w:rsidRPr="00000000">
        <w:rPr>
          <w:rtl w:val="0"/>
        </w:rPr>
      </w:r>
    </w:p>
    <w:p w:rsidR="00000000" w:rsidDel="00000000" w:rsidP="00000000" w:rsidRDefault="00000000" w:rsidRPr="00000000" w14:paraId="00000039">
      <w:pPr>
        <w:spacing w:line="360" w:lineRule="auto"/>
        <w:ind w:left="0" w:hanging="2"/>
        <w:jc w:val="center"/>
        <w:rPr>
          <w:sz w:val="24"/>
          <w:szCs w:val="24"/>
        </w:rPr>
      </w:pPr>
      <w:r w:rsidDel="00000000" w:rsidR="00000000" w:rsidRPr="00000000">
        <w:rPr>
          <w:rtl w:val="0"/>
        </w:rPr>
      </w:r>
    </w:p>
    <w:p w:rsidR="00000000" w:rsidDel="00000000" w:rsidP="00000000" w:rsidRDefault="00000000" w:rsidRPr="00000000" w14:paraId="0000003A">
      <w:pPr>
        <w:spacing w:after="200" w:line="240" w:lineRule="auto"/>
        <w:ind w:left="0" w:hanging="2"/>
        <w:jc w:val="both"/>
        <w:rPr>
          <w:sz w:val="24"/>
          <w:szCs w:val="24"/>
        </w:rPr>
      </w:pPr>
      <w:r w:rsidDel="00000000" w:rsidR="00000000" w:rsidRPr="00000000">
        <w:rPr>
          <w:sz w:val="24"/>
          <w:szCs w:val="24"/>
          <w:rtl w:val="0"/>
        </w:rPr>
        <w:t xml:space="preserve">ABERS, Rebecca; SERAFIM, Lizandra; TATAGIBA, Luciana. Repertórios de Interação Estado-Sociedade em um Estado Heterogêneo: A Experiência na Era Lula. DADOS – </w:t>
      </w:r>
      <w:r w:rsidDel="00000000" w:rsidR="00000000" w:rsidRPr="00000000">
        <w:rPr>
          <w:b w:val="1"/>
          <w:sz w:val="24"/>
          <w:szCs w:val="24"/>
          <w:rtl w:val="0"/>
        </w:rPr>
        <w:t xml:space="preserve">Revista de Ciências Sociais</w:t>
      </w:r>
      <w:r w:rsidDel="00000000" w:rsidR="00000000" w:rsidRPr="00000000">
        <w:rPr>
          <w:sz w:val="24"/>
          <w:szCs w:val="24"/>
          <w:rtl w:val="0"/>
        </w:rPr>
        <w:t xml:space="preserve">, Rio de Janeiro, vol. 57, no 2, 2014, pp. 325-357.</w:t>
      </w:r>
    </w:p>
    <w:p w:rsidR="00000000" w:rsidDel="00000000" w:rsidP="00000000" w:rsidRDefault="00000000" w:rsidRPr="00000000" w14:paraId="0000003B">
      <w:pPr>
        <w:spacing w:after="200" w:line="240" w:lineRule="auto"/>
        <w:ind w:left="0" w:hanging="2"/>
        <w:jc w:val="both"/>
        <w:rPr>
          <w:sz w:val="24"/>
          <w:szCs w:val="24"/>
        </w:rPr>
      </w:pPr>
      <w:r w:rsidDel="00000000" w:rsidR="00000000" w:rsidRPr="00000000">
        <w:rPr>
          <w:sz w:val="24"/>
          <w:szCs w:val="24"/>
          <w:rtl w:val="0"/>
        </w:rPr>
        <w:t xml:space="preserve">AGUM, Ricardo; RISCADO, Priscila; Monique MENEZES, Políticas Públicas: Conceitos e Análise em Revisão. </w:t>
      </w:r>
      <w:r w:rsidDel="00000000" w:rsidR="00000000" w:rsidRPr="00000000">
        <w:rPr>
          <w:b w:val="1"/>
          <w:sz w:val="24"/>
          <w:szCs w:val="24"/>
          <w:rtl w:val="0"/>
        </w:rPr>
        <w:t xml:space="preserve">Rev. Agenda Política. </w:t>
      </w:r>
      <w:r w:rsidDel="00000000" w:rsidR="00000000" w:rsidRPr="00000000">
        <w:rPr>
          <w:sz w:val="24"/>
          <w:szCs w:val="24"/>
          <w:rtl w:val="0"/>
        </w:rPr>
        <w:t xml:space="preserve">São Carlos, v. 3, n. 2, p. 12-42, jul./dez. 2015.</w:t>
      </w:r>
    </w:p>
    <w:p w:rsidR="00000000" w:rsidDel="00000000" w:rsidP="00000000" w:rsidRDefault="00000000" w:rsidRPr="00000000" w14:paraId="0000003C">
      <w:pPr>
        <w:spacing w:after="200" w:line="240" w:lineRule="auto"/>
        <w:ind w:left="0" w:hanging="2"/>
        <w:jc w:val="both"/>
        <w:rPr>
          <w:sz w:val="24"/>
          <w:szCs w:val="24"/>
        </w:rPr>
      </w:pPr>
      <w:r w:rsidDel="00000000" w:rsidR="00000000" w:rsidRPr="00000000">
        <w:rPr>
          <w:sz w:val="24"/>
          <w:szCs w:val="24"/>
          <w:rtl w:val="0"/>
        </w:rPr>
        <w:t xml:space="preserve">BRASILINO, F. R. R</w:t>
      </w:r>
      <w:r w:rsidDel="00000000" w:rsidR="00000000" w:rsidRPr="00000000">
        <w:rPr>
          <w:b w:val="1"/>
          <w:sz w:val="24"/>
          <w:szCs w:val="24"/>
          <w:rtl w:val="0"/>
        </w:rPr>
        <w:t xml:space="preserve">.</w:t>
      </w:r>
      <w:r w:rsidDel="00000000" w:rsidR="00000000" w:rsidRPr="00000000">
        <w:rPr>
          <w:sz w:val="24"/>
          <w:szCs w:val="24"/>
          <w:rtl w:val="0"/>
        </w:rPr>
        <w:t xml:space="preserve">; DOMINGUES, J. G. C. A violência doméstica e o dano moral presumido: a partir da tese fixada em julgamento de recurso especial repetitivo (tema 983) uma experiência brasileira. </w:t>
      </w:r>
      <w:r w:rsidDel="00000000" w:rsidR="00000000" w:rsidRPr="00000000">
        <w:rPr>
          <w:b w:val="1"/>
          <w:sz w:val="24"/>
          <w:szCs w:val="24"/>
          <w:rtl w:val="0"/>
        </w:rPr>
        <w:t xml:space="preserve">RJLB - Revista Jurídica Luso-Brasileira</w:t>
      </w:r>
      <w:r w:rsidDel="00000000" w:rsidR="00000000" w:rsidRPr="00000000">
        <w:rPr>
          <w:sz w:val="24"/>
          <w:szCs w:val="24"/>
          <w:rtl w:val="0"/>
        </w:rPr>
        <w:t xml:space="preserve">, v. 5, p. 529-548, 2019.</w:t>
      </w:r>
    </w:p>
    <w:p w:rsidR="00000000" w:rsidDel="00000000" w:rsidP="00000000" w:rsidRDefault="00000000" w:rsidRPr="00000000" w14:paraId="0000003D">
      <w:pPr>
        <w:spacing w:after="200" w:line="240" w:lineRule="auto"/>
        <w:ind w:left="0" w:hanging="2"/>
        <w:jc w:val="both"/>
        <w:rPr>
          <w:sz w:val="24"/>
          <w:szCs w:val="24"/>
        </w:rPr>
      </w:pPr>
      <w:r w:rsidDel="00000000" w:rsidR="00000000" w:rsidRPr="00000000">
        <w:rPr>
          <w:sz w:val="24"/>
          <w:szCs w:val="24"/>
          <w:rtl w:val="0"/>
        </w:rPr>
        <w:t xml:space="preserve">BOURDIEU, Pierre. </w:t>
      </w:r>
      <w:r w:rsidDel="00000000" w:rsidR="00000000" w:rsidRPr="00000000">
        <w:rPr>
          <w:b w:val="1"/>
          <w:sz w:val="24"/>
          <w:szCs w:val="24"/>
          <w:rtl w:val="0"/>
        </w:rPr>
        <w:t xml:space="preserve">A dominação masculina</w:t>
      </w:r>
      <w:r w:rsidDel="00000000" w:rsidR="00000000" w:rsidRPr="00000000">
        <w:rPr>
          <w:sz w:val="24"/>
          <w:szCs w:val="24"/>
          <w:rtl w:val="0"/>
        </w:rPr>
        <w:t xml:space="preserve">: a condição feminina e a violência simbólica. Tradução de Maria Helena Kühner. Rio de Janeiro: BestBolso, 2014.</w:t>
      </w:r>
    </w:p>
    <w:p w:rsidR="00000000" w:rsidDel="00000000" w:rsidP="00000000" w:rsidRDefault="00000000" w:rsidRPr="00000000" w14:paraId="0000003E">
      <w:pPr>
        <w:spacing w:after="200" w:line="240" w:lineRule="auto"/>
        <w:ind w:left="0" w:hanging="2"/>
        <w:jc w:val="both"/>
        <w:rPr>
          <w:sz w:val="24"/>
          <w:szCs w:val="24"/>
        </w:rPr>
      </w:pPr>
      <w:r w:rsidDel="00000000" w:rsidR="00000000" w:rsidRPr="00000000">
        <w:rPr>
          <w:sz w:val="24"/>
          <w:szCs w:val="24"/>
          <w:rtl w:val="0"/>
        </w:rPr>
        <w:t xml:space="preserve">CAPELLA, Ana Cláudia Niedhardt. Análise de políticas públicas: da técnica às ideias. </w:t>
      </w:r>
      <w:r w:rsidDel="00000000" w:rsidR="00000000" w:rsidRPr="00000000">
        <w:rPr>
          <w:b w:val="1"/>
          <w:sz w:val="24"/>
          <w:szCs w:val="24"/>
          <w:rtl w:val="0"/>
        </w:rPr>
        <w:t xml:space="preserve">Agenda Política</w:t>
      </w:r>
      <w:r w:rsidDel="00000000" w:rsidR="00000000" w:rsidRPr="00000000">
        <w:rPr>
          <w:sz w:val="24"/>
          <w:szCs w:val="24"/>
          <w:rtl w:val="0"/>
        </w:rPr>
        <w:t xml:space="preserve">, São Carlos, v. 3, n. 3, p. 239-258, jul./dez. 2015. Disponível em: https://www.agendapolitica.ufscar.br/index.php/agendapolitica/article/view/75. Acesso em: 7 jun. 2025.</w:t>
      </w:r>
    </w:p>
    <w:p w:rsidR="00000000" w:rsidDel="00000000" w:rsidP="00000000" w:rsidRDefault="00000000" w:rsidRPr="00000000" w14:paraId="0000003F">
      <w:pPr>
        <w:spacing w:after="200" w:line="240" w:lineRule="auto"/>
        <w:ind w:left="0" w:hanging="2"/>
        <w:jc w:val="both"/>
        <w:rPr>
          <w:sz w:val="24"/>
          <w:szCs w:val="24"/>
        </w:rPr>
      </w:pPr>
      <w:r w:rsidDel="00000000" w:rsidR="00000000" w:rsidRPr="00000000">
        <w:rPr>
          <w:sz w:val="24"/>
          <w:szCs w:val="24"/>
          <w:rtl w:val="0"/>
        </w:rPr>
        <w:t xml:space="preserve">CORDEIRO, Nefi. (In)eficácia das medidas protetivas na Lei Maria da Penha. In: CONGRESSO DO CONPEDI - CURITIBA, 25., 2016, Curitiba. </w:t>
      </w:r>
      <w:r w:rsidDel="00000000" w:rsidR="00000000" w:rsidRPr="00000000">
        <w:rPr>
          <w:b w:val="1"/>
          <w:sz w:val="24"/>
          <w:szCs w:val="24"/>
          <w:rtl w:val="0"/>
        </w:rPr>
        <w:t xml:space="preserve">Gênero, sexualidades e direito III</w:t>
      </w:r>
      <w:r w:rsidDel="00000000" w:rsidR="00000000" w:rsidRPr="00000000">
        <w:rPr>
          <w:sz w:val="24"/>
          <w:szCs w:val="24"/>
          <w:rtl w:val="0"/>
        </w:rPr>
        <w:t xml:space="preserve">. Florianópolis: CONPEDI, 2016. p. 161-178.</w:t>
      </w:r>
    </w:p>
    <w:p w:rsidR="00000000" w:rsidDel="00000000" w:rsidP="00000000" w:rsidRDefault="00000000" w:rsidRPr="00000000" w14:paraId="00000040">
      <w:pPr>
        <w:widowControl w:val="0"/>
        <w:spacing w:after="200" w:line="240" w:lineRule="auto"/>
        <w:ind w:left="0" w:hanging="2"/>
        <w:jc w:val="both"/>
        <w:rPr>
          <w:sz w:val="24"/>
          <w:szCs w:val="24"/>
        </w:rPr>
      </w:pPr>
      <w:r w:rsidDel="00000000" w:rsidR="00000000" w:rsidRPr="00000000">
        <w:rPr>
          <w:sz w:val="24"/>
          <w:szCs w:val="24"/>
          <w:rtl w:val="0"/>
        </w:rPr>
        <w:t xml:space="preserve">FARIAS, Cristiano Chaves de; NETTO, Felipe Braga; ROSENVALD, Nelson. </w:t>
      </w:r>
      <w:r w:rsidDel="00000000" w:rsidR="00000000" w:rsidRPr="00000000">
        <w:rPr>
          <w:b w:val="1"/>
          <w:sz w:val="24"/>
          <w:szCs w:val="24"/>
          <w:rtl w:val="0"/>
        </w:rPr>
        <w:t xml:space="preserve">Manual de direito civil – Volume Único </w:t>
      </w:r>
      <w:r w:rsidDel="00000000" w:rsidR="00000000" w:rsidRPr="00000000">
        <w:rPr>
          <w:sz w:val="24"/>
          <w:szCs w:val="24"/>
          <w:rtl w:val="0"/>
        </w:rPr>
        <w:t xml:space="preserve">– 4.ed. rev. ampl. e atual. – Salvador: Ed. JusPodivm, 2019.</w:t>
      </w:r>
    </w:p>
    <w:p w:rsidR="00000000" w:rsidDel="00000000" w:rsidP="00000000" w:rsidRDefault="00000000" w:rsidRPr="00000000" w14:paraId="00000041">
      <w:pPr>
        <w:spacing w:after="200" w:line="240" w:lineRule="auto"/>
        <w:ind w:left="0" w:hanging="2"/>
        <w:jc w:val="both"/>
        <w:rPr>
          <w:sz w:val="24"/>
          <w:szCs w:val="24"/>
        </w:rPr>
      </w:pPr>
      <w:r w:rsidDel="00000000" w:rsidR="00000000" w:rsidRPr="00000000">
        <w:rPr>
          <w:sz w:val="24"/>
          <w:szCs w:val="24"/>
          <w:rtl w:val="0"/>
        </w:rPr>
        <w:t xml:space="preserve">MARCONI, M. A.; LAKATOS, E. V. </w:t>
      </w:r>
      <w:r w:rsidDel="00000000" w:rsidR="00000000" w:rsidRPr="00000000">
        <w:rPr>
          <w:b w:val="1"/>
          <w:sz w:val="24"/>
          <w:szCs w:val="24"/>
          <w:rtl w:val="0"/>
        </w:rPr>
        <w:t xml:space="preserve">Fundamentos da Metodologia Científica.</w:t>
      </w:r>
      <w:r w:rsidDel="00000000" w:rsidR="00000000" w:rsidRPr="00000000">
        <w:rPr>
          <w:sz w:val="24"/>
          <w:szCs w:val="24"/>
          <w:rtl w:val="0"/>
        </w:rPr>
        <w:t xml:space="preserve"> São Paulo: Editora Atlas, 1991. </w:t>
      </w:r>
    </w:p>
    <w:p w:rsidR="00000000" w:rsidDel="00000000" w:rsidP="00000000" w:rsidRDefault="00000000" w:rsidRPr="00000000" w14:paraId="00000042">
      <w:pPr>
        <w:spacing w:after="200" w:line="240" w:lineRule="auto"/>
        <w:ind w:left="0" w:hanging="2"/>
        <w:jc w:val="both"/>
        <w:rPr>
          <w:sz w:val="24"/>
          <w:szCs w:val="24"/>
        </w:rPr>
      </w:pPr>
      <w:r w:rsidDel="00000000" w:rsidR="00000000" w:rsidRPr="00000000">
        <w:rPr>
          <w:sz w:val="24"/>
          <w:szCs w:val="24"/>
          <w:rtl w:val="0"/>
        </w:rPr>
        <w:t xml:space="preserve">MENICUCCI, Telma. Perspectivas teóricas e metodológicas na análise de políticas públicas: usos e abordagens no Brasil.</w:t>
      </w:r>
      <w:r w:rsidDel="00000000" w:rsidR="00000000" w:rsidRPr="00000000">
        <w:rPr>
          <w:b w:val="1"/>
          <w:sz w:val="24"/>
          <w:szCs w:val="24"/>
          <w:rtl w:val="0"/>
        </w:rPr>
        <w:t xml:space="preserve"> Rev. Política Hoje.</w:t>
      </w:r>
      <w:r w:rsidDel="00000000" w:rsidR="00000000" w:rsidRPr="00000000">
        <w:rPr>
          <w:sz w:val="24"/>
          <w:szCs w:val="24"/>
          <w:rtl w:val="0"/>
        </w:rPr>
        <w:t xml:space="preserve"> Recife, v. 27, n. 1, p. 06-24, jan./jul. 2018</w:t>
      </w:r>
    </w:p>
    <w:p w:rsidR="00000000" w:rsidDel="00000000" w:rsidP="00000000" w:rsidRDefault="00000000" w:rsidRPr="00000000" w14:paraId="00000043">
      <w:pPr>
        <w:spacing w:after="200" w:line="240" w:lineRule="auto"/>
        <w:ind w:left="0" w:hanging="2"/>
        <w:jc w:val="both"/>
        <w:rPr>
          <w:sz w:val="24"/>
          <w:szCs w:val="24"/>
        </w:rPr>
      </w:pPr>
      <w:r w:rsidDel="00000000" w:rsidR="00000000" w:rsidRPr="00000000">
        <w:rPr>
          <w:sz w:val="24"/>
          <w:szCs w:val="24"/>
          <w:rtl w:val="0"/>
        </w:rPr>
        <w:t xml:space="preserve">PIRES, Roberto; LOTA, Gabriela; OLIVEIRA, Vanessa Elias de. (Orgs.). </w:t>
      </w:r>
      <w:r w:rsidDel="00000000" w:rsidR="00000000" w:rsidRPr="00000000">
        <w:rPr>
          <w:b w:val="1"/>
          <w:sz w:val="24"/>
          <w:szCs w:val="24"/>
          <w:rtl w:val="0"/>
        </w:rPr>
        <w:t xml:space="preserve">Burocracia e políticas públicas no Brasil:</w:t>
      </w:r>
      <w:r w:rsidDel="00000000" w:rsidR="00000000" w:rsidRPr="00000000">
        <w:rPr>
          <w:sz w:val="24"/>
          <w:szCs w:val="24"/>
          <w:rtl w:val="0"/>
        </w:rPr>
        <w:t xml:space="preserve"> interseções Analíticas. Brasília. IPEA:ENAP, 2018.</w:t>
      </w:r>
    </w:p>
    <w:p w:rsidR="00000000" w:rsidDel="00000000" w:rsidP="00000000" w:rsidRDefault="00000000" w:rsidRPr="00000000" w14:paraId="00000044">
      <w:pPr>
        <w:spacing w:after="200" w:line="240" w:lineRule="auto"/>
        <w:ind w:left="0" w:hanging="2"/>
        <w:jc w:val="both"/>
        <w:rPr>
          <w:sz w:val="24"/>
          <w:szCs w:val="24"/>
        </w:rPr>
      </w:pPr>
      <w:r w:rsidDel="00000000" w:rsidR="00000000" w:rsidRPr="00000000">
        <w:rPr>
          <w:sz w:val="24"/>
          <w:szCs w:val="24"/>
          <w:rtl w:val="0"/>
        </w:rPr>
        <w:t xml:space="preserve">RITT, Eduardo; KURZ, Aline. </w:t>
      </w:r>
      <w:r w:rsidDel="00000000" w:rsidR="00000000" w:rsidRPr="00000000">
        <w:rPr>
          <w:b w:val="1"/>
          <w:sz w:val="24"/>
          <w:szCs w:val="24"/>
          <w:rtl w:val="0"/>
        </w:rPr>
        <w:t xml:space="preserve">Da dor no corpo à dor na alma: as marcas deixadas pela Violência doméstica. </w:t>
      </w:r>
      <w:r w:rsidDel="00000000" w:rsidR="00000000" w:rsidRPr="00000000">
        <w:rPr>
          <w:sz w:val="24"/>
          <w:szCs w:val="24"/>
          <w:rtl w:val="0"/>
        </w:rPr>
        <w:t xml:space="preserve">Direitos sociais e políticas públicas I [Recurso eletrônico on-line] organização CONPEDI. Coordenadores: Antonio Celso Baeta Minhoto; Fernando de Brito Alves – Florianópolis: CONPEDI, 2020.</w:t>
      </w:r>
    </w:p>
    <w:p w:rsidR="00000000" w:rsidDel="00000000" w:rsidP="00000000" w:rsidRDefault="00000000" w:rsidRPr="00000000" w14:paraId="00000045">
      <w:pPr>
        <w:spacing w:after="200" w:line="240" w:lineRule="auto"/>
        <w:ind w:left="0" w:hanging="2"/>
        <w:jc w:val="both"/>
        <w:rPr>
          <w:sz w:val="24"/>
          <w:szCs w:val="24"/>
        </w:rPr>
      </w:pPr>
      <w:r w:rsidDel="00000000" w:rsidR="00000000" w:rsidRPr="00000000">
        <w:rPr>
          <w:sz w:val="24"/>
          <w:szCs w:val="24"/>
          <w:rtl w:val="0"/>
        </w:rPr>
        <w:t xml:space="preserve">SECCHI, Leonardo. </w:t>
      </w:r>
      <w:r w:rsidDel="00000000" w:rsidR="00000000" w:rsidRPr="00000000">
        <w:rPr>
          <w:b w:val="1"/>
          <w:sz w:val="24"/>
          <w:szCs w:val="24"/>
          <w:rtl w:val="0"/>
        </w:rPr>
        <w:t xml:space="preserve">Políticas Públicas: </w:t>
      </w:r>
      <w:r w:rsidDel="00000000" w:rsidR="00000000" w:rsidRPr="00000000">
        <w:rPr>
          <w:sz w:val="24"/>
          <w:szCs w:val="24"/>
          <w:rtl w:val="0"/>
        </w:rPr>
        <w:t xml:space="preserve">conceitos, esquemas de análise, casos práticos. São Paulo: Cengage Learning, 2012.</w:t>
      </w:r>
    </w:p>
    <w:p w:rsidR="00000000" w:rsidDel="00000000" w:rsidP="00000000" w:rsidRDefault="00000000" w:rsidRPr="00000000" w14:paraId="00000046">
      <w:pPr>
        <w:spacing w:after="200" w:line="240" w:lineRule="auto"/>
        <w:ind w:left="0" w:hanging="2"/>
        <w:jc w:val="both"/>
        <w:rPr>
          <w:sz w:val="24"/>
          <w:szCs w:val="24"/>
        </w:rPr>
      </w:pPr>
      <w:r w:rsidDel="00000000" w:rsidR="00000000" w:rsidRPr="00000000">
        <w:rPr>
          <w:sz w:val="24"/>
          <w:szCs w:val="24"/>
          <w:rtl w:val="0"/>
        </w:rPr>
        <w:t xml:space="preserve">SILVA, A. L. R. da; COSTA, C. H. F. Indenização por dano moral em decorrência da violência doméstica contra a mulher. </w:t>
      </w:r>
      <w:r w:rsidDel="00000000" w:rsidR="00000000" w:rsidRPr="00000000">
        <w:rPr>
          <w:b w:val="1"/>
          <w:sz w:val="24"/>
          <w:szCs w:val="24"/>
          <w:rtl w:val="0"/>
        </w:rPr>
        <w:t xml:space="preserve">Revista Ibero-americana de Humanidades, Ciências e Educação</w:t>
      </w:r>
      <w:r w:rsidDel="00000000" w:rsidR="00000000" w:rsidRPr="00000000">
        <w:rPr>
          <w:sz w:val="24"/>
          <w:szCs w:val="24"/>
          <w:rtl w:val="0"/>
        </w:rPr>
        <w:t xml:space="preserve">, São Paulo, v. 10, n. 4, p. 2513-2524, abr. 2024. Disponível em: https://doi.org/10.51891/rease.v10i4.13619. Acesso em: 7 jun. 2025.</w:t>
      </w:r>
    </w:p>
    <w:sectPr>
      <w:headerReference r:id="rId8" w:type="default"/>
      <w:footerReference r:id="rId9" w:type="default"/>
      <w:pgSz w:h="16834" w:w="11909" w:orient="portrait"/>
      <w:pgMar w:bottom="1133" w:top="1700" w:left="1700" w:right="1133"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ind w:left="0" w:hanging="2"/>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7">
      <w:pPr>
        <w:spacing w:line="240" w:lineRule="auto"/>
        <w:ind w:left="0" w:hanging="2"/>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Advogado. Pós-graduado em Direito das Famílias e Sucessões. Mestrando em Direito pela Universidade Federal do Ceará (PPGD/UFC). Bolsista da Fundação Cearense de Apoio ao Desenvolvimento Científico e Tecnológico (FUNCAP). E-mail: ericdarocha.em@gmail.com</w:t>
      </w:r>
    </w:p>
  </w:footnote>
  <w:footnote w:id="1">
    <w:p w:rsidR="00000000" w:rsidDel="00000000" w:rsidP="00000000" w:rsidRDefault="00000000" w:rsidRPr="00000000" w14:paraId="00000048">
      <w:pPr>
        <w:spacing w:line="240" w:lineRule="auto"/>
        <w:ind w:left="0" w:hanging="2"/>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Doutoranda do Programa de Pós-Graduação em Políticas Públicas da Universidade Estadual do Ceará (PPGPP/UECE), com período sanduíche na Universidade de Málaga (UMA/Espanha), Pesquisadora Bolsista da Fundação Cearense de Apoio ao Desenvolvimento Científico e Tecnológico (FUNCAP), E-mail: angelaefassis@gmail.com.</w:t>
      </w:r>
    </w:p>
  </w:footnote>
  <w:footnote w:id="2">
    <w:p w:rsidR="00000000" w:rsidDel="00000000" w:rsidP="00000000" w:rsidRDefault="00000000" w:rsidRPr="00000000" w14:paraId="00000049">
      <w:pPr>
        <w:spacing w:line="240" w:lineRule="auto"/>
        <w:ind w:left="0" w:hanging="2"/>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Serviço Social pela Universidade Estadual do Ceará (UECE), E-mail: </w:t>
      </w:r>
      <w:r w:rsidDel="00000000" w:rsidR="00000000" w:rsidRPr="00000000">
        <w:rPr>
          <w:sz w:val="20"/>
          <w:szCs w:val="20"/>
          <w:highlight w:val="white"/>
          <w:rtl w:val="0"/>
        </w:rPr>
        <w:t xml:space="preserve">mayumishirai9@gmail.com.</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ind w:left="0" w:hanging="2"/>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ind w:hanging="1"/>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pPr>
      <w:suppressAutoHyphens w:val="1"/>
      <w:ind w:left="-1" w:leftChars="-1" w:hanging="1" w:hangingChars="1"/>
      <w:textDirection w:val="btLr"/>
      <w:textAlignment w:val="top"/>
      <w:outlineLvl w:val="0"/>
    </w:pPr>
    <w:rPr>
      <w:position w:val="-1"/>
    </w:rPr>
  </w:style>
  <w:style w:type="paragraph" w:styleId="Ttulo1">
    <w:name w:val="heading 1"/>
    <w:basedOn w:val="Normal"/>
    <w:next w:val="Normal"/>
    <w:uiPriority w:val="9"/>
    <w:qFormat w:val="1"/>
    <w:pPr>
      <w:keepNext w:val="1"/>
      <w:keepLines w:val="1"/>
      <w:spacing w:after="120" w:before="40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ontepargpadro" w:default="1">
    <w:name w:val="Default Paragraph Font"/>
    <w:uiPriority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next w:val="TableNormal0"/>
    <w:pPr>
      <w:suppressAutoHyphens w:val="1"/>
      <w:ind w:left="-1" w:leftChars="-1" w:hanging="1" w:hangingChars="1"/>
      <w:textDirection w:val="btLr"/>
      <w:textAlignment w:val="top"/>
      <w:outlineLvl w:val="0"/>
    </w:pPr>
    <w:rPr>
      <w:position w:val="-1"/>
    </w:rPr>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Cabealho">
    <w:name w:val="header"/>
    <w:basedOn w:val="Normal"/>
    <w:qFormat w:val="1"/>
    <w:pPr>
      <w:tabs>
        <w:tab w:val="center" w:pos="4252"/>
        <w:tab w:val="right" w:pos="8504"/>
      </w:tabs>
      <w:spacing w:line="240" w:lineRule="auto"/>
    </w:pPr>
  </w:style>
  <w:style w:type="character" w:styleId="CabealhoChar" w:customStyle="1">
    <w:name w:val="Cabeçalho Char"/>
    <w:basedOn w:val="Fontepargpadro"/>
    <w:rPr>
      <w:w w:val="100"/>
      <w:position w:val="-1"/>
      <w:effect w:val="none"/>
      <w:vertAlign w:val="baseline"/>
      <w:cs w:val="0"/>
      <w:em w:val="none"/>
    </w:rPr>
  </w:style>
  <w:style w:type="paragraph" w:styleId="Rodap">
    <w:name w:val="footer"/>
    <w:basedOn w:val="Normal"/>
    <w:qFormat w:val="1"/>
    <w:pPr>
      <w:tabs>
        <w:tab w:val="center" w:pos="4252"/>
        <w:tab w:val="right" w:pos="8504"/>
      </w:tabs>
      <w:spacing w:line="240" w:lineRule="auto"/>
    </w:pPr>
  </w:style>
  <w:style w:type="character" w:styleId="RodapChar" w:customStyle="1">
    <w:name w:val="Rodapé Char"/>
    <w:basedOn w:val="Fontepargpadro"/>
    <w:rPr>
      <w:w w:val="100"/>
      <w:position w:val="-1"/>
      <w:effect w:val="none"/>
      <w:vertAlign w:val="baseline"/>
      <w:cs w:val="0"/>
      <w:em w:val="no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WvlBlonMuRV7jDLw9CEYfoAJEQ==">CgMxLjA4AHIhMTRuS0xlS3BSLXFwa2tza0lzZklqOXM3T1UzRXVqQjdY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