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494" w:rsidRDefault="00CA68C2">
      <w:pPr>
        <w:spacing w:line="360" w:lineRule="auto"/>
        <w:ind w:left="0" w:hanging="2"/>
        <w:jc w:val="center"/>
        <w:rPr>
          <w:sz w:val="24"/>
          <w:szCs w:val="24"/>
        </w:rPr>
      </w:pPr>
      <w:bookmarkStart w:id="0" w:name="_GoBack"/>
      <w:bookmarkEnd w:id="0"/>
      <w:r>
        <w:rPr>
          <w:b/>
          <w:sz w:val="24"/>
          <w:szCs w:val="24"/>
        </w:rPr>
        <w:t xml:space="preserve">PERFIL DE ESTUDANTES RIBEIRINHOS (AS) NO ENSINO SUPERIOR: </w:t>
      </w:r>
      <w:r>
        <w:rPr>
          <w:sz w:val="24"/>
          <w:szCs w:val="24"/>
        </w:rPr>
        <w:t xml:space="preserve"> o caso da Universidade Federal do Pará</w:t>
      </w:r>
    </w:p>
    <w:p w:rsidR="00181494" w:rsidRDefault="00181494">
      <w:pPr>
        <w:spacing w:line="360" w:lineRule="auto"/>
        <w:ind w:left="0" w:hanging="2"/>
        <w:jc w:val="center"/>
        <w:rPr>
          <w:sz w:val="24"/>
          <w:szCs w:val="24"/>
        </w:rPr>
      </w:pPr>
    </w:p>
    <w:p w:rsidR="00181494" w:rsidRDefault="00CA68C2">
      <w:pPr>
        <w:spacing w:line="240" w:lineRule="auto"/>
        <w:ind w:left="0" w:hanging="2"/>
        <w:jc w:val="right"/>
        <w:rPr>
          <w:sz w:val="24"/>
          <w:szCs w:val="24"/>
        </w:rPr>
      </w:pPr>
      <w:r>
        <w:rPr>
          <w:sz w:val="24"/>
          <w:szCs w:val="24"/>
        </w:rPr>
        <w:t>Helen Marcele Carvalho dos Santos</w:t>
      </w:r>
      <w:r>
        <w:rPr>
          <w:sz w:val="24"/>
          <w:szCs w:val="24"/>
          <w:vertAlign w:val="superscript"/>
        </w:rPr>
        <w:footnoteReference w:id="1"/>
      </w:r>
    </w:p>
    <w:p w:rsidR="00181494" w:rsidRDefault="00CA68C2">
      <w:pPr>
        <w:spacing w:line="240" w:lineRule="auto"/>
        <w:ind w:left="0" w:hanging="2"/>
        <w:jc w:val="right"/>
        <w:rPr>
          <w:sz w:val="24"/>
          <w:szCs w:val="24"/>
        </w:rPr>
      </w:pPr>
      <w:r>
        <w:rPr>
          <w:sz w:val="24"/>
          <w:szCs w:val="24"/>
        </w:rPr>
        <w:t>Patrícia Teodoro de Souza Nascimento</w:t>
      </w:r>
      <w:r>
        <w:rPr>
          <w:sz w:val="24"/>
          <w:szCs w:val="24"/>
          <w:vertAlign w:val="superscript"/>
        </w:rPr>
        <w:footnoteReference w:id="2"/>
      </w:r>
    </w:p>
    <w:p w:rsidR="00181494" w:rsidRDefault="00CA68C2">
      <w:pPr>
        <w:spacing w:line="240" w:lineRule="auto"/>
        <w:ind w:left="0" w:hanging="2"/>
        <w:jc w:val="right"/>
        <w:rPr>
          <w:sz w:val="24"/>
          <w:szCs w:val="24"/>
        </w:rPr>
      </w:pPr>
      <w:r>
        <w:rPr>
          <w:sz w:val="24"/>
          <w:szCs w:val="24"/>
        </w:rPr>
        <w:t>Raquel Correia de Oliveira</w:t>
      </w:r>
      <w:r>
        <w:rPr>
          <w:sz w:val="24"/>
          <w:szCs w:val="24"/>
          <w:vertAlign w:val="superscript"/>
        </w:rPr>
        <w:footnoteReference w:id="3"/>
      </w:r>
    </w:p>
    <w:p w:rsidR="00181494" w:rsidRDefault="00CA68C2">
      <w:pPr>
        <w:spacing w:line="240" w:lineRule="auto"/>
        <w:ind w:left="0" w:hanging="2"/>
        <w:jc w:val="right"/>
        <w:rPr>
          <w:sz w:val="20"/>
          <w:szCs w:val="20"/>
        </w:rPr>
      </w:pPr>
      <w:r>
        <w:rPr>
          <w:sz w:val="24"/>
          <w:szCs w:val="24"/>
        </w:rPr>
        <w:t xml:space="preserve">Solange Maria </w:t>
      </w:r>
      <w:proofErr w:type="spellStart"/>
      <w:r>
        <w:rPr>
          <w:sz w:val="24"/>
          <w:szCs w:val="24"/>
        </w:rPr>
        <w:t>Gayoso</w:t>
      </w:r>
      <w:proofErr w:type="spellEnd"/>
      <w:r>
        <w:rPr>
          <w:sz w:val="24"/>
          <w:szCs w:val="24"/>
        </w:rPr>
        <w:t xml:space="preserve"> da Costa</w:t>
      </w:r>
      <w:r>
        <w:rPr>
          <w:sz w:val="24"/>
          <w:szCs w:val="24"/>
          <w:vertAlign w:val="superscript"/>
        </w:rPr>
        <w:footnoteReference w:id="4"/>
      </w:r>
    </w:p>
    <w:p w:rsidR="00181494" w:rsidRDefault="00181494">
      <w:pPr>
        <w:spacing w:line="240" w:lineRule="auto"/>
        <w:ind w:left="0" w:hanging="2"/>
        <w:jc w:val="both"/>
        <w:rPr>
          <w:sz w:val="20"/>
          <w:szCs w:val="20"/>
        </w:rPr>
      </w:pPr>
    </w:p>
    <w:p w:rsidR="00181494" w:rsidRDefault="00CA68C2">
      <w:pPr>
        <w:spacing w:line="240" w:lineRule="auto"/>
        <w:ind w:left="0" w:hanging="2"/>
        <w:jc w:val="both"/>
        <w:rPr>
          <w:sz w:val="20"/>
          <w:szCs w:val="20"/>
        </w:rPr>
      </w:pPr>
      <w:r>
        <w:rPr>
          <w:b/>
          <w:sz w:val="20"/>
          <w:szCs w:val="20"/>
        </w:rPr>
        <w:t>Resumo</w:t>
      </w:r>
    </w:p>
    <w:p w:rsidR="00181494" w:rsidRDefault="00CA68C2">
      <w:pPr>
        <w:spacing w:line="240" w:lineRule="auto"/>
        <w:ind w:left="0" w:hanging="2"/>
        <w:jc w:val="both"/>
        <w:rPr>
          <w:sz w:val="20"/>
          <w:szCs w:val="20"/>
        </w:rPr>
      </w:pPr>
      <w:r>
        <w:rPr>
          <w:sz w:val="20"/>
          <w:szCs w:val="20"/>
        </w:rPr>
        <w:t xml:space="preserve">Este trabalho propõe caracterizar </w:t>
      </w:r>
      <w:proofErr w:type="gramStart"/>
      <w:r>
        <w:rPr>
          <w:sz w:val="20"/>
          <w:szCs w:val="20"/>
        </w:rPr>
        <w:t>os(</w:t>
      </w:r>
      <w:proofErr w:type="gramEnd"/>
      <w:r>
        <w:rPr>
          <w:sz w:val="20"/>
          <w:szCs w:val="20"/>
        </w:rPr>
        <w:t>as) discentes ribeirinhos(as) que cursam graduação na Universidade Federal do Pará (UFPA). Apesar de a literatura indicar que o debate sobre a democratização do acesso deve contemplar o conhecimento sobre os novos sujei</w:t>
      </w:r>
      <w:r>
        <w:rPr>
          <w:sz w:val="20"/>
          <w:szCs w:val="20"/>
        </w:rPr>
        <w:t xml:space="preserve">tos que ingressam no ensino superior, pouco se sabe sobre as características das populações tradicionais presentes na </w:t>
      </w:r>
      <w:proofErr w:type="gramStart"/>
      <w:r>
        <w:rPr>
          <w:sz w:val="20"/>
          <w:szCs w:val="20"/>
        </w:rPr>
        <w:t>universidade</w:t>
      </w:r>
      <w:proofErr w:type="gramEnd"/>
      <w:r>
        <w:rPr>
          <w:sz w:val="20"/>
          <w:szCs w:val="20"/>
        </w:rPr>
        <w:t>, mantendo-se sobre elas uma situação de invisibilidade social. A metodologia envolveu uma revisão de literatura e um levantam</w:t>
      </w:r>
      <w:r>
        <w:rPr>
          <w:sz w:val="20"/>
          <w:szCs w:val="20"/>
        </w:rPr>
        <w:t xml:space="preserve">ento no Cadastro Geral de Assistência Estudantil da UFPA. Conclui-se que a democratização do acesso ao ensino superior possibilitou às populações tradicionais o ingresso na universidade; no entanto, seu perfil e suas demandas ainda são desconhecidos. Como </w:t>
      </w:r>
      <w:r>
        <w:rPr>
          <w:sz w:val="20"/>
          <w:szCs w:val="20"/>
        </w:rPr>
        <w:t xml:space="preserve">resultado central, a caracterização </w:t>
      </w:r>
      <w:proofErr w:type="gramStart"/>
      <w:r>
        <w:rPr>
          <w:sz w:val="20"/>
          <w:szCs w:val="20"/>
        </w:rPr>
        <w:t>dos(</w:t>
      </w:r>
      <w:proofErr w:type="gramEnd"/>
      <w:r>
        <w:rPr>
          <w:sz w:val="20"/>
          <w:szCs w:val="20"/>
        </w:rPr>
        <w:t>as) estudantes ribeirinhos(as) enquanto público diverso configura um ponto de partida para que pesquisas futuras avancem em reflexões sobre as demandas de permanência.</w:t>
      </w:r>
    </w:p>
    <w:p w:rsidR="00181494" w:rsidRDefault="00CA68C2">
      <w:pPr>
        <w:spacing w:line="240" w:lineRule="auto"/>
        <w:ind w:left="0" w:hanging="2"/>
        <w:jc w:val="both"/>
        <w:rPr>
          <w:sz w:val="20"/>
          <w:szCs w:val="20"/>
        </w:rPr>
      </w:pPr>
      <w:r>
        <w:rPr>
          <w:b/>
          <w:sz w:val="20"/>
          <w:szCs w:val="20"/>
        </w:rPr>
        <w:t>Palavras-chave</w:t>
      </w:r>
      <w:r>
        <w:rPr>
          <w:sz w:val="20"/>
          <w:szCs w:val="20"/>
        </w:rPr>
        <w:t>: Amazônia; populações tradicionai</w:t>
      </w:r>
      <w:r>
        <w:rPr>
          <w:sz w:val="20"/>
          <w:szCs w:val="20"/>
        </w:rPr>
        <w:t>s; educação.</w:t>
      </w:r>
    </w:p>
    <w:p w:rsidR="00181494" w:rsidRDefault="00181494">
      <w:pPr>
        <w:spacing w:line="240" w:lineRule="auto"/>
        <w:ind w:left="0" w:hanging="2"/>
        <w:jc w:val="both"/>
        <w:rPr>
          <w:sz w:val="20"/>
          <w:szCs w:val="20"/>
        </w:rPr>
      </w:pPr>
    </w:p>
    <w:p w:rsidR="00181494" w:rsidRPr="00ED2A88" w:rsidRDefault="00CA68C2">
      <w:pPr>
        <w:spacing w:line="240" w:lineRule="auto"/>
        <w:ind w:left="0" w:hanging="2"/>
        <w:jc w:val="both"/>
        <w:rPr>
          <w:b/>
          <w:sz w:val="20"/>
          <w:szCs w:val="20"/>
          <w:lang w:val="en-US"/>
        </w:rPr>
      </w:pPr>
      <w:r w:rsidRPr="00ED2A88">
        <w:rPr>
          <w:b/>
          <w:sz w:val="20"/>
          <w:szCs w:val="20"/>
          <w:lang w:val="en-US"/>
        </w:rPr>
        <w:t>Abstract</w:t>
      </w:r>
    </w:p>
    <w:p w:rsidR="00181494" w:rsidRPr="00ED2A88" w:rsidRDefault="00CA68C2">
      <w:pPr>
        <w:spacing w:line="240" w:lineRule="auto"/>
        <w:ind w:left="0" w:hanging="2"/>
        <w:jc w:val="both"/>
        <w:rPr>
          <w:sz w:val="20"/>
          <w:szCs w:val="20"/>
          <w:lang w:val="en-US"/>
        </w:rPr>
      </w:pPr>
      <w:r w:rsidRPr="00ED2A88">
        <w:rPr>
          <w:sz w:val="20"/>
          <w:szCs w:val="20"/>
          <w:lang w:val="en-US"/>
        </w:rPr>
        <w:t>This study aims to characterize riverside students enrolled in undergraduate programs at the Federal University of Pará (UFPA). Although the literature highlights that debates on the democratization of access to higher education shou</w:t>
      </w:r>
      <w:r w:rsidRPr="00ED2A88">
        <w:rPr>
          <w:sz w:val="20"/>
          <w:szCs w:val="20"/>
          <w:lang w:val="en-US"/>
        </w:rPr>
        <w:t>ld include an understanding of the new social groups entering universities, there is still limited knowledge about the characteristics of traditional populations within these institutions. As a result, these groups remain socially invisible. The methodolog</w:t>
      </w:r>
      <w:r w:rsidRPr="00ED2A88">
        <w:rPr>
          <w:sz w:val="20"/>
          <w:szCs w:val="20"/>
          <w:lang w:val="en-US"/>
        </w:rPr>
        <w:t>y involved a literature review and an analysis of data from UFPA's General Student Assistance Registry. The findings indicate that expanding access to higher education has enabled traditional populations to enter university; however, their profiles and spe</w:t>
      </w:r>
      <w:r w:rsidRPr="00ED2A88">
        <w:rPr>
          <w:sz w:val="20"/>
          <w:szCs w:val="20"/>
          <w:lang w:val="en-US"/>
        </w:rPr>
        <w:t>cific needs remain largely unknown. A key outcome of this research is the identification of riverside students as a diverse group, offering a starting point for future studies to explore their demands related to staying and succeeding in higher education.</w:t>
      </w:r>
    </w:p>
    <w:p w:rsidR="00181494" w:rsidRPr="00ED2A88" w:rsidRDefault="00CA68C2">
      <w:pPr>
        <w:spacing w:line="240" w:lineRule="auto"/>
        <w:ind w:left="0" w:hanging="2"/>
        <w:jc w:val="both"/>
        <w:rPr>
          <w:sz w:val="24"/>
          <w:szCs w:val="24"/>
          <w:lang w:val="en-US"/>
        </w:rPr>
      </w:pPr>
      <w:r w:rsidRPr="00ED2A88">
        <w:rPr>
          <w:b/>
          <w:sz w:val="20"/>
          <w:szCs w:val="20"/>
          <w:lang w:val="en-US"/>
        </w:rPr>
        <w:t xml:space="preserve">Keywords: </w:t>
      </w:r>
      <w:r w:rsidRPr="00ED2A88">
        <w:rPr>
          <w:sz w:val="20"/>
          <w:szCs w:val="20"/>
          <w:lang w:val="en-US"/>
        </w:rPr>
        <w:t>Amazon; traditional populations; education.</w:t>
      </w:r>
    </w:p>
    <w:p w:rsidR="00181494" w:rsidRDefault="00CA68C2">
      <w:pPr>
        <w:spacing w:line="360" w:lineRule="auto"/>
        <w:ind w:left="0" w:hanging="2"/>
        <w:rPr>
          <w:sz w:val="24"/>
          <w:szCs w:val="24"/>
        </w:rPr>
      </w:pPr>
      <w:r>
        <w:rPr>
          <w:b/>
          <w:sz w:val="24"/>
          <w:szCs w:val="24"/>
        </w:rPr>
        <w:t>1</w:t>
      </w:r>
      <w:r>
        <w:rPr>
          <w:b/>
          <w:sz w:val="24"/>
          <w:szCs w:val="24"/>
        </w:rPr>
        <w:tab/>
        <w:t>INTRODUÇÃO</w:t>
      </w:r>
    </w:p>
    <w:p w:rsidR="00181494" w:rsidRDefault="00181494">
      <w:pPr>
        <w:spacing w:line="360" w:lineRule="auto"/>
        <w:ind w:left="0" w:hanging="2"/>
        <w:jc w:val="both"/>
        <w:rPr>
          <w:sz w:val="24"/>
          <w:szCs w:val="24"/>
          <w:highlight w:val="white"/>
        </w:rPr>
      </w:pPr>
    </w:p>
    <w:p w:rsidR="00181494" w:rsidRDefault="00CA68C2">
      <w:pPr>
        <w:spacing w:line="360" w:lineRule="auto"/>
        <w:ind w:left="0" w:hanging="2"/>
        <w:jc w:val="both"/>
        <w:rPr>
          <w:sz w:val="24"/>
          <w:szCs w:val="24"/>
          <w:highlight w:val="white"/>
        </w:rPr>
      </w:pPr>
      <w:r>
        <w:rPr>
          <w:sz w:val="24"/>
          <w:szCs w:val="24"/>
          <w:highlight w:val="white"/>
        </w:rPr>
        <w:t xml:space="preserve">Este estudo investiga as populações tradicionais ribeirinhas e sua relação com o acesso ao ensino superior na Amazônia. A temática tem recebido ampla atenção na </w:t>
      </w:r>
      <w:r>
        <w:rPr>
          <w:sz w:val="24"/>
          <w:szCs w:val="24"/>
          <w:highlight w:val="white"/>
        </w:rPr>
        <w:lastRenderedPageBreak/>
        <w:t>literatura, especialmente d</w:t>
      </w:r>
      <w:r>
        <w:rPr>
          <w:sz w:val="24"/>
          <w:szCs w:val="24"/>
          <w:highlight w:val="white"/>
        </w:rPr>
        <w:t xml:space="preserve">evido à implementação de políticas afirmativas que promoveram a ampliação da presença de negros, indígenas, quilombolas e populações do campo no ensino superior, conforme destacado por estudos recentes (Brito; Hage, 2015; Paulo, 2018; </w:t>
      </w:r>
      <w:proofErr w:type="spellStart"/>
      <w:r>
        <w:rPr>
          <w:sz w:val="24"/>
          <w:szCs w:val="24"/>
          <w:highlight w:val="white"/>
        </w:rPr>
        <w:t>Senkevics</w:t>
      </w:r>
      <w:proofErr w:type="spellEnd"/>
      <w:r>
        <w:rPr>
          <w:sz w:val="24"/>
          <w:szCs w:val="24"/>
          <w:highlight w:val="white"/>
        </w:rPr>
        <w:t>, 2021). Ape</w:t>
      </w:r>
      <w:r>
        <w:rPr>
          <w:sz w:val="24"/>
          <w:szCs w:val="24"/>
          <w:highlight w:val="white"/>
        </w:rPr>
        <w:t>sar do avanço na democratização do acesso ao ensino superior, que se apresenta como uma realidade permeada por contradições, ainda há lacunas no entendimento acerca das principais características dos sujeitos que ingressam na universidade. No caso das popu</w:t>
      </w:r>
      <w:r>
        <w:rPr>
          <w:sz w:val="24"/>
          <w:szCs w:val="24"/>
          <w:highlight w:val="white"/>
        </w:rPr>
        <w:t xml:space="preserve">lações ribeirinhas, observa-se uma condição de invisibilidade social, o que reforça a necessidade de aprofundar o conhecimento sobre esse grupo específico (Lira; Chaves, 2016; Fernandes; Moser, 2021). </w:t>
      </w:r>
    </w:p>
    <w:p w:rsidR="00181494" w:rsidRDefault="00CA68C2">
      <w:pPr>
        <w:spacing w:line="360" w:lineRule="auto"/>
        <w:ind w:left="0" w:hanging="2"/>
        <w:jc w:val="both"/>
        <w:rPr>
          <w:sz w:val="24"/>
          <w:szCs w:val="24"/>
          <w:highlight w:val="white"/>
        </w:rPr>
      </w:pPr>
      <w:r>
        <w:rPr>
          <w:sz w:val="24"/>
          <w:szCs w:val="24"/>
          <w:highlight w:val="white"/>
        </w:rPr>
        <w:t>Embora os estudos abordem a democratização do acesso e</w:t>
      </w:r>
      <w:r>
        <w:rPr>
          <w:sz w:val="24"/>
          <w:szCs w:val="24"/>
          <w:highlight w:val="white"/>
        </w:rPr>
        <w:t xml:space="preserve"> a diversidade de sujeitos universitários, ainda não há uma caracterização detalhada do perfil desses estudantes, tampouco informações que possam subsidiar a compreensão de suas demandas de permanência na instituição. Nesse sentido, questiona-se: qual a ca</w:t>
      </w:r>
      <w:r>
        <w:rPr>
          <w:sz w:val="24"/>
          <w:szCs w:val="24"/>
          <w:highlight w:val="white"/>
        </w:rPr>
        <w:t>racterização dos discentes ribeirinhos que cursam graduação na UFPA? O objetivo deste trabalho é, portanto, caracterizar os estudantes ribeirinhos que ingressam na graduação na UFPA.</w:t>
      </w:r>
    </w:p>
    <w:p w:rsidR="00181494" w:rsidRDefault="00CA68C2">
      <w:pPr>
        <w:spacing w:line="360" w:lineRule="auto"/>
        <w:ind w:left="0" w:hanging="2"/>
        <w:jc w:val="both"/>
        <w:rPr>
          <w:sz w:val="24"/>
          <w:szCs w:val="24"/>
          <w:highlight w:val="white"/>
        </w:rPr>
      </w:pPr>
      <w:r>
        <w:rPr>
          <w:sz w:val="24"/>
          <w:szCs w:val="24"/>
          <w:highlight w:val="white"/>
        </w:rPr>
        <w:t>Este artigo constitui um dos resultados de uma análise documental realiza</w:t>
      </w:r>
      <w:r>
        <w:rPr>
          <w:sz w:val="24"/>
          <w:szCs w:val="24"/>
          <w:highlight w:val="white"/>
        </w:rPr>
        <w:t>da no âmbito de uma pesquisa empírica, a partir dos cadastros do banco de dados da Assistência Estudantil da UFPA. A metodologia adotada envolveu uma revisão de literatura sobre o tema e um levantamento de dados no Sistema Gerencial de Assistência Estudant</w:t>
      </w:r>
      <w:r>
        <w:rPr>
          <w:sz w:val="24"/>
          <w:szCs w:val="24"/>
          <w:highlight w:val="white"/>
        </w:rPr>
        <w:t>il (SIGAEST) da instituição. Após esta introdução, o trabalho apresenta uma revisão de literatura acerca da democratização do acesso ao ensino superior e da população ribeirinha na Amazônia. As seções de discussão e conclusão encerram o documento.</w:t>
      </w:r>
    </w:p>
    <w:p w:rsidR="00181494" w:rsidRDefault="00CA68C2">
      <w:pPr>
        <w:spacing w:line="360" w:lineRule="auto"/>
        <w:ind w:left="0" w:hanging="2"/>
        <w:jc w:val="both"/>
        <w:rPr>
          <w:b/>
          <w:sz w:val="24"/>
          <w:szCs w:val="24"/>
          <w:highlight w:val="white"/>
        </w:rPr>
      </w:pPr>
      <w:r>
        <w:rPr>
          <w:b/>
          <w:sz w:val="24"/>
          <w:szCs w:val="24"/>
        </w:rPr>
        <w:t>2</w:t>
      </w:r>
      <w:r>
        <w:rPr>
          <w:b/>
          <w:sz w:val="24"/>
          <w:szCs w:val="24"/>
        </w:rPr>
        <w:tab/>
      </w:r>
      <w:r>
        <w:rPr>
          <w:b/>
          <w:sz w:val="24"/>
          <w:szCs w:val="24"/>
          <w:highlight w:val="white"/>
        </w:rPr>
        <w:t>A DEMOCRATIZAÇÃO DO ACESSO AO ENSINO SUPERIOR</w:t>
      </w:r>
    </w:p>
    <w:p w:rsidR="00181494" w:rsidRDefault="00181494">
      <w:pPr>
        <w:spacing w:line="360" w:lineRule="auto"/>
        <w:ind w:left="0" w:hanging="2"/>
        <w:jc w:val="both"/>
        <w:rPr>
          <w:sz w:val="24"/>
          <w:szCs w:val="24"/>
          <w:highlight w:val="white"/>
        </w:rPr>
      </w:pPr>
    </w:p>
    <w:p w:rsidR="00181494" w:rsidRDefault="00CA68C2">
      <w:pPr>
        <w:spacing w:line="360" w:lineRule="auto"/>
        <w:ind w:left="0" w:hanging="2"/>
        <w:jc w:val="both"/>
        <w:rPr>
          <w:sz w:val="24"/>
          <w:szCs w:val="24"/>
          <w:highlight w:val="white"/>
        </w:rPr>
      </w:pPr>
      <w:proofErr w:type="spellStart"/>
      <w:r>
        <w:rPr>
          <w:sz w:val="24"/>
          <w:szCs w:val="24"/>
          <w:highlight w:val="white"/>
        </w:rPr>
        <w:t>István</w:t>
      </w:r>
      <w:proofErr w:type="spellEnd"/>
      <w:r>
        <w:rPr>
          <w:sz w:val="24"/>
          <w:szCs w:val="24"/>
          <w:highlight w:val="white"/>
        </w:rPr>
        <w:t xml:space="preserve"> </w:t>
      </w:r>
      <w:proofErr w:type="spellStart"/>
      <w:r>
        <w:rPr>
          <w:sz w:val="24"/>
          <w:szCs w:val="24"/>
          <w:highlight w:val="white"/>
        </w:rPr>
        <w:t>Mészáros</w:t>
      </w:r>
      <w:proofErr w:type="spellEnd"/>
      <w:r>
        <w:rPr>
          <w:sz w:val="24"/>
          <w:szCs w:val="24"/>
          <w:highlight w:val="white"/>
        </w:rPr>
        <w:t xml:space="preserve"> (2008) argumenta que a educação deve transcender a lógica desumanizadora do capitalismo e do individualismo, visando possibilitar tanto ao </w:t>
      </w:r>
      <w:r>
        <w:rPr>
          <w:sz w:val="24"/>
          <w:szCs w:val="24"/>
          <w:highlight w:val="white"/>
        </w:rPr>
        <w:lastRenderedPageBreak/>
        <w:t>indivíduo, quanto a sociedade, uma reconexão com o tra</w:t>
      </w:r>
      <w:r>
        <w:rPr>
          <w:sz w:val="24"/>
          <w:szCs w:val="24"/>
          <w:highlight w:val="white"/>
        </w:rPr>
        <w:t>balho e promover possibilidades criativas e emancipatórias. Fala que a educação deve ser transformadora e contribuir para a construção de “outro mundo possível” onde o ser humano possa ser referência central. Ao refletir sobre a educação superior para a po</w:t>
      </w:r>
      <w:r>
        <w:rPr>
          <w:sz w:val="24"/>
          <w:szCs w:val="24"/>
          <w:highlight w:val="white"/>
        </w:rPr>
        <w:t xml:space="preserve">pulação ribeirinha, podemos inferir, em consonância com os pensamentos de </w:t>
      </w:r>
      <w:proofErr w:type="spellStart"/>
      <w:r>
        <w:rPr>
          <w:sz w:val="24"/>
          <w:szCs w:val="24"/>
          <w:highlight w:val="white"/>
        </w:rPr>
        <w:t>Mészáros</w:t>
      </w:r>
      <w:proofErr w:type="spellEnd"/>
      <w:r>
        <w:rPr>
          <w:sz w:val="24"/>
          <w:szCs w:val="24"/>
          <w:highlight w:val="white"/>
        </w:rPr>
        <w:t xml:space="preserve"> (2008), que a educação no Brasil tem sido historicamente marcada pelos ideários neoliberais, limitando seu potencial de transformação social.</w:t>
      </w:r>
    </w:p>
    <w:p w:rsidR="00181494" w:rsidRDefault="00CA68C2">
      <w:pPr>
        <w:spacing w:line="360" w:lineRule="auto"/>
        <w:ind w:left="0" w:hanging="2"/>
        <w:jc w:val="both"/>
        <w:rPr>
          <w:sz w:val="24"/>
          <w:szCs w:val="24"/>
          <w:highlight w:val="white"/>
        </w:rPr>
      </w:pPr>
      <w:r>
        <w:rPr>
          <w:sz w:val="24"/>
          <w:szCs w:val="24"/>
          <w:highlight w:val="white"/>
        </w:rPr>
        <w:t>Observa-se na história recente,</w:t>
      </w:r>
      <w:r>
        <w:rPr>
          <w:sz w:val="24"/>
          <w:szCs w:val="24"/>
          <w:highlight w:val="white"/>
        </w:rPr>
        <w:t xml:space="preserve"> diferentes abordagens de implementação de políticas educacionais no Brasil. Marcelo, </w:t>
      </w:r>
      <w:proofErr w:type="spellStart"/>
      <w:r>
        <w:rPr>
          <w:sz w:val="24"/>
          <w:szCs w:val="24"/>
          <w:highlight w:val="white"/>
        </w:rPr>
        <w:t>Chacon</w:t>
      </w:r>
      <w:proofErr w:type="spellEnd"/>
      <w:r>
        <w:rPr>
          <w:sz w:val="24"/>
          <w:szCs w:val="24"/>
          <w:highlight w:val="white"/>
        </w:rPr>
        <w:t xml:space="preserve"> e </w:t>
      </w:r>
      <w:proofErr w:type="spellStart"/>
      <w:r>
        <w:rPr>
          <w:sz w:val="24"/>
          <w:szCs w:val="24"/>
          <w:highlight w:val="white"/>
        </w:rPr>
        <w:t>Calderon</w:t>
      </w:r>
      <w:proofErr w:type="spellEnd"/>
      <w:r>
        <w:rPr>
          <w:sz w:val="24"/>
          <w:szCs w:val="24"/>
          <w:highlight w:val="white"/>
        </w:rPr>
        <w:t xml:space="preserve"> (2015) apontam que durante o governo de Fernando Henrique Cardoso, houve um aumento significativo no número de matrículas nas instituições privadas de e</w:t>
      </w:r>
      <w:r>
        <w:rPr>
          <w:sz w:val="24"/>
          <w:szCs w:val="24"/>
          <w:highlight w:val="white"/>
        </w:rPr>
        <w:t>nsino superior. O percentual de matrículas nessas instituições subiu de 60% para 70%, enquanto nas instituições públicas ocorreu uma redução de 21% para 15%. Já o governo de Lula da Silva adotou uma abordagem mista, beneficiando tanto as instituições públi</w:t>
      </w:r>
      <w:r>
        <w:rPr>
          <w:sz w:val="24"/>
          <w:szCs w:val="24"/>
          <w:highlight w:val="white"/>
        </w:rPr>
        <w:t>cas quanto as privadas.</w:t>
      </w:r>
    </w:p>
    <w:p w:rsidR="00181494" w:rsidRDefault="00CA68C2">
      <w:pPr>
        <w:spacing w:line="360" w:lineRule="auto"/>
        <w:ind w:left="0" w:hanging="2"/>
        <w:jc w:val="both"/>
        <w:rPr>
          <w:sz w:val="24"/>
          <w:szCs w:val="24"/>
          <w:highlight w:val="white"/>
        </w:rPr>
      </w:pPr>
      <w:r>
        <w:rPr>
          <w:sz w:val="24"/>
          <w:szCs w:val="24"/>
          <w:highlight w:val="white"/>
        </w:rPr>
        <w:t>O Programa Universidade para Todos (PROUNI), criado em 2005, foi uma das iniciativas principais ao oferecer bolsas de estudo integrais e parciais para estudantes de baixa renda em instituições privadas, com contrapartida das institu</w:t>
      </w:r>
      <w:r>
        <w:rPr>
          <w:sz w:val="24"/>
          <w:szCs w:val="24"/>
          <w:highlight w:val="white"/>
        </w:rPr>
        <w:t>ições em forma de isenção fiscal, contribuindo para aumentar o acesso de jovens de baixa renda ao ensino superior privado.</w:t>
      </w:r>
    </w:p>
    <w:p w:rsidR="00181494" w:rsidRDefault="00CA68C2">
      <w:pPr>
        <w:spacing w:line="360" w:lineRule="auto"/>
        <w:ind w:left="0" w:hanging="2"/>
        <w:jc w:val="both"/>
        <w:rPr>
          <w:sz w:val="24"/>
          <w:szCs w:val="24"/>
          <w:highlight w:val="white"/>
        </w:rPr>
      </w:pPr>
      <w:r>
        <w:rPr>
          <w:sz w:val="24"/>
          <w:szCs w:val="24"/>
          <w:highlight w:val="white"/>
        </w:rPr>
        <w:t>Paralelamente, o Programa de Apoio a Planos de Reestruturação e Expansão das Universidades Federais (REUNI), criado em 2007, teve com</w:t>
      </w:r>
      <w:r>
        <w:rPr>
          <w:sz w:val="24"/>
          <w:szCs w:val="24"/>
          <w:highlight w:val="white"/>
        </w:rPr>
        <w:t>o objetivo ampliar o acesso e a permanência no ensino superior público. O REUNI resultou na criação de novas universidades federais e na expansão física e acadêmica das já existentes, além da interiorização e a criação de novos Institutos Federais de Ciênc</w:t>
      </w:r>
      <w:r>
        <w:rPr>
          <w:sz w:val="24"/>
          <w:szCs w:val="24"/>
          <w:highlight w:val="white"/>
        </w:rPr>
        <w:t>ia e Tecnologia.</w:t>
      </w:r>
    </w:p>
    <w:p w:rsidR="00181494" w:rsidRDefault="00CA68C2">
      <w:pPr>
        <w:spacing w:line="360" w:lineRule="auto"/>
        <w:ind w:left="0" w:hanging="2"/>
        <w:jc w:val="both"/>
        <w:rPr>
          <w:sz w:val="24"/>
          <w:szCs w:val="24"/>
          <w:highlight w:val="white"/>
        </w:rPr>
      </w:pPr>
      <w:r>
        <w:rPr>
          <w:sz w:val="24"/>
          <w:szCs w:val="24"/>
          <w:highlight w:val="white"/>
        </w:rPr>
        <w:t xml:space="preserve">No governo Dilma, marco significativo foi a aprovação da Lei nº 12.711/2012, conhecida como Lei das Cotas, que reservou 50% das vagas nas universidades federais para estudantes que se autodeclarassem pretos, pardos, indígenas, ou oriundos </w:t>
      </w:r>
      <w:r>
        <w:rPr>
          <w:sz w:val="24"/>
          <w:szCs w:val="24"/>
          <w:highlight w:val="white"/>
        </w:rPr>
        <w:t xml:space="preserve">de escolas públicas. Com o impeachment de Dilma Rousseff e a ascensão </w:t>
      </w:r>
      <w:r>
        <w:rPr>
          <w:sz w:val="24"/>
          <w:szCs w:val="24"/>
          <w:highlight w:val="white"/>
        </w:rPr>
        <w:lastRenderedPageBreak/>
        <w:t>de Michel Temer em 2016 e Jair Bolsonaro em 2018, houve uma mudança drástica na orientação das políticas públicas, caracterizada por uma política de austeridade fiscal e cortes orçamentá</w:t>
      </w:r>
      <w:r>
        <w:rPr>
          <w:sz w:val="24"/>
          <w:szCs w:val="24"/>
          <w:highlight w:val="white"/>
        </w:rPr>
        <w:t>rios severos.</w:t>
      </w:r>
    </w:p>
    <w:p w:rsidR="00181494" w:rsidRDefault="00CA68C2">
      <w:pPr>
        <w:spacing w:line="360" w:lineRule="auto"/>
        <w:ind w:left="0" w:hanging="2"/>
        <w:jc w:val="both"/>
        <w:rPr>
          <w:sz w:val="24"/>
          <w:szCs w:val="24"/>
          <w:highlight w:val="white"/>
        </w:rPr>
      </w:pPr>
      <w:r>
        <w:rPr>
          <w:sz w:val="24"/>
          <w:szCs w:val="24"/>
          <w:highlight w:val="white"/>
        </w:rPr>
        <w:t>A Emenda Constitucional (EC) nº 95/2016, também conhecida como a "PEC do Teto", estabeleceu um novo regime fiscal para a União, com o objetivo de limitar o crescimento das despesas públicas por 20 anos, afetando diretamente as políticas socia</w:t>
      </w:r>
      <w:r>
        <w:rPr>
          <w:sz w:val="24"/>
          <w:szCs w:val="24"/>
          <w:highlight w:val="white"/>
        </w:rPr>
        <w:t>is. Na educação houve redução de recursos para as universidades federais e outras instituições de ensino superior, afetando o custeio básico, a pesquisa, o desenvolvimento de novos programas e a expansão da oferta de vagas. </w:t>
      </w:r>
    </w:p>
    <w:p w:rsidR="00181494" w:rsidRDefault="00CA68C2">
      <w:pPr>
        <w:spacing w:line="360" w:lineRule="auto"/>
        <w:ind w:left="0" w:hanging="2"/>
        <w:jc w:val="both"/>
        <w:rPr>
          <w:sz w:val="24"/>
          <w:szCs w:val="24"/>
          <w:highlight w:val="white"/>
        </w:rPr>
      </w:pPr>
      <w:r>
        <w:rPr>
          <w:sz w:val="24"/>
          <w:szCs w:val="24"/>
          <w:highlight w:val="white"/>
        </w:rPr>
        <w:t>Situação agravada em 2025 quand</w:t>
      </w:r>
      <w:r>
        <w:rPr>
          <w:sz w:val="24"/>
          <w:szCs w:val="24"/>
          <w:highlight w:val="white"/>
        </w:rPr>
        <w:t xml:space="preserve">o o orçamento discricionário encaminhado no Projeto de Lei Orçamentária Anual (PLOA) para as universidades federais em 2025, que já era insuficiente, sofreu cortes na aprovação da Lei Orçamentária Anual (LOA) pelo Congresso Nacional. E com a publicação do </w:t>
      </w:r>
      <w:r>
        <w:rPr>
          <w:sz w:val="24"/>
          <w:szCs w:val="24"/>
          <w:highlight w:val="white"/>
        </w:rPr>
        <w:t>Decreto nº 12.448, que dispõe sobre a programação orçamentária e financeira e estabelece o cronograma de execução mensal de desembolso do Poder Executivo federal para o exercício de 2025, limitando os gastos mensais das universidades impactando na manutenç</w:t>
      </w:r>
      <w:r>
        <w:rPr>
          <w:sz w:val="24"/>
          <w:szCs w:val="24"/>
          <w:highlight w:val="white"/>
        </w:rPr>
        <w:t xml:space="preserve">ão dos </w:t>
      </w:r>
      <w:proofErr w:type="gramStart"/>
      <w:r>
        <w:rPr>
          <w:sz w:val="24"/>
          <w:szCs w:val="24"/>
          <w:highlight w:val="white"/>
        </w:rPr>
        <w:t>auxílios  relativos</w:t>
      </w:r>
      <w:proofErr w:type="gramEnd"/>
      <w:r>
        <w:rPr>
          <w:sz w:val="24"/>
          <w:szCs w:val="24"/>
          <w:highlight w:val="white"/>
        </w:rPr>
        <w:t xml:space="preserve"> à assistência estudantil, bolsas acadêmicas de estudantes, contratos de terceirização, restaurantes universitários, água, energia, entre outros. </w:t>
      </w:r>
    </w:p>
    <w:p w:rsidR="00181494" w:rsidRDefault="00181494">
      <w:pPr>
        <w:spacing w:line="360" w:lineRule="auto"/>
        <w:ind w:left="0" w:hanging="2"/>
        <w:jc w:val="both"/>
        <w:rPr>
          <w:sz w:val="24"/>
          <w:szCs w:val="24"/>
          <w:highlight w:val="white"/>
        </w:rPr>
      </w:pPr>
    </w:p>
    <w:p w:rsidR="00181494" w:rsidRDefault="00CA68C2">
      <w:pPr>
        <w:spacing w:line="360" w:lineRule="auto"/>
        <w:ind w:left="0" w:hanging="2"/>
        <w:jc w:val="both"/>
        <w:rPr>
          <w:b/>
          <w:sz w:val="24"/>
          <w:szCs w:val="24"/>
          <w:highlight w:val="white"/>
        </w:rPr>
      </w:pPr>
      <w:proofErr w:type="gramStart"/>
      <w:r>
        <w:rPr>
          <w:b/>
          <w:sz w:val="24"/>
          <w:szCs w:val="24"/>
          <w:highlight w:val="white"/>
        </w:rPr>
        <w:t>3  ENSINO</w:t>
      </w:r>
      <w:proofErr w:type="gramEnd"/>
      <w:r>
        <w:rPr>
          <w:b/>
          <w:sz w:val="24"/>
          <w:szCs w:val="24"/>
          <w:highlight w:val="white"/>
        </w:rPr>
        <w:t xml:space="preserve"> SUPERIOR E POPULAÇÃO RIBEIRINHA NA AMAZÔNIA</w:t>
      </w:r>
    </w:p>
    <w:p w:rsidR="00181494" w:rsidRDefault="00181494">
      <w:pPr>
        <w:spacing w:line="360" w:lineRule="auto"/>
        <w:ind w:left="0" w:hanging="2"/>
        <w:jc w:val="both"/>
        <w:rPr>
          <w:sz w:val="24"/>
          <w:szCs w:val="24"/>
          <w:highlight w:val="white"/>
        </w:rPr>
      </w:pPr>
    </w:p>
    <w:p w:rsidR="00181494" w:rsidRDefault="00CA68C2">
      <w:pPr>
        <w:spacing w:line="360" w:lineRule="auto"/>
        <w:ind w:left="0" w:hanging="2"/>
        <w:jc w:val="both"/>
        <w:rPr>
          <w:sz w:val="24"/>
          <w:szCs w:val="24"/>
          <w:highlight w:val="white"/>
        </w:rPr>
      </w:pPr>
      <w:r>
        <w:rPr>
          <w:sz w:val="24"/>
          <w:szCs w:val="24"/>
          <w:highlight w:val="white"/>
        </w:rPr>
        <w:t>O desenvolvimento tardio do</w:t>
      </w:r>
      <w:r>
        <w:rPr>
          <w:sz w:val="24"/>
          <w:szCs w:val="24"/>
          <w:highlight w:val="white"/>
        </w:rPr>
        <w:t xml:space="preserve"> sistema de educação superior brasileiro influenciou no acesso da população ao ensino superior (</w:t>
      </w:r>
      <w:proofErr w:type="spellStart"/>
      <w:r>
        <w:rPr>
          <w:sz w:val="24"/>
          <w:szCs w:val="24"/>
          <w:highlight w:val="white"/>
        </w:rPr>
        <w:t>Senkevics</w:t>
      </w:r>
      <w:proofErr w:type="spellEnd"/>
      <w:r>
        <w:rPr>
          <w:sz w:val="24"/>
          <w:szCs w:val="24"/>
          <w:highlight w:val="white"/>
        </w:rPr>
        <w:t>, 2021), o que pode ser observado pelos indicadores negativos que persistem mesmo com o processo de democratização. No ano de 2019 apenas 21% dos adult</w:t>
      </w:r>
      <w:r>
        <w:rPr>
          <w:sz w:val="24"/>
          <w:szCs w:val="24"/>
          <w:highlight w:val="white"/>
        </w:rPr>
        <w:t>os de 25 a 34 anos de idade tinham escolaridade em nível superior (</w:t>
      </w:r>
      <w:proofErr w:type="spellStart"/>
      <w:r>
        <w:rPr>
          <w:sz w:val="24"/>
          <w:szCs w:val="24"/>
          <w:highlight w:val="white"/>
        </w:rPr>
        <w:t>Senkevics</w:t>
      </w:r>
      <w:proofErr w:type="spellEnd"/>
      <w:r>
        <w:rPr>
          <w:sz w:val="24"/>
          <w:szCs w:val="24"/>
          <w:highlight w:val="white"/>
        </w:rPr>
        <w:t>, 2021).</w:t>
      </w:r>
    </w:p>
    <w:p w:rsidR="00181494" w:rsidRDefault="00CA68C2">
      <w:pPr>
        <w:spacing w:line="360" w:lineRule="auto"/>
        <w:ind w:left="0" w:hanging="2"/>
        <w:jc w:val="both"/>
        <w:rPr>
          <w:sz w:val="24"/>
          <w:szCs w:val="24"/>
          <w:highlight w:val="white"/>
        </w:rPr>
      </w:pPr>
      <w:r>
        <w:rPr>
          <w:sz w:val="24"/>
          <w:szCs w:val="24"/>
          <w:highlight w:val="white"/>
        </w:rPr>
        <w:t xml:space="preserve">Quanto às populações do campo, é preciso considerar o processo histórico de negação do direito à educação que historicamente enfrentam. Quanto à oferta do ensino superior </w:t>
      </w:r>
      <w:r>
        <w:rPr>
          <w:sz w:val="24"/>
          <w:szCs w:val="24"/>
          <w:highlight w:val="white"/>
        </w:rPr>
        <w:t xml:space="preserve">no Brasil e na Amazônia, Figueiredo (2020) fala que até 1930 havia </w:t>
      </w:r>
      <w:r>
        <w:rPr>
          <w:sz w:val="24"/>
          <w:szCs w:val="24"/>
          <w:highlight w:val="white"/>
        </w:rPr>
        <w:lastRenderedPageBreak/>
        <w:t>uma concentração das instituições nas regiões sul e sudeste, enquanto na Amazônia a oferta se dava de modo mais tímido. Isso só se modifica com as Reformas do Ensino Superior, implementadas</w:t>
      </w:r>
      <w:r>
        <w:rPr>
          <w:sz w:val="24"/>
          <w:szCs w:val="24"/>
          <w:highlight w:val="white"/>
        </w:rPr>
        <w:t xml:space="preserve"> na Amazônia nas décadas de 30, e posteriormente em 60, ambas com o objetivo de atingir o progresso e o desenvolvimento.</w:t>
      </w:r>
    </w:p>
    <w:p w:rsidR="00181494" w:rsidRDefault="00CA68C2">
      <w:pPr>
        <w:spacing w:line="360" w:lineRule="auto"/>
        <w:ind w:left="0" w:hanging="2"/>
        <w:jc w:val="both"/>
        <w:rPr>
          <w:sz w:val="24"/>
          <w:szCs w:val="24"/>
          <w:highlight w:val="white"/>
        </w:rPr>
      </w:pPr>
      <w:r>
        <w:rPr>
          <w:sz w:val="24"/>
          <w:szCs w:val="24"/>
          <w:highlight w:val="white"/>
        </w:rPr>
        <w:t>Como resultado desse processo, foram criadas a Faculdade de Ciências Agrárias do Pará em 1945, e a Universidade do Pará em 1957, que posteriormente foi nomeada Universidade Federal do Pará, ambas localizadas na capital do estado do Pará. Esse contexto é re</w:t>
      </w:r>
      <w:r>
        <w:rPr>
          <w:sz w:val="24"/>
          <w:szCs w:val="24"/>
          <w:highlight w:val="white"/>
        </w:rPr>
        <w:t>velador de uma situação de exclusão educacional do nível superior da população que vivia na Amazônia, assim como ocorria com os demais níveis de ensino (Figueiredo, 2020).</w:t>
      </w:r>
    </w:p>
    <w:p w:rsidR="00181494" w:rsidRDefault="00CA68C2">
      <w:pPr>
        <w:spacing w:line="360" w:lineRule="auto"/>
        <w:ind w:left="0" w:hanging="2"/>
        <w:jc w:val="both"/>
        <w:rPr>
          <w:sz w:val="24"/>
          <w:szCs w:val="24"/>
          <w:highlight w:val="white"/>
        </w:rPr>
      </w:pPr>
      <w:r>
        <w:rPr>
          <w:sz w:val="24"/>
          <w:szCs w:val="24"/>
          <w:highlight w:val="white"/>
        </w:rPr>
        <w:t>A partir de 2002 observa-se um aumento da presença de Instituições de Ensino Superio</w:t>
      </w:r>
      <w:r>
        <w:rPr>
          <w:sz w:val="24"/>
          <w:szCs w:val="24"/>
          <w:highlight w:val="white"/>
        </w:rPr>
        <w:t>r por todo o país. Na Amazônia já haviam 10 universidades que a exemplo da UFPA, que possui campis nos municípios de Abaetetuba, Breves, Cametá, Soure, Castanhal, Bragança, Marabá, Altamira e Santarém, também promoviam oferta de ensino superior pelos inter</w:t>
      </w:r>
      <w:r>
        <w:rPr>
          <w:sz w:val="24"/>
          <w:szCs w:val="24"/>
          <w:highlight w:val="white"/>
        </w:rPr>
        <w:t>iores (Figueiredo, 2020).</w:t>
      </w:r>
    </w:p>
    <w:p w:rsidR="00181494" w:rsidRDefault="00CA68C2">
      <w:pPr>
        <w:spacing w:line="360" w:lineRule="auto"/>
        <w:ind w:left="0" w:hanging="2"/>
        <w:jc w:val="both"/>
        <w:rPr>
          <w:sz w:val="24"/>
          <w:szCs w:val="24"/>
          <w:highlight w:val="white"/>
        </w:rPr>
      </w:pPr>
      <w:r>
        <w:rPr>
          <w:sz w:val="24"/>
          <w:szCs w:val="24"/>
          <w:highlight w:val="white"/>
        </w:rPr>
        <w:t xml:space="preserve">Aqui destaca-se a população ribeirinha que tem os seus saberes estreitamente relacionados com a dinâmica das águas e a partir desta constrói sua identidade (Pojo; Elias; Vilhena, 2014). Ao utilizar o termo ribeirinho, pretende-se </w:t>
      </w:r>
      <w:r>
        <w:rPr>
          <w:sz w:val="24"/>
          <w:szCs w:val="24"/>
          <w:highlight w:val="white"/>
        </w:rPr>
        <w:t>“[...] identificar um perfil sociocultural de grupos caboclos que se estabeleceram às margens dos rios, num espaço dinâmico que articula as relações de sociabilidade e culturais dentro das particularidades desse espaço [...]” (Neto; Furtado, 2015, p. 160).</w:t>
      </w:r>
    </w:p>
    <w:p w:rsidR="00181494" w:rsidRDefault="00CA68C2">
      <w:pPr>
        <w:spacing w:line="360" w:lineRule="auto"/>
        <w:ind w:left="0" w:hanging="2"/>
        <w:jc w:val="both"/>
        <w:rPr>
          <w:sz w:val="24"/>
          <w:szCs w:val="24"/>
          <w:highlight w:val="white"/>
        </w:rPr>
      </w:pPr>
      <w:r>
        <w:rPr>
          <w:sz w:val="24"/>
          <w:szCs w:val="24"/>
          <w:highlight w:val="white"/>
        </w:rPr>
        <w:t>Diante dessa realidade, que ainda é marcada pela exclusão desta parcela da população, destaca-se a luta de sujeitos coletivos que produz novas referências para uma sociabilidade diferente, incluindo a luta pelo direito à educação. Nesse sentido, tem se de</w:t>
      </w:r>
      <w:r>
        <w:rPr>
          <w:sz w:val="24"/>
          <w:szCs w:val="24"/>
          <w:highlight w:val="white"/>
        </w:rPr>
        <w:t>stacado o Movimento pela Educação do Campo, que possui princípios, valores e concepções político-pedagógicas que se articulam para reivindicar políticas públicas de educação e desenvolvimento rural com qualidade para a população do meio rural (Hage, 2014).</w:t>
      </w:r>
    </w:p>
    <w:p w:rsidR="00181494" w:rsidRDefault="00CA68C2">
      <w:pPr>
        <w:spacing w:line="360" w:lineRule="auto"/>
        <w:ind w:left="0" w:hanging="2"/>
        <w:jc w:val="both"/>
        <w:rPr>
          <w:b/>
          <w:sz w:val="24"/>
          <w:szCs w:val="24"/>
        </w:rPr>
      </w:pPr>
      <w:r>
        <w:rPr>
          <w:sz w:val="24"/>
          <w:szCs w:val="24"/>
          <w:highlight w:val="white"/>
        </w:rPr>
        <w:lastRenderedPageBreak/>
        <w:t xml:space="preserve">Hage (2014) fala que a criação das Diretrizes Operacionais para a Educação Básica nas Escolas do Campo (2002) foi uma conquista desses movimentos. Na atualidade, as reivindicações vão além da educação básica, mas também propõem o acesso em nível superior </w:t>
      </w:r>
      <w:r>
        <w:rPr>
          <w:sz w:val="24"/>
          <w:szCs w:val="24"/>
          <w:highlight w:val="white"/>
        </w:rPr>
        <w:t>(Brito; Hage, 2015), onde se fala em uma Educação Superior do Campo como projeto alternativo para a sociedade (</w:t>
      </w:r>
      <w:proofErr w:type="spellStart"/>
      <w:r>
        <w:rPr>
          <w:sz w:val="24"/>
          <w:szCs w:val="24"/>
          <w:highlight w:val="white"/>
        </w:rPr>
        <w:t>Aviz</w:t>
      </w:r>
      <w:proofErr w:type="spellEnd"/>
      <w:r>
        <w:rPr>
          <w:sz w:val="24"/>
          <w:szCs w:val="24"/>
          <w:highlight w:val="white"/>
        </w:rPr>
        <w:t>; Molina, 2023).</w:t>
      </w:r>
    </w:p>
    <w:p w:rsidR="00181494" w:rsidRDefault="00181494">
      <w:pPr>
        <w:spacing w:line="360" w:lineRule="auto"/>
        <w:ind w:left="0" w:hanging="2"/>
        <w:jc w:val="both"/>
        <w:rPr>
          <w:b/>
          <w:sz w:val="24"/>
          <w:szCs w:val="24"/>
        </w:rPr>
      </w:pPr>
    </w:p>
    <w:p w:rsidR="00181494" w:rsidRDefault="00CA68C2">
      <w:pPr>
        <w:spacing w:line="360" w:lineRule="auto"/>
        <w:ind w:left="0" w:hanging="2"/>
        <w:jc w:val="both"/>
        <w:rPr>
          <w:b/>
          <w:sz w:val="24"/>
          <w:szCs w:val="24"/>
        </w:rPr>
      </w:pPr>
      <w:r>
        <w:rPr>
          <w:b/>
          <w:sz w:val="24"/>
          <w:szCs w:val="24"/>
        </w:rPr>
        <w:t>4</w:t>
      </w:r>
      <w:r>
        <w:rPr>
          <w:b/>
          <w:sz w:val="24"/>
          <w:szCs w:val="24"/>
        </w:rPr>
        <w:tab/>
        <w:t>CARACTERIZAÇÃO DOS (AS) ESTUDANTES RIBEIRINHOS (AS) DA UFPA</w:t>
      </w:r>
    </w:p>
    <w:p w:rsidR="00181494" w:rsidRDefault="00181494">
      <w:pPr>
        <w:spacing w:line="360" w:lineRule="auto"/>
        <w:ind w:left="0" w:hanging="2"/>
        <w:jc w:val="both"/>
        <w:rPr>
          <w:sz w:val="24"/>
          <w:szCs w:val="24"/>
        </w:rPr>
      </w:pPr>
    </w:p>
    <w:p w:rsidR="00181494" w:rsidRDefault="00CA68C2">
      <w:pPr>
        <w:spacing w:line="360" w:lineRule="auto"/>
        <w:ind w:left="0" w:hanging="2"/>
        <w:jc w:val="both"/>
        <w:rPr>
          <w:sz w:val="24"/>
          <w:szCs w:val="24"/>
        </w:rPr>
      </w:pPr>
      <w:r>
        <w:rPr>
          <w:sz w:val="24"/>
          <w:szCs w:val="24"/>
        </w:rPr>
        <w:t>O levantamento de dados da presente pesquisa teve como fonte</w:t>
      </w:r>
      <w:r>
        <w:rPr>
          <w:sz w:val="24"/>
          <w:szCs w:val="24"/>
        </w:rPr>
        <w:t xml:space="preserve"> o SIGAEST da UFPA, que é o sistema utilizado para o cadastro e acesso de discentes aos programas e projetos de assistência estudantil da instituição, operacionalizados pela </w:t>
      </w:r>
      <w:proofErr w:type="spellStart"/>
      <w:r>
        <w:rPr>
          <w:sz w:val="24"/>
          <w:szCs w:val="24"/>
        </w:rPr>
        <w:t>Pró-Reitoria</w:t>
      </w:r>
      <w:proofErr w:type="spellEnd"/>
      <w:r>
        <w:rPr>
          <w:sz w:val="24"/>
          <w:szCs w:val="24"/>
        </w:rPr>
        <w:t xml:space="preserve"> de Assistência e Acessibilidade Estudantil (PROAES).</w:t>
      </w:r>
    </w:p>
    <w:p w:rsidR="00181494" w:rsidRDefault="00CA68C2">
      <w:pPr>
        <w:spacing w:line="360" w:lineRule="auto"/>
        <w:ind w:left="0" w:hanging="2"/>
        <w:jc w:val="both"/>
        <w:rPr>
          <w:sz w:val="24"/>
          <w:szCs w:val="24"/>
        </w:rPr>
      </w:pPr>
      <w:r>
        <w:rPr>
          <w:sz w:val="24"/>
          <w:szCs w:val="24"/>
        </w:rPr>
        <w:t>Em decorrência d</w:t>
      </w:r>
      <w:r>
        <w:rPr>
          <w:sz w:val="24"/>
          <w:szCs w:val="24"/>
        </w:rPr>
        <w:t xml:space="preserve">a ausência de </w:t>
      </w:r>
      <w:proofErr w:type="spellStart"/>
      <w:r>
        <w:rPr>
          <w:sz w:val="24"/>
          <w:szCs w:val="24"/>
        </w:rPr>
        <w:t>autodeclaração</w:t>
      </w:r>
      <w:proofErr w:type="spellEnd"/>
      <w:r>
        <w:rPr>
          <w:sz w:val="24"/>
          <w:szCs w:val="24"/>
        </w:rPr>
        <w:t xml:space="preserve"> dos (as) estudantes ribeirinhos (as) nos bancos de dados da UFPA, o reconhecimento foi feito por meio da busca pelo endereço informado. Assim, foram utilizados os descritores “rio”, “ilha”, “furo”, “igarapé”, “margem”, “margens</w:t>
      </w:r>
      <w:r>
        <w:rPr>
          <w:sz w:val="24"/>
          <w:szCs w:val="24"/>
        </w:rPr>
        <w:t>”, “ribeirinho”, “ribeirinha”, “várzea”, “beira” e “foz” na base geral de dados do SIGAEST, em busca de discentes ribeirinhos cadastrados no CADGEST nos anos de 2022 e 2023.</w:t>
      </w:r>
    </w:p>
    <w:p w:rsidR="00181494" w:rsidRDefault="00CA68C2">
      <w:pPr>
        <w:spacing w:line="360" w:lineRule="auto"/>
        <w:ind w:left="0" w:hanging="2"/>
        <w:jc w:val="both"/>
        <w:rPr>
          <w:sz w:val="24"/>
          <w:szCs w:val="24"/>
        </w:rPr>
      </w:pPr>
      <w:r>
        <w:rPr>
          <w:sz w:val="24"/>
          <w:szCs w:val="24"/>
        </w:rPr>
        <w:t xml:space="preserve">Após isso </w:t>
      </w:r>
      <w:proofErr w:type="gramStart"/>
      <w:r>
        <w:rPr>
          <w:sz w:val="24"/>
          <w:szCs w:val="24"/>
        </w:rPr>
        <w:t>a sistematização dos dados foram</w:t>
      </w:r>
      <w:proofErr w:type="gramEnd"/>
      <w:r>
        <w:rPr>
          <w:sz w:val="24"/>
          <w:szCs w:val="24"/>
        </w:rPr>
        <w:t xml:space="preserve"> encontrados, no total, 1.084 discentes </w:t>
      </w:r>
      <w:r>
        <w:rPr>
          <w:sz w:val="24"/>
          <w:szCs w:val="24"/>
        </w:rPr>
        <w:t>na base de dados do SIGAEST, os quais foram inferidos enquanto ribeirinhos (as). Evidencia-se que, conforme os dados do quantitativo de discentes na UFPA, no ano de 2023 a instituição atingiu o número de 54.514 discentes de graduação, incluindo ingressante</w:t>
      </w:r>
      <w:r>
        <w:rPr>
          <w:sz w:val="24"/>
          <w:szCs w:val="24"/>
        </w:rPr>
        <w:t>s e concluintes</w:t>
      </w:r>
      <w:r>
        <w:rPr>
          <w:sz w:val="24"/>
          <w:szCs w:val="24"/>
          <w:vertAlign w:val="superscript"/>
        </w:rPr>
        <w:footnoteReference w:id="5"/>
      </w:r>
      <w:r>
        <w:rPr>
          <w:sz w:val="24"/>
          <w:szCs w:val="24"/>
        </w:rPr>
        <w:t>. Desse modo, o percentual de discentes de graduação ribeirinhos (</w:t>
      </w:r>
      <w:proofErr w:type="gramStart"/>
      <w:r>
        <w:rPr>
          <w:sz w:val="24"/>
          <w:szCs w:val="24"/>
        </w:rPr>
        <w:t>as) da UFPA corresponde</w:t>
      </w:r>
      <w:proofErr w:type="gramEnd"/>
      <w:r>
        <w:rPr>
          <w:sz w:val="24"/>
          <w:szCs w:val="24"/>
        </w:rPr>
        <w:t xml:space="preserve"> a 1,99% do total. Segundo a socióloga Maria de Assunção Lima de Paulo (2018) o aumento da presença desses sujeitos na universidade é possibilitado pel</w:t>
      </w:r>
      <w:r>
        <w:rPr>
          <w:sz w:val="24"/>
          <w:szCs w:val="24"/>
        </w:rPr>
        <w:t xml:space="preserve">o processo de interiorização, que permitiu a expansão </w:t>
      </w:r>
      <w:r>
        <w:rPr>
          <w:sz w:val="24"/>
          <w:szCs w:val="24"/>
        </w:rPr>
        <w:lastRenderedPageBreak/>
        <w:t>de unidades acadêmicas, as quais no caso da UFPA estão distribuídas em 12 campis que estão espalhados pelo interior (UFPA, 2024).</w:t>
      </w:r>
    </w:p>
    <w:p w:rsidR="00181494" w:rsidRDefault="00CA68C2">
      <w:pPr>
        <w:spacing w:line="360" w:lineRule="auto"/>
        <w:ind w:left="0" w:hanging="2"/>
        <w:jc w:val="both"/>
        <w:rPr>
          <w:sz w:val="24"/>
          <w:szCs w:val="24"/>
        </w:rPr>
      </w:pPr>
      <w:r>
        <w:rPr>
          <w:sz w:val="24"/>
          <w:szCs w:val="24"/>
        </w:rPr>
        <w:t xml:space="preserve">Os dados demonstraram que a maioria das (os) discentes ribeirinhas (os) </w:t>
      </w:r>
      <w:r>
        <w:rPr>
          <w:sz w:val="24"/>
          <w:szCs w:val="24"/>
        </w:rPr>
        <w:t xml:space="preserve">da UFPA são mulheres (61,62%), autodeclaradas (os) negras (os) (85,97% - sendo 49,17% autodeclaradas/os pardas/os e 36,80% autodeclaradas/os pretas/os) e com faixa etária de 21 a 30 anos (69,28%). </w:t>
      </w:r>
    </w:p>
    <w:p w:rsidR="00181494" w:rsidRDefault="00CA68C2">
      <w:pPr>
        <w:spacing w:line="360" w:lineRule="auto"/>
        <w:ind w:left="0" w:hanging="2"/>
        <w:jc w:val="both"/>
        <w:rPr>
          <w:sz w:val="24"/>
          <w:szCs w:val="24"/>
        </w:rPr>
      </w:pPr>
      <w:r>
        <w:rPr>
          <w:sz w:val="24"/>
          <w:szCs w:val="24"/>
        </w:rPr>
        <w:t>A predominância feminina entre os (as) estudantes ribeirinhos (</w:t>
      </w:r>
      <w:proofErr w:type="gramStart"/>
      <w:r>
        <w:rPr>
          <w:sz w:val="24"/>
          <w:szCs w:val="24"/>
        </w:rPr>
        <w:t>as) da UFPA dialoga</w:t>
      </w:r>
      <w:proofErr w:type="gramEnd"/>
      <w:r>
        <w:rPr>
          <w:sz w:val="24"/>
          <w:szCs w:val="24"/>
        </w:rPr>
        <w:t xml:space="preserve"> com a tendência nacional do ensino superior, refletida nos dados do Censo da Educação Superior que apontam as mulheres como maioria entre ingressantes, matriculadas e conclu</w:t>
      </w:r>
      <w:r>
        <w:rPr>
          <w:sz w:val="24"/>
          <w:szCs w:val="24"/>
        </w:rPr>
        <w:t>intes. Essa presença, no entanto, ainda se concentra majoritariamente nos cursos das áreas de licenciatura e humanas, revelando a persistência de uma divisão de gênero do conhecimento e das escolhas profissionais, como apontam Nunes, Pina e Silva (2021). A</w:t>
      </w:r>
      <w:r>
        <w:rPr>
          <w:sz w:val="24"/>
          <w:szCs w:val="24"/>
        </w:rPr>
        <w:t xml:space="preserve"> presença quantitativa não se traduz, necessariamente, em equidade de gênero, pois essas estudantes continuam enfrentando desigualdades nos espaços acadêmicos e profissionais.</w:t>
      </w:r>
    </w:p>
    <w:p w:rsidR="00181494" w:rsidRDefault="00CA68C2">
      <w:pPr>
        <w:spacing w:line="360" w:lineRule="auto"/>
        <w:ind w:left="0" w:hanging="2"/>
        <w:jc w:val="both"/>
        <w:rPr>
          <w:sz w:val="24"/>
          <w:szCs w:val="24"/>
        </w:rPr>
      </w:pPr>
      <w:r>
        <w:rPr>
          <w:sz w:val="24"/>
          <w:szCs w:val="24"/>
        </w:rPr>
        <w:t>A faixa etária com maior incidência compreende os (as) jovens. Tal achado pode s</w:t>
      </w:r>
      <w:r>
        <w:rPr>
          <w:sz w:val="24"/>
          <w:szCs w:val="24"/>
        </w:rPr>
        <w:t xml:space="preserve">er vinculado à ampliação do acesso ao ensino superior no país nos últimos anos, o que tem impulsionado a continuidade no percurso escolar da juventude. Para </w:t>
      </w:r>
      <w:proofErr w:type="spellStart"/>
      <w:r>
        <w:rPr>
          <w:sz w:val="24"/>
          <w:szCs w:val="24"/>
        </w:rPr>
        <w:t>Doula</w:t>
      </w:r>
      <w:proofErr w:type="spellEnd"/>
      <w:r>
        <w:rPr>
          <w:sz w:val="24"/>
          <w:szCs w:val="24"/>
        </w:rPr>
        <w:t xml:space="preserve"> et al (2019) isso ocorre porque entre os (as) jovens e suas famílias a formação em nível supe</w:t>
      </w:r>
      <w:r>
        <w:rPr>
          <w:sz w:val="24"/>
          <w:szCs w:val="24"/>
        </w:rPr>
        <w:t>rior é cada vez mais valorizada, pois enxergam seu potencial de promover uma mobilidade social, onde os mais jovens buscam viver outras realidades sociais e profissões diferentes das que poderiam ter no âmbito rural (Silva; Ximenes, 2022).</w:t>
      </w:r>
    </w:p>
    <w:p w:rsidR="00181494" w:rsidRDefault="00CA68C2">
      <w:pPr>
        <w:spacing w:line="360" w:lineRule="auto"/>
        <w:ind w:left="0" w:hanging="2"/>
        <w:jc w:val="both"/>
        <w:rPr>
          <w:sz w:val="24"/>
          <w:szCs w:val="24"/>
        </w:rPr>
      </w:pPr>
      <w:r>
        <w:rPr>
          <w:sz w:val="24"/>
          <w:szCs w:val="24"/>
        </w:rPr>
        <w:t>Em relação à raç</w:t>
      </w:r>
      <w:r>
        <w:rPr>
          <w:sz w:val="24"/>
          <w:szCs w:val="24"/>
        </w:rPr>
        <w:t xml:space="preserve">a/cor dos sujeitos da pesquisa, com base na </w:t>
      </w:r>
      <w:proofErr w:type="spellStart"/>
      <w:r>
        <w:rPr>
          <w:sz w:val="24"/>
          <w:szCs w:val="24"/>
        </w:rPr>
        <w:t>autodeclaração</w:t>
      </w:r>
      <w:proofErr w:type="spellEnd"/>
      <w:r>
        <w:rPr>
          <w:sz w:val="24"/>
          <w:szCs w:val="24"/>
        </w:rPr>
        <w:t>, é possível refletir a partir da discussão sobre a negritude amazônica, conforme os conceitos abordados por Conrado, Campelo e Ribeiro (2015) e Sena (2023), este último com base em entrevista reali</w:t>
      </w:r>
      <w:r>
        <w:rPr>
          <w:sz w:val="24"/>
          <w:szCs w:val="24"/>
        </w:rPr>
        <w:t>zada com Zélia Amador de Deus. Na entrevista, Zélia Amador de Deus destaca que a inserção do sujeito no contexto universitário favorece o processo de reconhecimento da sua negritude e, portanto, a universidade tem o potencial de representar um lugar de des</w:t>
      </w:r>
      <w:r>
        <w:rPr>
          <w:sz w:val="24"/>
          <w:szCs w:val="24"/>
        </w:rPr>
        <w:t xml:space="preserve">coberta e reconhecimento racial do </w:t>
      </w:r>
      <w:r>
        <w:rPr>
          <w:sz w:val="24"/>
          <w:szCs w:val="24"/>
        </w:rPr>
        <w:lastRenderedPageBreak/>
        <w:t>sujeito sobre si próprio. Além disso, esses dados não apenas evidenciam o perfil racial desses (as) estudantes, como também reforçam a centralidade da discussão racial no campo da educação superior na Amazônia.</w:t>
      </w:r>
    </w:p>
    <w:p w:rsidR="00181494" w:rsidRDefault="00CA68C2">
      <w:pPr>
        <w:spacing w:line="360" w:lineRule="auto"/>
        <w:ind w:left="0" w:hanging="2"/>
        <w:jc w:val="both"/>
        <w:rPr>
          <w:sz w:val="24"/>
          <w:szCs w:val="24"/>
        </w:rPr>
      </w:pPr>
      <w:r>
        <w:rPr>
          <w:sz w:val="24"/>
          <w:szCs w:val="24"/>
        </w:rPr>
        <w:t xml:space="preserve">No que se </w:t>
      </w:r>
      <w:r>
        <w:rPr>
          <w:sz w:val="24"/>
          <w:szCs w:val="24"/>
        </w:rPr>
        <w:t>refere à renda familiar, os dados apontaram que há maior incidência de famílias com renda familiar de até um salário mínimo (48,80%), seguida de famílias sem renda (12,17%) e com renda de até dois salários mínimos (10,14%). Em relação a renda per capita, o</w:t>
      </w:r>
      <w:r>
        <w:rPr>
          <w:sz w:val="24"/>
          <w:szCs w:val="24"/>
        </w:rPr>
        <w:t>bservou-se que as famílias apresentam, em sua maioria, renda per capita de até R$ 250,00 com (31,27%), seguida de até R$ 500,00 (17,80%) e renda per capita zero (12,36%).  Desse modo, com base nas classificações do Instituto Brasileiro de Geografia e Estat</w:t>
      </w:r>
      <w:r>
        <w:rPr>
          <w:sz w:val="24"/>
          <w:szCs w:val="24"/>
        </w:rPr>
        <w:t>ística (IBGE), é possível inferir que o perfil obtido corresponde a um maior percentual de famílias em situação de pobreza e extrema pobreza.</w:t>
      </w:r>
    </w:p>
    <w:p w:rsidR="00181494" w:rsidRDefault="00CA68C2">
      <w:pPr>
        <w:spacing w:line="360" w:lineRule="auto"/>
        <w:ind w:left="0" w:hanging="2"/>
        <w:jc w:val="both"/>
        <w:rPr>
          <w:sz w:val="24"/>
          <w:szCs w:val="24"/>
        </w:rPr>
      </w:pPr>
      <w:r>
        <w:rPr>
          <w:sz w:val="24"/>
          <w:szCs w:val="24"/>
        </w:rPr>
        <w:t xml:space="preserve">Nesse sentido, a pesquisa revelou um perfil culturalmente rico, no entanto, socioeconomicamente desafiador. </w:t>
      </w:r>
      <w:proofErr w:type="spellStart"/>
      <w:r>
        <w:rPr>
          <w:sz w:val="24"/>
          <w:szCs w:val="24"/>
        </w:rPr>
        <w:t>Mészár</w:t>
      </w:r>
      <w:r>
        <w:rPr>
          <w:sz w:val="24"/>
          <w:szCs w:val="24"/>
        </w:rPr>
        <w:t>os</w:t>
      </w:r>
      <w:proofErr w:type="spellEnd"/>
      <w:r>
        <w:rPr>
          <w:sz w:val="24"/>
          <w:szCs w:val="24"/>
        </w:rPr>
        <w:t xml:space="preserve"> (2008) ajuda a entender as contradições vivenciadas pelos estudantes ribeirinhos no sistema educacional. Para os estudantes ribeirinhos, essa crítica ressoa na tensão entre a busca por um diploma que possa garantir empregabilidade/sustento, e a preserva</w:t>
      </w:r>
      <w:r>
        <w:rPr>
          <w:sz w:val="24"/>
          <w:szCs w:val="24"/>
        </w:rPr>
        <w:t>ção de seus saberes e valores culturais.</w:t>
      </w:r>
    </w:p>
    <w:p w:rsidR="00181494" w:rsidRDefault="00CA68C2">
      <w:pPr>
        <w:spacing w:line="360" w:lineRule="auto"/>
        <w:ind w:left="0" w:hanging="2"/>
        <w:jc w:val="both"/>
        <w:rPr>
          <w:sz w:val="24"/>
          <w:szCs w:val="24"/>
        </w:rPr>
      </w:pPr>
      <w:r>
        <w:rPr>
          <w:sz w:val="24"/>
          <w:szCs w:val="24"/>
        </w:rPr>
        <w:t>Quanto à moradia de origem, os dados do SIGAEST revelaram que estas (es) residem, em maior parte, em rios e ilhas localizados na mesorregião Nordeste Paraense, sobretudo nos municípios de Abaetetuba (40,12%), Cametá</w:t>
      </w:r>
      <w:r>
        <w:rPr>
          <w:sz w:val="24"/>
          <w:szCs w:val="24"/>
        </w:rPr>
        <w:t xml:space="preserve"> (20,20%) e Igarapé </w:t>
      </w:r>
      <w:proofErr w:type="spellStart"/>
      <w:r>
        <w:rPr>
          <w:sz w:val="24"/>
          <w:szCs w:val="24"/>
        </w:rPr>
        <w:t>Miri</w:t>
      </w:r>
      <w:proofErr w:type="spellEnd"/>
      <w:r>
        <w:rPr>
          <w:sz w:val="24"/>
          <w:szCs w:val="24"/>
        </w:rPr>
        <w:t xml:space="preserve"> (6,08%).</w:t>
      </w:r>
    </w:p>
    <w:p w:rsidR="00181494" w:rsidRDefault="00CA68C2">
      <w:pPr>
        <w:spacing w:line="360" w:lineRule="auto"/>
        <w:ind w:left="0" w:hanging="2"/>
        <w:jc w:val="both"/>
        <w:rPr>
          <w:sz w:val="24"/>
          <w:szCs w:val="24"/>
        </w:rPr>
      </w:pPr>
      <w:r>
        <w:rPr>
          <w:sz w:val="24"/>
          <w:szCs w:val="24"/>
        </w:rPr>
        <w:t>Quanto ao curso de graduação, pode-se observar que os sujeitos da pesquisa estão vinculados, em maior parte, a cursos de licenciaturas, como: Letras – Português (10,97%), Pedagogia (10,97%), Educação do Campo (9,96%) e Mat</w:t>
      </w:r>
      <w:r>
        <w:rPr>
          <w:sz w:val="24"/>
          <w:szCs w:val="24"/>
        </w:rPr>
        <w:t>emática (7,74%), que correspondem aos cursos com maior incidência. Por outro lado, constata-se, também, uma incidência discreta de discentes ribeirinhas (os) matriculadas (os) em cursos de grande concorrência como Direito e Medicina, com menos de 2% cada.</w:t>
      </w:r>
    </w:p>
    <w:p w:rsidR="00181494" w:rsidRDefault="00CA68C2">
      <w:pPr>
        <w:spacing w:line="360" w:lineRule="auto"/>
        <w:ind w:left="0" w:hanging="2"/>
        <w:jc w:val="both"/>
        <w:rPr>
          <w:sz w:val="24"/>
          <w:szCs w:val="24"/>
        </w:rPr>
      </w:pPr>
      <w:r>
        <w:rPr>
          <w:sz w:val="24"/>
          <w:szCs w:val="24"/>
        </w:rPr>
        <w:lastRenderedPageBreak/>
        <w:t>Isto se relaciona às condições objetivas de vida desses sujeitos, que influenciam na escolha ou não de um determinado curso (Silva; Ximenes, 2022). Os que têm acesso a boas condições financeiras e tempo disponível para dedicar ao curso, conseguem ampliar s</w:t>
      </w:r>
      <w:r>
        <w:rPr>
          <w:sz w:val="24"/>
          <w:szCs w:val="24"/>
        </w:rPr>
        <w:t>uas possibilidades de escolha. Assim, à inclinação a escolher cursar uma licenciatura também está alinhada aos projetos de permanência desses sujeitos nas suas comunidades (Silva; Ximenes, 2022).</w:t>
      </w:r>
    </w:p>
    <w:p w:rsidR="00181494" w:rsidRDefault="00CA68C2">
      <w:pPr>
        <w:spacing w:line="360" w:lineRule="auto"/>
        <w:ind w:left="0" w:hanging="2"/>
        <w:jc w:val="both"/>
        <w:rPr>
          <w:sz w:val="24"/>
          <w:szCs w:val="24"/>
        </w:rPr>
      </w:pPr>
      <w:r>
        <w:rPr>
          <w:sz w:val="24"/>
          <w:szCs w:val="24"/>
        </w:rPr>
        <w:t>Salienta-se que os dados encontrados podem estar relacionado</w:t>
      </w:r>
      <w:r>
        <w:rPr>
          <w:sz w:val="24"/>
          <w:szCs w:val="24"/>
        </w:rPr>
        <w:t xml:space="preserve">s ao processo de interiorização das universidades brasileiras, tendo como sua maior expressão a criação e manutenção de diversos campis e polos. Nesse sentido, é possível assinalar que o processo de interiorização expandiu o acesso da população ribeirinha </w:t>
      </w:r>
      <w:r>
        <w:rPr>
          <w:sz w:val="24"/>
          <w:szCs w:val="24"/>
        </w:rPr>
        <w:t>à universidade.</w:t>
      </w:r>
    </w:p>
    <w:p w:rsidR="00181494" w:rsidRDefault="00CA68C2">
      <w:pPr>
        <w:spacing w:line="360" w:lineRule="auto"/>
        <w:ind w:left="0" w:hanging="2"/>
        <w:jc w:val="both"/>
        <w:rPr>
          <w:sz w:val="24"/>
          <w:szCs w:val="24"/>
        </w:rPr>
      </w:pPr>
      <w:r>
        <w:rPr>
          <w:sz w:val="24"/>
          <w:szCs w:val="24"/>
        </w:rPr>
        <w:t>Os dados revelaram que, em maioria, o ingresso se deu por meio do sistema de cotas nacional com percentual de 38,19%, do Processo Seletivo Especial para Quilombolas (PSE – Quilombola) com 36,71% e do Processo Seletivo Especial para Educação</w:t>
      </w:r>
      <w:r>
        <w:rPr>
          <w:sz w:val="24"/>
          <w:szCs w:val="24"/>
        </w:rPr>
        <w:t xml:space="preserve"> do Campo com 9,31%, respectivamente. É importante destacar que as duas últimas formas de ingresso correspondem a ações afirmativas de iniciativa institucional. A partir disso, observa-se que o sistema de cotas nacional e os processos seletivos especiais f</w:t>
      </w:r>
      <w:r>
        <w:rPr>
          <w:sz w:val="24"/>
          <w:szCs w:val="24"/>
        </w:rPr>
        <w:t xml:space="preserve">avorecem o ingresso de discentes oriundos (as) das populações amazônicas tradicionais no ensino superior público. Além disso, os dados também demonstram que a (s) identidade (s) ribeirinha (s) é </w:t>
      </w:r>
      <w:proofErr w:type="spellStart"/>
      <w:r>
        <w:rPr>
          <w:sz w:val="24"/>
          <w:szCs w:val="24"/>
        </w:rPr>
        <w:t>transversalizada</w:t>
      </w:r>
      <w:proofErr w:type="spellEnd"/>
      <w:r>
        <w:rPr>
          <w:sz w:val="24"/>
          <w:szCs w:val="24"/>
        </w:rPr>
        <w:t xml:space="preserve"> por outras identidades, o que retrata a plur</w:t>
      </w:r>
      <w:r>
        <w:rPr>
          <w:sz w:val="24"/>
          <w:szCs w:val="24"/>
        </w:rPr>
        <w:t xml:space="preserve">alidade e a complexidade amazônicas, bem como a </w:t>
      </w:r>
      <w:proofErr w:type="spellStart"/>
      <w:r>
        <w:rPr>
          <w:sz w:val="24"/>
          <w:szCs w:val="24"/>
        </w:rPr>
        <w:t>interseccionalidade</w:t>
      </w:r>
      <w:proofErr w:type="spellEnd"/>
      <w:r>
        <w:rPr>
          <w:sz w:val="24"/>
          <w:szCs w:val="24"/>
        </w:rPr>
        <w:t xml:space="preserve"> de gênero, raça, classe e pertencimento territorial</w:t>
      </w:r>
    </w:p>
    <w:p w:rsidR="00181494" w:rsidRDefault="00181494">
      <w:pPr>
        <w:spacing w:line="360" w:lineRule="auto"/>
        <w:ind w:left="0" w:hanging="2"/>
        <w:jc w:val="both"/>
        <w:rPr>
          <w:sz w:val="24"/>
          <w:szCs w:val="24"/>
        </w:rPr>
      </w:pPr>
    </w:p>
    <w:p w:rsidR="00181494" w:rsidRDefault="00CA68C2">
      <w:pPr>
        <w:spacing w:line="360" w:lineRule="auto"/>
        <w:ind w:left="0" w:hanging="2"/>
        <w:rPr>
          <w:sz w:val="24"/>
          <w:szCs w:val="24"/>
        </w:rPr>
      </w:pPr>
      <w:r>
        <w:rPr>
          <w:b/>
          <w:sz w:val="24"/>
          <w:szCs w:val="24"/>
        </w:rPr>
        <w:t>5</w:t>
      </w:r>
      <w:r>
        <w:rPr>
          <w:b/>
          <w:sz w:val="24"/>
          <w:szCs w:val="24"/>
        </w:rPr>
        <w:tab/>
        <w:t>CONCLUSÃO</w:t>
      </w:r>
    </w:p>
    <w:p w:rsidR="00181494" w:rsidRDefault="00181494">
      <w:pPr>
        <w:spacing w:line="360" w:lineRule="auto"/>
        <w:ind w:left="0" w:hanging="2"/>
        <w:jc w:val="both"/>
        <w:rPr>
          <w:sz w:val="24"/>
          <w:szCs w:val="24"/>
        </w:rPr>
      </w:pPr>
    </w:p>
    <w:p w:rsidR="00181494" w:rsidRDefault="00CA68C2">
      <w:pPr>
        <w:spacing w:line="360" w:lineRule="auto"/>
        <w:ind w:left="0" w:hanging="2"/>
        <w:jc w:val="both"/>
        <w:rPr>
          <w:sz w:val="24"/>
          <w:szCs w:val="24"/>
          <w:highlight w:val="white"/>
        </w:rPr>
      </w:pPr>
      <w:r>
        <w:rPr>
          <w:sz w:val="24"/>
          <w:szCs w:val="24"/>
          <w:highlight w:val="white"/>
        </w:rPr>
        <w:t xml:space="preserve">A presente pesquisa teve como objetivo caracterizar os discentes ribeirinhos que cursam graduação na UFPA. Nesse sentido, </w:t>
      </w:r>
      <w:r>
        <w:rPr>
          <w:sz w:val="24"/>
          <w:szCs w:val="24"/>
          <w:highlight w:val="white"/>
        </w:rPr>
        <w:t xml:space="preserve">os resultados apresentaram uma caracterização que permitiu observar qual a sua representação dentro da comunidade universitária, gênero, raça, faixa etária, renda familiar e municípios de origem. Permitiu </w:t>
      </w:r>
      <w:r>
        <w:rPr>
          <w:sz w:val="24"/>
          <w:szCs w:val="24"/>
          <w:highlight w:val="white"/>
        </w:rPr>
        <w:lastRenderedPageBreak/>
        <w:t xml:space="preserve">traçar um panorama das principais demandas para as </w:t>
      </w:r>
      <w:r>
        <w:rPr>
          <w:sz w:val="24"/>
          <w:szCs w:val="24"/>
          <w:highlight w:val="white"/>
        </w:rPr>
        <w:t>quais a UFPA precisa ter um olhar específico.</w:t>
      </w:r>
    </w:p>
    <w:p w:rsidR="00181494" w:rsidRDefault="00CA68C2">
      <w:pPr>
        <w:spacing w:line="360" w:lineRule="auto"/>
        <w:ind w:left="0" w:hanging="2"/>
        <w:jc w:val="both"/>
        <w:rPr>
          <w:sz w:val="24"/>
          <w:szCs w:val="24"/>
          <w:highlight w:val="white"/>
        </w:rPr>
      </w:pPr>
      <w:r>
        <w:rPr>
          <w:sz w:val="24"/>
          <w:szCs w:val="24"/>
          <w:highlight w:val="white"/>
        </w:rPr>
        <w:t>Contribui para o campo de estudos do ensino superior, refletindo sobre as populações ribeirinhas da Amazônia que adentram na universidade pública, trazendo à baila a importância de que a universidade e a socied</w:t>
      </w:r>
      <w:r>
        <w:rPr>
          <w:sz w:val="24"/>
          <w:szCs w:val="24"/>
          <w:highlight w:val="white"/>
        </w:rPr>
        <w:t>ade conheçam esses sujeitos, suas motivações, demandas e expectativas.</w:t>
      </w:r>
    </w:p>
    <w:p w:rsidR="00181494" w:rsidRDefault="00CA68C2">
      <w:pPr>
        <w:spacing w:line="360" w:lineRule="auto"/>
        <w:ind w:left="0" w:hanging="2"/>
        <w:jc w:val="both"/>
        <w:rPr>
          <w:sz w:val="24"/>
          <w:szCs w:val="24"/>
        </w:rPr>
      </w:pPr>
      <w:r>
        <w:rPr>
          <w:sz w:val="24"/>
          <w:szCs w:val="24"/>
          <w:highlight w:val="white"/>
        </w:rPr>
        <w:t>Enquanto limitações do presente estudo, ressalta-se o fato de não foi possível trazer as narrativas desses sujeitos, que podem trazer apontamentos significativos sobre o processo de per</w:t>
      </w:r>
      <w:r>
        <w:rPr>
          <w:sz w:val="24"/>
          <w:szCs w:val="24"/>
          <w:highlight w:val="white"/>
        </w:rPr>
        <w:t>manência na universidade. Enquanto sugestões para pesquisas futuras indica-se a possibilidade de estudos que contemplem as histórias de vida destes sujeitos. É pertinente a abordagem sobre as populações ribeirinhas e o ensino superior, uma vez que conforme</w:t>
      </w:r>
      <w:r>
        <w:rPr>
          <w:sz w:val="24"/>
          <w:szCs w:val="24"/>
          <w:highlight w:val="white"/>
        </w:rPr>
        <w:t xml:space="preserve"> observado ao longo desta reflexão, é preciso romper com o processo de invisibilidade social desses sujeitos.</w:t>
      </w:r>
    </w:p>
    <w:p w:rsidR="00181494" w:rsidRDefault="00181494">
      <w:pPr>
        <w:spacing w:line="360" w:lineRule="auto"/>
        <w:ind w:left="0" w:hanging="2"/>
        <w:jc w:val="center"/>
        <w:rPr>
          <w:sz w:val="24"/>
          <w:szCs w:val="24"/>
        </w:rPr>
      </w:pPr>
    </w:p>
    <w:p w:rsidR="00181494" w:rsidRDefault="00CA68C2">
      <w:pPr>
        <w:spacing w:line="360" w:lineRule="auto"/>
        <w:ind w:left="0" w:hanging="2"/>
        <w:jc w:val="center"/>
        <w:rPr>
          <w:sz w:val="24"/>
          <w:szCs w:val="24"/>
        </w:rPr>
      </w:pPr>
      <w:r>
        <w:rPr>
          <w:b/>
          <w:sz w:val="24"/>
          <w:szCs w:val="24"/>
        </w:rPr>
        <w:t>REFERÊNCIAS</w:t>
      </w:r>
    </w:p>
    <w:p w:rsidR="00181494" w:rsidRDefault="00181494">
      <w:pPr>
        <w:spacing w:line="240" w:lineRule="auto"/>
        <w:ind w:left="0" w:hanging="2"/>
        <w:jc w:val="both"/>
        <w:rPr>
          <w:sz w:val="24"/>
          <w:szCs w:val="24"/>
        </w:rPr>
      </w:pPr>
    </w:p>
    <w:p w:rsidR="00181494" w:rsidRDefault="00CA68C2">
      <w:pPr>
        <w:spacing w:line="240" w:lineRule="auto"/>
        <w:ind w:left="0" w:hanging="2"/>
        <w:rPr>
          <w:sz w:val="24"/>
          <w:szCs w:val="24"/>
          <w:highlight w:val="white"/>
        </w:rPr>
      </w:pPr>
      <w:r>
        <w:rPr>
          <w:sz w:val="24"/>
          <w:szCs w:val="24"/>
        </w:rPr>
        <w:t xml:space="preserve">ALVES, M. Z. Juventude rural em território de incertezas: questões para a educação. </w:t>
      </w:r>
      <w:r>
        <w:rPr>
          <w:b/>
          <w:sz w:val="24"/>
          <w:szCs w:val="24"/>
        </w:rPr>
        <w:t>Revista Linguagem, Educação e Sociedade</w:t>
      </w:r>
      <w:r>
        <w:rPr>
          <w:sz w:val="24"/>
          <w:szCs w:val="24"/>
        </w:rPr>
        <w:t>, v.27, n</w:t>
      </w:r>
      <w:r>
        <w:rPr>
          <w:sz w:val="24"/>
          <w:szCs w:val="24"/>
        </w:rPr>
        <w:t>.54. BR, 20, 387-400, 2023.</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AVIZ, L. N. C.; MOLINA, M. C. Educação Superior do Campo, Juventude Ribeirinha e Práxis na Amazônia Paraense: a promoção da auto-organização das egressas em seus territórios. </w:t>
      </w:r>
      <w:r>
        <w:rPr>
          <w:b/>
          <w:sz w:val="24"/>
          <w:szCs w:val="24"/>
        </w:rPr>
        <w:t>Gênero na Amazônia</w:t>
      </w:r>
      <w:r>
        <w:rPr>
          <w:sz w:val="24"/>
          <w:szCs w:val="24"/>
        </w:rPr>
        <w:t xml:space="preserve">, n. 23, </w:t>
      </w:r>
      <w:proofErr w:type="gramStart"/>
      <w:r>
        <w:rPr>
          <w:sz w:val="24"/>
          <w:szCs w:val="24"/>
        </w:rPr>
        <w:t>jan./</w:t>
      </w:r>
      <w:proofErr w:type="spellStart"/>
      <w:proofErr w:type="gramEnd"/>
      <w:r>
        <w:rPr>
          <w:sz w:val="24"/>
          <w:szCs w:val="24"/>
        </w:rPr>
        <w:t>jun</w:t>
      </w:r>
      <w:proofErr w:type="spellEnd"/>
      <w:r>
        <w:rPr>
          <w:sz w:val="24"/>
          <w:szCs w:val="24"/>
        </w:rPr>
        <w:t>, 2023.</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BRITO, M. M. B.;</w:t>
      </w:r>
      <w:r>
        <w:rPr>
          <w:b/>
          <w:sz w:val="24"/>
          <w:szCs w:val="24"/>
        </w:rPr>
        <w:t xml:space="preserve"> </w:t>
      </w:r>
      <w:r>
        <w:rPr>
          <w:sz w:val="24"/>
          <w:szCs w:val="24"/>
        </w:rPr>
        <w:t xml:space="preserve">HAGE, S. M. Políticas públicas voltadas para a educação superior do campo: referências para uma universidade socialmente responsável. </w:t>
      </w:r>
      <w:r>
        <w:rPr>
          <w:b/>
          <w:sz w:val="24"/>
          <w:szCs w:val="24"/>
        </w:rPr>
        <w:t>Referência pedagógica</w:t>
      </w:r>
      <w:r>
        <w:rPr>
          <w:sz w:val="24"/>
          <w:szCs w:val="24"/>
        </w:rPr>
        <w:t xml:space="preserve">, v. 3, n. 1, </w:t>
      </w:r>
      <w:proofErr w:type="gramStart"/>
      <w:r>
        <w:rPr>
          <w:sz w:val="24"/>
          <w:szCs w:val="24"/>
        </w:rPr>
        <w:t>jan./</w:t>
      </w:r>
      <w:proofErr w:type="gramEnd"/>
      <w:r>
        <w:rPr>
          <w:sz w:val="24"/>
          <w:szCs w:val="24"/>
        </w:rPr>
        <w:t>jun., 2015.</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CONRADO, M.; CAMPELO, M.; RIBEIRO, </w:t>
      </w:r>
      <w:proofErr w:type="gramStart"/>
      <w:r>
        <w:rPr>
          <w:sz w:val="24"/>
          <w:szCs w:val="24"/>
        </w:rPr>
        <w:t>A..</w:t>
      </w:r>
      <w:proofErr w:type="gramEnd"/>
      <w:r>
        <w:rPr>
          <w:sz w:val="24"/>
          <w:szCs w:val="24"/>
        </w:rPr>
        <w:t xml:space="preserve"> Metáforas da </w:t>
      </w:r>
      <w:r>
        <w:rPr>
          <w:sz w:val="24"/>
          <w:szCs w:val="24"/>
        </w:rPr>
        <w:t xml:space="preserve">cor: </w:t>
      </w:r>
      <w:proofErr w:type="spellStart"/>
      <w:r>
        <w:rPr>
          <w:sz w:val="24"/>
          <w:szCs w:val="24"/>
        </w:rPr>
        <w:t>morenidade</w:t>
      </w:r>
      <w:proofErr w:type="spellEnd"/>
      <w:r>
        <w:rPr>
          <w:sz w:val="24"/>
          <w:szCs w:val="24"/>
        </w:rPr>
        <w:t xml:space="preserve"> e territórios da negritude nas construções de identidades negras na Amazônia Paraense. </w:t>
      </w:r>
      <w:r>
        <w:rPr>
          <w:b/>
          <w:sz w:val="24"/>
          <w:szCs w:val="24"/>
        </w:rPr>
        <w:t>Afro-Ásia</w:t>
      </w:r>
      <w:r>
        <w:rPr>
          <w:sz w:val="24"/>
          <w:szCs w:val="24"/>
        </w:rPr>
        <w:t xml:space="preserve">, Salvador, núm. 52, pp. 213-246, 2015. Disponível em: </w:t>
      </w:r>
      <w:hyperlink r:id="rId7">
        <w:r>
          <w:rPr>
            <w:sz w:val="24"/>
            <w:szCs w:val="24"/>
            <w:u w:val="single"/>
          </w:rPr>
          <w:t>https</w:t>
        </w:r>
        <w:r>
          <w:rPr>
            <w:sz w:val="24"/>
            <w:szCs w:val="24"/>
            <w:u w:val="single"/>
          </w:rPr>
          <w:t>://periodicos.ufba.br/index.php/afroasia/article/view/21886</w:t>
        </w:r>
      </w:hyperlink>
      <w:r>
        <w:rPr>
          <w:sz w:val="24"/>
          <w:szCs w:val="24"/>
        </w:rPr>
        <w:t>. Acesso em: 18 de junho de 2024.</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lastRenderedPageBreak/>
        <w:t xml:space="preserve">FERNANDES, J. S. N.; MOSER, L. Comunidades tradicionais: a formação </w:t>
      </w:r>
      <w:proofErr w:type="spellStart"/>
      <w:r>
        <w:rPr>
          <w:sz w:val="24"/>
          <w:szCs w:val="24"/>
        </w:rPr>
        <w:t>sócio-histórica</w:t>
      </w:r>
      <w:proofErr w:type="spellEnd"/>
      <w:r>
        <w:rPr>
          <w:sz w:val="24"/>
          <w:szCs w:val="24"/>
        </w:rPr>
        <w:t xml:space="preserve"> na Amazônia e o (não) lugar das comunidades ribeirinhas. </w:t>
      </w:r>
      <w:r>
        <w:rPr>
          <w:b/>
          <w:sz w:val="24"/>
          <w:szCs w:val="24"/>
        </w:rPr>
        <w:t xml:space="preserve">Revista </w:t>
      </w:r>
      <w:proofErr w:type="spellStart"/>
      <w:r>
        <w:rPr>
          <w:b/>
          <w:sz w:val="24"/>
          <w:szCs w:val="24"/>
        </w:rPr>
        <w:t>Katálysis</w:t>
      </w:r>
      <w:proofErr w:type="spellEnd"/>
      <w:r>
        <w:rPr>
          <w:sz w:val="24"/>
          <w:szCs w:val="24"/>
        </w:rPr>
        <w:t xml:space="preserve">, v. 24, n. 3, p. 532-541, </w:t>
      </w:r>
      <w:proofErr w:type="gramStart"/>
      <w:r>
        <w:rPr>
          <w:sz w:val="24"/>
          <w:szCs w:val="24"/>
        </w:rPr>
        <w:t>set./</w:t>
      </w:r>
      <w:proofErr w:type="gramEnd"/>
      <w:r>
        <w:rPr>
          <w:sz w:val="24"/>
          <w:szCs w:val="24"/>
        </w:rPr>
        <w:t>dez., 2021.</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FIGUEIREDO, N. G. de. A oferta de ensino superior por Universidades Federais no interior da Amazônia: da UFPA à UFOPA em Santarém-PA/Brasil. </w:t>
      </w:r>
      <w:r>
        <w:rPr>
          <w:b/>
          <w:sz w:val="24"/>
          <w:szCs w:val="24"/>
        </w:rPr>
        <w:t xml:space="preserve">Revista </w:t>
      </w:r>
      <w:proofErr w:type="spellStart"/>
      <w:r>
        <w:rPr>
          <w:b/>
          <w:sz w:val="24"/>
          <w:szCs w:val="24"/>
        </w:rPr>
        <w:t>Exitus</w:t>
      </w:r>
      <w:proofErr w:type="spellEnd"/>
      <w:r>
        <w:rPr>
          <w:sz w:val="24"/>
          <w:szCs w:val="24"/>
        </w:rPr>
        <w:t>, Santarém, v. 10, p. 01-30, 2020.</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GEHLEN, M. E.; FINAT</w:t>
      </w:r>
      <w:r>
        <w:rPr>
          <w:sz w:val="24"/>
          <w:szCs w:val="24"/>
        </w:rPr>
        <w:t xml:space="preserve">TO, R. A. Educação do Campo no ensino superior: o caso da Universidade Federal da Fronteira Sul – Campus Laranjeiras do Sul. </w:t>
      </w:r>
      <w:r>
        <w:rPr>
          <w:b/>
          <w:sz w:val="24"/>
          <w:szCs w:val="24"/>
        </w:rPr>
        <w:t xml:space="preserve">Revista </w:t>
      </w:r>
      <w:proofErr w:type="spellStart"/>
      <w:r>
        <w:rPr>
          <w:b/>
          <w:sz w:val="24"/>
          <w:szCs w:val="24"/>
        </w:rPr>
        <w:t>PerCursos</w:t>
      </w:r>
      <w:proofErr w:type="spellEnd"/>
      <w:r>
        <w:rPr>
          <w:sz w:val="24"/>
          <w:szCs w:val="24"/>
        </w:rPr>
        <w:t>, Florianópolis, v. 20, n.43, p. 271 - 294, maio/ago., 2019.</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HAGE, S. M. Movimentos sociais do campo e educação: </w:t>
      </w:r>
      <w:r>
        <w:rPr>
          <w:sz w:val="24"/>
          <w:szCs w:val="24"/>
        </w:rPr>
        <w:t xml:space="preserve">referências para análise de políticas públicas de educação superior. </w:t>
      </w:r>
      <w:r>
        <w:rPr>
          <w:b/>
          <w:sz w:val="24"/>
          <w:szCs w:val="24"/>
        </w:rPr>
        <w:t>Revista Eletrônica de Educação</w:t>
      </w:r>
      <w:r>
        <w:rPr>
          <w:sz w:val="24"/>
          <w:szCs w:val="24"/>
        </w:rPr>
        <w:t>, v. 8, n. 1, p.133-150, 2014.</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HAGE, S. A. M. </w:t>
      </w:r>
      <w:r>
        <w:rPr>
          <w:i/>
          <w:sz w:val="24"/>
          <w:szCs w:val="24"/>
        </w:rPr>
        <w:t>et al</w:t>
      </w:r>
      <w:r>
        <w:rPr>
          <w:sz w:val="24"/>
          <w:szCs w:val="24"/>
        </w:rPr>
        <w:t>. O direito à educação superior e a licenciatura em educação do campo no Pará: riscos e potencialidades d</w:t>
      </w:r>
      <w:r>
        <w:rPr>
          <w:sz w:val="24"/>
          <w:szCs w:val="24"/>
        </w:rPr>
        <w:t xml:space="preserve">e sua institucionalização. </w:t>
      </w:r>
      <w:r>
        <w:rPr>
          <w:b/>
          <w:sz w:val="24"/>
          <w:szCs w:val="24"/>
        </w:rPr>
        <w:t xml:space="preserve">Acta </w:t>
      </w:r>
      <w:proofErr w:type="spellStart"/>
      <w:r>
        <w:rPr>
          <w:b/>
          <w:sz w:val="24"/>
          <w:szCs w:val="24"/>
        </w:rPr>
        <w:t>Scientiarum</w:t>
      </w:r>
      <w:proofErr w:type="spellEnd"/>
      <w:r>
        <w:rPr>
          <w:sz w:val="24"/>
          <w:szCs w:val="24"/>
        </w:rPr>
        <w:t>, v. 40, n. 1, 2018.</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LIRA, T. de M.; CHAVES, M. do P. S. R. Comunidades Ribeirinhas na Amazônia: organização sociocultural e política. </w:t>
      </w:r>
      <w:r>
        <w:rPr>
          <w:b/>
          <w:sz w:val="24"/>
          <w:szCs w:val="24"/>
        </w:rPr>
        <w:t>Interações</w:t>
      </w:r>
      <w:r>
        <w:rPr>
          <w:sz w:val="24"/>
          <w:szCs w:val="24"/>
        </w:rPr>
        <w:t xml:space="preserve">, v. 17, n. 1, p. 66-76, </w:t>
      </w:r>
      <w:proofErr w:type="gramStart"/>
      <w:r>
        <w:rPr>
          <w:sz w:val="24"/>
          <w:szCs w:val="24"/>
        </w:rPr>
        <w:t>jan./</w:t>
      </w:r>
      <w:proofErr w:type="gramEnd"/>
      <w:r>
        <w:rPr>
          <w:sz w:val="24"/>
          <w:szCs w:val="24"/>
        </w:rPr>
        <w:t>mar., 2016.</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highlight w:val="white"/>
        </w:rPr>
        <w:t>MARCELO, J. CHACON, T. C</w:t>
      </w:r>
      <w:r>
        <w:rPr>
          <w:sz w:val="24"/>
          <w:szCs w:val="24"/>
          <w:highlight w:val="white"/>
        </w:rPr>
        <w:t xml:space="preserve">ALDERÓN, A.I. A expansão da educação superior privada no Brasil: do governo de FHC ao governo Lula. </w:t>
      </w:r>
      <w:r>
        <w:rPr>
          <w:b/>
          <w:sz w:val="24"/>
          <w:szCs w:val="24"/>
          <w:highlight w:val="white"/>
        </w:rPr>
        <w:t xml:space="preserve">Revista </w:t>
      </w:r>
      <w:proofErr w:type="spellStart"/>
      <w:r>
        <w:rPr>
          <w:b/>
          <w:sz w:val="24"/>
          <w:szCs w:val="24"/>
          <w:highlight w:val="white"/>
        </w:rPr>
        <w:t>Iberoamericana</w:t>
      </w:r>
      <w:proofErr w:type="spellEnd"/>
      <w:r>
        <w:rPr>
          <w:b/>
          <w:sz w:val="24"/>
          <w:szCs w:val="24"/>
          <w:highlight w:val="white"/>
        </w:rPr>
        <w:t xml:space="preserve"> de </w:t>
      </w:r>
      <w:proofErr w:type="spellStart"/>
      <w:r>
        <w:rPr>
          <w:b/>
          <w:sz w:val="24"/>
          <w:szCs w:val="24"/>
          <w:highlight w:val="white"/>
        </w:rPr>
        <w:t>Educación</w:t>
      </w:r>
      <w:proofErr w:type="spellEnd"/>
      <w:r>
        <w:rPr>
          <w:b/>
          <w:sz w:val="24"/>
          <w:szCs w:val="24"/>
          <w:highlight w:val="white"/>
        </w:rPr>
        <w:t xml:space="preserve"> Superior</w:t>
      </w:r>
      <w:r>
        <w:rPr>
          <w:sz w:val="24"/>
          <w:szCs w:val="24"/>
          <w:highlight w:val="white"/>
        </w:rPr>
        <w:t>, México, v.6, n.17, P.33-37, 2015.</w:t>
      </w:r>
    </w:p>
    <w:p w:rsidR="00181494" w:rsidRDefault="00181494">
      <w:pPr>
        <w:spacing w:line="240" w:lineRule="auto"/>
        <w:ind w:left="0" w:hanging="2"/>
        <w:rPr>
          <w:sz w:val="24"/>
          <w:szCs w:val="24"/>
        </w:rPr>
      </w:pPr>
    </w:p>
    <w:p w:rsidR="00181494" w:rsidRDefault="00CA68C2">
      <w:pPr>
        <w:spacing w:line="240" w:lineRule="auto"/>
        <w:ind w:left="0" w:hanging="2"/>
        <w:rPr>
          <w:sz w:val="24"/>
          <w:szCs w:val="24"/>
          <w:highlight w:val="white"/>
        </w:rPr>
      </w:pPr>
      <w:r>
        <w:rPr>
          <w:sz w:val="24"/>
          <w:szCs w:val="24"/>
        </w:rPr>
        <w:t>MELO, S. P. M.; BRAGA, O. R.; SANTANA, J. F. Juventude rural e ensino super</w:t>
      </w:r>
      <w:r>
        <w:rPr>
          <w:sz w:val="24"/>
          <w:szCs w:val="24"/>
        </w:rPr>
        <w:t xml:space="preserve">ior público: trajetórias de estudantes de um campus universitário Público do Nordeste do Brasil. </w:t>
      </w:r>
      <w:r>
        <w:rPr>
          <w:b/>
          <w:sz w:val="24"/>
          <w:szCs w:val="24"/>
        </w:rPr>
        <w:t>Revista Internacional de Educação Superior</w:t>
      </w:r>
      <w:r>
        <w:rPr>
          <w:sz w:val="24"/>
          <w:szCs w:val="24"/>
        </w:rPr>
        <w:t>, v. 6, 2020.</w:t>
      </w:r>
    </w:p>
    <w:p w:rsidR="00181494" w:rsidRDefault="00181494">
      <w:pPr>
        <w:spacing w:line="240" w:lineRule="auto"/>
        <w:ind w:left="0" w:hanging="2"/>
        <w:rPr>
          <w:sz w:val="24"/>
          <w:szCs w:val="24"/>
          <w:highlight w:val="white"/>
        </w:rPr>
      </w:pPr>
    </w:p>
    <w:p w:rsidR="00181494" w:rsidRDefault="00CA68C2">
      <w:pPr>
        <w:spacing w:line="240" w:lineRule="auto"/>
        <w:ind w:left="0" w:hanging="2"/>
        <w:rPr>
          <w:sz w:val="24"/>
          <w:szCs w:val="24"/>
        </w:rPr>
      </w:pPr>
      <w:r>
        <w:rPr>
          <w:sz w:val="24"/>
          <w:szCs w:val="24"/>
          <w:highlight w:val="white"/>
        </w:rPr>
        <w:t xml:space="preserve">MÉSZÁROS, I. </w:t>
      </w:r>
      <w:r>
        <w:rPr>
          <w:b/>
          <w:sz w:val="24"/>
          <w:szCs w:val="24"/>
          <w:highlight w:val="white"/>
        </w:rPr>
        <w:t>A educação para além do capital</w:t>
      </w:r>
      <w:r>
        <w:rPr>
          <w:sz w:val="24"/>
          <w:szCs w:val="24"/>
          <w:highlight w:val="white"/>
        </w:rPr>
        <w:t xml:space="preserve">. São Paulo. </w:t>
      </w:r>
      <w:proofErr w:type="spellStart"/>
      <w:r>
        <w:rPr>
          <w:sz w:val="24"/>
          <w:szCs w:val="24"/>
          <w:highlight w:val="white"/>
        </w:rPr>
        <w:t>Boitempo</w:t>
      </w:r>
      <w:proofErr w:type="spellEnd"/>
      <w:r>
        <w:rPr>
          <w:sz w:val="24"/>
          <w:szCs w:val="24"/>
          <w:highlight w:val="white"/>
        </w:rPr>
        <w:t>, 2008.</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NETO, F. R.; FURTADO, L. G. </w:t>
      </w:r>
      <w:r>
        <w:rPr>
          <w:sz w:val="24"/>
          <w:szCs w:val="24"/>
        </w:rPr>
        <w:t xml:space="preserve">A </w:t>
      </w:r>
      <w:proofErr w:type="spellStart"/>
      <w:r>
        <w:rPr>
          <w:sz w:val="24"/>
          <w:szCs w:val="24"/>
        </w:rPr>
        <w:t>ribeirinidade</w:t>
      </w:r>
      <w:proofErr w:type="spellEnd"/>
      <w:r>
        <w:rPr>
          <w:sz w:val="24"/>
          <w:szCs w:val="24"/>
        </w:rPr>
        <w:t xml:space="preserve"> amazônica: algumas reflexões. </w:t>
      </w:r>
      <w:r>
        <w:rPr>
          <w:b/>
          <w:sz w:val="24"/>
          <w:szCs w:val="24"/>
        </w:rPr>
        <w:t>Cadernos de Campo</w:t>
      </w:r>
      <w:r>
        <w:rPr>
          <w:sz w:val="24"/>
          <w:szCs w:val="24"/>
        </w:rPr>
        <w:t>, São Paulo, n. 24, p. 158-182, 2015. Disponível em: http://www.revistas.usp.br/cadernosdecampo/article/view/97408. Acesso em: 27 jan. 2024.</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NUNES, D. H; PINA, S. T.; SILVA, J. B. A representa</w:t>
      </w:r>
      <w:r>
        <w:rPr>
          <w:sz w:val="24"/>
          <w:szCs w:val="24"/>
        </w:rPr>
        <w:t xml:space="preserve">ção feminina nas universidades e a concreção da cidadania. </w:t>
      </w:r>
      <w:r>
        <w:rPr>
          <w:b/>
          <w:sz w:val="24"/>
          <w:szCs w:val="24"/>
        </w:rPr>
        <w:t xml:space="preserve">Revista Direito e Justiça: Reflexões </w:t>
      </w:r>
      <w:proofErr w:type="spellStart"/>
      <w:r>
        <w:rPr>
          <w:b/>
          <w:sz w:val="24"/>
          <w:szCs w:val="24"/>
        </w:rPr>
        <w:t>Sociojurídicas</w:t>
      </w:r>
      <w:proofErr w:type="spellEnd"/>
      <w:r>
        <w:rPr>
          <w:sz w:val="24"/>
          <w:szCs w:val="24"/>
        </w:rPr>
        <w:t xml:space="preserve">, Santo Ângelo, v. 21, n. 41, p. 159-173, </w:t>
      </w:r>
      <w:proofErr w:type="gramStart"/>
      <w:r>
        <w:rPr>
          <w:sz w:val="24"/>
          <w:szCs w:val="24"/>
        </w:rPr>
        <w:t>set./</w:t>
      </w:r>
      <w:proofErr w:type="gramEnd"/>
      <w:r>
        <w:rPr>
          <w:sz w:val="24"/>
          <w:szCs w:val="24"/>
        </w:rPr>
        <w:t xml:space="preserve">dez. 2021. Disponível em: </w:t>
      </w:r>
      <w:hyperlink r:id="rId8">
        <w:r>
          <w:rPr>
            <w:sz w:val="24"/>
            <w:szCs w:val="24"/>
            <w:u w:val="single"/>
          </w:rPr>
          <w:t>https://san.uri.br/revistas/index.php/direitoejustica/article/view/634</w:t>
        </w:r>
      </w:hyperlink>
      <w:r>
        <w:rPr>
          <w:sz w:val="24"/>
          <w:szCs w:val="24"/>
        </w:rPr>
        <w:t>. Acesso em: 02 jun. 2025.</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PAULO, M. A. L. A interiorização das universidades federais e o acesso de jovens rurais ao ensino superior: </w:t>
      </w:r>
      <w:proofErr w:type="gramStart"/>
      <w:r>
        <w:rPr>
          <w:sz w:val="24"/>
          <w:szCs w:val="24"/>
        </w:rPr>
        <w:t>o  caso</w:t>
      </w:r>
      <w:proofErr w:type="gramEnd"/>
      <w:r>
        <w:rPr>
          <w:sz w:val="24"/>
          <w:szCs w:val="24"/>
        </w:rPr>
        <w:t xml:space="preserve"> da UAST/UFRPE. </w:t>
      </w:r>
      <w:r>
        <w:rPr>
          <w:b/>
          <w:sz w:val="24"/>
          <w:szCs w:val="24"/>
        </w:rPr>
        <w:t>Raízes</w:t>
      </w:r>
      <w:r>
        <w:rPr>
          <w:sz w:val="24"/>
          <w:szCs w:val="24"/>
        </w:rPr>
        <w:t>, v.</w:t>
      </w:r>
      <w:r>
        <w:rPr>
          <w:sz w:val="24"/>
          <w:szCs w:val="24"/>
        </w:rPr>
        <w:t xml:space="preserve"> 38, n, 1, p. 162-177, </w:t>
      </w:r>
      <w:proofErr w:type="gramStart"/>
      <w:r>
        <w:rPr>
          <w:sz w:val="24"/>
          <w:szCs w:val="24"/>
        </w:rPr>
        <w:t>jan./</w:t>
      </w:r>
      <w:proofErr w:type="gramEnd"/>
      <w:r>
        <w:rPr>
          <w:sz w:val="24"/>
          <w:szCs w:val="24"/>
        </w:rPr>
        <w:t>jun., 2018.</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POJO, E. C.; ELIAS, L. G. D.; VILHENA, M. N. As águas e os ribeirinhos: beirando sua cultura e margeando seus saberes. </w:t>
      </w:r>
      <w:r>
        <w:rPr>
          <w:b/>
          <w:sz w:val="24"/>
          <w:szCs w:val="24"/>
        </w:rPr>
        <w:t>Revista Interdisciplinar da Divisão de Pesquisa e Pós-Graduação</w:t>
      </w:r>
      <w:r>
        <w:rPr>
          <w:sz w:val="24"/>
          <w:szCs w:val="24"/>
        </w:rPr>
        <w:t>, Abaetetuba, v. 8, n. 11, p. 176-198, ago., 2014.</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SENA, J. A persistência dos Herdeiros de </w:t>
      </w:r>
      <w:proofErr w:type="spellStart"/>
      <w:r>
        <w:rPr>
          <w:sz w:val="24"/>
          <w:szCs w:val="24"/>
        </w:rPr>
        <w:t>Ananse</w:t>
      </w:r>
      <w:proofErr w:type="spellEnd"/>
      <w:r>
        <w:rPr>
          <w:sz w:val="24"/>
          <w:szCs w:val="24"/>
        </w:rPr>
        <w:t xml:space="preserve"> (Prefácio). In: Dossiê Raça e </w:t>
      </w:r>
      <w:proofErr w:type="spellStart"/>
      <w:r>
        <w:rPr>
          <w:sz w:val="24"/>
          <w:szCs w:val="24"/>
        </w:rPr>
        <w:t>Amazonidades</w:t>
      </w:r>
      <w:proofErr w:type="spellEnd"/>
      <w:r>
        <w:rPr>
          <w:sz w:val="24"/>
          <w:szCs w:val="24"/>
        </w:rPr>
        <w:t xml:space="preserve">. </w:t>
      </w:r>
      <w:r>
        <w:rPr>
          <w:b/>
          <w:sz w:val="24"/>
          <w:szCs w:val="24"/>
        </w:rPr>
        <w:t xml:space="preserve">Revista África e </w:t>
      </w:r>
      <w:proofErr w:type="spellStart"/>
      <w:r>
        <w:rPr>
          <w:b/>
          <w:sz w:val="24"/>
          <w:szCs w:val="24"/>
        </w:rPr>
        <w:t>Africanidades</w:t>
      </w:r>
      <w:proofErr w:type="spellEnd"/>
      <w:r>
        <w:rPr>
          <w:sz w:val="24"/>
          <w:szCs w:val="24"/>
        </w:rPr>
        <w:t>, Ano XVI, nº 46, maio, 2023.</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SENKEVICS, A. S. </w:t>
      </w:r>
      <w:r>
        <w:rPr>
          <w:b/>
          <w:sz w:val="24"/>
          <w:szCs w:val="24"/>
        </w:rPr>
        <w:t>O acesso, ao inverso:</w:t>
      </w:r>
      <w:r>
        <w:rPr>
          <w:sz w:val="24"/>
          <w:szCs w:val="24"/>
        </w:rPr>
        <w:t xml:space="preserve"> desigualdade</w:t>
      </w:r>
      <w:r>
        <w:rPr>
          <w:sz w:val="24"/>
          <w:szCs w:val="24"/>
        </w:rPr>
        <w:t xml:space="preserve">s à sombra da expansão do ensino superior brasileiro, 1991-2020. Orientadora: Marília Pinto de Carvalho. 2021. 437 f. Tese (Doutorado em Educação) – Faculdade de Educação, Universidade de São Paulo, São Paulo, 2021. Disponível em: </w:t>
      </w:r>
      <w:hyperlink r:id="rId9">
        <w:r>
          <w:rPr>
            <w:sz w:val="24"/>
            <w:szCs w:val="24"/>
            <w:u w:val="single"/>
          </w:rPr>
          <w:t>https://www.teses.usp.br/teses/disponiveis/48/48137/tde-11012022-103758/publico/ADRIANO_SOUZA_SENKEVICS_rev.pdf</w:t>
        </w:r>
      </w:hyperlink>
      <w:r>
        <w:rPr>
          <w:sz w:val="24"/>
          <w:szCs w:val="24"/>
        </w:rPr>
        <w:t>. Acesso em: 25 abr. 2024.</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SILVA, A. M. S.</w:t>
      </w:r>
      <w:proofErr w:type="gramStart"/>
      <w:r>
        <w:rPr>
          <w:sz w:val="24"/>
          <w:szCs w:val="24"/>
        </w:rPr>
        <w:t>;  XIMENES</w:t>
      </w:r>
      <w:proofErr w:type="gramEnd"/>
      <w:r>
        <w:rPr>
          <w:sz w:val="24"/>
          <w:szCs w:val="24"/>
        </w:rPr>
        <w:t xml:space="preserve">, V. M. Implicações psicossociais da migração rural-urbana para jovens universitários. </w:t>
      </w:r>
      <w:r>
        <w:rPr>
          <w:b/>
          <w:sz w:val="24"/>
          <w:szCs w:val="24"/>
        </w:rPr>
        <w:t>Revista Polis e Psique</w:t>
      </w:r>
      <w:r>
        <w:rPr>
          <w:sz w:val="24"/>
          <w:szCs w:val="24"/>
        </w:rPr>
        <w:t xml:space="preserve">, p. 68-89, 2022. Disponível em: </w:t>
      </w:r>
      <w:hyperlink r:id="rId10">
        <w:r>
          <w:rPr>
            <w:sz w:val="24"/>
            <w:szCs w:val="24"/>
            <w:u w:val="single"/>
          </w:rPr>
          <w:t>https://seer.ufrgs.br/index.php/PolisePsique/article/download/117924/88340/565284</w:t>
        </w:r>
      </w:hyperlink>
      <w:r>
        <w:rPr>
          <w:sz w:val="24"/>
          <w:szCs w:val="24"/>
        </w:rPr>
        <w:t>. Acesso em: 15 jun. 2023.</w:t>
      </w:r>
    </w:p>
    <w:p w:rsidR="00181494" w:rsidRDefault="00181494">
      <w:pPr>
        <w:spacing w:line="240" w:lineRule="auto"/>
        <w:ind w:left="0" w:hanging="2"/>
        <w:rPr>
          <w:sz w:val="24"/>
          <w:szCs w:val="24"/>
        </w:rPr>
      </w:pPr>
    </w:p>
    <w:p w:rsidR="00181494" w:rsidRDefault="00CA68C2">
      <w:pPr>
        <w:spacing w:line="240" w:lineRule="auto"/>
        <w:ind w:left="0" w:hanging="2"/>
        <w:rPr>
          <w:sz w:val="24"/>
          <w:szCs w:val="24"/>
        </w:rPr>
      </w:pPr>
      <w:r>
        <w:rPr>
          <w:sz w:val="24"/>
          <w:szCs w:val="24"/>
        </w:rPr>
        <w:t xml:space="preserve">UFPA. </w:t>
      </w:r>
      <w:r>
        <w:rPr>
          <w:b/>
          <w:sz w:val="24"/>
          <w:szCs w:val="24"/>
        </w:rPr>
        <w:t>UFPA em números 2024</w:t>
      </w:r>
      <w:r>
        <w:rPr>
          <w:sz w:val="24"/>
          <w:szCs w:val="24"/>
        </w:rPr>
        <w:t>. Ano-base 2023. Pró-Reitor de Planejamento e Desenvolvimento Institucional. Disponível em: https://ufpanumer</w:t>
      </w:r>
      <w:r>
        <w:rPr>
          <w:sz w:val="24"/>
          <w:szCs w:val="24"/>
        </w:rPr>
        <w:t>os.ufpa.br/images/ufpa_em_numeros/2024/UFPAemNumeros2024_AB2023_final.pdf. Acesso em: 15 mar. 2024.</w:t>
      </w:r>
    </w:p>
    <w:p w:rsidR="00181494" w:rsidRDefault="00181494">
      <w:pPr>
        <w:spacing w:line="240" w:lineRule="auto"/>
        <w:ind w:left="0" w:hanging="2"/>
        <w:jc w:val="both"/>
        <w:rPr>
          <w:sz w:val="24"/>
          <w:szCs w:val="24"/>
        </w:rPr>
      </w:pPr>
    </w:p>
    <w:p w:rsidR="00181494" w:rsidRDefault="00181494">
      <w:pPr>
        <w:spacing w:line="240" w:lineRule="auto"/>
        <w:ind w:left="0" w:hanging="2"/>
        <w:jc w:val="both"/>
        <w:rPr>
          <w:b/>
          <w:sz w:val="24"/>
          <w:szCs w:val="24"/>
        </w:rPr>
      </w:pPr>
    </w:p>
    <w:p w:rsidR="00181494" w:rsidRDefault="00181494">
      <w:pPr>
        <w:spacing w:after="200"/>
        <w:ind w:left="0" w:hanging="2"/>
        <w:jc w:val="both"/>
        <w:rPr>
          <w:rFonts w:ascii="Calibri" w:eastAsia="Calibri" w:hAnsi="Calibri" w:cs="Calibri"/>
          <w:sz w:val="24"/>
          <w:szCs w:val="24"/>
        </w:rPr>
      </w:pPr>
    </w:p>
    <w:sectPr w:rsidR="00181494">
      <w:headerReference w:type="default" r:id="rId11"/>
      <w:pgSz w:w="11909" w:h="16834"/>
      <w:pgMar w:top="1700" w:right="1133" w:bottom="1133" w:left="1700"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8C2" w:rsidRDefault="00CA68C2">
      <w:pPr>
        <w:spacing w:line="240" w:lineRule="auto"/>
        <w:ind w:left="0" w:hanging="2"/>
      </w:pPr>
      <w:r>
        <w:separator/>
      </w:r>
    </w:p>
  </w:endnote>
  <w:endnote w:type="continuationSeparator" w:id="0">
    <w:p w:rsidR="00CA68C2" w:rsidRDefault="00CA68C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8C2" w:rsidRDefault="00CA68C2">
      <w:pPr>
        <w:spacing w:line="240" w:lineRule="auto"/>
        <w:ind w:left="0" w:hanging="2"/>
      </w:pPr>
      <w:r>
        <w:separator/>
      </w:r>
    </w:p>
  </w:footnote>
  <w:footnote w:type="continuationSeparator" w:id="0">
    <w:p w:rsidR="00CA68C2" w:rsidRDefault="00CA68C2">
      <w:pPr>
        <w:spacing w:line="240" w:lineRule="auto"/>
        <w:ind w:left="0" w:hanging="2"/>
      </w:pPr>
      <w:r>
        <w:continuationSeparator/>
      </w:r>
    </w:p>
  </w:footnote>
  <w:footnote w:id="1">
    <w:p w:rsidR="00181494" w:rsidRDefault="00CA68C2">
      <w:pPr>
        <w:spacing w:line="240" w:lineRule="auto"/>
        <w:ind w:left="0" w:hanging="2"/>
        <w:jc w:val="both"/>
        <w:rPr>
          <w:sz w:val="20"/>
          <w:szCs w:val="20"/>
        </w:rPr>
      </w:pPr>
      <w:r>
        <w:rPr>
          <w:vertAlign w:val="superscript"/>
        </w:rPr>
        <w:footnoteRef/>
      </w:r>
      <w:r>
        <w:rPr>
          <w:sz w:val="20"/>
          <w:szCs w:val="20"/>
        </w:rPr>
        <w:t xml:space="preserve"> Universidade Federal do Pará. Mestra em Serviço Social. E-mail: helenmarcele@gmail.com</w:t>
      </w:r>
    </w:p>
  </w:footnote>
  <w:footnote w:id="2">
    <w:p w:rsidR="00181494" w:rsidRDefault="00CA68C2">
      <w:pPr>
        <w:spacing w:line="240" w:lineRule="auto"/>
        <w:ind w:left="0" w:hanging="2"/>
        <w:rPr>
          <w:sz w:val="20"/>
          <w:szCs w:val="20"/>
        </w:rPr>
      </w:pPr>
      <w:r>
        <w:rPr>
          <w:vertAlign w:val="superscript"/>
        </w:rPr>
        <w:footnoteRef/>
      </w:r>
      <w:r>
        <w:rPr>
          <w:sz w:val="20"/>
          <w:szCs w:val="20"/>
        </w:rPr>
        <w:t xml:space="preserve"> Universidade Federal do Pará. Mestra em Serviço Social. E-mail: patricia.teodoro.nascimento@gmail.com</w:t>
      </w:r>
    </w:p>
  </w:footnote>
  <w:footnote w:id="3">
    <w:p w:rsidR="00181494" w:rsidRDefault="00CA68C2">
      <w:pPr>
        <w:spacing w:line="240" w:lineRule="auto"/>
        <w:ind w:left="0" w:hanging="2"/>
        <w:jc w:val="both"/>
        <w:rPr>
          <w:sz w:val="20"/>
          <w:szCs w:val="20"/>
        </w:rPr>
      </w:pPr>
      <w:r>
        <w:rPr>
          <w:vertAlign w:val="superscript"/>
        </w:rPr>
        <w:footnoteRef/>
      </w:r>
      <w:r>
        <w:rPr>
          <w:sz w:val="20"/>
          <w:szCs w:val="20"/>
        </w:rPr>
        <w:t xml:space="preserve"> Universidade Federal do Pará. Mestra em Serviço Social. E-mail: docufpa22@gmail.com</w:t>
      </w:r>
    </w:p>
  </w:footnote>
  <w:footnote w:id="4">
    <w:p w:rsidR="00181494" w:rsidRDefault="00CA68C2">
      <w:pPr>
        <w:spacing w:line="240" w:lineRule="auto"/>
        <w:ind w:left="0" w:hanging="2"/>
        <w:jc w:val="both"/>
        <w:rPr>
          <w:sz w:val="20"/>
          <w:szCs w:val="20"/>
        </w:rPr>
      </w:pPr>
      <w:r>
        <w:rPr>
          <w:vertAlign w:val="superscript"/>
        </w:rPr>
        <w:footnoteRef/>
      </w:r>
      <w:r>
        <w:rPr>
          <w:sz w:val="20"/>
          <w:szCs w:val="20"/>
        </w:rPr>
        <w:t xml:space="preserve"> Universidade Federal do Pará. Doutora em Ciências Socioambientais</w:t>
      </w:r>
      <w:r>
        <w:rPr>
          <w:sz w:val="20"/>
          <w:szCs w:val="20"/>
        </w:rPr>
        <w:t>. E-mail: solgayoso@ufpa.br</w:t>
      </w:r>
    </w:p>
  </w:footnote>
  <w:footnote w:id="5">
    <w:p w:rsidR="00181494" w:rsidRDefault="00CA68C2">
      <w:pPr>
        <w:spacing w:line="240" w:lineRule="auto"/>
        <w:ind w:left="0" w:hanging="2"/>
        <w:rPr>
          <w:sz w:val="20"/>
          <w:szCs w:val="20"/>
        </w:rPr>
      </w:pPr>
      <w:r>
        <w:rPr>
          <w:vertAlign w:val="superscript"/>
        </w:rPr>
        <w:footnoteRef/>
      </w:r>
      <w:r>
        <w:rPr>
          <w:sz w:val="20"/>
          <w:szCs w:val="20"/>
        </w:rPr>
        <w:t xml:space="preserve"> Dados extraídos da base de dados oficial “UFPA em Números 2024 - Ano-base 2023”</w:t>
      </w:r>
      <w:r>
        <w:rPr>
          <w:sz w:val="20"/>
          <w:szCs w:val="20"/>
        </w:rPr>
        <w:t xml:space="preserve">, disponível em: </w:t>
      </w:r>
      <w:hyperlink r:id="rId1">
        <w:r>
          <w:rPr>
            <w:color w:val="1155CC"/>
            <w:sz w:val="20"/>
            <w:szCs w:val="20"/>
            <w:u w:val="single"/>
          </w:rPr>
          <w:t>https://ufpanumeros.ufpa.br/index.php</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494" w:rsidRDefault="00CA68C2">
    <w:pPr>
      <w:ind w:left="0" w:hanging="2"/>
    </w:pPr>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494"/>
    <w:rsid w:val="00181494"/>
    <w:rsid w:val="00CA68C2"/>
    <w:rsid w:val="00ED2A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8C99B-42BB-4735-B9B8-AA4B73AC1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Ttulo1">
    <w:name w:val="heading 1"/>
    <w:basedOn w:val="Normal"/>
    <w:next w:val="Normal"/>
    <w:pPr>
      <w:keepNext/>
      <w:keepLines/>
      <w:spacing w:before="400" w:after="12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an.uri.br/revistas/index.php/direitoejustica/article/view/63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eriodicos.ufba.br/index.php/afroasia/article/view/2188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eer.ufrgs.br/index.php/PolisePsique/article/download/117924/88340/565284" TargetMode="External"/><Relationship Id="rId4" Type="http://schemas.openxmlformats.org/officeDocument/2006/relationships/webSettings" Target="webSettings.xml"/><Relationship Id="rId9" Type="http://schemas.openxmlformats.org/officeDocument/2006/relationships/hyperlink" Target="https://www.teses.usp.br/teses/disponiveis/48/48137/tde-11012022-103758/publico/ADRIANO_SOUZA_SENKEVICS_rev.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fpanumeros.ufpa.br/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YhdfUAdLyhEizmrh3+5+L/zrQ==">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3893</Words>
  <Characters>21026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2</cp:revision>
  <dcterms:created xsi:type="dcterms:W3CDTF">2025-06-13T02:47:00Z</dcterms:created>
  <dcterms:modified xsi:type="dcterms:W3CDTF">2025-06-13T02:47:00Z</dcterms:modified>
</cp:coreProperties>
</file>