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9CC9B" w14:textId="77777777" w:rsidR="001A78D6" w:rsidRDefault="00656A41">
      <w:pPr>
        <w:spacing w:line="360" w:lineRule="auto"/>
        <w:ind w:left="0" w:hanging="2"/>
        <w:jc w:val="center"/>
      </w:pPr>
      <w:r>
        <w:rPr>
          <w:b/>
          <w:color w:val="000000"/>
        </w:rPr>
        <w:t>DIREITOS CONSTITUCIONAIS SOB CERCO:</w:t>
      </w:r>
      <w:r>
        <w:rPr>
          <w:color w:val="000000"/>
        </w:rPr>
        <w:t xml:space="preserve"> O lobby ruralista no congresso nacional e a negociação da vida indígena</w:t>
      </w:r>
    </w:p>
    <w:p w14:paraId="79575AD1" w14:textId="77777777" w:rsidR="00231638" w:rsidRDefault="00231638" w:rsidP="00231638">
      <w:pPr>
        <w:spacing w:after="240" w:line="240" w:lineRule="auto"/>
        <w:ind w:left="0" w:hanging="2"/>
      </w:pPr>
      <w:r>
        <w:tab/>
      </w:r>
      <w:r>
        <w:tab/>
      </w:r>
      <w:r>
        <w:tab/>
      </w:r>
      <w:r>
        <w:tab/>
      </w:r>
      <w:r>
        <w:tab/>
      </w:r>
      <w:r>
        <w:tab/>
      </w:r>
      <w:r>
        <w:tab/>
      </w:r>
      <w:r>
        <w:tab/>
      </w:r>
      <w:r>
        <w:tab/>
      </w:r>
    </w:p>
    <w:p w14:paraId="7BF2C9DC" w14:textId="0FF65CEB" w:rsidR="00231638" w:rsidRPr="00BF4C64" w:rsidRDefault="00231638" w:rsidP="00231638">
      <w:pPr>
        <w:spacing w:after="240" w:line="240" w:lineRule="auto"/>
        <w:ind w:leftChars="0" w:left="5040" w:firstLineChars="0" w:firstLine="720"/>
      </w:pPr>
      <w:r w:rsidRPr="00BF4C64">
        <w:t>João Bôsco Hora Góis</w:t>
      </w:r>
      <w:r w:rsidRPr="00BF4C64">
        <w:rPr>
          <w:rStyle w:val="Refdenotaderodap"/>
        </w:rPr>
        <w:footnoteReference w:id="1"/>
      </w:r>
    </w:p>
    <w:p w14:paraId="2C36E945" w14:textId="77777777" w:rsidR="00231638" w:rsidRPr="00BF4C64" w:rsidRDefault="00231638" w:rsidP="00231638">
      <w:pPr>
        <w:spacing w:after="240" w:line="240" w:lineRule="auto"/>
        <w:ind w:left="0" w:hanging="2"/>
        <w:rPr>
          <w:rFonts w:eastAsia="Times New Roman"/>
        </w:rPr>
      </w:pPr>
      <w:r w:rsidRPr="00BF4C64">
        <w:tab/>
      </w:r>
      <w:r w:rsidRPr="00BF4C64">
        <w:tab/>
      </w:r>
      <w:r w:rsidRPr="00BF4C64">
        <w:tab/>
      </w:r>
      <w:r w:rsidRPr="00BF4C64">
        <w:tab/>
      </w:r>
      <w:r w:rsidRPr="00BF4C64">
        <w:tab/>
      </w:r>
      <w:r w:rsidRPr="00BF4C64">
        <w:tab/>
      </w:r>
      <w:r w:rsidRPr="00BF4C64">
        <w:tab/>
      </w:r>
      <w:r w:rsidRPr="00BF4C64">
        <w:tab/>
      </w:r>
      <w:r w:rsidRPr="00BF4C64">
        <w:tab/>
        <w:t>Davi Passeri Teles</w:t>
      </w:r>
      <w:r>
        <w:rPr>
          <w:rStyle w:val="Refdenotaderodap"/>
        </w:rPr>
        <w:footnoteReference w:id="2"/>
      </w:r>
    </w:p>
    <w:p w14:paraId="275B3159" w14:textId="519FC8B8" w:rsidR="001A78D6" w:rsidRDefault="001A78D6">
      <w:pPr>
        <w:spacing w:after="240" w:line="360" w:lineRule="auto"/>
        <w:ind w:left="0" w:hanging="2"/>
      </w:pPr>
    </w:p>
    <w:p w14:paraId="7080F168" w14:textId="77777777" w:rsidR="001A78D6" w:rsidRDefault="00656A41" w:rsidP="00BD721D">
      <w:pPr>
        <w:spacing w:line="240" w:lineRule="auto"/>
        <w:ind w:leftChars="0" w:left="2837" w:firstLineChars="0" w:hanging="2"/>
        <w:jc w:val="both"/>
        <w:rPr>
          <w:sz w:val="20"/>
          <w:szCs w:val="20"/>
        </w:rPr>
      </w:pPr>
      <w:r>
        <w:rPr>
          <w:b/>
          <w:color w:val="000000"/>
          <w:sz w:val="20"/>
          <w:szCs w:val="20"/>
        </w:rPr>
        <w:t>Resumo</w:t>
      </w:r>
    </w:p>
    <w:p w14:paraId="1DBA06F6" w14:textId="77777777" w:rsidR="001A78D6" w:rsidRDefault="00656A41" w:rsidP="00BD721D">
      <w:pPr>
        <w:tabs>
          <w:tab w:val="left" w:pos="2969"/>
        </w:tabs>
        <w:spacing w:line="240" w:lineRule="auto"/>
        <w:ind w:leftChars="0" w:left="2837" w:firstLineChars="0" w:hanging="2"/>
        <w:rPr>
          <w:sz w:val="20"/>
          <w:szCs w:val="20"/>
        </w:rPr>
      </w:pPr>
      <w:r>
        <w:rPr>
          <w:sz w:val="20"/>
          <w:szCs w:val="20"/>
        </w:rPr>
        <w:tab/>
      </w:r>
    </w:p>
    <w:p w14:paraId="04A9DFAA" w14:textId="77777777" w:rsidR="001A78D6" w:rsidRDefault="00656A41" w:rsidP="00BD721D">
      <w:pPr>
        <w:spacing w:line="240" w:lineRule="auto"/>
        <w:ind w:leftChars="0" w:left="2837" w:firstLineChars="0" w:hanging="2"/>
        <w:jc w:val="both"/>
        <w:rPr>
          <w:sz w:val="20"/>
          <w:szCs w:val="20"/>
        </w:rPr>
      </w:pPr>
      <w:r>
        <w:rPr>
          <w:color w:val="000000"/>
          <w:sz w:val="20"/>
          <w:szCs w:val="20"/>
        </w:rPr>
        <w:t>Este trabalho tem como objetivo analisar a histórica vulnerabilidade das comunidades indígenas no Brasil, marcada por violências sistemáticas promovidas pelo Estado e pela sociedade civil, que resultaram em deslocamentos forçados e na luta pela preservação física e cultural desses povos. Além disso, examina os discursos proferidos no Senado Federal em defesa do Marco Temporal, demonstrando como os argumentos utilizados pelos parlamentares ignoram a realidade dos deslocamentos compulsórios sofridos pelos indígenas. Ao estabelecer a Constituição de 1988 como limite para a demarcação de terras, a tese do Marco Temporal inviabiliza o reconhecimento de territórios tradicionalmente ocupados após essa data, apagando conquistas históricas e agravando a marginalização dessas comunidades.</w:t>
      </w:r>
    </w:p>
    <w:p w14:paraId="03F63D80" w14:textId="77777777" w:rsidR="001A78D6" w:rsidRPr="000F362B" w:rsidRDefault="00656A41" w:rsidP="00BD721D">
      <w:pPr>
        <w:spacing w:line="240" w:lineRule="auto"/>
        <w:ind w:leftChars="0" w:left="2837" w:firstLineChars="0" w:hanging="2"/>
        <w:jc w:val="both"/>
        <w:rPr>
          <w:sz w:val="20"/>
          <w:szCs w:val="20"/>
          <w:lang w:val="en-US"/>
        </w:rPr>
      </w:pPr>
      <w:r>
        <w:rPr>
          <w:b/>
          <w:color w:val="000000"/>
          <w:sz w:val="20"/>
          <w:szCs w:val="20"/>
        </w:rPr>
        <w:t>Palavras-chave</w:t>
      </w:r>
      <w:r>
        <w:rPr>
          <w:color w:val="000000"/>
          <w:sz w:val="20"/>
          <w:szCs w:val="20"/>
        </w:rPr>
        <w:t xml:space="preserve">: Indígenas; Marco Temporal. </w:t>
      </w:r>
      <w:proofErr w:type="spellStart"/>
      <w:r w:rsidRPr="000F362B">
        <w:rPr>
          <w:color w:val="000000"/>
          <w:sz w:val="20"/>
          <w:szCs w:val="20"/>
          <w:lang w:val="en-US"/>
        </w:rPr>
        <w:t>Congressistas</w:t>
      </w:r>
      <w:proofErr w:type="spellEnd"/>
      <w:r w:rsidRPr="000F362B">
        <w:rPr>
          <w:color w:val="000000"/>
          <w:sz w:val="20"/>
          <w:szCs w:val="20"/>
          <w:lang w:val="en-US"/>
        </w:rPr>
        <w:t>.</w:t>
      </w:r>
    </w:p>
    <w:p w14:paraId="18A20895" w14:textId="77777777" w:rsidR="001A78D6" w:rsidRPr="000F362B" w:rsidRDefault="001A78D6" w:rsidP="00BD721D">
      <w:pPr>
        <w:spacing w:line="240" w:lineRule="auto"/>
        <w:ind w:leftChars="0" w:left="2837" w:firstLineChars="0" w:hanging="2"/>
        <w:rPr>
          <w:sz w:val="20"/>
          <w:szCs w:val="20"/>
          <w:lang w:val="en-US"/>
        </w:rPr>
      </w:pPr>
    </w:p>
    <w:p w14:paraId="1B2FEEA2" w14:textId="77777777" w:rsidR="001A78D6" w:rsidRPr="000F362B" w:rsidRDefault="00656A41" w:rsidP="00BD721D">
      <w:pPr>
        <w:spacing w:line="240" w:lineRule="auto"/>
        <w:ind w:leftChars="0" w:left="2837" w:firstLineChars="0" w:hanging="2"/>
        <w:jc w:val="both"/>
        <w:rPr>
          <w:sz w:val="20"/>
          <w:szCs w:val="20"/>
          <w:lang w:val="en-US"/>
        </w:rPr>
      </w:pPr>
      <w:r w:rsidRPr="000F362B">
        <w:rPr>
          <w:b/>
          <w:color w:val="000000"/>
          <w:sz w:val="20"/>
          <w:szCs w:val="20"/>
          <w:lang w:val="en-US"/>
        </w:rPr>
        <w:t>Abstract</w:t>
      </w:r>
    </w:p>
    <w:p w14:paraId="18E280AA" w14:textId="77777777" w:rsidR="001A78D6" w:rsidRPr="000F362B" w:rsidRDefault="001A78D6" w:rsidP="00BD721D">
      <w:pPr>
        <w:spacing w:line="240" w:lineRule="auto"/>
        <w:ind w:leftChars="0" w:left="2837" w:firstLineChars="0" w:hanging="2"/>
        <w:rPr>
          <w:sz w:val="20"/>
          <w:szCs w:val="20"/>
          <w:lang w:val="en-US"/>
        </w:rPr>
      </w:pPr>
    </w:p>
    <w:p w14:paraId="446EBBFF" w14:textId="28EC86F4" w:rsidR="001A78D6" w:rsidRPr="000F362B" w:rsidRDefault="00656A41" w:rsidP="00BD721D">
      <w:pPr>
        <w:spacing w:line="240" w:lineRule="auto"/>
        <w:ind w:leftChars="0" w:left="2837" w:firstLineChars="0" w:hanging="2"/>
        <w:jc w:val="both"/>
        <w:rPr>
          <w:sz w:val="20"/>
          <w:szCs w:val="20"/>
          <w:lang w:val="en-US"/>
        </w:rPr>
      </w:pPr>
      <w:r w:rsidRPr="000F362B">
        <w:rPr>
          <w:color w:val="000000"/>
          <w:sz w:val="20"/>
          <w:szCs w:val="20"/>
          <w:lang w:val="en-US"/>
        </w:rPr>
        <w:t>This paper aims to analyze the historical vulnerability of Indigenous communities in Brazil, marked by systematic violence perpetrated by the State and civil society, which has resulted in forced displacements and ongoing struggles for physical and cultural preservation. Furthermore, it examines speeches delivered in the Federal Senate in defense of the so-called Marco Temporal (Time Frame Thesis), demonstrating how the arguments employed by lawmakers disregard the reality of forced removals endured by Indigenous peoples. By establishing the 1988 Constitution as the cutoff date for land demarcation, the Marco Temporal thesis undermines the recognition of traditionally occupied territories after that date, erasing historical achievements and exacerbating the marginalization of these communities.  </w:t>
      </w:r>
    </w:p>
    <w:p w14:paraId="3083E21F" w14:textId="7E0893E3" w:rsidR="001A78D6" w:rsidRDefault="00656A41" w:rsidP="00BD721D">
      <w:pPr>
        <w:spacing w:line="240" w:lineRule="auto"/>
        <w:ind w:leftChars="0" w:left="2837" w:firstLineChars="0" w:hanging="2"/>
        <w:jc w:val="both"/>
        <w:rPr>
          <w:sz w:val="20"/>
          <w:szCs w:val="20"/>
          <w:lang w:val="en-US"/>
        </w:rPr>
      </w:pPr>
      <w:r w:rsidRPr="000F362B">
        <w:rPr>
          <w:b/>
          <w:color w:val="000000"/>
          <w:sz w:val="20"/>
          <w:szCs w:val="20"/>
          <w:lang w:val="en-US"/>
        </w:rPr>
        <w:t>Keywords</w:t>
      </w:r>
      <w:r w:rsidRPr="000F362B">
        <w:rPr>
          <w:color w:val="000000"/>
          <w:sz w:val="20"/>
          <w:szCs w:val="20"/>
          <w:lang w:val="en-US"/>
        </w:rPr>
        <w:t>: Indigenous; Time Frame Thesis; Lawmakers</w:t>
      </w:r>
    </w:p>
    <w:p w14:paraId="6D712124" w14:textId="77777777" w:rsidR="000F362B" w:rsidRPr="000F362B" w:rsidRDefault="000F362B" w:rsidP="000F362B">
      <w:pPr>
        <w:spacing w:line="240" w:lineRule="auto"/>
        <w:ind w:leftChars="500" w:left="1102" w:hanging="2"/>
        <w:jc w:val="both"/>
        <w:rPr>
          <w:sz w:val="20"/>
          <w:szCs w:val="20"/>
          <w:lang w:val="en-US"/>
        </w:rPr>
      </w:pPr>
    </w:p>
    <w:p w14:paraId="4E869188" w14:textId="77777777" w:rsidR="001A78D6" w:rsidRDefault="00656A41">
      <w:pPr>
        <w:spacing w:line="360" w:lineRule="auto"/>
        <w:ind w:left="0" w:hanging="2"/>
        <w:jc w:val="both"/>
        <w:rPr>
          <w:sz w:val="24"/>
          <w:szCs w:val="24"/>
        </w:rPr>
      </w:pPr>
      <w:r>
        <w:rPr>
          <w:b/>
          <w:color w:val="000000"/>
          <w:sz w:val="24"/>
          <w:szCs w:val="24"/>
        </w:rPr>
        <w:lastRenderedPageBreak/>
        <w:t>1</w:t>
      </w:r>
      <w:r>
        <w:rPr>
          <w:b/>
          <w:color w:val="000000"/>
          <w:sz w:val="24"/>
          <w:szCs w:val="24"/>
        </w:rPr>
        <w:tab/>
        <w:t>INTRODUÇÃO</w:t>
      </w:r>
    </w:p>
    <w:p w14:paraId="1B89F92E" w14:textId="77777777" w:rsidR="001A78D6" w:rsidRDefault="00656A41" w:rsidP="00BD721D">
      <w:pPr>
        <w:spacing w:line="360" w:lineRule="auto"/>
        <w:ind w:leftChars="0" w:firstLineChars="0" w:firstLine="709"/>
        <w:jc w:val="both"/>
        <w:rPr>
          <w:color w:val="000000"/>
          <w:sz w:val="24"/>
          <w:szCs w:val="24"/>
        </w:rPr>
      </w:pPr>
      <w:r>
        <w:rPr>
          <w:color w:val="000000"/>
          <w:sz w:val="24"/>
          <w:szCs w:val="24"/>
        </w:rPr>
        <w:t>Diferentes estudos mostram que as relações do Estado e do conjunto da sociedade brasileira com as populações indígenas é historicamente marcada pelos signos da violência física e simbólica. Isto tem se traduzido em indicadores sociais diferenciados entre tais populações e outros grupos étnico-raciais, a exemplo da população branca. Esta apresenta, por exemplo, níveis de escolaridade e de acesso a serviços de saúde e assistenciais bem mais elevados do que aquelas. Ao mesmo tempo, nas populações indígenas encontram-se maiores taxas de alcoolismo e suicídio, aliadas a uma expectativa menor de vida, quando comparadas àquelas presentes entre os sujeitos brancos. Soma-se a isso o recorrente esforço de grilagem e expropriação das suas terras tanto por agentes privados como por agentes públicos.</w:t>
      </w:r>
    </w:p>
    <w:p w14:paraId="17292D55" w14:textId="77777777" w:rsidR="001A78D6" w:rsidRDefault="00656A41" w:rsidP="00BD721D">
      <w:pPr>
        <w:spacing w:line="360" w:lineRule="auto"/>
        <w:ind w:left="-2" w:firstLineChars="0" w:firstLine="709"/>
        <w:jc w:val="both"/>
        <w:rPr>
          <w:color w:val="000000"/>
          <w:sz w:val="24"/>
          <w:szCs w:val="24"/>
        </w:rPr>
      </w:pPr>
      <w:r>
        <w:rPr>
          <w:color w:val="000000"/>
          <w:sz w:val="24"/>
          <w:szCs w:val="24"/>
        </w:rPr>
        <w:t>A grilagem e a expropriação referidas têm encontrado apoio no Congresso Nacional, como bem se vê nos debates que ali têm se dado em torno da tese do chamado “marco temporal”. A tese, sumariamente explicitada, estabelece a promulgação da Constituição de 1988 como data limite para o processo de demarcação de terras indígenas, o que, na prática, impediria a continuidade de processos de demarcação em andamento  e colocaria em risco os territórios conquistados após o marco constitucional.</w:t>
      </w:r>
    </w:p>
    <w:p w14:paraId="21BCE4A1" w14:textId="77777777" w:rsidR="001A78D6" w:rsidRDefault="00656A41" w:rsidP="00BD721D">
      <w:pPr>
        <w:spacing w:line="360" w:lineRule="auto"/>
        <w:ind w:left="-2" w:firstLineChars="0" w:firstLine="709"/>
        <w:jc w:val="both"/>
        <w:rPr>
          <w:sz w:val="24"/>
          <w:szCs w:val="24"/>
        </w:rPr>
      </w:pPr>
      <w:r>
        <w:rPr>
          <w:color w:val="000000"/>
          <w:sz w:val="24"/>
          <w:szCs w:val="24"/>
        </w:rPr>
        <w:t>O presente trabalho tem como objetivo identificar e analisar os discursos de defesa da tese em epígrafe proferidos no Senado da República, entendendo-a como uma parte constituinte importante das violações dos direitos dos povos originários. Para tanto, foram analisadas as estratégias argumentativas utilizadas por parlamentares em seus pronunciamentos na tribuna por meio  de uma série de discursos disponibilizados em linguagem escrita no site daquela casa legislativa. Após a leitura, os discursos foram submetidos a análise temática. </w:t>
      </w:r>
    </w:p>
    <w:p w14:paraId="669BCAA7" w14:textId="77777777" w:rsidR="001A78D6" w:rsidRDefault="00656A41">
      <w:pPr>
        <w:spacing w:line="360" w:lineRule="auto"/>
        <w:ind w:left="0" w:hanging="2"/>
        <w:jc w:val="both"/>
        <w:rPr>
          <w:sz w:val="24"/>
          <w:szCs w:val="24"/>
        </w:rPr>
      </w:pPr>
      <w:r>
        <w:rPr>
          <w:b/>
          <w:color w:val="000000"/>
          <w:sz w:val="24"/>
          <w:szCs w:val="24"/>
        </w:rPr>
        <w:t xml:space="preserve">2 O CONGRESSO, LOBBY ANTI-INDÍGENA E A TESE DO MARCO TEMPORAL </w:t>
      </w:r>
    </w:p>
    <w:p w14:paraId="01BA6487" w14:textId="77777777" w:rsidR="001A78D6" w:rsidRDefault="00656A41" w:rsidP="00BD721D">
      <w:pPr>
        <w:spacing w:line="360" w:lineRule="auto"/>
        <w:ind w:left="-2" w:firstLineChars="0" w:firstLine="709"/>
        <w:jc w:val="both"/>
        <w:rPr>
          <w:sz w:val="24"/>
          <w:szCs w:val="24"/>
          <w:highlight w:val="white"/>
        </w:rPr>
      </w:pPr>
      <w:r>
        <w:rPr>
          <w:sz w:val="24"/>
          <w:szCs w:val="24"/>
        </w:rPr>
        <w:t xml:space="preserve">Dentro do campo da política institucional, principal objeto do presente trabalho, a violência também é evidente. É possível observar inúmeras tentativas de parlamentares no sentido de derrubar ou relativizar direitos indígenas historicamente </w:t>
      </w:r>
      <w:r>
        <w:rPr>
          <w:sz w:val="24"/>
          <w:szCs w:val="24"/>
        </w:rPr>
        <w:lastRenderedPageBreak/>
        <w:t xml:space="preserve">conquistados em favor dos interesses das classes que representam. Como exemplo emblemático, observa-se a Frente Parlamentar da Agropecuária (FPA), popularmente conhecida como “bancada do boi”, que visa ser </w:t>
      </w:r>
      <w:r>
        <w:rPr>
          <w:sz w:val="24"/>
          <w:szCs w:val="24"/>
          <w:highlight w:val="white"/>
        </w:rPr>
        <w:t xml:space="preserve">representante das elites agrárias e agroindustriais brasileiras. A frente conta, atualmente, com 303 deputados (aproximadamente 60% das câmara) e 50 senadores (aproximadamente 60% do senado). </w:t>
      </w:r>
      <w:r>
        <w:rPr>
          <w:sz w:val="24"/>
          <w:szCs w:val="24"/>
        </w:rPr>
        <w:t xml:space="preserve">Nesse sentido,  é possível inferir que a bancada abarca uma ampla porção do espectro político, alcançando setores que vão do centro à extrema direita, historicamente ligados a uma agenda empresarial interessada na exploração de commodities, que vão de encontro direto com a necessidade de preservação de terras indígenas. </w:t>
      </w:r>
      <w:r>
        <w:rPr>
          <w:sz w:val="24"/>
          <w:szCs w:val="24"/>
          <w:highlight w:val="white"/>
        </w:rPr>
        <w:t xml:space="preserve">A grande quantidade de parlamentares, confere a bancada um grande poder de negociação e a imposição de suas pautas na agenda nacional. Dentre essas pautas, figura-se a tese do marco temporal. </w:t>
      </w:r>
    </w:p>
    <w:p w14:paraId="66AF4C2F" w14:textId="77777777" w:rsidR="001A78D6" w:rsidRDefault="00656A41" w:rsidP="00BD721D">
      <w:pPr>
        <w:spacing w:line="360" w:lineRule="auto"/>
        <w:ind w:left="-2" w:firstLineChars="0" w:firstLine="709"/>
        <w:jc w:val="both"/>
        <w:rPr>
          <w:color w:val="FF0000"/>
          <w:sz w:val="24"/>
          <w:szCs w:val="24"/>
        </w:rPr>
      </w:pPr>
      <w:r>
        <w:rPr>
          <w:sz w:val="24"/>
          <w:szCs w:val="24"/>
          <w:highlight w:val="white"/>
        </w:rPr>
        <w:t>Tal tese estabelece a promulgação da Constituição de 1988 como limite para a demarcação de terras indígenas. Essa interpretação, além de inviabilizar processos em curso, ameaça territórios consolidados após o marco constitucional. Ao adotar a Carta Magna como único parâmetro válido, desconsidera-se a violência estrutural que legou aos povos originários uma realidade de deslocamentos complexos que transcendem a simplificação imposta pelo marco temporal. Além disso</w:t>
      </w:r>
      <w:r>
        <w:rPr>
          <w:sz w:val="24"/>
          <w:szCs w:val="24"/>
        </w:rPr>
        <w:t>, deve-se frisar que o projeto de lei em questão não apenas impede a demarcação de terras indígenas e anula aquelas estabelecidas pós-1988, como também incide gravemente sobre os territórios historicamente demarcados, permitindo a instalação de bases militares, rodovias, obras de infraestrutura e a prática de mineração dentro de território.</w:t>
      </w:r>
    </w:p>
    <w:p w14:paraId="6E0A894E" w14:textId="77777777" w:rsidR="001A78D6" w:rsidRDefault="00656A41" w:rsidP="00BD721D">
      <w:pPr>
        <w:spacing w:line="360" w:lineRule="auto"/>
        <w:ind w:left="-2" w:firstLineChars="0" w:firstLine="709"/>
        <w:jc w:val="both"/>
        <w:rPr>
          <w:sz w:val="24"/>
          <w:szCs w:val="24"/>
        </w:rPr>
      </w:pPr>
      <w:r>
        <w:rPr>
          <w:sz w:val="24"/>
          <w:szCs w:val="24"/>
        </w:rPr>
        <w:t xml:space="preserve">Vale destacar que embora a FPA tenha dissidências internas em virtude da sua heterogeneidade política-ideológica, ela apresenta grande convergência retórica, recorrendo sistematicamente a um repertório argumentativo padronizado em defesa da tese. Para compreender como esse projeto de lei foi inserido na agenda da política institucional, analisar as manifestações parlamentares no Senado Federal sobre o tema revelou-se essencial. A partir desse exame, foi possível identificar uma série de argumentos recorrentes — sociais, econômicos e políticos — mobilizados em defesa </w:t>
      </w:r>
      <w:r>
        <w:rPr>
          <w:sz w:val="24"/>
          <w:szCs w:val="24"/>
        </w:rPr>
        <w:lastRenderedPageBreak/>
        <w:t>da proposta. Todos eles figuram em maior ou menor grau nos discursos de cada senador defensor da proposta, independentemente do posicionamento ideológico. Vale ressaltar, de antemão, que embora a categorização a seguir seja individualizada por questões metodológicas e didáticas, os eixos temáticos das argumentações são profundamente interseccionais, podendo abranger uma ou mais das categorias estabelecidas a seguir.</w:t>
      </w:r>
    </w:p>
    <w:p w14:paraId="25426B33" w14:textId="77777777" w:rsidR="001A78D6" w:rsidRDefault="00656A41" w:rsidP="00BD721D">
      <w:pPr>
        <w:spacing w:line="360" w:lineRule="auto"/>
        <w:ind w:left="-2" w:firstLineChars="0" w:firstLine="709"/>
        <w:jc w:val="both"/>
        <w:rPr>
          <w:sz w:val="24"/>
          <w:szCs w:val="24"/>
        </w:rPr>
      </w:pPr>
      <w:r>
        <w:rPr>
          <w:sz w:val="24"/>
          <w:szCs w:val="24"/>
        </w:rPr>
        <w:t xml:space="preserve">Do ponto de vista social, dois argumentos se destacam: a alegação de insegurança jurídica e um etnocentrismo flagrante. Na análise dos discursos, a retórica da insegurança jurídica foi a mais frequente entre os parlamentares favoráveis ao Marco Temporal — desde o extremista Zé Trovão (PL/SC) até o supostamente "moderado" Arthur Maia (União Brasil/BA), relator do projeto. Para esses congressistas, a demarcação de terras indígenas representaria uma ameaça ao direito à propriedade, considerado inalienável no ordenamento jurídico. Tal fato, portanto, provocaria uma sensação de imprevisibilidade nos produtores brasileiros, que não se sentiriam seguros em investir na compra de terras, e em produzir, pois correriam o risco de perdê-las para demarcações de terras indígenas. Além disso, é possível observar a afirmação constante  que a disputa por terras estaria agravando conflitos no campo, justificando o projeto como solução pacificadora para tais problemas, como exemplificado a seguir a partir do discurso proferido pelo senador Jorge </w:t>
      </w:r>
      <w:proofErr w:type="spellStart"/>
      <w:r>
        <w:rPr>
          <w:sz w:val="24"/>
          <w:szCs w:val="24"/>
        </w:rPr>
        <w:t>Seif</w:t>
      </w:r>
      <w:proofErr w:type="spellEnd"/>
      <w:r>
        <w:rPr>
          <w:sz w:val="24"/>
          <w:szCs w:val="24"/>
        </w:rPr>
        <w:t xml:space="preserve"> do Partido Liberal (PL) de Santa Catarina:</w:t>
      </w:r>
    </w:p>
    <w:p w14:paraId="001752BB" w14:textId="77777777" w:rsidR="001A78D6" w:rsidRDefault="001A78D6">
      <w:pPr>
        <w:spacing w:line="360" w:lineRule="auto"/>
        <w:ind w:left="0" w:hanging="2"/>
        <w:jc w:val="both"/>
      </w:pPr>
    </w:p>
    <w:p w14:paraId="19CD8330" w14:textId="1CFACBAB" w:rsidR="001A78D6" w:rsidRDefault="00656A41" w:rsidP="00BD721D">
      <w:pPr>
        <w:spacing w:line="240" w:lineRule="auto"/>
        <w:ind w:leftChars="0" w:left="2270" w:firstLineChars="0" w:hanging="2"/>
        <w:jc w:val="both"/>
        <w:rPr>
          <w:sz w:val="20"/>
          <w:szCs w:val="20"/>
        </w:rPr>
      </w:pPr>
      <w:r>
        <w:rPr>
          <w:sz w:val="20"/>
          <w:szCs w:val="20"/>
        </w:rPr>
        <w:t xml:space="preserve">(...) hoje, produtores, por exemplo, do meu estado, Santa Catarina,(...), imigrantes que chegaram ao Brasil em 1900, há 100 anos, 120, 130 anos, que praticamente abriram a mata virgem, ali se instalaram, e hoje são uma força na agricultura familiar, são ameaçados de ter suas terras demarcadas como terras indígenas, uma insegurança jurídica tremenda, grave, e ainda colocando em guerra, porque não é povo indígena ou não indígena; somos todos brasileiros.  (BRASIL. 2023) </w:t>
      </w:r>
    </w:p>
    <w:p w14:paraId="7C2E8534" w14:textId="77777777" w:rsidR="001A78D6" w:rsidRDefault="001A78D6">
      <w:pPr>
        <w:spacing w:line="240" w:lineRule="auto"/>
        <w:ind w:left="0" w:hanging="2"/>
        <w:jc w:val="both"/>
        <w:rPr>
          <w:sz w:val="20"/>
          <w:szCs w:val="20"/>
        </w:rPr>
      </w:pPr>
    </w:p>
    <w:p w14:paraId="1FB90F4D" w14:textId="0F73DEE3" w:rsidR="001A78D6" w:rsidRDefault="00656A41" w:rsidP="00BD721D">
      <w:pPr>
        <w:spacing w:line="360" w:lineRule="auto"/>
        <w:ind w:left="-2" w:firstLineChars="0" w:firstLine="851"/>
        <w:jc w:val="both"/>
        <w:rPr>
          <w:sz w:val="24"/>
          <w:szCs w:val="24"/>
        </w:rPr>
      </w:pPr>
      <w:r>
        <w:rPr>
          <w:sz w:val="24"/>
          <w:szCs w:val="24"/>
        </w:rPr>
        <w:t xml:space="preserve">Nessa retórica, o debate ganha tons demagógicos, uma vez que evocam pequenos produtores rurais – alegando que famílias estariam sendo expulsas de suas terras sem uma indenização justa, em uma tentativa clara de mobilizar comoção entre </w:t>
      </w:r>
      <w:r>
        <w:rPr>
          <w:sz w:val="24"/>
          <w:szCs w:val="24"/>
        </w:rPr>
        <w:lastRenderedPageBreak/>
        <w:t xml:space="preserve">parlamentares e eleitores. Contudo, essa informação é falaciosa, uma vez que o parágrafo 6 do Artigo 231 da Constituição Federal prevê indenização “quanto às benfeitorias derivadas da ocupação de boa-fé” (Brasil, 1988). Ou seja, quando </w:t>
      </w:r>
      <w:proofErr w:type="gramStart"/>
      <w:r>
        <w:rPr>
          <w:sz w:val="24"/>
          <w:szCs w:val="24"/>
        </w:rPr>
        <w:t>ocupa-se</w:t>
      </w:r>
      <w:proofErr w:type="gramEnd"/>
      <w:r>
        <w:rPr>
          <w:sz w:val="24"/>
          <w:szCs w:val="24"/>
        </w:rPr>
        <w:t xml:space="preserve"> um bem, nesse caso a terra, acreditando sinceramente que tem o direito de fazê-lo, e se realiza obras de infraestrutura, como a construção de casas, celeiros, entre outros, é possível recorrer para ganhar indenização frente a um processo de desapropriação para demarcação. Caso contrário, o Estado estaria recompensando um invasor por um crime, nesse caso a grilagem, e </w:t>
      </w:r>
      <w:r>
        <w:rPr>
          <w:sz w:val="24"/>
          <w:szCs w:val="24"/>
          <w:highlight w:val="white"/>
        </w:rPr>
        <w:t>pagando por uma terra que já lhe pertence</w:t>
      </w:r>
      <w:r>
        <w:rPr>
          <w:sz w:val="24"/>
          <w:szCs w:val="24"/>
        </w:rPr>
        <w:t xml:space="preserve">. </w:t>
      </w:r>
    </w:p>
    <w:p w14:paraId="198CC488" w14:textId="334E11A3" w:rsidR="001A78D6" w:rsidRDefault="00656A41" w:rsidP="00BD721D">
      <w:pPr>
        <w:spacing w:line="360" w:lineRule="auto"/>
        <w:ind w:left="-2" w:firstLineChars="0" w:firstLine="851"/>
        <w:jc w:val="both"/>
        <w:rPr>
          <w:sz w:val="24"/>
          <w:szCs w:val="24"/>
        </w:rPr>
      </w:pPr>
      <w:r>
        <w:rPr>
          <w:sz w:val="24"/>
          <w:szCs w:val="24"/>
        </w:rPr>
        <w:t>Para fundamentar essas posições, os discursos promovem um ataque aos processos de demarcação, especialmente ao papel da FUNAI, retratada como viciosa, arbitrária, autoritária e imprecisa. Apesar de possuir um passado obscuro, hoje a instituição atua como um órgão modelo na proteção dos direitos dos povos indígenas, por meio de demarcação e monitoramento de terras indígenas, políticas de proteção aos povos isolados, desenvolvimento sustentável e seguridade social. Sobre isso, destaca-se a fala de Kátia Abreu, ex-Ministra da Agricultura Pecuária e Abastecimento e ex-presidente da Federação da Agricultura e Pecuária do Estado do Tocantins de 1995 a 2005 e também da Confederação da Agricultura e Pecuária do Brasil</w:t>
      </w:r>
      <w:r w:rsidR="00C10CC3">
        <w:rPr>
          <w:sz w:val="24"/>
          <w:szCs w:val="24"/>
        </w:rPr>
        <w:t xml:space="preserve"> </w:t>
      </w:r>
      <w:r>
        <w:rPr>
          <w:sz w:val="24"/>
          <w:szCs w:val="24"/>
        </w:rPr>
        <w:t xml:space="preserve">de 2008 a 2011: </w:t>
      </w:r>
    </w:p>
    <w:p w14:paraId="485C5ACA" w14:textId="77777777" w:rsidR="001A78D6" w:rsidRDefault="001A78D6">
      <w:pPr>
        <w:spacing w:line="360" w:lineRule="auto"/>
        <w:ind w:left="0" w:hanging="2"/>
        <w:jc w:val="both"/>
      </w:pPr>
    </w:p>
    <w:p w14:paraId="1A13D8DE" w14:textId="085CBA2C" w:rsidR="001A78D6" w:rsidRDefault="00656A41" w:rsidP="00BD721D">
      <w:pPr>
        <w:spacing w:line="240" w:lineRule="auto"/>
        <w:ind w:leftChars="0" w:left="2270" w:firstLineChars="0" w:hanging="2"/>
        <w:jc w:val="both"/>
        <w:rPr>
          <w:sz w:val="20"/>
          <w:szCs w:val="20"/>
        </w:rPr>
      </w:pPr>
      <w:r>
        <w:rPr>
          <w:sz w:val="20"/>
          <w:szCs w:val="20"/>
        </w:rPr>
        <w:t xml:space="preserve">A Funai faz questão absoluta de isolar os índios na fome, na miséria e na pobreza para fazer valer o seu poder e a sua autoridade. A Funai não quer ouvir os índios que reclamam de saúde, reclamam de escola, reclamam de celular, de televisão, de casa decente. Não! Ela quer aprisionar os índios no meio do mato, na floresta, como se fosse a poderosa, autônoma e mandatária desses seres humanos. Os brasileiros índios (...) querem exatamente o que querem os brasileiros negros, os brasileiros brancos, os homens e as mulheres deste País: conforto, decência, casa, água para tomar banho, comida todos os dias. Mas a Funai é arcaica, bizantina, faz questão absoluta de fazer de conta que não está ouvindo os índios. Podem até existir grupos de índios que querem o isolamento, por opção, e nós temos que respeitá-los; mas a grande maioria, segundo pesquisa Datafolha, contratada pela CNA, quer viver bem; os índios querem viver bem. A Funai não tem o direito de continuar escravizando e mantendo os índios isolados, deixando-os em petição de miséria, à mercê da droga, do alcoolismo, da gravidez na </w:t>
      </w:r>
      <w:r>
        <w:rPr>
          <w:sz w:val="20"/>
          <w:szCs w:val="20"/>
        </w:rPr>
        <w:lastRenderedPageBreak/>
        <w:t xml:space="preserve">adolescência, da prostituição infantil, como estamos vendo em várias aldeias do País. Temos que proteger os índios como protegemos os brancos, que são, também, desprotegidos em várias partes, em vários lugares.”  </w:t>
      </w:r>
      <w:r>
        <w:rPr>
          <w:sz w:val="18"/>
          <w:szCs w:val="18"/>
        </w:rPr>
        <w:t>(BRASIL. 2013)</w:t>
      </w:r>
    </w:p>
    <w:p w14:paraId="06737C31" w14:textId="77777777" w:rsidR="001A78D6" w:rsidRDefault="001A78D6">
      <w:pPr>
        <w:spacing w:line="360" w:lineRule="auto"/>
        <w:ind w:left="0" w:hanging="2"/>
        <w:jc w:val="both"/>
      </w:pPr>
    </w:p>
    <w:p w14:paraId="1770187A" w14:textId="77777777" w:rsidR="001A78D6" w:rsidRDefault="00656A41" w:rsidP="00BD721D">
      <w:pPr>
        <w:spacing w:line="360" w:lineRule="auto"/>
        <w:ind w:left="-2" w:firstLineChars="0" w:firstLine="709"/>
        <w:jc w:val="both"/>
        <w:rPr>
          <w:sz w:val="24"/>
          <w:szCs w:val="24"/>
        </w:rPr>
      </w:pPr>
      <w:r>
        <w:rPr>
          <w:sz w:val="24"/>
          <w:szCs w:val="24"/>
        </w:rPr>
        <w:t xml:space="preserve">Por conseguinte, ao longo dos argumentos, destaca-se a famosa “tese de Copacabana”, utilizada por Gilmar Mendes em 2014, durante a anulação da demarcação da Terra Indígena </w:t>
      </w:r>
      <w:proofErr w:type="spellStart"/>
      <w:r>
        <w:rPr>
          <w:sz w:val="24"/>
          <w:szCs w:val="24"/>
        </w:rPr>
        <w:t>Guyraroká</w:t>
      </w:r>
      <w:proofErr w:type="spellEnd"/>
      <w:r>
        <w:rPr>
          <w:sz w:val="24"/>
          <w:szCs w:val="24"/>
        </w:rPr>
        <w:t>, no Mato Grosso do Sul. Segundo o ministro, se todas as demandas por  demarcação fossem atendidas, chegaria um momento em que seria possível “resgatar esses apartamentos de Copacabana, sem dúvida nenhuma, porque, certamente, em algum momento, vai ter-se a posse indígena” (</w:t>
      </w:r>
      <w:r>
        <w:rPr>
          <w:sz w:val="24"/>
          <w:szCs w:val="24"/>
          <w:highlight w:val="white"/>
        </w:rPr>
        <w:t>Rodrigues</w:t>
      </w:r>
      <w:r>
        <w:rPr>
          <w:b/>
          <w:sz w:val="24"/>
          <w:szCs w:val="24"/>
          <w:highlight w:val="white"/>
        </w:rPr>
        <w:t xml:space="preserve">, </w:t>
      </w:r>
      <w:r>
        <w:rPr>
          <w:sz w:val="24"/>
          <w:szCs w:val="24"/>
        </w:rPr>
        <w:t xml:space="preserve">2023). De modo análogo, defensores do Marco Temporal recorrem a esse mesmo argumento para incutir medo nos eleitores, alegando que a demarcação de terras indígenas poderia ameaçar propriedades urbanas consolidadas há décadas ou mesmo séculos. Tal argumentação é extremamente bem ilustrada por meio do discurso de Zequinha Marinho (PODEMOS/PA), que, ao referir-se </w:t>
      </w:r>
      <w:proofErr w:type="gramStart"/>
      <w:r>
        <w:rPr>
          <w:sz w:val="24"/>
          <w:szCs w:val="24"/>
        </w:rPr>
        <w:t>a</w:t>
      </w:r>
      <w:proofErr w:type="gramEnd"/>
      <w:r>
        <w:rPr>
          <w:sz w:val="24"/>
          <w:szCs w:val="24"/>
        </w:rPr>
        <w:t xml:space="preserve"> cidade de Belém afirma que: </w:t>
      </w:r>
    </w:p>
    <w:p w14:paraId="4267CE65" w14:textId="77777777" w:rsidR="001A78D6" w:rsidRDefault="001A78D6">
      <w:pPr>
        <w:spacing w:line="360" w:lineRule="auto"/>
        <w:ind w:left="0" w:hanging="2"/>
        <w:jc w:val="both"/>
      </w:pPr>
    </w:p>
    <w:p w14:paraId="2365DCDF" w14:textId="77777777" w:rsidR="001A78D6" w:rsidRDefault="00656A41" w:rsidP="00BD721D">
      <w:pPr>
        <w:spacing w:line="240" w:lineRule="auto"/>
        <w:ind w:leftChars="0" w:left="2270" w:firstLineChars="0" w:hanging="2"/>
        <w:jc w:val="both"/>
        <w:rPr>
          <w:sz w:val="18"/>
          <w:szCs w:val="18"/>
        </w:rPr>
      </w:pPr>
      <w:r>
        <w:rPr>
          <w:sz w:val="20"/>
          <w:szCs w:val="20"/>
        </w:rPr>
        <w:t xml:space="preserve">Sem o marco temporal, a feira do Ver-o-Peso – tão querida por todos nós, a feira do Ver-o-Peso, o maior cartão postal de Belém – poderá ser tomada por indígenas que defenderem a posse daquele terreno. É desse jeito o negócio. E o que falar dos casarões históricos da Avenida Nazaré? Serão derrubados para voltar com as ocas de descendentes indígenas que passaram por aquela região? E o </w:t>
      </w:r>
      <w:proofErr w:type="spellStart"/>
      <w:r>
        <w:rPr>
          <w:sz w:val="20"/>
          <w:szCs w:val="20"/>
        </w:rPr>
        <w:t>Theatro</w:t>
      </w:r>
      <w:proofErr w:type="spellEnd"/>
      <w:r>
        <w:rPr>
          <w:sz w:val="20"/>
          <w:szCs w:val="20"/>
        </w:rPr>
        <w:t xml:space="preserve"> da Paz, o Aeroporto de Belém, a Estação das Docas, a casa do Seu Raimundo, da D. Maria, do Seu João, tudo, absolutamente tudo pode ter a sua posse requisitada por indígenas que se julgarem descendentes daqueles que lá estiveram antes da chegada de Castelo Branco. E, assim como Belém, todo o território brasileiro pode sofrer com essa insegurança se o marco temporal não for estabelecido no País. Sem um prazo para demarcação de terra indígena, qualquer área do território nacional pode ser questionada sem nenhum tipo de indenização. Sem o marco temporal de 1988, a demarcação de terras indígenas volta a ser feita por critérios subjetivos, ficando sujeita a interpretações ou a questões ideológicas.  </w:t>
      </w:r>
      <w:r>
        <w:rPr>
          <w:sz w:val="18"/>
          <w:szCs w:val="18"/>
        </w:rPr>
        <w:t>(BRASIL. 2023)</w:t>
      </w:r>
    </w:p>
    <w:p w14:paraId="15D72B3C" w14:textId="77777777" w:rsidR="001A78D6" w:rsidRDefault="001A78D6">
      <w:pPr>
        <w:spacing w:line="240" w:lineRule="auto"/>
        <w:ind w:left="0" w:hanging="2"/>
        <w:jc w:val="both"/>
        <w:rPr>
          <w:sz w:val="18"/>
          <w:szCs w:val="18"/>
        </w:rPr>
      </w:pPr>
    </w:p>
    <w:p w14:paraId="7AA25690" w14:textId="77777777" w:rsidR="001A78D6" w:rsidRDefault="001A78D6">
      <w:pPr>
        <w:spacing w:line="240" w:lineRule="auto"/>
        <w:ind w:left="0" w:hanging="2"/>
        <w:jc w:val="both"/>
        <w:rPr>
          <w:sz w:val="18"/>
          <w:szCs w:val="18"/>
        </w:rPr>
      </w:pPr>
    </w:p>
    <w:p w14:paraId="40DFD43D" w14:textId="77777777" w:rsidR="001A78D6" w:rsidRDefault="001A78D6">
      <w:pPr>
        <w:spacing w:line="240" w:lineRule="auto"/>
        <w:ind w:left="0" w:hanging="2"/>
        <w:jc w:val="both"/>
        <w:rPr>
          <w:sz w:val="18"/>
          <w:szCs w:val="18"/>
        </w:rPr>
      </w:pPr>
    </w:p>
    <w:p w14:paraId="65DE00CC" w14:textId="77777777" w:rsidR="001A78D6" w:rsidRDefault="00656A41" w:rsidP="00C10CC3">
      <w:pPr>
        <w:spacing w:line="360" w:lineRule="auto"/>
        <w:ind w:left="-2" w:firstLineChars="0" w:firstLine="709"/>
        <w:jc w:val="both"/>
        <w:rPr>
          <w:sz w:val="24"/>
          <w:szCs w:val="24"/>
        </w:rPr>
      </w:pPr>
      <w:r>
        <w:rPr>
          <w:sz w:val="24"/>
          <w:szCs w:val="24"/>
        </w:rPr>
        <w:t xml:space="preserve">Esse discurso, além de fomentar um perigoso sentimento de hostilidade contra as populações indígenas - particularmente entre os moradores da região Norte, que </w:t>
      </w:r>
      <w:r>
        <w:rPr>
          <w:sz w:val="24"/>
          <w:szCs w:val="24"/>
        </w:rPr>
        <w:lastRenderedPageBreak/>
        <w:t>com elas convivem cotidianamente - baseia-se em uma premissa falsa. As demarcações de terras indígenas visam exclusivamente assegurar espaços onde esses povos possam preservar sua ancestralidade. Obviamente, essa política não se aplica a áreas urbanas consolidadas como a feira do Ver-o-Peso, os casarões da Avenida Nazaré, o bairro de Copacabana ou qualquer outro território intensamente urbanizado.</w:t>
      </w:r>
    </w:p>
    <w:p w14:paraId="10D18DBF" w14:textId="2BA231C9" w:rsidR="001A78D6" w:rsidRDefault="00656A41" w:rsidP="00C10CC3">
      <w:pPr>
        <w:spacing w:line="360" w:lineRule="auto"/>
        <w:ind w:left="-2" w:firstLineChars="0" w:firstLine="709"/>
        <w:jc w:val="both"/>
        <w:rPr>
          <w:sz w:val="24"/>
          <w:szCs w:val="24"/>
        </w:rPr>
      </w:pPr>
      <w:r>
        <w:rPr>
          <w:sz w:val="24"/>
          <w:szCs w:val="24"/>
        </w:rPr>
        <w:t xml:space="preserve">Além da questão fundiária, é preciso destacar o viés etnocêntrico presente nos discursos das lideranças vinculadas ao agronegócio. De antemão, é preciso salientar que etnocentrismo é um conceito que define a tendência em julgar outras culturas com base em valores e padrões da própria cultura, considerando-a superior ou o ponto de referência para avaliar as outras, incorrendo, inclusive, no desejo de alterá-las para que se aproximem mais da cultura usada como régua. Para esses grupos, os indígenas não precisariam de terras, uma vez que já as possui em demasia, mas sim da garantia dos direitos fundamentais que o governo federal não promove e a "oportunidade" de explorar economicamente seus territórios e "prosperar". No entanto, essa prosperidade é definida dentro da lógica capitalista ocidental que essas elites reproduzem – ou seja, exploração agrária voltada para a geração de lucro e maior acesso a bens de consumo, como a famosa "Hilux", símbolo de status em regiões dominadas pela cultura do agronegócio.  Destaca-se, nesse sentido, a fala do já mencionado senador Jorge </w:t>
      </w:r>
      <w:proofErr w:type="spellStart"/>
      <w:r>
        <w:rPr>
          <w:sz w:val="24"/>
          <w:szCs w:val="24"/>
        </w:rPr>
        <w:t>Seif</w:t>
      </w:r>
      <w:proofErr w:type="spellEnd"/>
      <w:r>
        <w:rPr>
          <w:sz w:val="24"/>
          <w:szCs w:val="24"/>
        </w:rPr>
        <w:t>:</w:t>
      </w:r>
    </w:p>
    <w:p w14:paraId="5237809F" w14:textId="77777777" w:rsidR="001A78D6" w:rsidRDefault="001A78D6">
      <w:pPr>
        <w:spacing w:line="360" w:lineRule="auto"/>
        <w:ind w:left="0" w:hanging="2"/>
        <w:jc w:val="both"/>
      </w:pPr>
    </w:p>
    <w:p w14:paraId="364E425B" w14:textId="77777777" w:rsidR="001A78D6" w:rsidRDefault="00656A41" w:rsidP="00BD721D">
      <w:pPr>
        <w:spacing w:line="240" w:lineRule="auto"/>
        <w:ind w:leftChars="0" w:left="2270" w:firstLineChars="0" w:hanging="2"/>
        <w:jc w:val="both"/>
        <w:rPr>
          <w:sz w:val="18"/>
          <w:szCs w:val="18"/>
        </w:rPr>
      </w:pPr>
      <w:r>
        <w:rPr>
          <w:sz w:val="20"/>
          <w:szCs w:val="20"/>
        </w:rPr>
        <w:t xml:space="preserve">(...) os nossos irmãos indígenas são menos de 1 milhão no Brasil (...) No entanto, (…)nós vemos que nas terras que hoje já são ocupadas pelos nossos indígenas, infelizmente, não houve ações, seja de governos, seja da Funai, seja das ONGs que hoje muitas vezes inflamam os nossos indígenas a provocarem realmente a retomada desse tema, que, segundo a Constituição Federal, já foi determinado o marco, </w:t>
      </w:r>
      <w:proofErr w:type="spellStart"/>
      <w:r>
        <w:rPr>
          <w:sz w:val="20"/>
          <w:szCs w:val="20"/>
        </w:rPr>
        <w:t>a</w:t>
      </w:r>
      <w:proofErr w:type="spellEnd"/>
      <w:r>
        <w:rPr>
          <w:sz w:val="20"/>
          <w:szCs w:val="20"/>
        </w:rPr>
        <w:t xml:space="preserve"> risca. A determinação foi que, em 5 de outubro de 1988, o que tinha sido demarcado foi e, a partir daí, haveria uma pacificação sobre esse tema (...) Sr. Presidente, nossos indígenas não querem mais terra, nossos indígenas não querem apito; nossos indígenas querem dignidade de trabalhar, de produzir; nossos indígenas querem oportunidade, estudo, querem atendimento de saúde, querem plantar, querem colher, querem Hilux, querem internet, querem escola, querem ensino profissionalizante, querem oportunidades. E nós temos um papel fundamental nessa discussão. </w:t>
      </w:r>
      <w:r>
        <w:rPr>
          <w:sz w:val="18"/>
          <w:szCs w:val="18"/>
        </w:rPr>
        <w:t>(BRASIL. 2023)</w:t>
      </w:r>
    </w:p>
    <w:p w14:paraId="73547ACB" w14:textId="77777777" w:rsidR="001A78D6" w:rsidRDefault="001A78D6">
      <w:pPr>
        <w:spacing w:line="240" w:lineRule="auto"/>
        <w:ind w:left="0" w:hanging="2"/>
        <w:jc w:val="both"/>
        <w:rPr>
          <w:sz w:val="20"/>
          <w:szCs w:val="20"/>
        </w:rPr>
      </w:pPr>
    </w:p>
    <w:p w14:paraId="0AF7A081" w14:textId="77777777" w:rsidR="001A78D6" w:rsidRDefault="001A78D6">
      <w:pPr>
        <w:spacing w:line="360" w:lineRule="auto"/>
        <w:ind w:left="0" w:hanging="2"/>
        <w:jc w:val="both"/>
      </w:pPr>
    </w:p>
    <w:p w14:paraId="58D537EC" w14:textId="77777777" w:rsidR="001A78D6" w:rsidRDefault="00656A41" w:rsidP="00C10CC3">
      <w:pPr>
        <w:spacing w:line="360" w:lineRule="auto"/>
        <w:ind w:left="-2" w:firstLineChars="0" w:firstLine="709"/>
        <w:jc w:val="both"/>
        <w:rPr>
          <w:sz w:val="24"/>
          <w:szCs w:val="24"/>
        </w:rPr>
      </w:pPr>
      <w:r>
        <w:rPr>
          <w:sz w:val="24"/>
          <w:szCs w:val="24"/>
        </w:rPr>
        <w:t xml:space="preserve">Sob o prisma econômico, os argumentos assumem diferentes formas. Primeiro, há uma defesa do agronegócio e do produtor rural, supostamente ameaçados pelas demarcações de terras indígenas. Os parlamentares exaltam o setor, destacando sua participação expressiva no PIB nacional e seu papel no abastecimento alimentar do país. Em seguida, recorrem ao discurso da "insegurança jurídica" para justificar um suposto desestímulo aos investimentos no campo e até mesmo uma futura "crise alimentar" causada pelo excesso de demarcações. Nesse sentido, a fala do senador Luiz Carlos Heinze se converte em um exemplo vibrante: </w:t>
      </w:r>
    </w:p>
    <w:p w14:paraId="06CF4862" w14:textId="77777777" w:rsidR="001A78D6" w:rsidRDefault="001A78D6">
      <w:pPr>
        <w:spacing w:line="360" w:lineRule="auto"/>
        <w:ind w:left="0" w:hanging="2"/>
        <w:jc w:val="both"/>
      </w:pPr>
    </w:p>
    <w:p w14:paraId="59187D70" w14:textId="77777777" w:rsidR="001A78D6" w:rsidRDefault="00656A41" w:rsidP="00BD721D">
      <w:pPr>
        <w:spacing w:line="240" w:lineRule="auto"/>
        <w:ind w:leftChars="0" w:left="2270" w:firstLineChars="0" w:hanging="2"/>
        <w:jc w:val="both"/>
        <w:rPr>
          <w:sz w:val="20"/>
          <w:szCs w:val="20"/>
        </w:rPr>
      </w:pPr>
      <w:r>
        <w:rPr>
          <w:sz w:val="20"/>
          <w:szCs w:val="20"/>
        </w:rPr>
        <w:t>O Brasil se tornou uma das maiores potências agrícolas do mundo e, de todas as formas, querem nos podar, fazer com que não sejamos os maiores e melhores em muitos pontos. Por exemplo, somos o maior exportador de soja do mundo, o maior exportador de laranja do mundo, o maior exportador de fumo do mundo, o maior produtor de boi do mundo, o maior exportador de frango do mundo e assim tantas coisas mais. E nós ganhamos dos americanos, dos europeus e dos asiáticos, que subsidiam pesadamente a sua agricultura, e que, agora, têm que achar questões indígenas, quilombolas, de MST e ambientais, para fazer com que o Brasil não progrida e não prospere.  (BRASIL. 2023)</w:t>
      </w:r>
    </w:p>
    <w:p w14:paraId="1B91277A" w14:textId="77777777" w:rsidR="001A78D6" w:rsidRDefault="001A78D6">
      <w:pPr>
        <w:spacing w:line="240" w:lineRule="auto"/>
        <w:ind w:left="0" w:hanging="2"/>
        <w:jc w:val="both"/>
        <w:rPr>
          <w:sz w:val="20"/>
          <w:szCs w:val="20"/>
        </w:rPr>
      </w:pPr>
    </w:p>
    <w:p w14:paraId="2AA43B7A" w14:textId="77777777" w:rsidR="001A78D6" w:rsidRDefault="001A78D6">
      <w:pPr>
        <w:spacing w:line="240" w:lineRule="auto"/>
        <w:ind w:left="0" w:hanging="2"/>
        <w:jc w:val="both"/>
        <w:rPr>
          <w:sz w:val="18"/>
          <w:szCs w:val="18"/>
        </w:rPr>
      </w:pPr>
    </w:p>
    <w:p w14:paraId="798A8E16" w14:textId="77777777" w:rsidR="001A78D6" w:rsidRDefault="00656A41" w:rsidP="00C10CC3">
      <w:pPr>
        <w:spacing w:line="360" w:lineRule="auto"/>
        <w:ind w:left="-2" w:firstLineChars="0" w:firstLine="709"/>
        <w:jc w:val="both"/>
      </w:pPr>
      <w:r>
        <w:rPr>
          <w:sz w:val="24"/>
          <w:szCs w:val="24"/>
        </w:rPr>
        <w:t>No caso da região Norte, a questão econômica se converte em um tópico central na defesa do projeto. Para eles, as demarcações de terras indígenas e o progresso econômico seriam incompatíveis, visto que a extensão de reservas ambientais e territórios tradicionais limitariam a exploração agrícola, energética e mineral, travando o desenvolvimento e prejudicando a qualidade de vida de seus conterrâneos. Ao analisar a fala do Senador Omar Aziz isso se torna mais evidente:</w:t>
      </w:r>
      <w:r>
        <w:t xml:space="preserve">  </w:t>
      </w:r>
    </w:p>
    <w:p w14:paraId="5379C8DE" w14:textId="77777777" w:rsidR="001A78D6" w:rsidRDefault="001A78D6">
      <w:pPr>
        <w:spacing w:line="360" w:lineRule="auto"/>
        <w:ind w:left="0" w:hanging="2"/>
        <w:jc w:val="both"/>
      </w:pPr>
    </w:p>
    <w:p w14:paraId="021BD5A1" w14:textId="2768C335" w:rsidR="001A78D6" w:rsidRDefault="00656A41" w:rsidP="00BD721D">
      <w:pPr>
        <w:spacing w:line="240" w:lineRule="auto"/>
        <w:ind w:leftChars="0" w:left="2270" w:firstLineChars="0" w:hanging="2"/>
        <w:jc w:val="both"/>
        <w:rPr>
          <w:highlight w:val="yellow"/>
        </w:rPr>
      </w:pPr>
      <w:r>
        <w:rPr>
          <w:sz w:val="20"/>
          <w:szCs w:val="20"/>
        </w:rPr>
        <w:t xml:space="preserve">(...) é uma coisa é você cuidar da natureza, cuidar da floresta; outra coisa é renegar que tem pessoas que moram na floresta, que moram na Amazônia. Você defender a Amazônia é uma coisa, mas você também tem que defender o amazônida. E a Ministra Marina Silva, há anos, com a ajuda de pessoas desinformadas, não permite que a gente asfalte a BR-319. E, hoje, Manaus, o meu estado e o Estado de Roraima estão isolados, não fazem parte da federação brasileira, porque não têm acesso pelos rios, não têm acesso pela estrada. Aí, quando vem esta discussão do marco temporal, soma uma coisa </w:t>
      </w:r>
      <w:r>
        <w:rPr>
          <w:sz w:val="20"/>
          <w:szCs w:val="20"/>
        </w:rPr>
        <w:lastRenderedPageBreak/>
        <w:t xml:space="preserve">com a outra, que é a política ambiental que só serve para inglês ver, porque os ingleses também não praticam. (...) Ministra Marina Silva, o Amazonas tem quatro milhões de brasileiros, amazônidas que cuidam bem melhor da Amazônia do que a política que a senhora quer, de extermínio e de manutenção da floresta em pé! </w:t>
      </w:r>
      <w:r>
        <w:rPr>
          <w:sz w:val="18"/>
          <w:szCs w:val="18"/>
        </w:rPr>
        <w:t>(BRASIL. 2023)</w:t>
      </w:r>
    </w:p>
    <w:p w14:paraId="00DF20F6" w14:textId="77777777" w:rsidR="001A78D6" w:rsidRDefault="001A78D6">
      <w:pPr>
        <w:spacing w:line="360" w:lineRule="auto"/>
        <w:ind w:left="0" w:hanging="2"/>
        <w:jc w:val="both"/>
      </w:pPr>
    </w:p>
    <w:p w14:paraId="0B003BF0" w14:textId="77777777" w:rsidR="001A78D6" w:rsidRDefault="00656A41" w:rsidP="00C10CC3">
      <w:pPr>
        <w:spacing w:line="360" w:lineRule="auto"/>
        <w:ind w:left="-2" w:firstLineChars="0" w:firstLine="709"/>
        <w:jc w:val="both"/>
        <w:rPr>
          <w:sz w:val="24"/>
          <w:szCs w:val="24"/>
        </w:rPr>
      </w:pPr>
      <w:r>
        <w:rPr>
          <w:sz w:val="24"/>
          <w:szCs w:val="24"/>
        </w:rPr>
        <w:t>Ao analisar o aspecto político dos discursos favoráveis ao marco temporal, destacam-se estratégias argumentativas recorrentes, como a suposta violação da separação dos três poderes. Os congressistas afirmam que a decisão do STF de declarar a inconstitucionalidade do marco temporal representaria uma ingerência indevida nas atribuições do Legislativo, já que o projeto foi aprovado por ambas as casas do Congresso. Nesse contexto, o Supremo Tribunal Federal é alvo de adjetivações negativas, sendo acusado de atuar de forma parcial, realizando aquilo que se conveniou chamar de “ativismo judicial”. Com isso em vista, a fala de Eduardo Girão (NOVO)  torna-se pertinente:</w:t>
      </w:r>
    </w:p>
    <w:p w14:paraId="23082400" w14:textId="743C43AF" w:rsidR="001A78D6" w:rsidRDefault="00656A41" w:rsidP="00656A41">
      <w:pPr>
        <w:spacing w:before="240" w:after="240" w:line="240" w:lineRule="auto"/>
        <w:ind w:leftChars="0" w:left="2268" w:firstLineChars="0" w:firstLine="0"/>
        <w:jc w:val="both"/>
        <w:rPr>
          <w:sz w:val="20"/>
          <w:szCs w:val="20"/>
        </w:rPr>
      </w:pPr>
      <w:r>
        <w:rPr>
          <w:sz w:val="20"/>
          <w:szCs w:val="20"/>
        </w:rPr>
        <w:t>(...) hoje o Brasil tem tribunal político! STF e TSE, para mim – respeito quem pensa diferente –, é politicagem pura. O marco temporal está aí para dizer: usurparam o que é prerrogativa desta Casa e, está aí, correram para dar uma justificativa de militância ideológica, em desrespeito aos Senadores e Deputados. Aborto está aí, legalização de droga está aí. E o engraçado, (…): tudo alinhado ideologicamente com o Governo Lula. Já parou para perceber? As mesmas pautas do STF, as mesmas pautas do Governo Lula. É muita coincidência! Ninguém é bobo, ninguém é tolo. Existe esse alinhamento, e isso é ruim para a democracia. É muito ruim para a democracia esse consórcio entre Governo Lula e Corte Suprema do Brasil.” (Brasil, 2023)</w:t>
      </w:r>
    </w:p>
    <w:p w14:paraId="0A59D519" w14:textId="77777777" w:rsidR="001A78D6" w:rsidRDefault="00656A41" w:rsidP="00C10CC3">
      <w:pPr>
        <w:spacing w:line="360" w:lineRule="auto"/>
        <w:ind w:left="-2" w:firstLineChars="0" w:firstLine="709"/>
        <w:jc w:val="both"/>
        <w:rPr>
          <w:sz w:val="24"/>
          <w:szCs w:val="24"/>
        </w:rPr>
      </w:pPr>
      <w:r>
        <w:rPr>
          <w:sz w:val="24"/>
          <w:szCs w:val="24"/>
        </w:rPr>
        <w:t xml:space="preserve">Evidentemente, as críticas também se estendem ao Executivo, direcionadas tanto à Funai – já retratada como arbitrária em processos de demarcação – quanto ao presidente Lula e seus ministérios. Para esses parlamentares, o veto presidencial a pontos centrais da lei do marco temporal demonstraria um desrespeito à autonomia do Legislativo. Além disso, medidas ligadas ao campo progressista como a criação de um Ministério dos Povos Indígenas para a elaboração de políticas públicas voltadas para essa parcela da população, expressa, na retórica desses deputados ligados a setores do agronegócio, desrespeito e , também, a sobreposição de um poder sobre o outro. </w:t>
      </w:r>
    </w:p>
    <w:p w14:paraId="3350D582" w14:textId="77777777" w:rsidR="001A78D6" w:rsidRDefault="00656A41" w:rsidP="00C10CC3">
      <w:pPr>
        <w:spacing w:line="360" w:lineRule="auto"/>
        <w:ind w:left="-2" w:firstLineChars="0" w:firstLine="709"/>
        <w:jc w:val="both"/>
        <w:rPr>
          <w:sz w:val="24"/>
          <w:szCs w:val="24"/>
        </w:rPr>
      </w:pPr>
      <w:r>
        <w:rPr>
          <w:sz w:val="24"/>
          <w:szCs w:val="24"/>
        </w:rPr>
        <w:lastRenderedPageBreak/>
        <w:t xml:space="preserve">Outro alvo frequente são as ONGs que atuam na defesa dos direitos indígenas, acusadas de promover interesses escusos, especialmente na Amazônia. Segundo os defensores do marco temporal, essas organizações ligadas à defesa de povos indígenas e meio ambiente manipulariam as comunidades indígenas, incitando conflitos para atender a agendas externas </w:t>
      </w:r>
      <w:proofErr w:type="gramStart"/>
      <w:r>
        <w:rPr>
          <w:sz w:val="24"/>
          <w:szCs w:val="24"/>
        </w:rPr>
        <w:t>e</w:t>
      </w:r>
      <w:proofErr w:type="gramEnd"/>
      <w:r>
        <w:rPr>
          <w:sz w:val="24"/>
          <w:szCs w:val="24"/>
        </w:rPr>
        <w:t xml:space="preserve"> portanto, deveriam ser investigadas, inclusive, a fim de atender o desejo de investigar essas organizações, criou-se uma comissão de inquérito parlamentar. Sobre isso, a fala de Marinho, já supramencionado, exprime tal estratégia argumentativa:</w:t>
      </w:r>
    </w:p>
    <w:p w14:paraId="3F1BA342" w14:textId="77777777" w:rsidR="001A78D6" w:rsidRDefault="001A78D6">
      <w:pPr>
        <w:spacing w:line="360" w:lineRule="auto"/>
        <w:ind w:left="0" w:hanging="2"/>
        <w:jc w:val="both"/>
      </w:pPr>
    </w:p>
    <w:p w14:paraId="2252FC50" w14:textId="77777777" w:rsidR="001A78D6" w:rsidRDefault="00656A41" w:rsidP="00BD721D">
      <w:pPr>
        <w:spacing w:line="240" w:lineRule="auto"/>
        <w:ind w:leftChars="0" w:left="2270" w:firstLineChars="0" w:hanging="2"/>
        <w:jc w:val="both"/>
      </w:pPr>
      <w:r>
        <w:rPr>
          <w:sz w:val="20"/>
          <w:szCs w:val="20"/>
        </w:rPr>
        <w:t xml:space="preserve">Vejam que clima de tensão e insegurança é provocado em razão da falta de um marco temporal. (...)Tornamo-nos, senhores, alvo de ONGs que dizem defender os indígenas e que os obrigam a lutar por mais terras. A CPI das ONGs (…) tem sido bastante elucidativa sobre essa péssima influência de muitas ONGs da Região Amazônica. O compromisso dessas ONGs não é com o povo indígena. Basta ver a situação de muitas tribos no Brasil: sem saúde, sem abastecimento, sem saneamento, sem dignidade, sem nada. Essas ONGs querem terras para impedir o desenvolvimento do Brasil. Esse é o alvo. Elas captam financiamento lá fora, trabalham para grupos lá fora para barrar o avanço do país, sob todos os aspectos – não é só do agro, não. Muitos outros projetos estão sendo tolhidos exatamente por isso (...) A ONG trabalha exatamente para atravancar o desenvolvimento do país. (...) O que esse povo vai fazer? Onde é que eles vão trabalhar para produzir? É uma coisa maluca. E eu quero dizer a vocês que isso não é uma iniciativa de nenhum indígena, de nenhuma liderança e nenhum cacique! É tudo liderado por ONGs, principalmente o ISA, e o Brasil não desconfia disso? Que coisa mais maluca, não é? Quer dizer, eu vou asfixiar o não índio: não vai ter onde produzir, não vai ter onde morar, não vai ter onde trabalhar, porque eu preciso entregar, para meia dúzia de indígenas, todo um território absurdo. </w:t>
      </w:r>
      <w:r>
        <w:rPr>
          <w:sz w:val="18"/>
          <w:szCs w:val="18"/>
        </w:rPr>
        <w:t>(BRASIL, 2023)</w:t>
      </w:r>
    </w:p>
    <w:p w14:paraId="64A63AAA" w14:textId="77777777" w:rsidR="001A78D6" w:rsidRDefault="001A78D6" w:rsidP="00BD721D">
      <w:pPr>
        <w:spacing w:line="360" w:lineRule="auto"/>
        <w:ind w:leftChars="0" w:left="2270" w:firstLineChars="0" w:hanging="2"/>
        <w:jc w:val="both"/>
      </w:pPr>
    </w:p>
    <w:p w14:paraId="58256F09" w14:textId="77777777" w:rsidR="001A78D6" w:rsidRDefault="00656A41" w:rsidP="00C10CC3">
      <w:pPr>
        <w:spacing w:line="360" w:lineRule="auto"/>
        <w:ind w:left="-2" w:firstLineChars="0" w:firstLine="709"/>
        <w:jc w:val="both"/>
        <w:rPr>
          <w:sz w:val="26"/>
          <w:szCs w:val="26"/>
        </w:rPr>
      </w:pPr>
      <w:r>
        <w:rPr>
          <w:sz w:val="24"/>
          <w:szCs w:val="24"/>
        </w:rPr>
        <w:t xml:space="preserve">Por fim, a questão jurídica completa o arcabouço argumentativo. Senadores e deputados sustentam que o marco temporal está previsto na Constituição desde o momento de sua formulação, uma vez que o texto </w:t>
      </w:r>
      <w:proofErr w:type="gramStart"/>
      <w:r>
        <w:rPr>
          <w:sz w:val="24"/>
          <w:szCs w:val="24"/>
        </w:rPr>
        <w:t>refere-se</w:t>
      </w:r>
      <w:proofErr w:type="gramEnd"/>
      <w:r>
        <w:rPr>
          <w:sz w:val="24"/>
          <w:szCs w:val="24"/>
        </w:rPr>
        <w:t xml:space="preserve"> à proteção de "terras que ocupam" – ou seja, aquelas já demarcadas até 1988, e não após essa data. Além disso, argumentam que o Ato das Disposições Constitucionais Transitórias (ADCT) estabelece um prazo de cinco anos para a conclusão das demarcações, reforçando a tese de que o STF estaria extrapolando suas competências ao ignorar esse dispositivo.  Por fim, os congressistas também ressaltam a jurisprudência criada pelo </w:t>
      </w:r>
      <w:r>
        <w:rPr>
          <w:sz w:val="24"/>
          <w:szCs w:val="24"/>
        </w:rPr>
        <w:lastRenderedPageBreak/>
        <w:t xml:space="preserve">caso da reserva </w:t>
      </w:r>
      <w:proofErr w:type="spellStart"/>
      <w:r>
        <w:rPr>
          <w:sz w:val="24"/>
          <w:szCs w:val="24"/>
        </w:rPr>
        <w:t>indigena</w:t>
      </w:r>
      <w:proofErr w:type="spellEnd"/>
      <w:r>
        <w:rPr>
          <w:sz w:val="24"/>
          <w:szCs w:val="24"/>
        </w:rPr>
        <w:t xml:space="preserve"> “Raposa Serra do Sol”, cujo Supremo votou a favor do Marco Temporal. </w:t>
      </w:r>
    </w:p>
    <w:p w14:paraId="2F219FF6" w14:textId="77777777" w:rsidR="001A78D6" w:rsidRDefault="00656A41" w:rsidP="00656A41">
      <w:pPr>
        <w:spacing w:line="360" w:lineRule="auto"/>
        <w:ind w:leftChars="0" w:left="0" w:firstLineChars="0" w:firstLine="0"/>
        <w:jc w:val="both"/>
        <w:rPr>
          <w:sz w:val="24"/>
          <w:szCs w:val="24"/>
        </w:rPr>
      </w:pPr>
      <w:r>
        <w:rPr>
          <w:b/>
          <w:sz w:val="24"/>
          <w:szCs w:val="24"/>
        </w:rPr>
        <w:t>3</w:t>
      </w:r>
      <w:r>
        <w:rPr>
          <w:b/>
          <w:sz w:val="24"/>
          <w:szCs w:val="24"/>
        </w:rPr>
        <w:tab/>
        <w:t>CONCLUSÃO</w:t>
      </w:r>
    </w:p>
    <w:p w14:paraId="3802653A" w14:textId="2D42B708" w:rsidR="001A78D6" w:rsidRDefault="00656A41" w:rsidP="00C10CC3">
      <w:pPr>
        <w:spacing w:line="360" w:lineRule="auto"/>
        <w:ind w:left="-2" w:firstLineChars="0" w:firstLine="709"/>
        <w:jc w:val="both"/>
        <w:rPr>
          <w:sz w:val="24"/>
          <w:szCs w:val="24"/>
        </w:rPr>
      </w:pPr>
      <w:r>
        <w:rPr>
          <w:sz w:val="24"/>
          <w:szCs w:val="24"/>
        </w:rPr>
        <w:t xml:space="preserve">Portanto, é possível observar uma série de argumentos comuns de ordem econômica, social, política e cultural, a senadores ligados a um campo político identificável como direita conservadora, especialmente aqueles vinculados aos interesses do agronegócio ou outros setores extrativistas como mineradoras. A tese que defendem se configura não apenas como um atraso civilizatório, mas como um risco à sobrevivência de comunidades indígenas inteiras, partes significativas dos biomas nacionais e, consequentemente, de toda a sociedade brasileira e espécies humana, uma vez que os ecossistemas se relacionam por meio de uma teia complexa e indissociável, onde um mero desequilíbrio pode causar as mais imensas catástrofes. Nesse sentido, o que os indígenas reivindicam, portanto, não é apenas algum respeito pela sua história, algum reconhecimento ou dignidade territorial para que eles não percam ainda mais suas relações originárias com essa terra. Suas reivindicações dizem respeito ao país todo, ultrapassando, também, suas fronteiras. A demarcação de territórios indígenas está diretamente atrelada à preservação de biomas inteiros e, consequentemente, da espécie humana. Os indígenas estão lutando pelo direito de permanecer existindo e, agora, mesmo que não intencionalmente, lutam para o direito </w:t>
      </w:r>
      <w:proofErr w:type="gramStart"/>
      <w:r>
        <w:rPr>
          <w:sz w:val="24"/>
          <w:szCs w:val="24"/>
        </w:rPr>
        <w:t>da</w:t>
      </w:r>
      <w:proofErr w:type="gramEnd"/>
      <w:r>
        <w:rPr>
          <w:sz w:val="24"/>
          <w:szCs w:val="24"/>
        </w:rPr>
        <w:t xml:space="preserve"> humanidade permanecer viva. Depois de séculos de extermínio, a demarcação serve não para pedir desculpas, mas para oferecer algo muito mais justo: a própria justiça. </w:t>
      </w:r>
    </w:p>
    <w:p w14:paraId="4EF23923" w14:textId="77777777" w:rsidR="001A78D6" w:rsidRDefault="001A78D6">
      <w:pPr>
        <w:spacing w:line="360" w:lineRule="auto"/>
        <w:ind w:left="0" w:hanging="2"/>
        <w:rPr>
          <w:b/>
        </w:rPr>
      </w:pPr>
    </w:p>
    <w:p w14:paraId="3D86D01A" w14:textId="77777777" w:rsidR="001A78D6" w:rsidRDefault="00656A41">
      <w:pPr>
        <w:spacing w:line="360" w:lineRule="auto"/>
        <w:ind w:left="0" w:hanging="2"/>
      </w:pPr>
      <w:r>
        <w:rPr>
          <w:b/>
          <w:color w:val="000000"/>
        </w:rPr>
        <w:t>REFERÊNCIAS</w:t>
      </w:r>
    </w:p>
    <w:p w14:paraId="77EA4DDC" w14:textId="77777777" w:rsidR="001A78D6" w:rsidRDefault="00656A41">
      <w:pPr>
        <w:spacing w:line="360" w:lineRule="auto"/>
        <w:ind w:left="0" w:hanging="2"/>
        <w:jc w:val="both"/>
        <w:rPr>
          <w:color w:val="000000"/>
        </w:rPr>
      </w:pPr>
      <w:r>
        <w:rPr>
          <w:color w:val="000000"/>
        </w:rPr>
        <w:t xml:space="preserve">RODRIGUES, </w:t>
      </w:r>
      <w:proofErr w:type="spellStart"/>
      <w:r>
        <w:rPr>
          <w:color w:val="000000"/>
        </w:rPr>
        <w:t>Meghie</w:t>
      </w:r>
      <w:proofErr w:type="spellEnd"/>
      <w:r>
        <w:rPr>
          <w:color w:val="000000"/>
        </w:rPr>
        <w:t>. Sua casa não vai ser tomada para virar terra indígena. Revista Piauí, 2024. Disponível  em: https://piaui.folha.uol.com.br/sua-casa-nao-vai-ser-tomada-para-virar-terra-indigena/. Acesso em: 9 jun. 2025.  </w:t>
      </w:r>
    </w:p>
    <w:p w14:paraId="72B9D7A5" w14:textId="77777777" w:rsidR="001A78D6" w:rsidRDefault="00656A41">
      <w:pPr>
        <w:spacing w:line="360" w:lineRule="auto"/>
        <w:ind w:left="0" w:hanging="2"/>
        <w:jc w:val="both"/>
      </w:pPr>
      <w:r>
        <w:t xml:space="preserve">BRASIL. Congresso. Senado Federal. Pronunciamento do Senador Jorge </w:t>
      </w:r>
      <w:proofErr w:type="spellStart"/>
      <w:r>
        <w:t>Seif</w:t>
      </w:r>
      <w:proofErr w:type="spellEnd"/>
      <w:r>
        <w:t xml:space="preserve">. Diário do Senado Federal, Brasília, DF, 24/08/2023, p. 89-90. Disponível em: </w:t>
      </w:r>
      <w:hyperlink r:id="rId8">
        <w:r>
          <w:rPr>
            <w:u w:val="single"/>
          </w:rPr>
          <w:t>file:///C:/Users/leona/Downloads/BuscaPaginasDiario%2066%20(1).pdf</w:t>
        </w:r>
      </w:hyperlink>
      <w:r>
        <w:t xml:space="preserve"> . Acesso em: 9 jun. 2025. </w:t>
      </w:r>
    </w:p>
    <w:p w14:paraId="5E92D657" w14:textId="77777777" w:rsidR="001A78D6" w:rsidRDefault="00656A41">
      <w:pPr>
        <w:spacing w:line="360" w:lineRule="auto"/>
        <w:ind w:left="0" w:hanging="2"/>
        <w:jc w:val="both"/>
      </w:pPr>
      <w:r>
        <w:t xml:space="preserve">BRASIL. Congresso. Senado Federal. Pronunciamento da Senadora Kátia Abreu. Diário do Senado Federal, Brasília, DF, 22/05/2013, p. 27920-27924. Disponível em: </w:t>
      </w:r>
      <w:hyperlink r:id="rId9">
        <w:r>
          <w:rPr>
            <w:u w:val="single"/>
          </w:rPr>
          <w:t>file:///C:/Users/leona/Downloads/BuscaPaginasDiario%203%20(1).pdf</w:t>
        </w:r>
      </w:hyperlink>
      <w:r>
        <w:t xml:space="preserve">  . Acesso em: 9 jun. 2025.</w:t>
      </w:r>
    </w:p>
    <w:p w14:paraId="7EC4ED3E" w14:textId="77777777" w:rsidR="00C10CC3" w:rsidRDefault="00C10CC3">
      <w:pPr>
        <w:spacing w:line="360" w:lineRule="auto"/>
        <w:ind w:left="0" w:hanging="2"/>
        <w:jc w:val="both"/>
      </w:pPr>
    </w:p>
    <w:p w14:paraId="4235BC1F" w14:textId="77777777" w:rsidR="001A78D6" w:rsidRDefault="00656A41">
      <w:pPr>
        <w:spacing w:line="360" w:lineRule="auto"/>
        <w:ind w:left="0" w:hanging="2"/>
        <w:jc w:val="both"/>
      </w:pPr>
      <w:r>
        <w:t xml:space="preserve">BRASIL. Congresso. Senado Federal. Pronunciamento do Senador Zequinha Marinho. Diário do Senado Federal, Brasília, DF, 21/09/2023, p. 95-97. Disponível em: </w:t>
      </w:r>
      <w:hyperlink r:id="rId10">
        <w:r>
          <w:rPr>
            <w:u w:val="single"/>
          </w:rPr>
          <w:t>file:///C:/Users/leona/Downloads/BuscaPaginasDiario%2094.pdf</w:t>
        </w:r>
      </w:hyperlink>
      <w:r>
        <w:t xml:space="preserve"> . Acesso em: 9 jun. 2025.</w:t>
      </w:r>
    </w:p>
    <w:p w14:paraId="227EB60C" w14:textId="77777777" w:rsidR="001A78D6" w:rsidRDefault="00656A41">
      <w:pPr>
        <w:spacing w:line="360" w:lineRule="auto"/>
        <w:ind w:left="0" w:hanging="2"/>
        <w:jc w:val="both"/>
      </w:pPr>
      <w:r>
        <w:t xml:space="preserve">BRASIL. Congresso. Senado Federal. Pronunciamento do Senadora Jorge </w:t>
      </w:r>
      <w:proofErr w:type="spellStart"/>
      <w:r>
        <w:t>Seif</w:t>
      </w:r>
      <w:proofErr w:type="spellEnd"/>
      <w:r>
        <w:t xml:space="preserve">. Diário do Senado Federal, Brasília, DF, 17/05/2033, p. 35-36. Disponível em: </w:t>
      </w:r>
      <w:hyperlink r:id="rId11">
        <w:r>
          <w:rPr>
            <w:u w:val="single"/>
          </w:rPr>
          <w:t>file:///C:/Users/leona/Downloads/BuscaPaginasDiario%2034%20(2).pdf</w:t>
        </w:r>
      </w:hyperlink>
      <w:r>
        <w:t xml:space="preserve">  . Acesso em: 9 jun. 2025.</w:t>
      </w:r>
    </w:p>
    <w:p w14:paraId="721ABA74" w14:textId="77777777" w:rsidR="001A78D6" w:rsidRDefault="00656A41">
      <w:pPr>
        <w:spacing w:line="360" w:lineRule="auto"/>
        <w:ind w:left="0" w:hanging="2"/>
        <w:jc w:val="both"/>
      </w:pPr>
      <w:r>
        <w:t xml:space="preserve">BRASIL. Congresso. Senado Federal. Pronunciamento do Senador Luiz Carlos </w:t>
      </w:r>
      <w:proofErr w:type="spellStart"/>
      <w:r>
        <w:t>Heize</w:t>
      </w:r>
      <w:proofErr w:type="spellEnd"/>
      <w:r>
        <w:t xml:space="preserve">. Diário do Senado Federal, Brasília, DF, 26/10/2023, p. 74-76. Disponível em: </w:t>
      </w:r>
      <w:hyperlink r:id="rId12">
        <w:r>
          <w:rPr>
            <w:u w:val="single"/>
          </w:rPr>
          <w:t>file:///C:/Users/leona/Downloads/BuscaPaginasDiario%20137%20(2).pdf</w:t>
        </w:r>
      </w:hyperlink>
      <w:r>
        <w:t xml:space="preserve"> . Acesso em: 9 jun. 2025.</w:t>
      </w:r>
    </w:p>
    <w:p w14:paraId="066FFB04" w14:textId="77777777" w:rsidR="001A78D6" w:rsidRDefault="00656A41">
      <w:pPr>
        <w:spacing w:line="360" w:lineRule="auto"/>
        <w:ind w:left="0" w:hanging="2"/>
        <w:jc w:val="both"/>
      </w:pPr>
      <w:r>
        <w:t xml:space="preserve">BRASIL. Congresso. Senado Federal. Pronunciamento do Senador Omar Aziz. Diário do Senado Federal, Brasília, DF, 28/09/2023, p. 52-54. Disponível em: </w:t>
      </w:r>
      <w:hyperlink r:id="rId13">
        <w:r>
          <w:rPr>
            <w:u w:val="single"/>
          </w:rPr>
          <w:t>file:///C:/Users/leona/Downloads/BuscaPaginasDiario%20112%20(1).pdf</w:t>
        </w:r>
      </w:hyperlink>
      <w:r>
        <w:t xml:space="preserve"> . Acesso em: 9 jun. 2025.</w:t>
      </w:r>
    </w:p>
    <w:p w14:paraId="10FD7A22" w14:textId="77777777" w:rsidR="001A78D6" w:rsidRDefault="00656A41">
      <w:pPr>
        <w:spacing w:line="360" w:lineRule="auto"/>
        <w:ind w:left="0" w:hanging="2"/>
        <w:jc w:val="both"/>
        <w:rPr>
          <w:rFonts w:ascii="Calibri" w:eastAsia="Calibri" w:hAnsi="Calibri" w:cs="Calibri"/>
          <w:sz w:val="24"/>
          <w:szCs w:val="24"/>
        </w:rPr>
      </w:pPr>
      <w:r>
        <w:t xml:space="preserve">BRASIL. Congresso. Senado Federal. Pronunciamento do Senador Zequinha Marinho. Diário do Senado Federal, Brasília, DF, 28/09/2023, p. 32-35. Disponível em: </w:t>
      </w:r>
      <w:hyperlink r:id="rId14">
        <w:r>
          <w:rPr>
            <w:u w:val="single"/>
          </w:rPr>
          <w:t>file:///C:/Users/leona/Downloads/BuscaPaginasDiario%20118%20(1).pdf</w:t>
        </w:r>
      </w:hyperlink>
      <w:r>
        <w:t xml:space="preserve"> . Acesso em: 9 jun. 2025.</w:t>
      </w:r>
    </w:p>
    <w:sectPr w:rsidR="001A78D6">
      <w:headerReference w:type="default" r:id="rId15"/>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EDF17" w14:textId="77777777" w:rsidR="00F96520" w:rsidRDefault="00F96520">
      <w:pPr>
        <w:spacing w:line="240" w:lineRule="auto"/>
        <w:ind w:left="0" w:hanging="2"/>
      </w:pPr>
      <w:r>
        <w:separator/>
      </w:r>
    </w:p>
  </w:endnote>
  <w:endnote w:type="continuationSeparator" w:id="0">
    <w:p w14:paraId="3D73B83B" w14:textId="77777777" w:rsidR="00F96520" w:rsidRDefault="00F9652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4F485" w14:textId="77777777" w:rsidR="00F96520" w:rsidRDefault="00F96520">
      <w:pPr>
        <w:spacing w:line="240" w:lineRule="auto"/>
        <w:ind w:left="0" w:hanging="2"/>
      </w:pPr>
      <w:r>
        <w:separator/>
      </w:r>
    </w:p>
  </w:footnote>
  <w:footnote w:type="continuationSeparator" w:id="0">
    <w:p w14:paraId="2F0B8675" w14:textId="77777777" w:rsidR="00F96520" w:rsidRDefault="00F96520">
      <w:pPr>
        <w:spacing w:line="240" w:lineRule="auto"/>
        <w:ind w:left="0" w:hanging="2"/>
      </w:pPr>
      <w:r>
        <w:continuationSeparator/>
      </w:r>
    </w:p>
  </w:footnote>
  <w:footnote w:id="1">
    <w:p w14:paraId="79E40DB6" w14:textId="77777777" w:rsidR="00231638" w:rsidRPr="00BF4C64" w:rsidRDefault="00231638" w:rsidP="00231638">
      <w:pPr>
        <w:pStyle w:val="Textodenotaderodap"/>
        <w:spacing w:line="240" w:lineRule="auto"/>
        <w:rPr>
          <w:rFonts w:ascii="Arial" w:hAnsi="Arial" w:cs="Arial"/>
        </w:rPr>
      </w:pPr>
      <w:r w:rsidRPr="00BF4C64">
        <w:rPr>
          <w:rStyle w:val="Refdenotaderodap"/>
          <w:rFonts w:ascii="Arial" w:hAnsi="Arial" w:cs="Arial"/>
        </w:rPr>
        <w:footnoteRef/>
      </w:r>
      <w:r w:rsidRPr="00BF4C64">
        <w:rPr>
          <w:rFonts w:ascii="Arial" w:hAnsi="Arial" w:cs="Arial"/>
        </w:rPr>
        <w:t xml:space="preserve"> Universidade Federal Fluminense. Doutor em Serviço Social. E-mail: jbhg@uol.com.br.</w:t>
      </w:r>
    </w:p>
  </w:footnote>
  <w:footnote w:id="2">
    <w:p w14:paraId="3CEEFB46" w14:textId="77777777" w:rsidR="00231638" w:rsidRPr="00BF4C64" w:rsidRDefault="00231638" w:rsidP="00231638">
      <w:pPr>
        <w:pStyle w:val="Textodenotaderodap"/>
        <w:spacing w:line="240" w:lineRule="auto"/>
        <w:rPr>
          <w:rFonts w:ascii="Arial" w:hAnsi="Arial" w:cs="Arial"/>
        </w:rPr>
      </w:pPr>
      <w:r w:rsidRPr="00BF4C64">
        <w:rPr>
          <w:rStyle w:val="Refdenotaderodap"/>
          <w:rFonts w:ascii="Arial" w:hAnsi="Arial" w:cs="Arial"/>
        </w:rPr>
        <w:footnoteRef/>
      </w:r>
      <w:r w:rsidRPr="00BF4C64">
        <w:rPr>
          <w:rFonts w:ascii="Arial" w:hAnsi="Arial" w:cs="Arial"/>
        </w:rPr>
        <w:t xml:space="preserve"> Universidade Federal Fluminense. Graduando em História. E-mail: dpmt@id.uff.br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DB14E" w14:textId="77777777" w:rsidR="001A78D6" w:rsidRDefault="00656A41">
    <w:pPr>
      <w:ind w:left="0" w:hanging="2"/>
    </w:pPr>
    <w:r>
      <w:rPr>
        <w:noProof/>
      </w:rPr>
      <w:drawing>
        <wp:anchor distT="0" distB="0" distL="0" distR="0" simplePos="0" relativeHeight="251658240" behindDoc="1" locked="0" layoutInCell="1" hidden="0" allowOverlap="1" wp14:anchorId="7341D2EA" wp14:editId="3F4552AB">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8D6"/>
    <w:rsid w:val="00071252"/>
    <w:rsid w:val="000F362B"/>
    <w:rsid w:val="001A78D6"/>
    <w:rsid w:val="00231638"/>
    <w:rsid w:val="00656A41"/>
    <w:rsid w:val="0079676C"/>
    <w:rsid w:val="00921D17"/>
    <w:rsid w:val="00BD721D"/>
    <w:rsid w:val="00C10CC3"/>
    <w:rsid w:val="00F965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1C09C"/>
  <w15:docId w15:val="{0A08D89B-5B1B-4D84-94A8-9E0BC0224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 w:type="paragraph" w:styleId="Textodenotaderodap">
    <w:name w:val="footnote text"/>
    <w:basedOn w:val="Normal"/>
    <w:link w:val="TextodenotaderodapChar"/>
    <w:uiPriority w:val="99"/>
    <w:unhideWhenUsed/>
    <w:rsid w:val="00231638"/>
    <w:pPr>
      <w:suppressAutoHyphens w:val="0"/>
      <w:spacing w:after="160" w:line="259" w:lineRule="auto"/>
      <w:ind w:leftChars="0" w:left="0" w:firstLineChars="0" w:firstLine="0"/>
      <w:textDirection w:val="lrTb"/>
      <w:textAlignment w:val="auto"/>
      <w:outlineLvl w:val="9"/>
    </w:pPr>
    <w:rPr>
      <w:rFonts w:ascii="Calibri" w:eastAsia="Calibri" w:hAnsi="Calibri" w:cs="Times New Roman"/>
      <w:position w:val="0"/>
      <w:sz w:val="20"/>
      <w:szCs w:val="20"/>
      <w:lang w:eastAsia="en-US"/>
    </w:rPr>
  </w:style>
  <w:style w:type="character" w:customStyle="1" w:styleId="TextodenotaderodapChar">
    <w:name w:val="Texto de nota de rodapé Char"/>
    <w:basedOn w:val="Fontepargpadro"/>
    <w:link w:val="Textodenotaderodap"/>
    <w:uiPriority w:val="99"/>
    <w:rsid w:val="00231638"/>
    <w:rPr>
      <w:rFonts w:ascii="Calibri" w:eastAsia="Calibri" w:hAnsi="Calibri" w:cs="Times New Roman"/>
      <w:sz w:val="20"/>
      <w:szCs w:val="20"/>
      <w:lang w:eastAsia="en-US"/>
    </w:rPr>
  </w:style>
  <w:style w:type="character" w:styleId="Refdenotaderodap">
    <w:name w:val="footnote reference"/>
    <w:uiPriority w:val="99"/>
    <w:semiHidden/>
    <w:unhideWhenUsed/>
    <w:rsid w:val="002316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5BURL%20do%20site%20do%20Senado%20Federal%5D" TargetMode="External"/><Relationship Id="rId13" Type="http://schemas.openxmlformats.org/officeDocument/2006/relationships/hyperlink" Target="https://www.google.com/%5BURL%20do%20site%20do%20Senado%20Federal%5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5BURL%20do%20site%20do%20Senado%20Federal%5D"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5BURL%20do%20site%20do%20Senado%20Federal%5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ogle.com/%5BURL%20do%20site%20do%20Senado%20Federal%5D" TargetMode="External"/><Relationship Id="rId4" Type="http://schemas.openxmlformats.org/officeDocument/2006/relationships/settings" Target="settings.xml"/><Relationship Id="rId9" Type="http://schemas.openxmlformats.org/officeDocument/2006/relationships/hyperlink" Target="https://www.google.com/%5BURL%20do%20site%20do%20Senado%20Federal%5D" TargetMode="External"/><Relationship Id="rId14" Type="http://schemas.openxmlformats.org/officeDocument/2006/relationships/hyperlink" Target="https://www.google.com/%5BURL%20do%20site%20do%20Senado%20Federal%5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5LFu2dA52fuiSwGDRRnEyUhK/g==">CgMxLjA4AHIhMU9zZ3RhOVNuWlVsajZKak00dU9IZXd2em1hYkN5NmVH</go:docsCustomData>
</go:gDocsCustomXmlDataStorage>
</file>

<file path=customXml/itemProps1.xml><?xml version="1.0" encoding="utf-8"?>
<ds:datastoreItem xmlns:ds="http://schemas.openxmlformats.org/officeDocument/2006/customXml" ds:itemID="{56DC7E5B-C040-40D8-A023-6E024C49868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4283</Words>
  <Characters>23130</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 Bôsco Hora Góis</dc:creator>
  <cp:lastModifiedBy>João Bôsco Hora Góis</cp:lastModifiedBy>
  <cp:revision>3</cp:revision>
  <dcterms:created xsi:type="dcterms:W3CDTF">2025-06-11T19:58:00Z</dcterms:created>
  <dcterms:modified xsi:type="dcterms:W3CDTF">2025-06-11T19:59:00Z</dcterms:modified>
</cp:coreProperties>
</file>