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b/>
          <w:b/>
          <w:sz w:val="24"/>
          <w:szCs w:val="24"/>
        </w:rPr>
      </w:pPr>
      <w:r>
        <w:rPr>
          <w:b/>
          <w:sz w:val="24"/>
          <w:szCs w:val="24"/>
        </w:rPr>
      </w:r>
    </w:p>
    <w:p>
      <w:pPr>
        <w:pStyle w:val="Normal"/>
        <w:spacing w:lineRule="auto" w:line="360"/>
        <w:jc w:val="center"/>
        <w:rPr>
          <w:b/>
          <w:b/>
          <w:sz w:val="24"/>
          <w:szCs w:val="24"/>
        </w:rPr>
      </w:pPr>
      <w:r>
        <w:rPr>
          <w:b/>
          <w:sz w:val="24"/>
          <w:szCs w:val="24"/>
        </w:rPr>
        <w:t>ARTIGOS DA MESA TEMÁTICA COORDENADA</w:t>
      </w:r>
    </w:p>
    <w:p>
      <w:pPr>
        <w:pStyle w:val="Normal"/>
        <w:spacing w:lineRule="auto" w:line="360"/>
        <w:jc w:val="center"/>
        <w:rPr>
          <w:b/>
          <w:b/>
          <w:sz w:val="24"/>
          <w:szCs w:val="24"/>
        </w:rPr>
      </w:pPr>
      <w:r>
        <w:rPr>
          <w:b/>
          <w:sz w:val="24"/>
          <w:szCs w:val="24"/>
        </w:rPr>
      </w:r>
    </w:p>
    <w:p>
      <w:pPr>
        <w:pStyle w:val="Normal"/>
        <w:spacing w:lineRule="auto" w:line="360"/>
        <w:jc w:val="center"/>
        <w:rPr/>
      </w:pPr>
      <w:r>
        <w:rPr>
          <w:b/>
          <w:sz w:val="24"/>
          <w:szCs w:val="24"/>
        </w:rPr>
        <w:t>GEOPOLÍTICA, NEOEXTRATIVISMO E TERRITORIALIZAÇÃO DO CAPITAL NA PERIFERIA:</w:t>
      </w:r>
      <w:r>
        <w:rPr>
          <w:sz w:val="24"/>
          <w:szCs w:val="24"/>
        </w:rPr>
        <w:t xml:space="preserve"> dinâmicas e resistências populares.</w:t>
      </w:r>
    </w:p>
    <w:p>
      <w:pPr>
        <w:pStyle w:val="Normal"/>
        <w:spacing w:lineRule="auto" w:line="240"/>
        <w:jc w:val="both"/>
        <w:rPr>
          <w:b/>
          <w:b/>
          <w:sz w:val="24"/>
          <w:szCs w:val="24"/>
        </w:rPr>
      </w:pPr>
      <w:r>
        <w:rPr>
          <w:b/>
          <w:sz w:val="24"/>
          <w:szCs w:val="24"/>
        </w:rPr>
      </w:r>
    </w:p>
    <w:p>
      <w:pPr>
        <w:pStyle w:val="Normal"/>
        <w:spacing w:lineRule="auto" w:line="240"/>
        <w:jc w:val="both"/>
        <w:rPr>
          <w:sz w:val="24"/>
          <w:szCs w:val="24"/>
        </w:rPr>
      </w:pPr>
      <w:r>
        <w:rPr>
          <w:b/>
          <w:sz w:val="24"/>
          <w:szCs w:val="24"/>
        </w:rPr>
        <w:t>Resumo</w:t>
      </w:r>
    </w:p>
    <w:p>
      <w:pPr>
        <w:pStyle w:val="Normal"/>
        <w:spacing w:lineRule="auto" w:line="240"/>
        <w:jc w:val="both"/>
        <w:rPr>
          <w:b/>
          <w:b/>
          <w:sz w:val="24"/>
          <w:szCs w:val="24"/>
        </w:rPr>
      </w:pPr>
      <w:r>
        <w:rPr>
          <w:b/>
          <w:sz w:val="24"/>
          <w:szCs w:val="24"/>
        </w:rPr>
      </w:r>
    </w:p>
    <w:p>
      <w:pPr>
        <w:pStyle w:val="Normal"/>
        <w:spacing w:lineRule="auto" w:line="240"/>
        <w:jc w:val="both"/>
        <w:rPr>
          <w:sz w:val="24"/>
          <w:szCs w:val="24"/>
        </w:rPr>
      </w:pPr>
      <w:r>
        <w:rPr>
          <w:sz w:val="24"/>
          <w:szCs w:val="24"/>
        </w:rPr>
        <w:t>A transição geopolítica em curso neste século aponta para mudanças significativas de referenciais culturais, econômicos e de territorialização. A ascensão da China e a retomada da Rússia, assim como um crescente rearranjo das relações no poder mundial, que tem desmanchado a hegemonia estadunidense, apresenta repercussões no amplo leque em que o poder se manifesta. No âmbito de uma mudança climática que, aliada a interferência humana na dinâmica planetária indica a necessidade de mudança de paradigma na relação com o ambiente, a crise em curso assume feições preocupantemente complexas. No decurso desta última década temos visto proliferar projetos de logística alternativos àqueles controlados pelo atual hegemon, potencializando a interferência no ambiente, assim como escalam a produção de mercadorias, puxando o extrativismo hidromineral principalmente na periferia do sistema-mundo. Este contexto contemporâneo aprofunda o processo de acumulação do capital, fundamentado na extinção dos direitos sociais e a necessidade de utilização da violência, estatal e paraestatal, para impor a crescente concentração de riquezas. Os estudos que fazem parte desta mesa versam sobre estas transformações geopolíticas no tange a sua territorialização, seja do ponto de vista da logística, do avanço do extrativismo e da utilização da violência para coagir a maioria da população, tanto no campo quanto na cidade. Destaca-se na contemporaneidade a crescente militarização dos conflitos por implantar na periferia um padrão de desenvolvimento pautado pela incidência nas comunidades tradicionais (indígenas, quilombolas e camponesas) com impactos deletérios ambientalmente. Na busca por compreender estes fenômenos de forma mais abrangente os textos analisam situações em diversos territórios americanos e africanos, visando constatar o papel que a periferia desempenha nesta nova distribuição mundial do poder.</w:t>
      </w:r>
    </w:p>
    <w:p>
      <w:pPr>
        <w:pStyle w:val="Normal"/>
        <w:spacing w:lineRule="auto" w:line="240"/>
        <w:jc w:val="both"/>
        <w:rPr/>
      </w:pPr>
      <w:r>
        <w:rPr>
          <w:sz w:val="20"/>
          <w:szCs w:val="20"/>
        </w:rPr>
        <w:t xml:space="preserve"> </w:t>
      </w:r>
    </w:p>
    <w:p>
      <w:pPr>
        <w:pStyle w:val="Normal"/>
        <w:spacing w:lineRule="auto" w:line="240"/>
        <w:jc w:val="both"/>
        <w:rPr/>
      </w:pPr>
      <w:r>
        <w:rPr>
          <w:b/>
          <w:sz w:val="20"/>
          <w:szCs w:val="20"/>
        </w:rPr>
        <w:t>Palavras-chave</w:t>
      </w:r>
      <w:r>
        <w:rPr>
          <w:sz w:val="20"/>
          <w:szCs w:val="20"/>
        </w:rPr>
        <w:t>: Geopolítica; Neoextrativismo; Violência; Militarização</w:t>
      </w:r>
      <w:bookmarkStart w:id="0" w:name="_GoBack"/>
      <w:bookmarkEnd w:id="0"/>
      <w:r>
        <w:rPr>
          <w:sz w:val="20"/>
          <w:szCs w:val="20"/>
        </w:rPr>
        <w:t>; Território</w:t>
      </w:r>
      <w:r>
        <w:rPr>
          <w:sz w:val="20"/>
          <w:szCs w:val="20"/>
          <w:lang w:val="en-US"/>
        </w:rPr>
        <w:t>.</w:t>
      </w:r>
    </w:p>
    <w:p>
      <w:pPr>
        <w:pStyle w:val="Normal"/>
        <w:spacing w:lineRule="auto" w:line="240"/>
        <w:jc w:val="both"/>
        <w:rPr>
          <w:sz w:val="20"/>
          <w:szCs w:val="20"/>
          <w:lang w:val="en-US"/>
        </w:rPr>
      </w:pPr>
      <w:r>
        <w:rPr>
          <w:sz w:val="20"/>
          <w:szCs w:val="20"/>
          <w:lang w:val="en-US"/>
        </w:rPr>
      </w:r>
    </w:p>
    <w:p>
      <w:pPr>
        <w:pStyle w:val="Normal"/>
        <w:spacing w:lineRule="auto" w:line="240"/>
        <w:jc w:val="both"/>
        <w:rPr>
          <w:sz w:val="24"/>
          <w:szCs w:val="24"/>
        </w:rPr>
      </w:pPr>
      <w:r>
        <w:rPr/>
      </w:r>
    </w:p>
    <w:p>
      <w:pPr>
        <w:pStyle w:val="Normal"/>
        <w:spacing w:lineRule="auto" w:line="240"/>
        <w:jc w:val="both"/>
        <w:rPr>
          <w:sz w:val="24"/>
          <w:szCs w:val="24"/>
        </w:rPr>
      </w:pPr>
      <w:r>
        <w:rPr/>
      </w:r>
    </w:p>
    <w:p>
      <w:pPr>
        <w:pStyle w:val="Normal"/>
        <w:spacing w:lineRule="auto" w:line="240"/>
        <w:jc w:val="both"/>
        <w:rPr>
          <w:sz w:val="24"/>
          <w:szCs w:val="24"/>
        </w:rPr>
      </w:pPr>
      <w:r>
        <w:rPr/>
      </w:r>
    </w:p>
    <w:p>
      <w:pPr>
        <w:pStyle w:val="Normal"/>
        <w:spacing w:lineRule="auto" w:line="240"/>
        <w:jc w:val="both"/>
        <w:rPr>
          <w:sz w:val="24"/>
          <w:szCs w:val="24"/>
        </w:rPr>
      </w:pPr>
      <w:r>
        <w:rPr/>
      </w:r>
    </w:p>
    <w:p>
      <w:pPr>
        <w:pStyle w:val="Normal"/>
        <w:bidi w:val="0"/>
        <w:jc w:val="center"/>
        <w:rPr/>
      </w:pPr>
      <w:r>
        <w:rPr>
          <w:b/>
          <w:bCs/>
        </w:rPr>
        <w:t xml:space="preserve">A Pan-Amazônia como palco da disputa hegemônica – </w:t>
      </w:r>
    </w:p>
    <w:p>
      <w:pPr>
        <w:pStyle w:val="Normal"/>
        <w:bidi w:val="0"/>
        <w:jc w:val="center"/>
        <w:rPr/>
      </w:pPr>
      <w:r>
        <w:rPr>
          <w:b/>
          <w:bCs/>
        </w:rPr>
        <w:t>resistências e violências neocoloniais</w:t>
      </w:r>
    </w:p>
    <w:p>
      <w:pPr>
        <w:pStyle w:val="Normal"/>
        <w:bidi w:val="0"/>
        <w:jc w:val="left"/>
        <w:rPr/>
      </w:pPr>
      <w:r>
        <w:rPr/>
      </w:r>
    </w:p>
    <w:p>
      <w:pPr>
        <w:pStyle w:val="Normal"/>
        <w:bidi w:val="0"/>
        <w:jc w:val="right"/>
        <w:rPr/>
      </w:pPr>
      <w:r>
        <w:rPr/>
        <w:t>Guillermo Alfredo Johnson</w:t>
      </w:r>
      <w:r>
        <w:rPr>
          <w:rStyle w:val="Ncoradanotaderodap"/>
        </w:rPr>
        <w:footnoteReference w:id="2"/>
      </w:r>
    </w:p>
    <w:p>
      <w:pPr>
        <w:pStyle w:val="Normal"/>
        <w:bidi w:val="0"/>
        <w:jc w:val="right"/>
        <w:rPr/>
      </w:pPr>
      <w:r>
        <w:rPr/>
      </w:r>
    </w:p>
    <w:p>
      <w:pPr>
        <w:pStyle w:val="Normal"/>
        <w:bidi w:val="0"/>
        <w:jc w:val="right"/>
        <w:rPr/>
      </w:pPr>
      <w:r>
        <w:rPr/>
        <w:t>Marcos Antonio da Silva</w:t>
      </w:r>
      <w:r>
        <w:rPr>
          <w:rStyle w:val="Ncoradanotaderodap"/>
        </w:rPr>
        <w:footnoteReference w:id="3"/>
      </w:r>
    </w:p>
    <w:p>
      <w:pPr>
        <w:pStyle w:val="Normal"/>
        <w:bidi w:val="0"/>
        <w:jc w:val="left"/>
        <w:rPr/>
      </w:pPr>
      <w:r>
        <w:rPr/>
      </w:r>
    </w:p>
    <w:p>
      <w:pPr>
        <w:pStyle w:val="Normal"/>
        <w:bidi w:val="0"/>
        <w:spacing w:lineRule="auto" w:line="360"/>
        <w:jc w:val="both"/>
        <w:rPr>
          <w:b/>
          <w:b/>
          <w:bCs/>
        </w:rPr>
      </w:pPr>
      <w:r>
        <w:rPr>
          <w:b/>
          <w:bCs/>
        </w:rPr>
        <w:t>Introdução</w:t>
      </w:r>
    </w:p>
    <w:p>
      <w:pPr>
        <w:pStyle w:val="Normal"/>
        <w:bidi w:val="0"/>
        <w:spacing w:lineRule="auto" w:line="360"/>
        <w:jc w:val="both"/>
        <w:rPr/>
      </w:pPr>
      <w:r>
        <w:rPr/>
        <w:t>No âmbito da crescente importância que assume a questão ambiental nas últimas três décadas a conservação das florestas e a construção de uma sociedade que permita uma convivência sustentada entre os seres vivos torna-se crescente desafio. Esta situação alia-se ao debate em torno de uma mudança climática significativa que está em curso na contemporaneidade, aspectos que enfatizam a importância pela conscientização e uma eventual mudança das formas como as nossas sociedades têm-se relacionado com o ambiente onde convivemos. Neste leque de crescentes preocupações ergue-se com cada vez mais força o conceito de Antropoceno, como uma tentativa em significar histórica e tendencialmente as relações que os seres humanos temos construídos no nosso planeta, e, principalmente, os acirrados debates vinculados com o devir e porvir da sobrevivência da vida na Terra.</w:t>
      </w:r>
    </w:p>
    <w:p>
      <w:pPr>
        <w:pStyle w:val="Normal"/>
        <w:bidi w:val="0"/>
        <w:spacing w:lineRule="auto" w:line="360"/>
        <w:jc w:val="both"/>
        <w:rPr/>
      </w:pPr>
      <w:r>
        <w:rPr/>
        <w:t xml:space="preserve">As situações sucintamente esboçadas acima tornam-se mais dramáticas ao constatar que se tecem no meio de uma disputa pela hegemonia mundial. A ascensão </w:t>
      </w:r>
      <w:r>
        <w:rPr>
          <w:rFonts w:eastAsia="Noto Serif CJK SC" w:cs="Lohit Devanagari"/>
          <w:color w:val="auto"/>
          <w:kern w:val="2"/>
          <w:sz w:val="24"/>
          <w:szCs w:val="24"/>
          <w:lang w:val="pt-BR" w:eastAsia="zh-CN" w:bidi="hi-IN"/>
        </w:rPr>
        <w:t>econômica</w:t>
      </w:r>
      <w:r>
        <w:rPr/>
        <w:t xml:space="preserve"> da China e a retomada da corrida armamentista da Rússia, para destacar alguns elementos deste novo século, colocam em xeque o predomínio dos Estados Unidos da América, inquestionável três décadas atrás. No final do século passado, com o fim da Guerra Fria, por breves anos a predominância estadunidense no poder político, econômico e militar propalara-se como inconteste, sendo que já no século passado diversos sintomas destas fissuras assomaram: os zapatistas no sul do México apontaram o caminho da rebelião ante o suposto livre mercado, trazendo a tona diversas mobilizações contra a denominada globalização; ao mesmo tempo em que diversos países experimentaram crises financeiras. Neste século assistimos a ascensão chinesa na produção de mercadorias e na liderança da revolução tecnológica 4.0, e no inicio da atual década uma atitude soberanista russa visa colocar limites aos arroubos ocidentais de controle militar e político. </w:t>
      </w:r>
    </w:p>
    <w:p>
      <w:pPr>
        <w:pStyle w:val="Normal"/>
        <w:bidi w:val="0"/>
        <w:spacing w:lineRule="auto" w:line="360"/>
        <w:jc w:val="both"/>
        <w:rPr/>
      </w:pPr>
      <w:r>
        <w:rPr/>
        <w:t>Neste cenário, os países periféricos tem procurado se reorganizar em torno de tentativas de fortalecer as suas autonomias perante a persistência avassaladora dos mecanismos de dominação geopolíticos e econômicos dos países que detêm a hegemonia mundial. Os ensaios integracionistas no rastro de um desenvolvimento autônomo e construções soberanas na América Latina na primeira década deste século foram efêmeras, pois uma nova onda de governos submissos ao poder hegemônicos foram instalados, instaurando uma impronta neocolonial, com desindustrialização e reprimarização econômica e ideologias neoconservadoras. Tentativas autonomistas tiveram relativo sucesso, até o momento, em alguns países da Ásia, a partir do apoio da crescente liderança chinesa, e alguns países da África Central, que tem procurado por graus de autonomia que desafiam a necessidade de controle do hegemon.</w:t>
      </w:r>
    </w:p>
    <w:p>
      <w:pPr>
        <w:pStyle w:val="Normal"/>
        <w:bidi w:val="0"/>
        <w:spacing w:lineRule="auto" w:line="360"/>
        <w:jc w:val="both"/>
        <w:rPr/>
      </w:pPr>
      <w:r>
        <w:rPr/>
      </w:r>
    </w:p>
    <w:p>
      <w:pPr>
        <w:pStyle w:val="Normal"/>
        <w:bidi w:val="0"/>
        <w:spacing w:lineRule="auto" w:line="360"/>
        <w:jc w:val="both"/>
        <w:rPr>
          <w:b/>
          <w:b/>
          <w:bCs/>
        </w:rPr>
      </w:pPr>
      <w:r>
        <w:rPr>
          <w:b/>
          <w:bCs/>
        </w:rPr>
        <w:t>Sobre a atual disputa hegemônica mundial: Estado e democracia</w:t>
      </w:r>
    </w:p>
    <w:p>
      <w:pPr>
        <w:pStyle w:val="Normal"/>
        <w:bidi w:val="0"/>
        <w:spacing w:lineRule="auto" w:line="360"/>
        <w:jc w:val="both"/>
        <w:rPr/>
      </w:pPr>
      <w:r>
        <w:rPr/>
        <w:t>Esta concisa descrição da geopolítica mundial visa contextualizar a dinâmica recente de divisão internacional do poder, para poder ter alguns elementos para compreender a situação da Pan-Amazônia. Como já é de conhecimento público, denominar de Pan-Amazônia é para frisar que trata-se do bioma no conjunto da América do Sul, compreendendo quase a metade do território, abrangendo nove países. Ainda que mais da metade do bioma encontra-se em solo brasileiro (61%) a dimensão a que fazemos referência inclui países inteiros, ainda que pequenos, como a Guiana, a Guiana Francesa e o Suriname (Aragón, 2018).</w:t>
      </w:r>
    </w:p>
    <w:p>
      <w:pPr>
        <w:pStyle w:val="Normal"/>
        <w:bidi w:val="0"/>
        <w:spacing w:lineRule="auto" w:line="360"/>
        <w:jc w:val="both"/>
        <w:rPr/>
      </w:pPr>
      <w:r>
        <w:rPr/>
        <w:t>Ao observarmos as linhas gerais dos embates geopolíticos mundiais na contemporaneidade é possível vislumbrar que as tensões que se avizinham neste final de quartil de século visam escalar situações de maior violência. Sendo que vamos rumo a uma quarta revolução tecnológica, que aceleraria o processamento das informações, um aprimoramento significativo da robotização e uma propalada transição energética, convivemos num cenário de aprofundamento das desigualdades sociais, com uma concentração da riqueza sem registro precedente (Oxfam International, 2025). O que comumente denomina-se por crise do capitalismo, ou policrise (Lang; Bringel; Manahan, 2023), que, supostamente, preocupa-se com o desemprego e a desigualdade de renda, recorre a um aumento da crise fiscal que justificaria o ajuste das contas públicas em âmbitos nacionais com o discurso que isto promoveria a economia; quando está comprovado que as medidas mencionadas somente provocam mais pobreza e aprofundam os traços antes mencionados. Ao mesmo tempo, verifica-se nesta década o crescimento de uma perspectiva denominada como extrema direita, que retoma os fundamentos do liberalismo aliados a uma retórica neoconservadora, trazendo como consequência uma profunda clivagem social que, para manter a sua hegemonia social, incentiva o recurso à violência contra os pobres, marginalizados e as denominadas minorias sociais (Álvarez et al., 2020; Dardot et al., 2021).</w:t>
      </w:r>
    </w:p>
    <w:p>
      <w:pPr>
        <w:pStyle w:val="Normal"/>
        <w:bidi w:val="0"/>
        <w:spacing w:lineRule="auto" w:line="360"/>
        <w:jc w:val="both"/>
        <w:rPr/>
      </w:pPr>
      <w:r>
        <w:rPr/>
        <w:t>Na periferia do sistema capitalista, onde é possível inserir os países latino-americanos, as tensões parecem se fazer sentir com maior intensidade se comparadas com os países centrais, particularmente no que se refere ao extrativismo. Neste escopo analítico, no âmbito de uma propalada transição energética e da mudança climática em curso, a disputa hegemônica tende a ganhar contornos dramáticos para as populações do denominado Sul Global, pois as consequências do modelo predatório implantado pelo capitalismo tendem a serem sentidos nas regiões mais desprotegidas e vulneráveis socioeconomicamente (GAUDICHAUD; MODONESI; WEBBER, 2019).</w:t>
      </w:r>
    </w:p>
    <w:p>
      <w:pPr>
        <w:pStyle w:val="Normal"/>
        <w:bidi w:val="0"/>
        <w:spacing w:lineRule="auto" w:line="360"/>
        <w:jc w:val="both"/>
        <w:rPr/>
      </w:pPr>
      <w:r>
        <w:rPr/>
        <w:t>Nesta última década e meia temos assistido uma reversão significativa dos sinais que as políticas governamentais apontaram no início deste século, tanto no que se refere ao papel que o Estado deve desempenhar quanto das características que a democracia deve assumir na contemporaneidade. Na primeira onda progressista, ou como denominam Twaites Rey e Ouviña (2018) por CINAL (Ciclo de Impugnación al Neoliberalismo en América Latina), como um período que pretendeu mitigar os principais traços do neoliberalismo, caracterizado por uma participação ativa dos Estados latino-americanos num projeto desenvolvimentista ou neodesenvolvimentista.</w:t>
      </w:r>
    </w:p>
    <w:p>
      <w:pPr>
        <w:pStyle w:val="Normal"/>
        <w:bidi w:val="0"/>
        <w:spacing w:lineRule="auto" w:line="360"/>
        <w:jc w:val="both"/>
        <w:rPr/>
      </w:pPr>
      <w:r>
        <w:rPr/>
        <w:t>Pode se afirmar que houve significativa distribuição de renda neste período e uma leve guinada nas políticas públicas de saúde e educação no sentido de prover mais acesso à população, mas as diretrizes principais não deixaram de ser as neoliberais (Johnson; Silva, 2019; Katz, 2015). No inicio da segunda década deste século o sinal começa a mudar e governos alinhados com o país hegemônico começam a ganhar fôlego significativo, assim como as concepções relativas aos povos tradicionais e as riquezas que a natureza proporcionara para a região amazônica começam a se tornar alvo preferencial destes setores. Após a crescente importância que China exerce na aquisição de commodities, América Latina se torna palco privilegiado da disputa por minérios, petróleo e seus derivados e os produtos agropecuários.</w:t>
      </w:r>
    </w:p>
    <w:p>
      <w:pPr>
        <w:pStyle w:val="Normal"/>
        <w:bidi w:val="0"/>
        <w:spacing w:lineRule="auto" w:line="360"/>
        <w:jc w:val="both"/>
        <w:rPr/>
      </w:pPr>
      <w:r>
        <w:rPr/>
        <w:t>A ênfase extrativista da nova divisão do trabalho no âmbito dessa policrise, encorajados pelos governos denominados por direita ou extrema direita, incentiva a expansão da fronteira de recursos, espremendo e invadindo a floresta e tensionando pelo seu extermínio (Álvarez et. al., 2020). Só para trazer um exemplo que nos permita refletir no sentido proposto pela leitura que pretendemos levar adiante na pesquisa, podemos observar a ascensão da importância do lítio na segunda metade da década passada e como isso pode ser vinculado com a instabilidade que o governo boliviano irá vivenciar no final daquela década. Os problemas na validação da reeleição do Evo Morales e o golpe, validado pela liderança da Organização dos Estados Americanos (OEA), e a posse de uma senadora que não estava na linha sucessória constitucionalmente, que buscou privatizar as jazidas de minérios, em especial o lítio, e acelerar o desmantelamento do Estado. Esta enorme jazida de lítio, considerada a maior até agora descoberta, que se encontra na região fronteiriça com a Argentina e o Peru também terá consequências nestes países, quiçá não da magnitude que tomaram em território boliviano, mas também não estarão ausentes nos interesses dos setores na disputa pelo poder estatal. Inclusive, no ano passado, houve uma intensa movimentação de setores militares que chegaram a enfrentar o presidente Arce, numa tentativa de intimidação que segue outros capítulos na atualidade (Panchi et al., 2023). Neste início do segundo semestre de 2025 verificou-se a derrota do projeto político das lideranças que por quase duas décadas governaram o povo boliviano, sendo que os partidos políticos de direita ascendem novamente ao poder, com a tendência de retomar as relações de subalternidades historicamente lastreadas (Llata, 2025).</w:t>
      </w:r>
    </w:p>
    <w:p>
      <w:pPr>
        <w:pStyle w:val="Normal"/>
        <w:bidi w:val="0"/>
        <w:spacing w:lineRule="auto" w:line="360"/>
        <w:jc w:val="both"/>
        <w:rPr/>
      </w:pPr>
      <w:r>
        <w:rPr/>
        <w:t xml:space="preserve">A situação do Peru nestes últimos anos tem sido de sistemática instabilidade dos seus governos, com intenso ativismo judiciário e do seu parlamento nacional na disputa dos rumos do país. Verifica-se neste país andino também uma discriminação excludente dos povos indígenas, os quais são frequentemente associados com a defesa ambiental e contrários ao “desenvolvimento”, que, por sua vez, traduz-se numa dicotomia campo </w:t>
      </w:r>
      <w:r>
        <w:rPr>
          <w:i/>
          <w:iCs/>
        </w:rPr>
        <w:t>versus</w:t>
      </w:r>
      <w:r>
        <w:rPr/>
        <w:t xml:space="preserve"> cidade (Villalba, 2022). A deposição e cárcere do último presidente eleito Pedro Castilho, consequentemente a posse de sua vice-presidenta eleita trouxe confrontos significativos com as mobilizações populares, as quais foram reprimidas com violência desproporcional. Este cenário, instalado com o afastamento do governante eleito, tem significado a continuidade do processo neoextrativista e de concentração de riquezas, assim como a desqualificação daqueles que se opõem a esta dinâmica. Tanto este país quanto o Equador convidaram as forças armadas dos Estados Unidos a contribuírem com a segurança interna dos seus países. Este outro país andino-amazônico, Equador, tem vivenciado anos de instabilidade desde a saída do seu presidente Rafael Correa. Depois da deposição e banimento da participação política do máximo representante da Revolução Cidadã, a eleição do ex-vice-presidente deste último, Lenin Moreno, e sua guinada a favor das grandes corporações, a dinâmica do exercício do poder interrompe a sutil tendência de atendimento às demandas populares, o aproximando das diretrizes neoliberais. A continuidade destas políticas foi consolidada com Guillermo Lasso, eleito a partir de 2021 e tendo deixado o cargo dois anos depois, assumindo o atual governante, eleito há dois anos, sendo um membro da minoria abastada equatoriana, Daniel Noboa. A senda que este país andino tem trilhado na questão ambiental alinha-se com as que tem sido levadas adiante pelos governos da região durante este século, em grande medida assumindo formalmente a importância da agenda conservacionista ambiental e a necessidade de uma mudança significativa no padrão fosil de consumo energético, ao mesmo tempo em que continua a explorar petróleo e minérios na região amazônida (Schwab; Combariza, 2024). Nesta última década o Equador escalou em problemas de seguridade social e uma série de questões relacionados com o desmantelamento do Estado, que trouxeram intensa polarização política, alimentada pelas redes sociais, assim como tem sido observado no conjunto do Ocidente (Alarcón, 2020; Paz y Miño Cepeda, 2020; Dávalos, 2023).</w:t>
      </w:r>
    </w:p>
    <w:p>
      <w:pPr>
        <w:pStyle w:val="Normal"/>
        <w:bidi w:val="0"/>
        <w:spacing w:lineRule="auto" w:line="360"/>
        <w:jc w:val="both"/>
        <w:rPr/>
      </w:pPr>
      <w:r>
        <w:rPr/>
        <w:t>A Colômbia tem o seu primeiro governo progressista, decorrente de intensas mobilizações sociais, que tem enfrentado diversas milicias que disputam o território com camponeses e populações tradicionais. O extrativismo mineral confunde-se com os espaços que a plantação e processamento da coca vem sendo disputado por diversos setores sociais, sendo que uma minoria oligárquica tem capturado o Estado por décadas, frequentemente aliada com corporações estrangeiras e nacionais. O governo de Gustavo Petro tem sofrido diversas tentativas de interrupção do seu mandato, de diversas formas, através de jogos de poder ou institucionais, que obstruem a possibilidade de levar adiante seu projeto político (Pulido Gómez, 2019). As resistências populares demonstram resiliência continuada, ainda que não se vislumbre uma virada na dinâmica em curso, mas a necessidade crescente de utilização de mecanismos da guerra híbrida em curso.</w:t>
      </w:r>
    </w:p>
    <w:p>
      <w:pPr>
        <w:pStyle w:val="Normal"/>
        <w:bidi w:val="0"/>
        <w:spacing w:lineRule="auto" w:line="360"/>
        <w:jc w:val="both"/>
        <w:rPr/>
      </w:pPr>
      <w:r>
        <w:rPr/>
        <w:t>A situação da Venezuela, sob a presidência de Nicolás Maduro é mais complexa e singular. A manutenção deste governante no poder está crivada de críticas, relacionadas com corrupção de diversos setores relacionados com o seu governo, da ampliação das alianças que realizou para permanecer no poder e os custos sociais disto. Um considerável contingente de migrantes têm abandonado o país, o qual indica as dificuldades sociais de permanência, relacionados com abastecimento e acesso a renda (número considerável de indígenas, assim como pessoas com formação profissional). A questão extrativista encontra-se no centro do debate econômico, pois a distribuição da renda petroleira é a coluna vertebral do país, sendo que uma área extensa de extração mineral vem ganhando destaque no último quinquênio (Fréitez Mendoza; López Heredia, 2021). É importante destacar que o continuado assédio que a nação venezuelana vem sofrendo desde o inicio do século tem incentivado considerável união popular em torno do governo, pois a persistente violência comandada pelos Estados Unidos para uma mudança de regime, por sua vez, permite evadir as críticas dos opositores às políticas imperialistas.</w:t>
      </w:r>
    </w:p>
    <w:p>
      <w:pPr>
        <w:pStyle w:val="Normal"/>
        <w:bidi w:val="0"/>
        <w:spacing w:lineRule="auto" w:line="360"/>
        <w:jc w:val="both"/>
        <w:rPr/>
      </w:pPr>
      <w:r>
        <w:rPr/>
        <w:t xml:space="preserve">Até três anos atrás pouco se ouvia sobre a Guiana, o Suriname ou a Guiana Francesa, mas as incursões de garimpeiros ilegais e de alguns empreendimentos de mineração têm crescido nesses países. Nos últimos dois anos têm </w:t>
      </w:r>
      <w:r>
        <w:rPr>
          <w:rFonts w:eastAsia="Noto Serif CJK SC" w:cs="Lohit Devanagari"/>
          <w:color w:val="auto"/>
          <w:kern w:val="2"/>
          <w:sz w:val="24"/>
          <w:szCs w:val="24"/>
          <w:lang w:val="pt-BR" w:eastAsia="zh-CN" w:bidi="hi-IN"/>
        </w:rPr>
        <w:t>ganhado cada vez mais espaço</w:t>
      </w:r>
      <w:r>
        <w:rPr/>
        <w:t xml:space="preserve"> os debates em torno das suas plataformas marítimas, pelo descobrimento de significativas jazidas, como parte da atual disputa pela extração de petróleo. As disputas pelos governos na Guiana e Suriname têm se tornado mais intensa nestes últimos três anos, inserindo-se também no debate em torno da questão ambiental e o desenvolvimento predatório levado adiante pelo neoextrativismo que vem ganhando espaço na agenda pública atualmente (Silva; Granger, 2022).</w:t>
      </w:r>
    </w:p>
    <w:p>
      <w:pPr>
        <w:pStyle w:val="Normal"/>
        <w:bidi w:val="0"/>
        <w:spacing w:lineRule="auto" w:line="360"/>
        <w:jc w:val="both"/>
        <w:rPr/>
      </w:pPr>
      <w:r>
        <w:rPr/>
        <w:t>Nesta última década temos vivenciado no Brasil também muita instabilidade governamental. Um golpe midiático-institucional perpetrado durante 2016 da presidenta Dilma Rousseff vai aprofundar o projeto neoliberal em curso, fortalecendo o agronegócio, isto é a pecuária e a agricultura comandada por uma oligarquia latifundiária, e promovendo o aumento do garimpo ilegal e a grilagem principalmente na região amazônica e no Cerrado. O governo Temer, vice-presidente eleito no âmbito daquela Frente Popular, irá assumir para implantar uma série de políticas a favor do capital e preparar o terreno da extrema direita. A predominância política dos setores economicamente dominantes se consolidará com a ascensão do governo Bolsonaro, que conseguiu “passar a boiada” em termos de flexibilização legislativa e institucional para aprofundar o saque dos recursos naturais. O governo Lula, que o sucedeu, não tem conseguido reverter totalmente o curso dessa exploração intensa, sendo que persiste numa perspectiva desenvolvimentista baseada no extrativismo,continuando com a ampliação da exploração de petróleo e sem conseguir frear o avanço da fronteira de recursos (Souza Becerra et al., 2023).</w:t>
      </w:r>
    </w:p>
    <w:p>
      <w:pPr>
        <w:pStyle w:val="Normal"/>
        <w:bidi w:val="0"/>
        <w:spacing w:lineRule="auto" w:line="360"/>
        <w:jc w:val="both"/>
        <w:rPr/>
      </w:pPr>
      <w:r>
        <w:rPr/>
        <w:t>Na região amazônica as resistências populares tem se caracterizado pela sua diversidade, sendo que os povos indígenas destacam-se, pois esta região tem sido a mais preservada na América do Sul. A luta camponesa também instala-se na disputa pelos territórios, ainda que, a partir do Estado, a conivência com a grilagem e a ausência de fiscalização ambiental tenha provocado a criminalização dos movimentos sociais e suas lideranças (Vergara-Camus; Kay, 2017).</w:t>
      </w:r>
    </w:p>
    <w:p>
      <w:pPr>
        <w:pStyle w:val="Normal"/>
        <w:bidi w:val="0"/>
        <w:spacing w:lineRule="auto" w:line="360"/>
        <w:jc w:val="both"/>
        <w:rPr/>
      </w:pPr>
      <w:r>
        <w:rPr/>
        <w:t>Este sucinto relato da situação dos países na Pan-Amazônia somente visa apresentar um voo panorâmico da dinâmica dos seus regimes políticos, para verificar a crescente fragilidade das suas democracias, pois com a ascensão da extrema direita a institucionalidade esgarça-se e a lei do mais forte instaura-se (Brown, 2019). Neste cenário, os estados parecem revelar o seu caráter de classe, que aparentemente estava sendo escamoteado, pois a lei aplica-se para quem não está ocupando o poder do Estado, e, cada vez mais, não esconde-se que ele encontra-se a serviço dos setores abastados da sociedade, não necessariamente nacionais (Dardot et al., 2021).</w:t>
      </w:r>
    </w:p>
    <w:p>
      <w:pPr>
        <w:pStyle w:val="Normal"/>
        <w:bidi w:val="0"/>
        <w:spacing w:lineRule="auto" w:line="360"/>
        <w:jc w:val="both"/>
        <w:rPr/>
      </w:pPr>
      <w:r>
        <w:rPr/>
      </w:r>
    </w:p>
    <w:p>
      <w:pPr>
        <w:pStyle w:val="Normal"/>
        <w:bidi w:val="0"/>
        <w:spacing w:lineRule="auto" w:line="360"/>
        <w:jc w:val="both"/>
        <w:rPr/>
      </w:pPr>
      <w:r>
        <w:rPr>
          <w:b/>
          <w:bCs/>
        </w:rPr>
        <w:t>Considerações Finais</w:t>
      </w:r>
      <w:r>
        <w:rPr/>
        <w:t xml:space="preserve"> </w:t>
      </w:r>
    </w:p>
    <w:p>
      <w:pPr>
        <w:pStyle w:val="Normal"/>
        <w:bidi w:val="0"/>
        <w:spacing w:lineRule="auto" w:line="360"/>
        <w:jc w:val="both"/>
        <w:rPr/>
      </w:pPr>
      <w:r>
        <w:rPr/>
        <w:t>Neste exíguo texto buscamos apontar como a dinâmica pela disputa do poder político expressa-se também no âmbito da crescente exploração do território pan-amazônico. Sucintamente descrevemos aspectos das transformações políticas nestas últimas décadas, principalmente na instabilidade do exercício institucional do poder relacionado com as regras formais da democracia vigente, e verificar a ampliação da devastação florestal e da fauna na região amazônica como último bastião territorial sul-americano de avanço da fronteira de recursos.</w:t>
      </w:r>
    </w:p>
    <w:p>
      <w:pPr>
        <w:pStyle w:val="Normal"/>
        <w:bidi w:val="0"/>
        <w:spacing w:lineRule="auto" w:line="360"/>
        <w:jc w:val="both"/>
        <w:rPr/>
      </w:pPr>
      <w:r>
        <w:rPr/>
        <w:t>A busca pela retomada do poder político da minoria abastada em nível regional sacrifica como há mais de século e meio, quando da hegemonia do pensamento político liberal, a participação popular nos desígnios das sociedades. O viés autocrático de dominação, ao qual Florestan Fernandes referia-se, torna-se evidente na tentativa de imposição dos interesses da minoria que concentra a riqueza, o qual, na sua sanha expansiva sem limites, destrói tendencialmente os biomas que tornam viável a vida no nosso planeta.</w:t>
      </w:r>
    </w:p>
    <w:p>
      <w:pPr>
        <w:pStyle w:val="Normal"/>
        <w:bidi w:val="0"/>
        <w:spacing w:lineRule="auto" w:line="360"/>
        <w:jc w:val="both"/>
        <w:rPr/>
      </w:pPr>
      <w:r>
        <w:rPr/>
        <w:t xml:space="preserve">Ainda que não seja possível observar uma organização que abranja os países pan-amazônicos numa resistência às investidas do capital ao bioma é necessário verificar a existência de uma diversidade de mecanismos de resistência levados adiante por movimentos sociais camponeses, quilombolas, ribeirinhos e indígenas. </w:t>
      </w:r>
    </w:p>
    <w:p>
      <w:pPr>
        <w:pStyle w:val="Normal"/>
        <w:bidi w:val="0"/>
        <w:spacing w:lineRule="auto" w:line="360"/>
        <w:jc w:val="both"/>
        <w:rPr/>
      </w:pPr>
      <w:r>
        <w:rPr/>
        <w:t>A disputa hegemônica em nível mundial ainda não apresenta um modelo alternativo de relação dos seres humanos com o meio em que vivemos. As concepções extrativistas de divisão internacional do trabalho encontram-se em pleno funcionamento, conduzindo a região em estudo a se tornar um palco da disputa por matérias-primas e alimentos não processados, o qual impacta negativamente os povos do campo e da floresta.</w:t>
      </w:r>
    </w:p>
    <w:p>
      <w:pPr>
        <w:pStyle w:val="Normal"/>
        <w:bidi w:val="0"/>
        <w:spacing w:lineRule="auto" w:line="360"/>
        <w:jc w:val="both"/>
        <w:rPr/>
      </w:pPr>
      <w:r>
        <w:rPr/>
      </w:r>
    </w:p>
    <w:p>
      <w:pPr>
        <w:pStyle w:val="Normal"/>
        <w:bidi w:val="0"/>
        <w:spacing w:lineRule="auto" w:line="360"/>
        <w:jc w:val="both"/>
        <w:rPr>
          <w:b/>
          <w:b/>
          <w:bCs/>
        </w:rPr>
      </w:pPr>
      <w:r>
        <w:rPr>
          <w:b/>
          <w:bCs/>
        </w:rPr>
        <w:t>Referências</w:t>
      </w:r>
    </w:p>
    <w:p>
      <w:pPr>
        <w:pStyle w:val="Normal"/>
        <w:widowControl/>
        <w:suppressAutoHyphens w:val="true"/>
        <w:bidi w:val="0"/>
        <w:spacing w:lineRule="auto" w:line="240" w:before="0" w:after="0"/>
        <w:ind w:left="283" w:right="0" w:hanging="283"/>
        <w:jc w:val="both"/>
        <w:rPr/>
      </w:pPr>
      <w:r>
        <w:rPr/>
        <w:t xml:space="preserve">ALARCÓN, Pedro. Latin american environmental thinking revisited: the polyphony of buen vivir. </w:t>
      </w:r>
      <w:r>
        <w:rPr>
          <w:b/>
          <w:bCs/>
        </w:rPr>
        <w:t>Diálogos rev. electr. hist</w:t>
      </w:r>
      <w:r>
        <w:rPr/>
        <w:t xml:space="preserve">, San Pedro, v. 21, n. 2, p. 215-236, 2020. </w:t>
      </w:r>
      <w:hyperlink r:id="rId2">
        <w:r>
          <w:rPr>
            <w:rStyle w:val="LinkdaInternet"/>
          </w:rPr>
          <w:t>http://dx.doi.org/10.15517/dre.v21i2.39433</w:t>
        </w:r>
      </w:hyperlink>
      <w:r>
        <w:rPr/>
        <w:t>.</w:t>
      </w:r>
    </w:p>
    <w:p>
      <w:pPr>
        <w:pStyle w:val="Normal"/>
        <w:widowControl/>
        <w:suppressAutoHyphens w:val="true"/>
        <w:bidi w:val="0"/>
        <w:spacing w:lineRule="auto" w:line="240" w:before="0" w:after="0"/>
        <w:ind w:left="283" w:right="0" w:hanging="283"/>
        <w:jc w:val="both"/>
        <w:rPr/>
      </w:pPr>
      <w:r>
        <w:rPr/>
        <w:t xml:space="preserve">ÁLVAREZ, J. E. et al. </w:t>
      </w:r>
      <w:r>
        <w:rPr>
          <w:b/>
          <w:bCs/>
        </w:rPr>
        <w:t>Contra Nuestra América</w:t>
      </w:r>
      <w:r>
        <w:rPr/>
        <w:t>: estrategias de la derecha en el siglo XXI. Ciudad Autónoma de Buenos Aires: CLACSO, 2020.</w:t>
      </w:r>
    </w:p>
    <w:p>
      <w:pPr>
        <w:pStyle w:val="Normal"/>
        <w:widowControl/>
        <w:suppressAutoHyphens w:val="true"/>
        <w:bidi w:val="0"/>
        <w:spacing w:lineRule="auto" w:line="240" w:before="0" w:after="0"/>
        <w:ind w:left="283" w:right="0" w:hanging="283"/>
        <w:jc w:val="both"/>
        <w:rPr/>
      </w:pPr>
      <w:r>
        <w:rPr/>
        <w:t xml:space="preserve">ARAGÓN, L. E. A dimensão internacional da Amazônia: um aporte para sua interpretação. </w:t>
      </w:r>
      <w:r>
        <w:rPr>
          <w:b/>
          <w:bCs/>
        </w:rPr>
        <w:t>Revista NERA</w:t>
      </w:r>
      <w:r>
        <w:rPr/>
        <w:t>, v. 21, n. 42, p.15-33 , dossiê, 2018.</w:t>
      </w:r>
    </w:p>
    <w:p>
      <w:pPr>
        <w:pStyle w:val="Normal"/>
        <w:widowControl/>
        <w:suppressAutoHyphens w:val="true"/>
        <w:bidi w:val="0"/>
        <w:spacing w:lineRule="auto" w:line="240" w:before="0" w:after="0"/>
        <w:ind w:left="283" w:right="0" w:hanging="283"/>
        <w:jc w:val="both"/>
        <w:rPr/>
      </w:pPr>
      <w:r>
        <w:rPr/>
        <w:t xml:space="preserve">BARRIOS RODRÍGUEZ, D. Crear dos, tres… muchas Colombia. Em: CECEÑA, A. E. (coord.) </w:t>
      </w:r>
      <w:r>
        <w:rPr>
          <w:b/>
          <w:bCs/>
        </w:rPr>
        <w:t>Las guerras del siglo XXI.</w:t>
      </w:r>
      <w:r>
        <w:rPr/>
        <w:t xml:space="preserve"> Ciudad Autónoma de Buenos Aires: CLACSO; Ciudad de México: Instituto de Investigaciones Económicas; Ciudad de México: Observatorio Latinoamericano de Geopolítica; Ciudad de México: Universidad Nacional Autónoma de México, 2023.</w:t>
      </w:r>
    </w:p>
    <w:p>
      <w:pPr>
        <w:pStyle w:val="Normal"/>
        <w:widowControl/>
        <w:suppressAutoHyphens w:val="true"/>
        <w:bidi w:val="0"/>
        <w:spacing w:lineRule="auto" w:line="240" w:before="0" w:after="0"/>
        <w:ind w:left="283" w:right="0" w:hanging="283"/>
        <w:jc w:val="both"/>
        <w:rPr/>
      </w:pPr>
      <w:r>
        <w:rPr/>
        <w:t xml:space="preserve">BROWN, W. </w:t>
      </w:r>
      <w:r>
        <w:rPr>
          <w:b/>
          <w:bCs/>
        </w:rPr>
        <w:t>Nas ruínas do neoliberalismo</w:t>
      </w:r>
      <w:r>
        <w:rPr/>
        <w:t>: a ascensão da política antidemocrática no ocidente. São Paulo: Ed. Filosófica Politeia, 2019.</w:t>
      </w:r>
    </w:p>
    <w:p>
      <w:pPr>
        <w:pStyle w:val="Normal"/>
        <w:widowControl/>
        <w:suppressAutoHyphens w:val="true"/>
        <w:bidi w:val="0"/>
        <w:spacing w:lineRule="auto" w:line="240" w:before="0" w:after="0"/>
        <w:ind w:left="283" w:right="0" w:hanging="283"/>
        <w:jc w:val="both"/>
        <w:rPr/>
      </w:pPr>
      <w:r>
        <w:rPr/>
        <w:t xml:space="preserve">DARDOT, P.; GUÉGUEN, H.; LAVAL, C.; SAUVÊTRE, P. A. </w:t>
      </w:r>
      <w:r>
        <w:rPr>
          <w:b/>
          <w:bCs/>
        </w:rPr>
        <w:t>Escolha da Guerra Civil</w:t>
      </w:r>
      <w:r>
        <w:rPr/>
        <w:t>: uma outra história do neoliberalismo. São Paulo: Elefante, 2021.</w:t>
      </w:r>
    </w:p>
    <w:p>
      <w:pPr>
        <w:pStyle w:val="Normal"/>
        <w:widowControl/>
        <w:suppressAutoHyphens w:val="true"/>
        <w:bidi w:val="0"/>
        <w:spacing w:lineRule="auto" w:line="240" w:before="0" w:after="0"/>
        <w:ind w:left="283" w:right="0" w:hanging="283"/>
        <w:jc w:val="both"/>
        <w:rPr/>
      </w:pPr>
      <w:r>
        <w:rPr/>
        <w:t xml:space="preserve">DÁVALOS, P. </w:t>
      </w:r>
      <w:r>
        <w:rPr>
          <w:b/>
          <w:bCs/>
        </w:rPr>
        <w:t>Ecuador</w:t>
      </w:r>
      <w:r>
        <w:rPr/>
        <w:t xml:space="preserve">: Anomia, Estado fallido y lumpen-acumulación. Una lectura desde el marxismo. Buenos Aires: CLACSO, 2023. Disponible en </w:t>
      </w:r>
      <w:hyperlink r:id="rId3">
        <w:r>
          <w:rPr>
            <w:rStyle w:val="LinkdaInternet"/>
          </w:rPr>
          <w:t>https://www.clacso.org/ecuador-anomia-estado-fa-llido-y-lumpen-acumulacion-una-lectu-ra-desde-el-marxismo/</w:t>
        </w:r>
      </w:hyperlink>
      <w:r>
        <w:rPr/>
        <w:t xml:space="preserve"> </w:t>
      </w:r>
    </w:p>
    <w:p>
      <w:pPr>
        <w:pStyle w:val="Normal"/>
        <w:widowControl/>
        <w:suppressAutoHyphens w:val="true"/>
        <w:bidi w:val="0"/>
        <w:spacing w:lineRule="auto" w:line="240" w:before="0" w:after="0"/>
        <w:ind w:left="283" w:right="0" w:hanging="283"/>
        <w:jc w:val="both"/>
        <w:rPr/>
      </w:pPr>
      <w:r>
        <w:rPr/>
        <w:t xml:space="preserve">FRÉITEZ MENDOZA, L.; LÓPEZ HERÉDIA, D. Venezuela: crisis orgánica y disputas por la sociedad rentística. En: OLIVER COSTILLA, L. F. (coord.) </w:t>
      </w:r>
      <w:r>
        <w:rPr>
          <w:b/>
          <w:bCs/>
        </w:rPr>
        <w:t>Problemas teóricos del Estado integral en América Latina</w:t>
      </w:r>
      <w:r>
        <w:rPr/>
        <w:t>. Fuerzas en tensión y crisis. México: UNAM, 2021.</w:t>
      </w:r>
    </w:p>
    <w:p>
      <w:pPr>
        <w:pStyle w:val="Normal"/>
        <w:widowControl/>
        <w:suppressAutoHyphens w:val="true"/>
        <w:bidi w:val="0"/>
        <w:spacing w:lineRule="auto" w:line="240" w:before="0" w:after="0"/>
        <w:ind w:left="283" w:right="0" w:hanging="283"/>
        <w:jc w:val="both"/>
        <w:rPr/>
      </w:pPr>
      <w:r>
        <w:rPr/>
        <w:t xml:space="preserve">GAUDICHAUD, F.; MODONESI, M.; WEBBER, J. </w:t>
      </w:r>
      <w:r>
        <w:rPr>
          <w:b/>
          <w:bCs/>
        </w:rPr>
        <w:t>Los gobiernos progresistas latinoamericanos del siglo XXI.</w:t>
      </w:r>
      <w:r>
        <w:rPr/>
        <w:t xml:space="preserve"> Ensayos de interpretación histórica. México: UNAM, 2019.</w:t>
      </w:r>
    </w:p>
    <w:p>
      <w:pPr>
        <w:pStyle w:val="Normal"/>
        <w:widowControl/>
        <w:suppressAutoHyphens w:val="true"/>
        <w:bidi w:val="0"/>
        <w:spacing w:lineRule="auto" w:line="240" w:before="0" w:after="0"/>
        <w:ind w:left="283" w:right="0" w:hanging="283"/>
        <w:jc w:val="both"/>
        <w:rPr/>
      </w:pPr>
      <w:r>
        <w:rPr/>
        <w:t xml:space="preserve">JOHNSON, G. A.; SILVA , M. A. da. Heteronomía, progresismo y políticas públicas en América Latina. </w:t>
      </w:r>
      <w:r>
        <w:rPr>
          <w:b/>
          <w:bCs/>
        </w:rPr>
        <w:t>Sociedad y Economía</w:t>
      </w:r>
      <w:r>
        <w:rPr/>
        <w:t xml:space="preserve">, 2019, nº 37, p. 71-86. </w:t>
      </w:r>
      <w:hyperlink r:id="rId4">
        <w:r>
          <w:rPr>
            <w:rStyle w:val="LinkdaInternet"/>
          </w:rPr>
          <w:t>https://doi.org/10.25100/sye.v0i37.7822</w:t>
        </w:r>
      </w:hyperlink>
      <w:r>
        <w:rPr/>
        <w:t>.</w:t>
      </w:r>
    </w:p>
    <w:p>
      <w:pPr>
        <w:pStyle w:val="Normal"/>
        <w:widowControl/>
        <w:suppressAutoHyphens w:val="true"/>
        <w:bidi w:val="0"/>
        <w:spacing w:lineRule="auto" w:line="240" w:before="0" w:after="0"/>
        <w:ind w:left="283" w:right="0" w:hanging="283"/>
        <w:jc w:val="both"/>
        <w:rPr/>
      </w:pPr>
      <w:r>
        <w:rPr/>
        <w:t xml:space="preserve">LANG, M.; BRINGEL, B.; MANAHAN, M. A. (eds.) </w:t>
      </w:r>
      <w:r>
        <w:rPr>
          <w:b/>
          <w:bCs/>
        </w:rPr>
        <w:t>Más allá del colonialismo verde</w:t>
      </w:r>
      <w:r>
        <w:rPr/>
        <w:t>: justicia global y geopolítica de las transiciones ecosociales. Ciudad Autónoma de Buenos Aires : CLACSO, 2023.</w:t>
      </w:r>
    </w:p>
    <w:p>
      <w:pPr>
        <w:pStyle w:val="Normal"/>
        <w:widowControl/>
        <w:suppressAutoHyphens w:val="true"/>
        <w:bidi w:val="0"/>
        <w:spacing w:lineRule="auto" w:line="240" w:before="0" w:after="0"/>
        <w:ind w:left="283" w:right="0" w:hanging="283"/>
        <w:jc w:val="both"/>
        <w:rPr/>
      </w:pPr>
      <w:r>
        <w:rPr/>
        <w:t xml:space="preserve">LLATA, M. Fim do ciclo da esquerda no governo da Bolívia reflete anos de alta tensão política e crise econômica profunda. </w:t>
      </w:r>
      <w:r>
        <w:rPr>
          <w:b/>
          <w:bCs/>
        </w:rPr>
        <w:t>Jornal da Unesp</w:t>
      </w:r>
      <w:r>
        <w:rPr/>
        <w:t xml:space="preserve">, 25/08/2025. Disponível em: </w:t>
      </w:r>
      <w:hyperlink r:id="rId5">
        <w:r>
          <w:rPr>
            <w:rStyle w:val="LinkdaInternet"/>
          </w:rPr>
          <w:t>https://jornal.unesp.br/2025/08/21/fim-do-ciclo-da-esquerda-no-governo-da-bolivia-reflete-anos-de-alta-tensao-politica-e-crise-economica-profunda/</w:t>
        </w:r>
      </w:hyperlink>
      <w:r>
        <w:rPr/>
        <w:t xml:space="preserve"> </w:t>
      </w:r>
    </w:p>
    <w:p>
      <w:pPr>
        <w:pStyle w:val="Normal"/>
        <w:widowControl/>
        <w:suppressAutoHyphens w:val="true"/>
        <w:bidi w:val="0"/>
        <w:spacing w:lineRule="auto" w:line="240" w:before="0" w:after="0"/>
        <w:ind w:left="283" w:right="0" w:hanging="283"/>
        <w:jc w:val="both"/>
        <w:rPr/>
      </w:pPr>
      <w:r>
        <w:rPr/>
        <w:t xml:space="preserve">OXFAM INTERNATIONAL. As custas de quem? A origem da riqueza e a construção da injustiça no colonialismo. Janeiro de 2025. DOI:  </w:t>
      </w:r>
      <w:hyperlink r:id="rId6">
        <w:r>
          <w:rPr>
            <w:rStyle w:val="LinkdaInternet"/>
          </w:rPr>
          <w:t>https://doi.org/10.21201/2024.000050</w:t>
        </w:r>
      </w:hyperlink>
      <w:r>
        <w:rPr/>
        <w:t xml:space="preserve">  </w:t>
      </w:r>
    </w:p>
    <w:p>
      <w:pPr>
        <w:pStyle w:val="Normal"/>
        <w:widowControl/>
        <w:suppressAutoHyphens w:val="true"/>
        <w:bidi w:val="0"/>
        <w:spacing w:lineRule="auto" w:line="240" w:before="0" w:after="0"/>
        <w:ind w:left="283" w:right="0" w:hanging="283"/>
        <w:jc w:val="both"/>
        <w:rPr/>
      </w:pPr>
      <w:r>
        <w:rPr/>
        <w:t xml:space="preserve">PANCHI J., M. et al. Jóvenes, democracia y persistencias políticas ante la crisis latinoamericana. Los casos de Ecuador y Bolivia. In: SANŨNDO PAZOS, M. F. et al. (eds.) </w:t>
      </w:r>
      <w:r>
        <w:rPr>
          <w:b/>
          <w:bCs/>
        </w:rPr>
        <w:t>Estado, democracia y movimientos sociales</w:t>
      </w:r>
      <w:r>
        <w:rPr/>
        <w:t>: persistencias y emergencias en el siglo XXI. Ciudad Autónoma de Buenos Aires: CLACSO, 2023.</w:t>
      </w:r>
    </w:p>
    <w:p>
      <w:pPr>
        <w:pStyle w:val="Normal"/>
        <w:widowControl/>
        <w:suppressAutoHyphens w:val="true"/>
        <w:bidi w:val="0"/>
        <w:spacing w:lineRule="auto" w:line="240" w:before="0" w:after="0"/>
        <w:ind w:left="283" w:right="0" w:hanging="283"/>
        <w:jc w:val="both"/>
        <w:rPr/>
      </w:pPr>
      <w:r>
        <w:rPr/>
        <w:t xml:space="preserve">PAZ y MIÑO CEPEDA, J. J. </w:t>
      </w:r>
      <w:r>
        <w:rPr>
          <w:b/>
          <w:bCs/>
        </w:rPr>
        <w:t>Ecuador</w:t>
      </w:r>
      <w:r>
        <w:rPr/>
        <w:t xml:space="preserve">: el levantamiento indígena y popular de octubre 2019. In: SALAS, R. (edit.) </w:t>
      </w:r>
      <w:r>
        <w:rPr>
          <w:b/>
          <w:bCs/>
        </w:rPr>
        <w:t>Luchas sociales, justicia contextual y dignidad de los pueblos.</w:t>
      </w:r>
      <w:r>
        <w:rPr/>
        <w:t xml:space="preserve"> Santiago: Ariadna Ediciones, 2020.</w:t>
      </w:r>
    </w:p>
    <w:p>
      <w:pPr>
        <w:pStyle w:val="Normal"/>
        <w:widowControl/>
        <w:suppressAutoHyphens w:val="true"/>
        <w:bidi w:val="0"/>
        <w:spacing w:lineRule="auto" w:line="240" w:before="0" w:after="0"/>
        <w:ind w:left="283" w:right="0" w:hanging="283"/>
        <w:jc w:val="both"/>
        <w:rPr/>
      </w:pPr>
      <w:r>
        <w:rPr/>
        <w:t xml:space="preserve">PFEIFER, M. O “social” no interior do projeto neodesenvolvimentista. </w:t>
      </w:r>
      <w:r>
        <w:rPr>
          <w:b/>
          <w:bCs/>
        </w:rPr>
        <w:t>Serviço Social e Sociedade</w:t>
      </w:r>
      <w:r>
        <w:rPr/>
        <w:t xml:space="preserve">, São Paulo, n. 120, p. 746-766, 2014. </w:t>
      </w:r>
      <w:hyperlink r:id="rId7">
        <w:r>
          <w:rPr>
            <w:rStyle w:val="LinkdaInternet"/>
          </w:rPr>
          <w:t>http://dx.doi.org/10.1590/0101-6628.008</w:t>
        </w:r>
      </w:hyperlink>
      <w:r>
        <w:rPr/>
        <w:t xml:space="preserve"> </w:t>
      </w:r>
    </w:p>
    <w:p>
      <w:pPr>
        <w:pStyle w:val="Normal"/>
        <w:widowControl/>
        <w:suppressAutoHyphens w:val="true"/>
        <w:bidi w:val="0"/>
        <w:spacing w:lineRule="auto" w:line="240" w:before="0" w:after="0"/>
        <w:ind w:left="283" w:right="0" w:hanging="283"/>
        <w:jc w:val="both"/>
        <w:rPr/>
      </w:pPr>
      <w:r>
        <w:rPr/>
        <w:t xml:space="preserve">PULIDO GÓMEZ, G. El conflicto armado en Colombia en el contexto regional: de la violencia a la seguridad democrática. Em: COSTA, W. M de; VASCONCELOS, D. B. (orgs.) </w:t>
      </w:r>
      <w:r>
        <w:rPr>
          <w:b/>
          <w:bCs/>
        </w:rPr>
        <w:t>Geografia e geopolítica da América do Sul</w:t>
      </w:r>
      <w:r>
        <w:rPr/>
        <w:t>: integrações e conflitos. São Paulo: FFLCH/USP, 2019.</w:t>
      </w:r>
    </w:p>
    <w:p>
      <w:pPr>
        <w:pStyle w:val="Normal"/>
        <w:widowControl/>
        <w:suppressAutoHyphens w:val="true"/>
        <w:bidi w:val="0"/>
        <w:spacing w:lineRule="auto" w:line="240" w:before="0" w:after="0"/>
        <w:ind w:left="283" w:right="0" w:hanging="283"/>
        <w:jc w:val="both"/>
        <w:rPr/>
      </w:pPr>
      <w:r>
        <w:rPr/>
        <w:t xml:space="preserve">SILVA, G. V.; GRANGER, S. A formação territorial da região das Guianas. Em: NUNES RODRIGUES, J. et al. (org.) </w:t>
      </w:r>
      <w:r>
        <w:rPr>
          <w:b/>
          <w:bCs/>
        </w:rPr>
        <w:t xml:space="preserve">Os desafios e os novos debates na Geografia Política Contemporânea 2. </w:t>
      </w:r>
      <w:r>
        <w:rPr/>
        <w:t>Rio de Janeiro: Terra Escrita, 2022.</w:t>
      </w:r>
    </w:p>
    <w:p>
      <w:pPr>
        <w:pStyle w:val="Normal"/>
        <w:widowControl/>
        <w:suppressAutoHyphens w:val="true"/>
        <w:bidi w:val="0"/>
        <w:spacing w:lineRule="auto" w:line="240" w:before="0" w:after="0"/>
        <w:ind w:left="283" w:right="0" w:hanging="283"/>
        <w:jc w:val="both"/>
        <w:rPr/>
      </w:pPr>
      <w:r>
        <w:rPr/>
        <w:t xml:space="preserve">SOUZA BEZERRA, L. M. P. et al. Brasil contemporâneo: crisis orgánica del Estado. En: OLIVER COSTILLA, L. F. (coord.) </w:t>
      </w:r>
      <w:r>
        <w:rPr>
          <w:b/>
          <w:bCs/>
        </w:rPr>
        <w:t>Crisis del Estado y disputa en y por la sociedad civil en América Latina</w:t>
      </w:r>
      <w:r>
        <w:rPr/>
        <w:t>. Análisis de situaciones: Brasil, México, Guatemala, Bolivia. México: UNAM; Grupo Editorial Biblioteca, 2023.</w:t>
      </w:r>
    </w:p>
    <w:p>
      <w:pPr>
        <w:pStyle w:val="Normal"/>
        <w:widowControl/>
        <w:suppressAutoHyphens w:val="true"/>
        <w:bidi w:val="0"/>
        <w:spacing w:lineRule="auto" w:line="240" w:before="0" w:after="0"/>
        <w:ind w:left="283" w:right="0" w:hanging="283"/>
        <w:jc w:val="both"/>
        <w:rPr/>
      </w:pPr>
      <w:r>
        <w:rPr/>
        <w:t xml:space="preserve">SCHWAB, J.; COMBARIZA, N. La planificación en tiempos de crisis climática. Consolidación del modelo de desarrollo extractivista en la Amazonía ecuatoriana. In: LÓPEZ, M. F.; GARCÍA, F. (comps.) </w:t>
      </w:r>
      <w:r>
        <w:rPr>
          <w:b/>
          <w:bCs/>
        </w:rPr>
        <w:t>La Amazonía andina en el siglo XXI</w:t>
      </w:r>
      <w:r>
        <w:rPr/>
        <w:t xml:space="preserve"> : neoextractivismos, fronteras y resistencias. Ciudad Autónoma de Buenos Aires: CLACSO; Guadalajara: CALAS, 2024. </w:t>
      </w:r>
    </w:p>
    <w:p>
      <w:pPr>
        <w:pStyle w:val="Normal"/>
        <w:widowControl/>
        <w:suppressAutoHyphens w:val="true"/>
        <w:bidi w:val="0"/>
        <w:spacing w:lineRule="auto" w:line="240" w:before="0" w:after="0"/>
        <w:ind w:left="283" w:right="0" w:hanging="283"/>
        <w:jc w:val="both"/>
        <w:rPr/>
      </w:pPr>
      <w:r>
        <w:rPr/>
        <w:t xml:space="preserve">THWAITES REY, M. C.; OUVIÑA, H. El ciclo de impugnación al neoliberalismo em América Latina: auge y fractura. In: OUVIÑA, H.; THWAITES REY, M. C. (eds.) </w:t>
      </w:r>
      <w:r>
        <w:rPr>
          <w:b/>
          <w:bCs/>
        </w:rPr>
        <w:t>Estados en disputa: auge y fractura del ciclo de impugnación al neoliberalismo en América Latina</w:t>
      </w:r>
      <w:r>
        <w:rPr/>
        <w:t>. Ciudad Autónoma de Buenos Aires: El Colectivo, 2018.</w:t>
      </w:r>
    </w:p>
    <w:p>
      <w:pPr>
        <w:pStyle w:val="Normal"/>
        <w:widowControl/>
        <w:suppressAutoHyphens w:val="true"/>
        <w:bidi w:val="0"/>
        <w:spacing w:lineRule="auto" w:line="240" w:before="0" w:after="0"/>
        <w:ind w:left="283" w:right="0" w:hanging="283"/>
        <w:jc w:val="both"/>
        <w:rPr/>
      </w:pPr>
      <w:r>
        <w:rPr/>
        <w:t xml:space="preserve">VERGARA‐CAMUS, L.; KAY, C. Agribusiness, peasants, left‐wing governments, and the state in Latin America: An overview and theoretical reflections. </w:t>
      </w:r>
      <w:r>
        <w:rPr>
          <w:b/>
          <w:bCs/>
        </w:rPr>
        <w:t>Journal of Agrarian Change</w:t>
      </w:r>
      <w:r>
        <w:rPr/>
        <w:t xml:space="preserve">, 17(2): 239–257, 2017. </w:t>
      </w:r>
      <w:hyperlink r:id="rId8">
        <w:r>
          <w:rPr>
            <w:rStyle w:val="LinkdaInternet"/>
          </w:rPr>
          <w:t>https://doi.org/10.1111/joac.12215</w:t>
        </w:r>
      </w:hyperlink>
      <w:r>
        <w:rPr/>
        <w:t xml:space="preserve"> </w:t>
      </w:r>
    </w:p>
    <w:p>
      <w:pPr>
        <w:pStyle w:val="Normal"/>
        <w:widowControl/>
        <w:suppressAutoHyphens w:val="true"/>
        <w:bidi w:val="0"/>
        <w:spacing w:lineRule="auto" w:line="240" w:before="0" w:after="0"/>
        <w:ind w:left="283" w:right="0" w:hanging="283"/>
        <w:jc w:val="both"/>
        <w:rPr/>
      </w:pPr>
      <w:r>
        <w:rPr/>
        <w:t xml:space="preserve">VILLALBA, F. V. A totalidade neoliberal-fujimorista: estigmatização e colonialidade no Peru contemporâneo. </w:t>
      </w:r>
      <w:r>
        <w:rPr>
          <w:b/>
          <w:bCs/>
        </w:rPr>
        <w:t>Revista Brasileira De Ciências Sociais</w:t>
      </w:r>
      <w:r>
        <w:rPr/>
        <w:t xml:space="preserve">, 37(109), 2022, e3710906. </w:t>
      </w:r>
      <w:hyperlink r:id="rId9">
        <w:r>
          <w:rPr>
            <w:rStyle w:val="LinkdaInternet"/>
          </w:rPr>
          <w:t>https://doi.org/10.1590/3710906/2022</w:t>
        </w:r>
      </w:hyperlink>
      <w:r>
        <w:rPr/>
        <w:t xml:space="preserve"> </w:t>
      </w:r>
    </w:p>
    <w:p>
      <w:pPr>
        <w:pStyle w:val="Normal"/>
        <w:widowControl/>
        <w:suppressAutoHyphens w:val="true"/>
        <w:bidi w:val="0"/>
        <w:spacing w:lineRule="auto" w:line="240" w:before="0" w:after="0"/>
        <w:ind w:left="283" w:right="0" w:hanging="283"/>
        <w:jc w:val="left"/>
        <w:rPr/>
      </w:pPr>
      <w:r>
        <w:rPr/>
      </w:r>
    </w:p>
    <w:p>
      <w:pPr>
        <w:pStyle w:val="Normal"/>
        <w:widowControl/>
        <w:suppressAutoHyphens w:val="true"/>
        <w:bidi w:val="0"/>
        <w:spacing w:lineRule="auto" w:line="240" w:before="0" w:after="0"/>
        <w:ind w:left="283" w:right="0" w:hanging="283"/>
        <w:jc w:val="left"/>
        <w:rPr>
          <w:rFonts w:ascii="Arial" w:hAnsi="Arial" w:cs="Arial"/>
          <w:b/>
          <w:b/>
          <w:bCs/>
          <w:sz w:val="28"/>
          <w:szCs w:val="28"/>
        </w:rPr>
      </w:pPr>
      <w:r>
        <w:rPr>
          <w:rFonts w:cs="Arial"/>
          <w:b/>
          <w:bCs/>
          <w:sz w:val="28"/>
          <w:szCs w:val="28"/>
        </w:rPr>
      </w:r>
    </w:p>
    <w:p>
      <w:pPr>
        <w:pStyle w:val="Normal"/>
        <w:jc w:val="center"/>
        <w:rPr>
          <w:rFonts w:ascii="Arial" w:hAnsi="Arial" w:cs="Arial"/>
          <w:b/>
          <w:b/>
          <w:bCs/>
          <w:sz w:val="28"/>
          <w:szCs w:val="28"/>
        </w:rPr>
      </w:pPr>
      <w:r>
        <w:rPr>
          <w:rFonts w:cs="Arial"/>
          <w:b/>
          <w:bCs/>
          <w:sz w:val="28"/>
          <w:szCs w:val="28"/>
        </w:rPr>
        <w:t>EXTRATIVISMO, EXPROPRIAÇÃO E VIOLÊNCIA: o legado da Vale na cidade carbonífera de Moatize – Moçambique</w:t>
      </w:r>
    </w:p>
    <w:p>
      <w:pPr>
        <w:pStyle w:val="Normal"/>
        <w:jc w:val="right"/>
        <w:rPr>
          <w:rFonts w:ascii="Arial" w:hAnsi="Arial" w:cs="Arial"/>
          <w:b/>
          <w:b/>
          <w:bCs/>
        </w:rPr>
      </w:pPr>
      <w:r>
        <w:rPr>
          <w:rFonts w:cs="Arial"/>
          <w:b/>
          <w:bCs/>
        </w:rPr>
      </w:r>
    </w:p>
    <w:p>
      <w:pPr>
        <w:pStyle w:val="Normal"/>
        <w:jc w:val="right"/>
        <w:rPr>
          <w:rFonts w:ascii="Arial" w:hAnsi="Arial" w:cs="Arial"/>
          <w:b/>
          <w:b/>
          <w:bCs/>
        </w:rPr>
      </w:pPr>
      <w:r>
        <w:rPr>
          <w:rFonts w:cs="Arial"/>
          <w:b/>
          <w:bCs/>
        </w:rPr>
        <w:t>Lucas Atanásio Catsossa</w:t>
      </w:r>
      <w:r>
        <w:rPr>
          <w:rStyle w:val="Ncoradanotaderodap"/>
          <w:rFonts w:cs="Arial"/>
          <w:b/>
          <w:bCs/>
        </w:rPr>
        <w:footnoteReference w:id="4"/>
      </w:r>
    </w:p>
    <w:p>
      <w:pPr>
        <w:pStyle w:val="Normal"/>
        <w:spacing w:lineRule="auto" w:line="360" w:before="0" w:after="0"/>
        <w:jc w:val="both"/>
        <w:rPr>
          <w:rFonts w:ascii="Arial" w:hAnsi="Arial" w:cs="Arial"/>
          <w:b/>
          <w:b/>
          <w:bCs/>
          <w:sz w:val="24"/>
          <w:szCs w:val="24"/>
        </w:rPr>
      </w:pPr>
      <w:r>
        <w:rPr>
          <w:rFonts w:cs="Arial"/>
          <w:b/>
          <w:bCs/>
          <w:sz w:val="24"/>
          <w:szCs w:val="24"/>
        </w:rPr>
      </w:r>
    </w:p>
    <w:p>
      <w:pPr>
        <w:pStyle w:val="Normal"/>
        <w:spacing w:lineRule="auto" w:line="360" w:before="0" w:after="0"/>
        <w:jc w:val="both"/>
        <w:rPr>
          <w:rFonts w:ascii="Arial" w:hAnsi="Arial" w:cs="Arial"/>
          <w:b/>
          <w:b/>
          <w:bCs/>
          <w:sz w:val="24"/>
          <w:szCs w:val="24"/>
        </w:rPr>
      </w:pPr>
      <w:r>
        <w:rPr>
          <w:rFonts w:cs="Arial"/>
          <w:b/>
          <w:bCs/>
          <w:sz w:val="24"/>
          <w:szCs w:val="24"/>
        </w:rPr>
        <w:t xml:space="preserve">Introdução </w:t>
      </w:r>
    </w:p>
    <w:p>
      <w:pPr>
        <w:pStyle w:val="Normal"/>
        <w:spacing w:lineRule="auto" w:line="360" w:before="0" w:after="0"/>
        <w:ind w:firstLine="709"/>
        <w:jc w:val="both"/>
        <w:rPr>
          <w:rFonts w:ascii="Arial" w:hAnsi="Arial" w:cs="Arial"/>
          <w:sz w:val="24"/>
          <w:szCs w:val="24"/>
        </w:rPr>
      </w:pPr>
      <w:r>
        <w:rPr>
          <w:rFonts w:cs="Arial"/>
          <w:sz w:val="24"/>
          <w:szCs w:val="24"/>
        </w:rPr>
        <w:t>Desde a primeira década do século XXI, a economia política de Moçambique passou a ser dominada pela indústria extrativa. Nessa altura, não se falava mais nada, se não a existência de recursos naturais em ambulância, cuja exploração era vista pelas autoridades governamentais como uma oportunidade para o desenvolvimento do país. A euforia era tanta de tal forma que os megaprojetos extrativos passaram a ser vistos como sinônimo de desenvolvimento. Outros setores da economia tornaram-se marginais para os governos sucessivos da FRELIMO (Frente de Libertação de Moçambique, partido de esquerda no poder desde 1975), de tal forma que toda atenção passou a ser concentrada na indústria extrativa.</w:t>
      </w:r>
    </w:p>
    <w:p>
      <w:pPr>
        <w:pStyle w:val="Normal"/>
        <w:spacing w:lineRule="auto" w:line="360" w:before="0" w:after="0"/>
        <w:ind w:firstLine="709"/>
        <w:jc w:val="both"/>
        <w:rPr>
          <w:rFonts w:ascii="Arial" w:hAnsi="Arial" w:cs="Arial"/>
          <w:sz w:val="24"/>
          <w:szCs w:val="24"/>
        </w:rPr>
      </w:pPr>
      <w:r>
        <w:rPr>
          <w:rFonts w:cs="Arial"/>
          <w:sz w:val="24"/>
          <w:szCs w:val="24"/>
        </w:rPr>
        <w:t xml:space="preserve">Em pouco tempo, a abundância dos recursos naturais, a qual era televisionada e estampada em jornais nacionais e internacionais na primeira década do século XXI, chamou atenção dos setores dominantes do capitalismo financeiro globalizado. Para esses setores, Moçambique era um território viável para investir, pois, a existência desses recursos naturais em abundância era uma oportunidade para a rentabilidade financeira. Já que nessa altura, o capitalismo neoliberal passava por uma das piores fases da sua existência em resultado da crise de 2007/8, Moçambique era visto por esses setores dominantes do capitalismo financeiro globalizado como lugar de superação face a esse cenário. </w:t>
      </w:r>
    </w:p>
    <w:p>
      <w:pPr>
        <w:pStyle w:val="Normal"/>
        <w:spacing w:lineRule="auto" w:line="360" w:before="0" w:after="0"/>
        <w:ind w:firstLine="709"/>
        <w:jc w:val="both"/>
        <w:rPr>
          <w:rFonts w:ascii="Arial" w:hAnsi="Arial" w:cs="Arial"/>
          <w:sz w:val="24"/>
          <w:szCs w:val="24"/>
        </w:rPr>
      </w:pPr>
      <w:r>
        <w:rPr>
          <w:rFonts w:cs="Arial"/>
          <w:sz w:val="24"/>
          <w:szCs w:val="24"/>
        </w:rPr>
        <w:t xml:space="preserve">A existência de condições para a rentabilidade financeira, fez com que as corporações globais se deslocassem para Moçambique visando a exploração capitalista dos recursos naturais. Foi neste quadro que a multinacional brasileira Vale se territorializou em Moçambique, sobretudo, na cidade carbonífera de Moatize, com o interesse de extrair o carvão mineral, uma matéria-prima, não apenas de maior </w:t>
      </w:r>
      <w:r>
        <w:rPr>
          <w:rFonts w:cs="Arial"/>
          <w:i/>
          <w:iCs/>
          <w:sz w:val="24"/>
          <w:szCs w:val="24"/>
        </w:rPr>
        <w:t>valor de troca</w:t>
      </w:r>
      <w:r>
        <w:rPr>
          <w:rFonts w:cs="Arial"/>
          <w:sz w:val="24"/>
          <w:szCs w:val="24"/>
        </w:rPr>
        <w:t xml:space="preserve"> no mercado internacional, mas também de alto </w:t>
      </w:r>
      <w:r>
        <w:rPr>
          <w:rFonts w:cs="Arial"/>
          <w:i/>
          <w:iCs/>
          <w:sz w:val="24"/>
          <w:szCs w:val="24"/>
        </w:rPr>
        <w:t>valor de uso</w:t>
      </w:r>
      <w:r>
        <w:rPr>
          <w:rFonts w:cs="Arial"/>
          <w:sz w:val="24"/>
          <w:szCs w:val="24"/>
        </w:rPr>
        <w:t xml:space="preserve">, sobretudo, em países com dependência energética. </w:t>
      </w:r>
    </w:p>
    <w:p>
      <w:pPr>
        <w:pStyle w:val="Normal"/>
        <w:spacing w:lineRule="auto" w:line="360" w:before="0" w:after="0"/>
        <w:jc w:val="both"/>
        <w:rPr>
          <w:rFonts w:ascii="Arial" w:hAnsi="Arial" w:cs="Arial"/>
          <w:b/>
          <w:b/>
          <w:bCs/>
          <w:sz w:val="24"/>
          <w:szCs w:val="24"/>
        </w:rPr>
      </w:pPr>
      <w:r>
        <w:rPr>
          <w:rFonts w:cs="Arial"/>
          <w:b/>
          <w:bCs/>
          <w:sz w:val="24"/>
          <w:szCs w:val="24"/>
        </w:rPr>
        <w:t>Extrativismo e seus desbordamentos socioterritoriais em Moçambique</w:t>
      </w:r>
    </w:p>
    <w:p>
      <w:pPr>
        <w:pStyle w:val="Normal"/>
        <w:spacing w:lineRule="auto" w:line="360" w:before="0" w:after="0"/>
        <w:ind w:firstLine="709"/>
        <w:jc w:val="both"/>
        <w:rPr>
          <w:rFonts w:ascii="Arial" w:hAnsi="Arial" w:cs="Arial"/>
          <w:sz w:val="24"/>
          <w:szCs w:val="24"/>
        </w:rPr>
      </w:pPr>
      <w:r>
        <w:rPr>
          <w:rFonts w:cs="Arial"/>
          <w:sz w:val="24"/>
          <w:szCs w:val="24"/>
        </w:rPr>
        <w:t xml:space="preserve">O extrativismo tem estado no centro do debate em muitos lugares do mundo, em causa, estão os seus desdobramentos nos contextos geográficos onde esta prática se expande. A literatura que versa sobre o extrativismo aponta que existe uma variedade de extrativismos, dos quais: mineral, agrário, pesqueiro, florestal, petrolífero etc. (Acosta, 2016). A essas variedades do extrativismo, adiciona-se também a captura de carbono, o qual tem dominado o debate sobre o </w:t>
      </w:r>
      <w:r>
        <w:rPr>
          <w:rFonts w:cs="Arial"/>
          <w:i/>
          <w:iCs/>
          <w:sz w:val="24"/>
          <w:szCs w:val="24"/>
        </w:rPr>
        <w:t xml:space="preserve">Green Grabbing </w:t>
      </w:r>
      <w:r>
        <w:rPr>
          <w:rFonts w:cs="Arial"/>
          <w:sz w:val="24"/>
          <w:szCs w:val="24"/>
        </w:rPr>
        <w:t xml:space="preserve">ou </w:t>
      </w:r>
      <w:r>
        <w:rPr>
          <w:rFonts w:cs="Arial"/>
          <w:i/>
          <w:iCs/>
          <w:sz w:val="24"/>
          <w:szCs w:val="24"/>
        </w:rPr>
        <w:t>colonialismo verde</w:t>
      </w:r>
      <w:r>
        <w:rPr>
          <w:rFonts w:cs="Arial"/>
          <w:sz w:val="24"/>
          <w:szCs w:val="24"/>
        </w:rPr>
        <w:t xml:space="preserve">. </w:t>
      </w:r>
      <w:r>
        <w:rPr>
          <w:rFonts w:cs="Arial"/>
          <w:sz w:val="24"/>
          <w:szCs w:val="24"/>
          <w:lang w:val="es-ES"/>
        </w:rPr>
        <w:t>Para Gudynas (2015):</w:t>
      </w:r>
    </w:p>
    <w:p>
      <w:pPr>
        <w:pStyle w:val="Normal"/>
        <w:spacing w:lineRule="auto" w:line="240" w:before="0" w:after="120"/>
        <w:ind w:left="2268" w:hanging="0"/>
        <w:jc w:val="both"/>
        <w:rPr>
          <w:rFonts w:ascii="Arial" w:hAnsi="Arial" w:cs="Arial"/>
          <w:sz w:val="20"/>
          <w:szCs w:val="20"/>
          <w:lang w:val="es-ES"/>
        </w:rPr>
      </w:pPr>
      <w:r>
        <w:rPr>
          <w:rFonts w:cs="Arial"/>
          <w:sz w:val="20"/>
          <w:szCs w:val="20"/>
          <w:lang w:val="es-ES"/>
        </w:rPr>
        <w:t>[…] el extractivismo es aquí definido como un tipo de extracción de recursos naturales, en gran volumen o alta intensidad, y que están orientados esencialmente a ser exportados como materias primas sin procesar, o con un procesamiento mínimo (Gudynas, 2015, 13).</w:t>
      </w:r>
    </w:p>
    <w:p>
      <w:pPr>
        <w:pStyle w:val="Normal"/>
        <w:spacing w:lineRule="auto" w:line="360" w:before="0" w:after="0"/>
        <w:ind w:firstLine="709"/>
        <w:jc w:val="both"/>
        <w:rPr>
          <w:rFonts w:ascii="Arial" w:hAnsi="Arial" w:cs="Arial"/>
          <w:sz w:val="24"/>
          <w:szCs w:val="24"/>
        </w:rPr>
      </w:pPr>
      <w:r>
        <w:rPr>
          <w:rFonts w:cs="Arial"/>
          <w:sz w:val="24"/>
          <w:szCs w:val="24"/>
        </w:rPr>
        <w:t xml:space="preserve">Esse processo demanda o controle territorial, e com ele, outros recursos naturais vitais para a sobrevivência dos povos nativos. Acosta (2016) entende que o extrativismo é um dos mecanismos de acumulação primitiva do capital, o qual demanda a corrida pela apropriação dos recursos naturais por parte das grandes corporações capitalista. Neste processo, os países detentores dos recursos naturais, na sua maioria, pobres, são integrados nas cadeias de valor globais como mero fornecedores das matérias-primas. </w:t>
      </w:r>
    </w:p>
    <w:p>
      <w:pPr>
        <w:pStyle w:val="Normal"/>
        <w:spacing w:lineRule="auto" w:line="360" w:before="0" w:after="0"/>
        <w:ind w:firstLine="709"/>
        <w:jc w:val="both"/>
        <w:rPr>
          <w:rFonts w:ascii="Arial" w:hAnsi="Arial" w:cs="Arial"/>
          <w:sz w:val="24"/>
          <w:szCs w:val="24"/>
        </w:rPr>
      </w:pPr>
      <w:r>
        <w:rPr>
          <w:rFonts w:cs="Arial"/>
          <w:sz w:val="24"/>
          <w:szCs w:val="24"/>
        </w:rPr>
        <w:t>Por meio dessa inserção, esses países são explorados e saqueados, sendo que os recursos naturais, são mais tarde, escoados para o mercado internacional onde ocorre a sua comercialização. No entanto, há que realçar que esses recursos naturais, são exportados em bruto, o que torna o processo ainda mais complexo. Paradoxalmente, enquanto os países pobres são explorados, saqueados e empobrecidos pelas multinacionais, os países de destino das matérias-primas se desenvolvem e se industrializam. Para Acosta (2016):</w:t>
      </w:r>
    </w:p>
    <w:p>
      <w:pPr>
        <w:pStyle w:val="Normal"/>
        <w:spacing w:lineRule="auto" w:line="240" w:before="0" w:after="120"/>
        <w:ind w:left="2268" w:hanging="0"/>
        <w:jc w:val="both"/>
        <w:rPr>
          <w:rFonts w:ascii="Arial" w:hAnsi="Arial" w:cs="Arial"/>
          <w:sz w:val="20"/>
          <w:szCs w:val="20"/>
        </w:rPr>
      </w:pPr>
      <w:r>
        <w:rPr>
          <w:rFonts w:cs="Arial"/>
          <w:sz w:val="20"/>
          <w:szCs w:val="20"/>
        </w:rPr>
        <w:t>O extrativismo tem sido um mecanismo de saque e apropriação colonial e neocolonial. Esse extrativismo, que assumiu diversas roupagens ao longo do tempo, forjou-se na exploração das matérias-primas indispensáveis para o desenvolvimento industrial e o bem-estar do Norte Global (Acosta, 2016, 50).</w:t>
      </w:r>
    </w:p>
    <w:p>
      <w:pPr>
        <w:pStyle w:val="Normal"/>
        <w:spacing w:lineRule="auto" w:line="360" w:before="0" w:after="0"/>
        <w:ind w:firstLine="709"/>
        <w:jc w:val="both"/>
        <w:rPr>
          <w:rFonts w:ascii="Arial" w:hAnsi="Arial" w:cs="Arial"/>
          <w:sz w:val="24"/>
          <w:szCs w:val="24"/>
        </w:rPr>
      </w:pPr>
      <w:r>
        <w:rPr>
          <w:rFonts w:cs="Arial"/>
          <w:sz w:val="24"/>
          <w:szCs w:val="24"/>
        </w:rPr>
        <w:t xml:space="preserve">Em muitos países pobres, que são ao mesmo tempo ricos em recursos naturais, verifica-se um paradoxo. Para além da extração dos recursos naturais beneficiar as corporações globais, no sentido em que conseguem acumular primitivamente o capital, os países de destino das matérias-primas é que usufruem do desenvolvimento. Os países pobres e ricos em recursos naturais, na maioria das vezes, são obrigados a permanecerem no atraso industrial, uma vez que as matérias-primas saem bruto para o mercado internacional. Outro aspecto importante a referenciar nesse processo, tem a ver com a dependência econômica dos países pobres e ricos em recursos naturais. </w:t>
      </w:r>
    </w:p>
    <w:p>
      <w:pPr>
        <w:pStyle w:val="Normal"/>
        <w:spacing w:lineRule="auto" w:line="360" w:before="0" w:after="0"/>
        <w:ind w:firstLine="709"/>
        <w:jc w:val="both"/>
        <w:rPr>
          <w:rFonts w:ascii="Arial" w:hAnsi="Arial" w:cs="Arial"/>
          <w:sz w:val="24"/>
          <w:szCs w:val="24"/>
        </w:rPr>
      </w:pPr>
      <w:r>
        <w:rPr>
          <w:rFonts w:cs="Arial"/>
          <w:sz w:val="24"/>
          <w:szCs w:val="24"/>
        </w:rPr>
        <w:t>Essa dependência econômica é resultado da falta de diversificação da economia, uma vez que fica praticamente refém da extração dos recursos naturais pelas corporações globais. Nesses países, os níveis de desigualdades sociais e pobreza tendem elevarem-se cada vez mais à medida que o tempo vai passando. De acordo com Acosta (2016):</w:t>
      </w:r>
    </w:p>
    <w:p>
      <w:pPr>
        <w:pStyle w:val="Normal"/>
        <w:spacing w:lineRule="auto" w:line="240" w:before="0" w:after="120"/>
        <w:ind w:left="2268" w:hanging="0"/>
        <w:jc w:val="both"/>
        <w:rPr>
          <w:rFonts w:ascii="Arial" w:hAnsi="Arial" w:cs="Arial"/>
          <w:sz w:val="20"/>
          <w:szCs w:val="20"/>
        </w:rPr>
      </w:pPr>
      <w:r>
        <w:rPr>
          <w:rFonts w:cs="Arial"/>
          <w:sz w:val="20"/>
          <w:szCs w:val="20"/>
        </w:rPr>
        <w:t>Os países ricos em recursos naturais, cujas economias são sustentadas prioritariamente em sua extração e exportação, encontram maiores dificuldades para se desenvolver. Parecem estar condenados ao subdesenvolvimento aqueles que são substancialmente dotados de algum ou alguns poucos produtos primários (Acosta, 2016, p.47).</w:t>
      </w:r>
    </w:p>
    <w:p>
      <w:pPr>
        <w:pStyle w:val="Normal"/>
        <w:spacing w:lineRule="auto" w:line="360" w:before="0" w:after="0"/>
        <w:ind w:firstLine="709"/>
        <w:jc w:val="both"/>
        <w:rPr>
          <w:rFonts w:ascii="Arial" w:hAnsi="Arial" w:cs="Arial"/>
          <w:sz w:val="24"/>
          <w:szCs w:val="24"/>
        </w:rPr>
      </w:pPr>
      <w:r>
        <w:rPr>
          <w:rFonts w:cs="Arial"/>
          <w:sz w:val="24"/>
          <w:szCs w:val="24"/>
        </w:rPr>
        <w:t xml:space="preserve">Ademais, nesses países, o desemprego é outro problema que emerge em decorrência da extração dos recursos naturais. Porém, se o processamento das matérias-primas ocorresse localmente, obviamente, seriam criados milhares de empregos. Mas, já que o processamento ocorre nos países de destino das matérias-primas, é lá onde são criados os postos de trabalhados. Nos territórios onde as práticas extrativistas se expandem por meio da corrupção, a impunidade corporativa, é característica dominante. Como consequência direta disto, as comunidades tradicionais e os camponeses, perdem os seus territórios, e com eles, todos os recursos naturais vitais para a sua reprodução social. </w:t>
      </w:r>
    </w:p>
    <w:p>
      <w:pPr>
        <w:pStyle w:val="Normal"/>
        <w:spacing w:lineRule="auto" w:line="360" w:before="0" w:after="0"/>
        <w:ind w:firstLine="709"/>
        <w:jc w:val="both"/>
        <w:rPr>
          <w:rFonts w:ascii="Arial" w:hAnsi="Arial" w:cs="Arial"/>
          <w:sz w:val="24"/>
          <w:szCs w:val="24"/>
        </w:rPr>
      </w:pPr>
      <w:r>
        <w:rPr>
          <w:rFonts w:cs="Arial"/>
          <w:sz w:val="24"/>
          <w:szCs w:val="24"/>
        </w:rPr>
        <w:t>Nesses lugares, a destruição e devastação de florestas, a degradação ambiental e a contaminação dos solos e das águas lençóis freáticos, dos rios, lagos, lagoas, são canários cada vez mais recorrente e sem punição dos infratores. Para além disso, a violência toma conta dos territórios por onde as práticas extrativistas se expande. Diante da impunidade, as comunidades tradicionais e camponesas, passam ciclicamente a serem submetidas a vários cenários de violência, não apenas simbólicas caracterizadas pela expropriação e expulsão das suas terras, mas também física.</w:t>
      </w:r>
    </w:p>
    <w:p>
      <w:pPr>
        <w:pStyle w:val="Normal"/>
        <w:spacing w:lineRule="auto" w:line="360" w:before="0" w:after="0"/>
        <w:ind w:firstLine="709"/>
        <w:jc w:val="both"/>
        <w:rPr>
          <w:rFonts w:ascii="Arial" w:hAnsi="Arial" w:cs="Arial"/>
          <w:sz w:val="24"/>
          <w:szCs w:val="24"/>
        </w:rPr>
      </w:pPr>
      <w:r>
        <w:rPr>
          <w:rFonts w:cs="Arial"/>
          <w:sz w:val="24"/>
          <w:szCs w:val="24"/>
        </w:rPr>
        <w:t xml:space="preserve">O cenário desigual e contraditório aqui exposto, ocorre em Moçambique, um país africano rico em recursos naturais, mas ao mesmo tempo, economicamente pobre. Esse paradoxo não ocorre ao acaso em Moçambique, como foi referenciado anteriormente, é típico dos países ricos em recursos naturais, cujas economias são sustentadas a partir da sua extração e exportação. Moçambique tem uma variedade de recursos naturais de alto valor de troca no mercado internacional, das quais, carvão mineral, minério de ferro, areias pesadas, grafite, ouro, rubi, gás, uranio, terras raras dentre outros, os quais são explorados pelas corporações globais. </w:t>
      </w:r>
    </w:p>
    <w:p>
      <w:pPr>
        <w:pStyle w:val="Normal"/>
        <w:spacing w:lineRule="auto" w:line="360" w:before="0" w:after="0"/>
        <w:ind w:firstLine="709"/>
        <w:jc w:val="both"/>
        <w:rPr>
          <w:rFonts w:ascii="Arial" w:hAnsi="Arial" w:cs="Arial"/>
          <w:sz w:val="24"/>
          <w:szCs w:val="24"/>
        </w:rPr>
      </w:pPr>
      <w:r>
        <w:rPr>
          <w:rFonts w:cs="Arial"/>
          <w:sz w:val="24"/>
          <w:szCs w:val="24"/>
        </w:rPr>
        <w:t>Para a sua exploração capitalista, o Estado concessiona e entrega licenças as corporações globais. O processo de concessão nem sempre é transparente, pois, há relatos de corrupção em vários processos (Mosca &amp; Selemane, 2011). A corrupção que ocorre no processo de emissão de licenças as multinacionais, não beneficia apenas as multinacionais no sentido torna o processo mais flexível, mas também os grupos sociais envolvidos diretamente dentro do Aparelho do Estado. No aparelho do Estado, os maiores beneficiários dessa corrupção, são as elites políticas que governam o país desde 1975.</w:t>
      </w:r>
    </w:p>
    <w:p>
      <w:pPr>
        <w:pStyle w:val="Normal"/>
        <w:spacing w:lineRule="auto" w:line="360" w:before="0" w:after="0"/>
        <w:ind w:firstLine="709"/>
        <w:jc w:val="both"/>
        <w:rPr>
          <w:rFonts w:ascii="Arial" w:hAnsi="Arial" w:cs="Arial"/>
          <w:sz w:val="24"/>
          <w:szCs w:val="24"/>
        </w:rPr>
      </w:pPr>
      <w:r>
        <w:rPr>
          <w:rFonts w:cs="Arial"/>
          <w:sz w:val="24"/>
          <w:szCs w:val="24"/>
        </w:rPr>
        <w:t xml:space="preserve">Embora o processo de emissão de licenças de exploração dos recursos naturais seja acompanhado por narrativas desenvolvimentistas, há evidências suficientes para afirmar que existe discrepância entre o discurso e a realidade. A exploração desses recursos naturais em Moçambique, está na origem do subdesenvolvimento. Em outras palavras, a exploração dos recursos naturais não tem criado condições para que o país possa desenvolver-se, no sentido de iniciar os processos de industrialização. Após serem extraídos, esses recursos naturais, são exportados em brutos para os países de destino. </w:t>
      </w:r>
    </w:p>
    <w:p>
      <w:pPr>
        <w:pStyle w:val="Normal"/>
        <w:spacing w:lineRule="auto" w:line="360" w:before="0" w:after="0"/>
        <w:ind w:firstLine="709"/>
        <w:jc w:val="both"/>
        <w:rPr>
          <w:rFonts w:ascii="Arial" w:hAnsi="Arial" w:cs="Arial"/>
          <w:sz w:val="24"/>
          <w:szCs w:val="24"/>
        </w:rPr>
      </w:pPr>
      <w:r>
        <w:rPr>
          <w:rFonts w:cs="Arial"/>
          <w:sz w:val="24"/>
          <w:szCs w:val="24"/>
        </w:rPr>
        <w:t>Um estudo recente (Rantala, 2022) chegou à conclusão de que embora o país tenha grandes quantidades de recursos naturais, a sua exploração apenas beneficia poucos grupos sociais. Dos grupos sociais beneficiários da exploração dos recursos naturais em Moçambique, estão as corporações globais, as quais anualmente acumulam milhões de dólares resultante da sua exportação e comercialização. Outros beneficiários da exploração dos recursos naturais, são as elites políticas que governam o país desde 1975, as quais, se inserem de forma subordinada no processo de acumulação.</w:t>
      </w:r>
    </w:p>
    <w:p>
      <w:pPr>
        <w:pStyle w:val="Normal"/>
        <w:spacing w:lineRule="auto" w:line="360" w:before="0" w:after="0"/>
        <w:ind w:firstLine="709"/>
        <w:jc w:val="both"/>
        <w:rPr>
          <w:rFonts w:ascii="Arial" w:hAnsi="Arial" w:cs="Arial"/>
          <w:sz w:val="24"/>
          <w:szCs w:val="24"/>
        </w:rPr>
      </w:pPr>
      <w:r>
        <w:rPr>
          <w:rFonts w:cs="Arial"/>
          <w:sz w:val="24"/>
          <w:szCs w:val="24"/>
        </w:rPr>
        <w:t xml:space="preserve">Para além disso, a expropriação e expulsão das populações dos seus territórios, é outro problema resultante da exploração dos recursos naturais no país. Nesse processo, para além dos camponeses perderem as suas terras e outros recursos naturais vitais para a sua existência material e simbólica, o seu modo de vida secular é destruído. Em muitos lugares do país, os conflitos sociais caracterizado por disputas territoriais e violência são cada vez mais recorrentes. </w:t>
      </w:r>
    </w:p>
    <w:p>
      <w:pPr>
        <w:pStyle w:val="Normal"/>
        <w:spacing w:lineRule="auto" w:line="360" w:before="0" w:after="0"/>
        <w:ind w:firstLine="709"/>
        <w:jc w:val="both"/>
        <w:rPr>
          <w:rFonts w:ascii="Arial" w:hAnsi="Arial" w:cs="Arial"/>
          <w:sz w:val="24"/>
          <w:szCs w:val="24"/>
        </w:rPr>
      </w:pPr>
      <w:r>
        <w:rPr>
          <w:rFonts w:cs="Arial"/>
          <w:sz w:val="24"/>
          <w:szCs w:val="24"/>
        </w:rPr>
        <w:t xml:space="preserve">Na maioria das vezes, as populações são reassentadas em locais impróprios, onde a sua reprodução social torna-se praticamente impossível. O desmatamento, a destruição de ecossistemas, a degradação ambiental, contaminação dos solos e da água e poluição do ar, são outros problemas resultante da exploração dos recursos naturais. Esse cenário tem contribuído para a degradação e a banalização da condição humana em áreas onde ocorre a exploração dos recursos naturais. Esse cenário violento verificou-se (e continua se verificando) em Moatize no contexto da extração do carvão mineral, conforme será analisado na seção a seguir.  </w:t>
      </w:r>
    </w:p>
    <w:p>
      <w:pPr>
        <w:pStyle w:val="Normal"/>
        <w:spacing w:lineRule="auto" w:line="360" w:before="0" w:after="0"/>
        <w:jc w:val="both"/>
        <w:rPr>
          <w:rFonts w:ascii="Arial" w:hAnsi="Arial" w:cs="Arial"/>
          <w:b/>
          <w:b/>
          <w:bCs/>
          <w:sz w:val="24"/>
          <w:szCs w:val="24"/>
        </w:rPr>
      </w:pPr>
      <w:r>
        <w:rPr>
          <w:rFonts w:cs="Arial"/>
          <w:b/>
          <w:bCs/>
          <w:sz w:val="24"/>
          <w:szCs w:val="24"/>
        </w:rPr>
      </w:r>
    </w:p>
    <w:p>
      <w:pPr>
        <w:pStyle w:val="Normal"/>
        <w:spacing w:lineRule="auto" w:line="360" w:before="0" w:after="0"/>
        <w:jc w:val="both"/>
        <w:rPr>
          <w:rFonts w:ascii="Arial" w:hAnsi="Arial" w:cs="Arial"/>
          <w:b/>
          <w:b/>
          <w:bCs/>
          <w:sz w:val="24"/>
          <w:szCs w:val="24"/>
        </w:rPr>
      </w:pPr>
      <w:r>
        <w:rPr>
          <w:rFonts w:cs="Arial"/>
          <w:b/>
          <w:bCs/>
          <w:sz w:val="24"/>
          <w:szCs w:val="24"/>
        </w:rPr>
        <w:t>O legado da multinacional brasileira Vale em Moatize</w:t>
      </w:r>
    </w:p>
    <w:p>
      <w:pPr>
        <w:pStyle w:val="Normal"/>
        <w:spacing w:lineRule="auto" w:line="360" w:before="0" w:after="0"/>
        <w:ind w:firstLine="709"/>
        <w:jc w:val="both"/>
        <w:rPr>
          <w:rFonts w:ascii="Arial" w:hAnsi="Arial" w:cs="Arial"/>
          <w:sz w:val="24"/>
          <w:szCs w:val="24"/>
        </w:rPr>
      </w:pPr>
      <w:r>
        <w:rPr>
          <w:rFonts w:cs="Arial"/>
          <w:sz w:val="24"/>
          <w:szCs w:val="24"/>
        </w:rPr>
        <w:t xml:space="preserve">Na primeira década do século XXI, a cidade de Moatize, tornou-se num território em disputa por corporações globais interessadas na extração do carvão mineral, um mineral estratégico no setor energético global, sobretudo, em países como a Índia. De tantas corporações globais que mostraram interesse em extrair esse minério em Moatize, a gigante brasileira Vale é que venceu o concurso que havia sido lançado pelo Governo Moçambicano sob a liderança do antigo presidente Joaquim Chissano. Em 2004, o Governo Moçambicano concessionou parte do território da cidade de Moatize contendo carvão mineral no seu subsolo, estimada em cerca de 23.780 ha, e entregou a mineradora brasileira Vale para a sua exploração capitalista. </w:t>
      </w:r>
    </w:p>
    <w:p>
      <w:pPr>
        <w:pStyle w:val="Normal"/>
        <w:spacing w:lineRule="auto" w:line="360" w:before="0" w:after="0"/>
        <w:ind w:firstLine="709"/>
        <w:jc w:val="both"/>
        <w:rPr>
          <w:rFonts w:ascii="Arial" w:hAnsi="Arial" w:cs="Arial"/>
          <w:sz w:val="24"/>
          <w:szCs w:val="24"/>
        </w:rPr>
      </w:pPr>
      <w:r>
        <w:rPr>
          <w:rFonts w:cs="Arial"/>
          <w:sz w:val="24"/>
          <w:szCs w:val="24"/>
        </w:rPr>
        <w:t xml:space="preserve">A partir de então, a bacia carbonífera de Moatize, uma das maiores do mundo, onde a extração anual prevista é de cerca de 22 milhões de toneladas de carvão mineral (Rodrigues, 2015), passava a ser inserida órbita da acumulação e reprodução ampliada do capital em escala global. Globalmente, a cidade de Moatize se inseria na geopolítica das cadeias de valor, oferecendo carvão mineral ao mercado. Os estudos para aferir a viabilidade do projeto de extração do carvão mineral da bacia carbonífera de Moatize, dos quais de caráter geológico, logístico, econômico e socioambiental, iniciaram em 2005. As operações da Vale em Moatize, iniciaram oficialmente, em 2011. </w:t>
      </w:r>
    </w:p>
    <w:p>
      <w:pPr>
        <w:pStyle w:val="Normal"/>
        <w:spacing w:lineRule="auto" w:line="360" w:before="0" w:after="0"/>
        <w:ind w:firstLine="709"/>
        <w:jc w:val="both"/>
        <w:rPr>
          <w:rFonts w:ascii="Arial" w:hAnsi="Arial" w:cs="Arial"/>
          <w:sz w:val="24"/>
          <w:szCs w:val="24"/>
        </w:rPr>
      </w:pPr>
      <w:r>
        <w:rPr>
          <w:rFonts w:cs="Arial"/>
          <w:sz w:val="24"/>
          <w:szCs w:val="24"/>
        </w:rPr>
        <w:t xml:space="preserve">A estimativa era que era a exploração do carvão mineral em Moatize pela Vale, levasse cerca de 35 anos. Nesse intervalo de tempo, previa-se a extração de mais de 26 milhões de toneladas de carvão mineral (Rodrigues, 2015). A territorialização da Vale em Moatize, foi caracterizada pela emergência de uma nova ordem socioterritorial. Do território comunitário, onde a humanidade estava conectada com a natureza, a cidade de Moatize tornou-se num centro da acumulação e reprodução ampliada do capital em escala global. Neste processo, verifica-se a sobreposição dos usos. Aqui, os interesses do grande capital financeiro se sobrepunham aos das populações nativas no uso do território.  A territorialização da Vale marcava uma nova era em termos de uso do território na cidade de Moatize. A partir de então, ficava claro que os usos comunitários seriam destruídos com o início da extração do carvão mineral. </w:t>
      </w:r>
    </w:p>
    <w:p>
      <w:pPr>
        <w:pStyle w:val="Normal"/>
        <w:spacing w:lineRule="auto" w:line="360" w:before="0" w:after="0"/>
        <w:ind w:firstLine="709"/>
        <w:jc w:val="both"/>
        <w:rPr>
          <w:rFonts w:ascii="Arial" w:hAnsi="Arial" w:cs="Arial"/>
          <w:sz w:val="24"/>
          <w:szCs w:val="24"/>
        </w:rPr>
      </w:pPr>
      <w:r>
        <w:rPr>
          <w:rFonts w:cs="Arial"/>
          <w:sz w:val="24"/>
          <w:szCs w:val="24"/>
        </w:rPr>
        <w:t xml:space="preserve">Estava também claro que a permanência das populações em seus territórios era uma incógnita dada a falta de coexistência pacífica entre a mineração a céu aberto e os sujeitos. Mais tarde, saiu um comunicado, no qual anunciava-se que seriam deslocadas compulsivamente cerca de 1000 famílias, as quais iriam para lugares de reassentamento previamente identificados, estando apenas em curso a criação de condições necessárias. O reassentamento dessas famílias afetadas pelo projeto extrativo da Vale trouxe a superfície o fenômeno de segregação socioespacial. No âmbito do reassentamento, a Vale optou por dividir as famílias tendo como base o contexto socioespacial em que estavam inseridas, mesmo que tenham sido afetadas da mesma forma pela sua atividade. </w:t>
      </w:r>
    </w:p>
    <w:p>
      <w:pPr>
        <w:pStyle w:val="Normal"/>
        <w:spacing w:lineRule="auto" w:line="360" w:before="0" w:after="0"/>
        <w:ind w:firstLine="709"/>
        <w:jc w:val="both"/>
        <w:rPr>
          <w:rFonts w:ascii="Arial" w:hAnsi="Arial" w:cs="Arial"/>
          <w:sz w:val="24"/>
          <w:szCs w:val="24"/>
        </w:rPr>
      </w:pPr>
      <w:r>
        <w:rPr>
          <w:rFonts w:cs="Arial"/>
          <w:sz w:val="24"/>
          <w:szCs w:val="24"/>
        </w:rPr>
        <w:t>Logo a seguir, viu-se a emergirem em Moatize dois tipos de reassentamentos realizados em contextos espaciais distintos, dos quais, urbano e rural. Na altura dos fatos, a Vale entendia que a sua abordagem visava “respeitar as características anteriores das comunidades diretamente impactadas, algumas delas identificadas como periurbanas e outras como rurais” (Rodrigues, 2015, p. 58). Para a Vale, a divisão das famílias e, consequentemente, a sua realocação em contextos espaciais distintos sob ponto de vista da sua produção, era uma questão de justiça. No seu entendimento, aquelas famílias, cuja reprodução social se deu em contexto urbano, deveriam manter-se na cidade de Moatize.</w:t>
      </w:r>
    </w:p>
    <w:p>
      <w:pPr>
        <w:pStyle w:val="Normal"/>
        <w:spacing w:lineRule="auto" w:line="360" w:before="0" w:after="0"/>
        <w:ind w:firstLine="709"/>
        <w:jc w:val="both"/>
        <w:rPr>
          <w:rFonts w:ascii="Arial" w:hAnsi="Arial" w:cs="Arial"/>
          <w:sz w:val="24"/>
          <w:szCs w:val="24"/>
        </w:rPr>
      </w:pPr>
      <w:r>
        <w:rPr>
          <w:rFonts w:cs="Arial"/>
          <w:sz w:val="24"/>
          <w:szCs w:val="24"/>
        </w:rPr>
        <w:t>Já aquelas famílias que passavam a vida trabalhando a terra nas zonas periféricas da cidade de Moatize, deveriam ser encaminhadas para onde poderiam dar continuidade essa atividade. Neste processo, um grupo composto por 250 famílias, foi reassentado no bairro 25 de Setembro, arredores da cidade de Moatize. Já outro grupo de famílias, foi reassentado na Localidade de Cateme, a cerca de 37 km da cidade de Moatize, e 57 km da cidade de Tete (Selemane, 2010; Mosca &amp; Selemane, 2011; HRW, 2013; Catsossa, 2014, 2020; Rodrigues, 2015). No âmbito deste reassentamento, as populações reassentadas em Cateme, foi lhe negado o direito a cidade pela Vale.  Para consumirem a cidade, passaram a serem forçadas a viajarem longa distância, cujo deslocamento era condicionado ao pagamento do valor de transporte.</w:t>
      </w:r>
    </w:p>
    <w:p>
      <w:pPr>
        <w:pStyle w:val="Normal"/>
        <w:spacing w:lineRule="auto" w:line="360" w:before="0" w:after="0"/>
        <w:ind w:firstLine="709"/>
        <w:jc w:val="both"/>
        <w:rPr>
          <w:rFonts w:ascii="Arial" w:hAnsi="Arial" w:cs="Arial"/>
          <w:sz w:val="24"/>
          <w:szCs w:val="24"/>
        </w:rPr>
      </w:pPr>
      <w:r>
        <w:rPr>
          <w:rFonts w:cs="Arial"/>
          <w:sz w:val="24"/>
          <w:szCs w:val="24"/>
        </w:rPr>
        <w:t xml:space="preserve"> </w:t>
      </w:r>
      <w:r>
        <w:rPr>
          <w:rFonts w:cs="Arial"/>
          <w:sz w:val="24"/>
          <w:szCs w:val="24"/>
        </w:rPr>
        <w:t>Ou seja, tinha o direito ao consumo da cidade de Moatize, quem tivesse condição para tal. Cateme, local escolhido para o reassentamento das 750 famílias, tinha problemas.  Tratando-se de famílias que dependiam da prática da agricultura, as terras desmobilizadas como compensação, não eram aptas. Tais terras eram pedregosas, as quais, e, contudo, improprias para a prática da agricultura. A falta de terras aptas para a prática da agricultura, teve reflexo na segurança alimentar e nutricional das famílias reassentadas em Cateme. Aliás, as famílias foram forçadas a viverem de “comida pelo trabalho”, algo que não faziam quando estavam nas periferias da cidade de Moatize.</w:t>
      </w:r>
    </w:p>
    <w:p>
      <w:pPr>
        <w:pStyle w:val="Normal"/>
        <w:spacing w:lineRule="auto" w:line="360" w:before="0" w:after="0"/>
        <w:ind w:firstLine="709"/>
        <w:jc w:val="both"/>
        <w:rPr>
          <w:rFonts w:ascii="Arial" w:hAnsi="Arial" w:cs="Arial"/>
          <w:sz w:val="24"/>
          <w:szCs w:val="24"/>
        </w:rPr>
      </w:pPr>
      <w:r>
        <w:rPr>
          <w:rFonts w:cs="Arial"/>
          <w:sz w:val="24"/>
          <w:szCs w:val="24"/>
        </w:rPr>
        <w:t>Outro aspecto tinha a ver com a falta da água para o consumo doméstico em Cateme. Na cidade de Moatize, para além da água canalizada que era distribuída pelo FIPAG, as populações tiravam diretamente dos rios. Já em Cateme, a situação era totalmente diferente. Se quando essas famílias estavam na periferia da cidade de Moatize, conseguiam produzir hortícolas nas margens dos rios e pescar, em Cateme, já não poderiam fazer o mesmo. Em Cateme, os rios estão distantes, e situação agrava-se porque o lençol freático está em baixo devido ao clima local, que é quente e seco na maior parte do ano.</w:t>
      </w:r>
    </w:p>
    <w:p>
      <w:pPr>
        <w:pStyle w:val="Normal"/>
        <w:spacing w:lineRule="auto" w:line="360" w:before="0" w:after="0"/>
        <w:ind w:firstLine="709"/>
        <w:jc w:val="both"/>
        <w:rPr>
          <w:rFonts w:ascii="Arial" w:hAnsi="Arial" w:cs="Arial"/>
          <w:sz w:val="24"/>
          <w:szCs w:val="24"/>
        </w:rPr>
      </w:pPr>
      <w:r>
        <w:rPr>
          <w:rFonts w:cs="Arial"/>
          <w:sz w:val="24"/>
          <w:szCs w:val="24"/>
        </w:rPr>
        <w:t>É por esta razão que em pouco de tempo, os furos abertos pela Vale no âmbito do reassentamento secaram, agudizando o problema da água em Cateme. Por sua vez, em Cateme não havia pastos para as famílias darem de comer o seu gado. As altas temperaturas que se verificam em Cateme, que são típicas do clima local, tem tido impacto negativo sobre a vegetação no sentido em que acaba secando. Para além de ser distantes dos principais centros urbanos onde as populações frequentavam para terem acesso aos serviços públicos e para comercializar os seus produtos, Cateme não tinha praticamente nada que fosse atrativo para essas famílias.</w:t>
      </w:r>
    </w:p>
    <w:p>
      <w:pPr>
        <w:pStyle w:val="Normal"/>
        <w:spacing w:lineRule="auto" w:line="360" w:before="0" w:after="0"/>
        <w:ind w:firstLine="709"/>
        <w:jc w:val="both"/>
        <w:rPr>
          <w:rFonts w:ascii="Arial" w:hAnsi="Arial" w:cs="Arial"/>
          <w:sz w:val="24"/>
          <w:szCs w:val="24"/>
        </w:rPr>
      </w:pPr>
      <w:r>
        <w:rPr>
          <w:rFonts w:cs="Arial"/>
          <w:sz w:val="24"/>
          <w:szCs w:val="24"/>
        </w:rPr>
        <w:t xml:space="preserve"> </w:t>
      </w:r>
      <w:r>
        <w:rPr>
          <w:rFonts w:cs="Arial"/>
          <w:sz w:val="24"/>
          <w:szCs w:val="24"/>
        </w:rPr>
        <w:t>Esse cenário, gerou tensões e conflitos sociais. Uma parte das famílias, cujos nomes estavam na lista dos que iriam ser reassentadas em Cateme, começaram a contestar a sua saída, alegando a falta de condições básicas de sobrevivência. Os protestos se intensificaram quando as populações se aperceberam que as casas construídas pela Vale em Cateme já apresentavam sérios problemas, como, por exemplo, rachas e infiltração. No auge dos protestos, as populações chegaram a ocupar uma parte da ferrovia, numa tentativa de impedir a circulação de comboio que transportava carvão mineral (Selemane, 2010; Mosca &amp; Selemane, 2011; Catsossa, 2014; 2020, Feijó, 2016).</w:t>
      </w:r>
    </w:p>
    <w:p>
      <w:pPr>
        <w:pStyle w:val="Normal"/>
        <w:spacing w:lineRule="auto" w:line="360" w:before="0" w:after="0"/>
        <w:ind w:firstLine="709"/>
        <w:jc w:val="both"/>
        <w:rPr>
          <w:rFonts w:ascii="Arial" w:hAnsi="Arial" w:cs="Arial"/>
          <w:sz w:val="24"/>
          <w:szCs w:val="24"/>
        </w:rPr>
      </w:pPr>
      <w:r>
        <w:rPr>
          <w:rFonts w:cs="Arial"/>
          <w:sz w:val="24"/>
          <w:szCs w:val="24"/>
        </w:rPr>
        <w:t xml:space="preserve">Depois de muito tempo de impasse, parte considerável das famílias, cujo destino era Cateme, acabaram se conformando com a dura realidade, a qual eram forçadas a viver a partir daquele momento. Nesse processo, há quem morreu resistindo a sua expropriação e espoliação pela Vale. Relatos apontam, que um senhor de nome Refo que vivia no bairro Chipanga, morreu de ataque cardíaco causado por </w:t>
      </w:r>
      <w:r>
        <w:rPr>
          <w:rFonts w:cs="Arial"/>
          <w:i/>
          <w:iCs/>
          <w:sz w:val="24"/>
          <w:szCs w:val="24"/>
        </w:rPr>
        <w:t>stress</w:t>
      </w:r>
      <w:r>
        <w:rPr>
          <w:rFonts w:cs="Arial"/>
          <w:sz w:val="24"/>
          <w:szCs w:val="24"/>
        </w:rPr>
        <w:t xml:space="preserve"> e desgostos após saber que não seria compensado as suas terras e demais benfeitorias (Justiça Ambiental, 2022).  </w:t>
      </w:r>
    </w:p>
    <w:p>
      <w:pPr>
        <w:pStyle w:val="Normal"/>
        <w:spacing w:lineRule="auto" w:line="360" w:before="0" w:after="0"/>
        <w:ind w:firstLine="709"/>
        <w:jc w:val="both"/>
        <w:rPr>
          <w:rFonts w:ascii="Arial" w:hAnsi="Arial" w:cs="Arial"/>
          <w:sz w:val="24"/>
          <w:szCs w:val="24"/>
        </w:rPr>
      </w:pPr>
      <w:r>
        <w:rPr>
          <w:rFonts w:cs="Arial"/>
          <w:sz w:val="24"/>
          <w:szCs w:val="24"/>
        </w:rPr>
        <w:t xml:space="preserve">No entanto, logo após retirar as cerca de 1000 famílias e reassentá-las no bairro 25 de Setembro e Cateme, respetivamente, viu-se a emergir uma nova ordem territorial caracterizada pelo que Santos (2013) chamou de </w:t>
      </w:r>
      <w:r>
        <w:rPr>
          <w:rFonts w:cs="Arial"/>
          <w:i/>
          <w:iCs/>
          <w:sz w:val="24"/>
          <w:szCs w:val="24"/>
        </w:rPr>
        <w:t>ditadura e/ou tirania do dinheiro</w:t>
      </w:r>
      <w:r>
        <w:rPr>
          <w:rFonts w:cs="Arial"/>
          <w:sz w:val="24"/>
          <w:szCs w:val="24"/>
        </w:rPr>
        <w:t>. Na cidade de Moatize, essa ditadura e/ou tirania aconteceu quando a Vale cercou toda a sua área de concessão mineira. Essa vedação, separava a área habitacional e a área de exploração mineral</w:t>
      </w:r>
      <w:r>
        <w:rPr>
          <w:rFonts w:cs="Arial"/>
          <w:b/>
          <w:bCs/>
          <w:sz w:val="24"/>
          <w:szCs w:val="24"/>
        </w:rPr>
        <w:t>.</w:t>
      </w:r>
    </w:p>
    <w:p>
      <w:pPr>
        <w:pStyle w:val="Normal"/>
        <w:spacing w:lineRule="auto" w:line="360" w:before="0" w:after="0"/>
        <w:ind w:firstLine="709"/>
        <w:jc w:val="both"/>
        <w:rPr>
          <w:rFonts w:ascii="Arial" w:hAnsi="Arial" w:cs="Arial"/>
          <w:sz w:val="24"/>
          <w:szCs w:val="24"/>
        </w:rPr>
      </w:pPr>
      <w:r>
        <w:rPr>
          <w:rFonts w:cs="Arial"/>
          <w:sz w:val="24"/>
          <w:szCs w:val="24"/>
        </w:rPr>
        <w:t>A Vale justificou o ato, destacando que era uma forma de impedir que as pessoas acedessem a área por questões de segurança. Para além da vedação, a Vale cercou o seu território com dezenas de segurança privada portando armamento. A partir então, era proibido o acesso a área por parte das populações. No entanto, a colocação da vedação pela Vale, para além de atiçar os conflitos sociais, gerou uma disputa pelo uso do território. A área ora vedada pela Vale, era usada pela população para várias finalidades, das quais, a extração de lenha, capim, estacas, produção de carvão, abertura de campos de produção, pastagem de gado, como também por aí estava localizado o cemitério por onde jaziam os restos mortais dos seus entes queridos</w:t>
      </w:r>
      <w:r>
        <w:rPr>
          <w:rStyle w:val="Ncoradanotaderodap"/>
          <w:rFonts w:cs="Arial"/>
          <w:sz w:val="24"/>
          <w:szCs w:val="24"/>
        </w:rPr>
        <w:footnoteReference w:id="5"/>
      </w:r>
      <w:r>
        <w:rPr>
          <w:rFonts w:cs="Arial"/>
          <w:sz w:val="24"/>
          <w:szCs w:val="24"/>
        </w:rPr>
        <w:t xml:space="preserve">. </w:t>
      </w:r>
    </w:p>
    <w:p>
      <w:pPr>
        <w:pStyle w:val="Normal"/>
        <w:spacing w:lineRule="auto" w:line="360" w:before="0" w:after="0"/>
        <w:ind w:firstLine="709"/>
        <w:jc w:val="both"/>
        <w:rPr>
          <w:rFonts w:ascii="Arial" w:hAnsi="Arial" w:cs="Arial"/>
          <w:sz w:val="24"/>
          <w:szCs w:val="24"/>
        </w:rPr>
      </w:pPr>
      <w:r>
        <w:rPr>
          <w:rFonts w:cs="Arial"/>
          <w:sz w:val="24"/>
          <w:szCs w:val="24"/>
        </w:rPr>
        <w:t>Na disputa pelo uso do território, uma pessoa foi baleada pela polícia que estava a serviço da Vale, e acabou morrendo no local (O País, 2017; Catsossa, 2020). Em 2021, mais uma pessoa que se dedicava a produção de tijolos foi baleada nas imediações da área de extração mineira da Vale. Por sorte, esse oleiro não morreu, pois, a bala disparada pela polícia a serviço da Vale não atingiu órgãos letais na barriga, tendo, contudo, ficado com as marcas da violência no corpo (Justiça Ambiental, 2022). Outro problema gerado pela atividade mineira da Vale na cidade de Moatize, tem a ver com a poluição ambiental, sobretudo, da poluição do ar.</w:t>
      </w:r>
    </w:p>
    <w:p>
      <w:pPr>
        <w:pStyle w:val="Normal"/>
        <w:spacing w:lineRule="auto" w:line="360" w:before="0" w:after="0"/>
        <w:ind w:firstLine="709"/>
        <w:jc w:val="both"/>
        <w:rPr>
          <w:rFonts w:ascii="Arial" w:hAnsi="Arial" w:cs="Arial"/>
          <w:sz w:val="24"/>
          <w:szCs w:val="24"/>
        </w:rPr>
      </w:pPr>
      <w:r>
        <w:rPr>
          <w:rFonts w:cs="Arial"/>
          <w:sz w:val="24"/>
          <w:szCs w:val="24"/>
        </w:rPr>
        <w:t>Com o início das operações da Vale, as populações residentes na cidade de Moatize, passaram a inalar pó de carvão mineral todos os dias. Por serem partículas muito finas, as mesmas, facilmente penetravam no organismo das pessoas. Alguns estudos laboratoriais recentes (Passe, 2018) apontaram para a presença de metais pesados a níveis elevados no ar que a população inala em Moatize.  Para além de ficar suspenso no ar, essas partículas do carvão mineral ficavam também suspensas em vários objetos, desde as folhas das árvores e até as chapas de zinco de casas.</w:t>
      </w:r>
    </w:p>
    <w:p>
      <w:pPr>
        <w:pStyle w:val="Normal"/>
        <w:spacing w:lineRule="auto" w:line="360" w:before="0" w:after="0"/>
        <w:ind w:firstLine="709"/>
        <w:jc w:val="both"/>
        <w:rPr>
          <w:rFonts w:ascii="Arial" w:hAnsi="Arial" w:cs="Arial"/>
          <w:sz w:val="24"/>
          <w:szCs w:val="24"/>
        </w:rPr>
      </w:pPr>
      <w:r>
        <w:rPr>
          <w:rFonts w:cs="Arial"/>
          <w:sz w:val="24"/>
          <w:szCs w:val="24"/>
        </w:rPr>
        <w:t xml:space="preserve">Quando chovesse, essas partículas se misturavam com água, uma parte infiltrava no sobsolo, contaminando assim, os lenços freáticos. Outra parte, era escoado para os rios, onde também contaminava a água, colocando em risco as espécies aquáticas que aí vivem. Outro problema tem a ver com o surgimento de rachas nas casas, como resultado da utilização de explosivos durante o processo de extração do carvão mineral. No decorrer das atividades da Vale, muitas casas ficaram rachadas, de tal forma que representavam ameaça as famílias que habitavam nelas. Aliás, as populações sempre denunciavam o desabamento das suas casas em decorrência da extração do carvão mineral. Mesmo diante de gritos, a Vale continuava a extrair o carvão mineral, como se nada tivesse acontecido. Para piorar, nem sempre a Vale prestava apoio a essas famílias no sentido de financiar a reabilitação das suas casas. </w:t>
      </w:r>
    </w:p>
    <w:p>
      <w:pPr>
        <w:pStyle w:val="Normal"/>
        <w:spacing w:lineRule="auto" w:line="360" w:before="0" w:after="0"/>
        <w:ind w:firstLine="709"/>
        <w:jc w:val="both"/>
        <w:rPr>
          <w:rFonts w:ascii="Arial" w:hAnsi="Arial" w:cs="Arial"/>
          <w:sz w:val="24"/>
          <w:szCs w:val="24"/>
        </w:rPr>
      </w:pPr>
      <w:r>
        <w:rPr>
          <w:rFonts w:cs="Arial"/>
          <w:sz w:val="24"/>
          <w:szCs w:val="24"/>
        </w:rPr>
        <w:t>Mais tarde, isto é, uma década depois da sua territorialização, a Vale viria anunciar a sua saída do país sob alegações de que o negócio de carvão mineral não era rentável no mercado internacional. Ou seja, mais do que gerar lucros, o negócio do carvão mineral, trazia mais prejuízos financeiros para a Vale. No entanto, a alegação da Vale não constituía verdade, pois, no período que esteve a extrair o carvão mineral em Moatize, obteve lucros extraordinários. Logo no início das suas atividades, a Vale beneficiou-se isenções fiscais cedidas pelo Estado. Para além disso, a Vale explorava a força de trabalho assalariada na medida em que os salários pagos eram baixos quando comparado com a natureza do trabalho e as horas que permaneciam nas minas de carvão.</w:t>
      </w:r>
    </w:p>
    <w:p>
      <w:pPr>
        <w:pStyle w:val="Normal"/>
        <w:spacing w:lineRule="auto" w:line="360" w:before="0" w:after="0"/>
        <w:ind w:firstLine="709"/>
        <w:jc w:val="both"/>
        <w:rPr>
          <w:rFonts w:ascii="Arial" w:hAnsi="Arial" w:cs="Arial"/>
          <w:sz w:val="24"/>
          <w:szCs w:val="24"/>
        </w:rPr>
      </w:pPr>
      <w:r>
        <w:rPr>
          <w:rFonts w:cs="Arial"/>
          <w:sz w:val="24"/>
          <w:szCs w:val="24"/>
        </w:rPr>
        <w:t>No entanto, o real motivo da saída da Vale, não está necessariamente relacionado a falta de rentabilidade do negócio de carvão mineral. Os processos judiciais que a Vale enfrentava, tanto no país, como também em tribunais internacionais relacionados com a violação dos direitos humanos e crimes ambientais em Moatize, forçaram esta multinacional brasileira a sair do país. A saída da Vale aconteceu após vender os seus ativos a multinacional indiana Vulcan, que faz parte do conglomerado Jindal Grup. Dos ativos vendidos pela Vale no âmbito da sua retirada em Moçambique, compreendia a mina de carvão de Moatize e o Corredor Logístico de Nalaca e nesse negócio, encaixou 270 milhões de dólares, do que o Estado Moçambicano não tirou nenhum benefício.</w:t>
      </w:r>
    </w:p>
    <w:p>
      <w:pPr>
        <w:pStyle w:val="Normal"/>
        <w:spacing w:lineRule="auto" w:line="360" w:before="0" w:after="0"/>
        <w:ind w:firstLine="709"/>
        <w:jc w:val="both"/>
        <w:rPr>
          <w:rFonts w:ascii="Arial" w:hAnsi="Arial" w:cs="Arial"/>
          <w:sz w:val="24"/>
          <w:szCs w:val="24"/>
        </w:rPr>
      </w:pPr>
      <w:r>
        <w:rPr>
          <w:rFonts w:cs="Arial"/>
          <w:sz w:val="24"/>
          <w:szCs w:val="24"/>
        </w:rPr>
        <w:t xml:space="preserve">A saída da Vale em Moçambique levantou muito debate no país, pois, os anos subsequentes da extração do carvão mineral é que passaria a pagar imposto de fato o Estado. Os dez anos que a Vale esteve a extrair carvão mineral em Moatize, o Estado recebeu impostos ilusórios por causa das isenções fiscais que teria dado a essa multinacional brasileira. Ao nível de Moatize, a notícia de saída da Vale gerou pânico, uma vez que dezenas de famílias esperavam ser compensadas pelos danos causados durante as suas atividades. Como forma de indignação, a população foi as ruas protestar a sua saída sem indenização.  </w:t>
      </w:r>
    </w:p>
    <w:p>
      <w:pPr>
        <w:pStyle w:val="Normal"/>
        <w:spacing w:lineRule="auto" w:line="360" w:before="0" w:after="0"/>
        <w:ind w:firstLine="709"/>
        <w:jc w:val="both"/>
        <w:rPr>
          <w:rFonts w:ascii="Arial" w:hAnsi="Arial" w:cs="Arial"/>
          <w:sz w:val="24"/>
          <w:szCs w:val="24"/>
        </w:rPr>
      </w:pPr>
      <w:r>
        <w:rPr>
          <w:rFonts w:cs="Arial"/>
          <w:sz w:val="24"/>
          <w:szCs w:val="24"/>
        </w:rPr>
        <w:t>As organizações da sociedade civil também protestaram, tendo, contudo, realizou um baixo assinado, no qual afirmavam que a Vale só deveria sair do país após resolver os problemas que causou em Moatize. Por sua vez, quando a Vale anunciou a sua intenção de sair do país, havia trabalhadores por serem indenizados, sobretudo, aqueles que teriam sofrido acidentes de trabalho. Em relação aos trabalhadores, alguns adquiriram doenças relacionado com a atividade que executavam, cuja sequelas são permanentes.</w:t>
      </w:r>
    </w:p>
    <w:p>
      <w:pPr>
        <w:pStyle w:val="Normal"/>
        <w:spacing w:lineRule="auto" w:line="360" w:before="0" w:after="0"/>
        <w:ind w:firstLine="709"/>
        <w:jc w:val="both"/>
        <w:rPr>
          <w:rFonts w:ascii="Arial" w:hAnsi="Arial" w:cs="Arial"/>
          <w:sz w:val="24"/>
          <w:szCs w:val="24"/>
        </w:rPr>
      </w:pPr>
      <w:r>
        <w:rPr>
          <w:rFonts w:cs="Arial"/>
          <w:sz w:val="24"/>
          <w:szCs w:val="24"/>
        </w:rPr>
        <w:t xml:space="preserve">Disco de cintura foi uma das doenças adquiridas por muitos trabalhos da Vale, para além de outros que sofreram lesões diversas no exercício das suas funções. Outros relataram doenças cardiovasculares, como tuberculoses resultantes da inalação de pó de carvão mineral durante as atividades. Porém, parte desses trabalhadores foram abandonados pela Vale e, atualmente, lutam para adiar a sua morte. Outros que também lutam para adiar a sua morte, são as populações que vivem nos arredores da área de extração mineira, pois, desde 2011, vêm inalando pó de carvão mineral. </w:t>
      </w:r>
    </w:p>
    <w:p>
      <w:pPr>
        <w:pStyle w:val="Normal"/>
        <w:spacing w:lineRule="auto" w:line="360" w:before="0" w:after="0"/>
        <w:jc w:val="both"/>
        <w:rPr>
          <w:rFonts w:ascii="Arial" w:hAnsi="Arial" w:cs="Arial"/>
          <w:b/>
          <w:b/>
          <w:bCs/>
          <w:sz w:val="24"/>
          <w:szCs w:val="24"/>
        </w:rPr>
      </w:pPr>
      <w:r>
        <w:rPr>
          <w:rFonts w:cs="Arial"/>
          <w:b/>
          <w:bCs/>
          <w:sz w:val="24"/>
          <w:szCs w:val="24"/>
        </w:rPr>
      </w:r>
    </w:p>
    <w:p>
      <w:pPr>
        <w:pStyle w:val="Normal"/>
        <w:spacing w:lineRule="auto" w:line="360" w:before="0" w:after="0"/>
        <w:jc w:val="both"/>
        <w:rPr>
          <w:rFonts w:ascii="Arial" w:hAnsi="Arial" w:cs="Arial"/>
          <w:b/>
          <w:b/>
          <w:bCs/>
          <w:sz w:val="24"/>
          <w:szCs w:val="24"/>
        </w:rPr>
      </w:pPr>
      <w:r>
        <w:rPr>
          <w:rFonts w:cs="Arial"/>
          <w:b/>
          <w:bCs/>
          <w:sz w:val="24"/>
          <w:szCs w:val="24"/>
        </w:rPr>
        <w:t>Considerações finais</w:t>
      </w:r>
    </w:p>
    <w:p>
      <w:pPr>
        <w:pStyle w:val="Normal"/>
        <w:spacing w:lineRule="auto" w:line="360" w:before="0" w:after="0"/>
        <w:ind w:firstLine="709"/>
        <w:jc w:val="both"/>
        <w:rPr>
          <w:rFonts w:ascii="Arial" w:hAnsi="Arial" w:cs="Arial"/>
          <w:sz w:val="24"/>
          <w:szCs w:val="24"/>
        </w:rPr>
      </w:pPr>
      <w:r>
        <w:rPr>
          <w:rFonts w:cs="Arial"/>
          <w:sz w:val="24"/>
          <w:szCs w:val="24"/>
        </w:rPr>
        <w:t xml:space="preserve">A exploração dos recursos naturais em Moçambique, está longe de traduzir-se numa base para o desenvolvimento socioeconômico. Mesmo tendo recursos naturais em abundância, as evidências revelam que Moçambique enfrenta grandes dificuldades para se desenvolver. Tal fato deve-se porque as suas riquezas são extraídas, saqueadas e exportadas em bruto, cuja comercialização beneficia as corporações globais. Uma vez que saem em bruto, os recursos naturais extraídos em Moçambique, são usados para o desenvolvimento industrial dos países de destino das matérias-primas. A essa lógica, Moçambique fica condenado ao subdesenvolvimento e o seu povo, a permanecer na miséria. </w:t>
      </w:r>
    </w:p>
    <w:p>
      <w:pPr>
        <w:pStyle w:val="Normal"/>
        <w:spacing w:lineRule="auto" w:line="360" w:before="0" w:after="0"/>
        <w:ind w:firstLine="709"/>
        <w:jc w:val="both"/>
        <w:rPr>
          <w:rFonts w:ascii="Arial" w:hAnsi="Arial" w:cs="Arial"/>
          <w:sz w:val="24"/>
          <w:szCs w:val="24"/>
        </w:rPr>
      </w:pPr>
      <w:r>
        <w:rPr>
          <w:rFonts w:cs="Arial"/>
          <w:sz w:val="24"/>
          <w:szCs w:val="24"/>
        </w:rPr>
        <w:t>O caso de Moatize, revela a insustentabilidade dos megaprojetos de mineração na promoção do desenvolvimento socioeconômico. Revela também os riscos e limitações dos regimes e/ou fronteiras de acumulação baseados na extração infinita dos recursos naturais. Embora a entrada da Vale em Moatize tivesse sido acompanhado por euforia e encantos, o início das atividades, traduziu-se em desilusão e desencanto. Em pouco tempo, a abundância do carvão mineral, traduziu-se numa maldição.  A extração do carvão mineral em Moatize, significou comodidade, rentabilidade financeira e lucro para a Vale e algumas elites políticas nacionais.</w:t>
      </w:r>
    </w:p>
    <w:p>
      <w:pPr>
        <w:pStyle w:val="Normal"/>
        <w:spacing w:lineRule="auto" w:line="360" w:before="0" w:after="0"/>
        <w:ind w:firstLine="709"/>
        <w:jc w:val="both"/>
        <w:rPr>
          <w:rFonts w:ascii="Arial" w:hAnsi="Arial" w:cs="Arial"/>
          <w:sz w:val="24"/>
          <w:szCs w:val="24"/>
        </w:rPr>
      </w:pPr>
      <w:r>
        <w:rPr>
          <w:rFonts w:cs="Arial"/>
          <w:sz w:val="24"/>
          <w:szCs w:val="24"/>
        </w:rPr>
        <w:t>Paradoxalmente, a presença da Vale em Moatize, não trouxe benéficos para as populações no sentido de saírem da situação de miserabilidade a que se encontravam. A presença da Vale, contribuiu, sobremaneira, para a banalização e degradação da condição humana em Moatize. Em Moatize, os dólares da Vale traduziram-se em dores para as populações, cujos efeitos continuam até os dias atuais. Os lucros extraordinários que a Vale acumulava anualmente a partir da extração e venda do carvão mineral em Moatize, eram feitos por cima do sofrimento das populações.</w:t>
      </w:r>
    </w:p>
    <w:p>
      <w:pPr>
        <w:pStyle w:val="Normal"/>
        <w:spacing w:lineRule="auto" w:line="360" w:before="0" w:after="0"/>
        <w:ind w:firstLine="709"/>
        <w:jc w:val="both"/>
        <w:rPr>
          <w:rFonts w:ascii="Arial" w:hAnsi="Arial" w:cs="Arial"/>
          <w:sz w:val="24"/>
          <w:szCs w:val="24"/>
        </w:rPr>
      </w:pPr>
      <w:r>
        <w:rPr>
          <w:rFonts w:cs="Arial"/>
          <w:sz w:val="24"/>
          <w:szCs w:val="24"/>
        </w:rPr>
        <w:t xml:space="preserve">Enquanto a Vale acumulava primitivamente o capital, exportando os lucros para fora do país, as populações residentes em Moatize eram forçadas a viverem na indigência, como se aquele fosse o seu destino. A violência gerada pela Vale em Moatize era tanta, de tal forma que essas populações eram forçadas a inalar diariamente pó de carvão mineral, situação que colocava em risco a sua existência. Atualmente, grande parte da população residente na cidade de Moatize vive adiando a sua morte, tomando remédio que adquirem nos hospitais públicos e nas farmácias privadas, com as quais procuram combater as doenças respiratórias adquiridas, como, por exemplo, tuberculose que se intensificou com o início da mineração.  </w:t>
      </w:r>
    </w:p>
    <w:p>
      <w:pPr>
        <w:pStyle w:val="Normal"/>
        <w:spacing w:lineRule="auto" w:line="360" w:before="0" w:after="0"/>
        <w:jc w:val="both"/>
        <w:rPr>
          <w:rFonts w:ascii="Arial" w:hAnsi="Arial" w:cs="Arial"/>
          <w:b/>
          <w:b/>
          <w:bCs/>
          <w:sz w:val="24"/>
          <w:szCs w:val="24"/>
        </w:rPr>
      </w:pPr>
      <w:r>
        <w:rPr>
          <w:rFonts w:cs="Arial"/>
          <w:b/>
          <w:bCs/>
          <w:sz w:val="24"/>
          <w:szCs w:val="24"/>
        </w:rPr>
      </w:r>
    </w:p>
    <w:p>
      <w:pPr>
        <w:pStyle w:val="Normal"/>
        <w:spacing w:lineRule="auto" w:line="360" w:before="0" w:after="0"/>
        <w:jc w:val="both"/>
        <w:rPr>
          <w:rFonts w:ascii="Arial" w:hAnsi="Arial" w:cs="Arial"/>
          <w:b/>
          <w:b/>
          <w:bCs/>
          <w:sz w:val="24"/>
          <w:szCs w:val="24"/>
        </w:rPr>
      </w:pPr>
      <w:r>
        <w:rPr>
          <w:rFonts w:cs="Arial"/>
          <w:b/>
          <w:bCs/>
          <w:sz w:val="24"/>
          <w:szCs w:val="24"/>
        </w:rPr>
        <w:t>Referências bibliográficas</w:t>
      </w:r>
    </w:p>
    <w:p>
      <w:pPr>
        <w:pStyle w:val="Normal"/>
        <w:spacing w:lineRule="auto" w:line="240" w:before="0" w:after="120"/>
        <w:ind w:left="567" w:hanging="567"/>
        <w:jc w:val="both"/>
        <w:rPr>
          <w:rFonts w:ascii="Arial" w:hAnsi="Arial" w:cs="Arial"/>
          <w:sz w:val="24"/>
          <w:szCs w:val="24"/>
        </w:rPr>
      </w:pPr>
      <w:r>
        <w:rPr>
          <w:rFonts w:cs="Arial"/>
          <w:sz w:val="24"/>
          <w:szCs w:val="24"/>
        </w:rPr>
        <w:t xml:space="preserve">ACOSTA, Alberto. </w:t>
      </w:r>
      <w:r>
        <w:rPr>
          <w:rFonts w:cs="Arial"/>
          <w:i/>
          <w:iCs/>
          <w:sz w:val="24"/>
          <w:szCs w:val="24"/>
        </w:rPr>
        <w:t>Extrativismo e neoextrativismo: a face da mesma maldição</w:t>
      </w:r>
      <w:r>
        <w:rPr>
          <w:rFonts w:cs="Arial"/>
          <w:sz w:val="24"/>
          <w:szCs w:val="24"/>
        </w:rPr>
        <w:t xml:space="preserve">. In:  DILGER, Gerhard; LANG, Miriam &amp; FILHO, Jorge P. (Orgs). </w:t>
      </w:r>
      <w:r>
        <w:rPr>
          <w:rFonts w:cs="Arial"/>
          <w:b/>
          <w:bCs/>
          <w:sz w:val="24"/>
          <w:szCs w:val="24"/>
        </w:rPr>
        <w:t>Descolonizar o imaginário</w:t>
      </w:r>
      <w:r>
        <w:rPr>
          <w:rFonts w:cs="Arial"/>
          <w:sz w:val="24"/>
          <w:szCs w:val="24"/>
        </w:rPr>
        <w:t>: debates sobre o pós-extrativismo e alternativas para o desenvolvimento. São Paulo: Autonomia Literária; Rosa Luxemburgo, 2016.</w:t>
      </w:r>
    </w:p>
    <w:p>
      <w:pPr>
        <w:pStyle w:val="Normal"/>
        <w:spacing w:lineRule="auto" w:line="240" w:before="0" w:after="120"/>
        <w:ind w:left="567" w:hanging="567"/>
        <w:jc w:val="both"/>
        <w:rPr>
          <w:rFonts w:ascii="Arial" w:hAnsi="Arial" w:cs="Arial"/>
          <w:sz w:val="24"/>
          <w:szCs w:val="24"/>
        </w:rPr>
      </w:pPr>
      <w:r>
        <w:rPr>
          <w:rFonts w:cs="Arial"/>
          <w:sz w:val="24"/>
          <w:szCs w:val="24"/>
        </w:rPr>
        <w:t xml:space="preserve">CATSOSSA, Lucas Atanásio. </w:t>
      </w:r>
      <w:r>
        <w:rPr>
          <w:rFonts w:cs="Arial"/>
          <w:b/>
          <w:bCs/>
          <w:i/>
          <w:iCs/>
          <w:sz w:val="24"/>
          <w:szCs w:val="24"/>
        </w:rPr>
        <w:t>Os efeitos dos reassentamentos populacionais resultantes da mineração sobre as condições básicas de sobrevivência</w:t>
      </w:r>
      <w:r>
        <w:rPr>
          <w:rFonts w:cs="Arial"/>
          <w:i/>
          <w:iCs/>
          <w:sz w:val="24"/>
          <w:szCs w:val="24"/>
        </w:rPr>
        <w:t>: o caso de Cateme no distrito de Moatize/Tete</w:t>
      </w:r>
      <w:r>
        <w:rPr>
          <w:rFonts w:cs="Arial"/>
          <w:sz w:val="24"/>
          <w:szCs w:val="24"/>
        </w:rPr>
        <w:t>. Monografia [Licenciatura em Geografia], UEM, Maputo, 2014.</w:t>
      </w:r>
    </w:p>
    <w:p>
      <w:pPr>
        <w:pStyle w:val="Normal"/>
        <w:spacing w:lineRule="auto" w:line="240" w:before="0" w:after="120"/>
        <w:ind w:left="567" w:hanging="567"/>
        <w:jc w:val="both"/>
        <w:rPr>
          <w:rFonts w:ascii="Arial" w:hAnsi="Arial" w:cs="Arial"/>
          <w:sz w:val="24"/>
          <w:szCs w:val="24"/>
        </w:rPr>
      </w:pPr>
      <w:r>
        <w:rPr>
          <w:rFonts w:cs="Arial"/>
          <w:sz w:val="24"/>
          <w:szCs w:val="24"/>
        </w:rPr>
        <w:t xml:space="preserve">CATSOSSA, Lucas Atanásio. </w:t>
      </w:r>
      <w:r>
        <w:rPr>
          <w:rFonts w:cs="Arial"/>
          <w:i/>
          <w:iCs/>
          <w:sz w:val="24"/>
          <w:szCs w:val="24"/>
        </w:rPr>
        <w:t>Extrativismo, territórios comunitários e violência em áreas de mineração em Moatize, Tete – Moçambique</w:t>
      </w:r>
      <w:r>
        <w:rPr>
          <w:rFonts w:cs="Arial"/>
          <w:sz w:val="24"/>
          <w:szCs w:val="24"/>
        </w:rPr>
        <w:t xml:space="preserve">. </w:t>
      </w:r>
      <w:r>
        <w:rPr>
          <w:rFonts w:cs="Arial"/>
          <w:b/>
          <w:bCs/>
          <w:sz w:val="24"/>
          <w:szCs w:val="24"/>
        </w:rPr>
        <w:t>Revista RIET</w:t>
      </w:r>
      <w:r>
        <w:rPr>
          <w:rFonts w:cs="Arial"/>
          <w:sz w:val="24"/>
          <w:szCs w:val="24"/>
        </w:rPr>
        <w:t xml:space="preserve">, Ano 1, Vol. 1, n. 1, p. 71-96, 2020.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CATSOSSA, Lucas Atanásio. </w:t>
      </w:r>
      <w:r>
        <w:rPr>
          <w:rFonts w:cs="Arial"/>
          <w:i/>
          <w:iCs/>
          <w:sz w:val="24"/>
          <w:szCs w:val="24"/>
        </w:rPr>
        <w:t>Globalização do capitalismo extrativista, recursos naturais e o neocolonialismo na África: desafios e perspectivas para Moçambique</w:t>
      </w:r>
      <w:r>
        <w:rPr>
          <w:rFonts w:cs="Arial"/>
          <w:sz w:val="24"/>
          <w:szCs w:val="24"/>
        </w:rPr>
        <w:t xml:space="preserve">. </w:t>
      </w:r>
      <w:r>
        <w:rPr>
          <w:rFonts w:cs="Arial"/>
          <w:b/>
          <w:bCs/>
          <w:sz w:val="24"/>
          <w:szCs w:val="24"/>
        </w:rPr>
        <w:t>Revista Entre-Lugar</w:t>
      </w:r>
      <w:r>
        <w:rPr>
          <w:rFonts w:cs="Arial"/>
          <w:sz w:val="24"/>
          <w:szCs w:val="24"/>
        </w:rPr>
        <w:t xml:space="preserve">, v.12, n.23, p. 310-255, 2021.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FEIJÓ, João. </w:t>
      </w:r>
      <w:r>
        <w:rPr>
          <w:rFonts w:cs="Arial"/>
          <w:i/>
          <w:iCs/>
          <w:sz w:val="24"/>
          <w:szCs w:val="24"/>
        </w:rPr>
        <w:t>Investimentos, assimetrias e movimentos de protesto na província de Tete.</w:t>
      </w:r>
      <w:r>
        <w:rPr>
          <w:rFonts w:cs="Arial"/>
          <w:sz w:val="24"/>
          <w:szCs w:val="24"/>
        </w:rPr>
        <w:t xml:space="preserve"> </w:t>
      </w:r>
      <w:r>
        <w:rPr>
          <w:rFonts w:cs="Arial"/>
          <w:b/>
          <w:bCs/>
          <w:sz w:val="24"/>
          <w:szCs w:val="24"/>
        </w:rPr>
        <w:t>Observador Rural</w:t>
      </w:r>
      <w:r>
        <w:rPr>
          <w:rFonts w:cs="Arial"/>
          <w:sz w:val="24"/>
          <w:szCs w:val="24"/>
        </w:rPr>
        <w:t xml:space="preserve">, OMR, Maputo, 2016.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JUSTIÇA AMBIENTAL. </w:t>
      </w:r>
      <w:r>
        <w:rPr>
          <w:rFonts w:cs="Arial"/>
          <w:b/>
          <w:bCs/>
          <w:i/>
          <w:iCs/>
          <w:sz w:val="24"/>
          <w:szCs w:val="24"/>
        </w:rPr>
        <w:t>Um cerco letal de carvão</w:t>
      </w:r>
      <w:r>
        <w:rPr>
          <w:rFonts w:cs="Arial"/>
          <w:i/>
          <w:iCs/>
          <w:sz w:val="24"/>
          <w:szCs w:val="24"/>
        </w:rPr>
        <w:t>: o presente envenenado da VALE para Moçambique</w:t>
      </w:r>
      <w:r>
        <w:rPr>
          <w:rFonts w:cs="Arial"/>
          <w:sz w:val="24"/>
          <w:szCs w:val="24"/>
        </w:rPr>
        <w:t xml:space="preserve">. 2022. Disponível em: </w:t>
      </w:r>
      <w:hyperlink r:id="rId10">
        <w:r>
          <w:rPr>
            <w:rStyle w:val="LinkdaInternet"/>
            <w:rFonts w:cs="Arial"/>
            <w:sz w:val="24"/>
            <w:szCs w:val="24"/>
          </w:rPr>
          <w:t>https://justica-ambiental.org/2022/01/19/um-cerco-letal-de-carvao/</w:t>
        </w:r>
      </w:hyperlink>
      <w:r>
        <w:rPr>
          <w:rFonts w:cs="Arial"/>
          <w:sz w:val="24"/>
          <w:szCs w:val="24"/>
        </w:rPr>
        <w:t xml:space="preserve">. Acesso: 02/09/2025.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GUDYNAS, Eduardo. </w:t>
      </w:r>
      <w:r>
        <w:rPr>
          <w:rFonts w:cs="Arial"/>
          <w:b/>
          <w:bCs/>
          <w:i/>
          <w:iCs/>
          <w:sz w:val="24"/>
          <w:szCs w:val="24"/>
        </w:rPr>
        <w:t>Extractivismos</w:t>
      </w:r>
      <w:r>
        <w:rPr>
          <w:rFonts w:cs="Arial"/>
          <w:i/>
          <w:iCs/>
          <w:sz w:val="24"/>
          <w:szCs w:val="24"/>
        </w:rPr>
        <w:t>: ecologia, economía y política de um modo de entender o desarrollo y la Natureza</w:t>
      </w:r>
      <w:r>
        <w:rPr>
          <w:rFonts w:cs="Arial"/>
          <w:sz w:val="24"/>
          <w:szCs w:val="24"/>
        </w:rPr>
        <w:t>. CEDIB, Bolívia, 2015.</w:t>
      </w:r>
    </w:p>
    <w:p>
      <w:pPr>
        <w:pStyle w:val="Normal"/>
        <w:spacing w:lineRule="auto" w:line="240" w:before="0" w:after="120"/>
        <w:ind w:left="567" w:hanging="567"/>
        <w:jc w:val="both"/>
        <w:rPr>
          <w:rFonts w:ascii="Arial" w:hAnsi="Arial" w:cs="Arial"/>
          <w:sz w:val="24"/>
          <w:szCs w:val="24"/>
        </w:rPr>
      </w:pPr>
      <w:r>
        <w:rPr>
          <w:rFonts w:cs="Arial"/>
          <w:sz w:val="24"/>
          <w:szCs w:val="24"/>
        </w:rPr>
        <w:t xml:space="preserve">HUMAN RIGHT WATCH. </w:t>
      </w:r>
      <w:r>
        <w:rPr>
          <w:rFonts w:cs="Arial"/>
          <w:b/>
          <w:bCs/>
          <w:i/>
          <w:iCs/>
          <w:sz w:val="24"/>
          <w:szCs w:val="24"/>
        </w:rPr>
        <w:t>O que é uma casa sem comida</w:t>
      </w:r>
      <w:r>
        <w:rPr>
          <w:rFonts w:cs="Arial"/>
          <w:b/>
          <w:bCs/>
          <w:sz w:val="24"/>
          <w:szCs w:val="24"/>
        </w:rPr>
        <w:t>?</w:t>
      </w:r>
      <w:r>
        <w:rPr>
          <w:rFonts w:cs="Arial"/>
          <w:sz w:val="24"/>
          <w:szCs w:val="24"/>
        </w:rPr>
        <w:t xml:space="preserve">: </w:t>
      </w:r>
      <w:r>
        <w:rPr>
          <w:rFonts w:cs="Arial"/>
          <w:i/>
          <w:iCs/>
          <w:sz w:val="24"/>
          <w:szCs w:val="24"/>
        </w:rPr>
        <w:t>o boom da mineração de carvão em Moçambique e o reassentamento</w:t>
      </w:r>
      <w:r>
        <w:rPr>
          <w:rFonts w:cs="Arial"/>
          <w:sz w:val="24"/>
          <w:szCs w:val="24"/>
        </w:rPr>
        <w:t xml:space="preserve">. EUA, 2013.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MOSCA, João &amp; SELEMANE, Tomás. </w:t>
      </w:r>
      <w:r>
        <w:rPr>
          <w:rFonts w:cs="Arial"/>
          <w:b/>
          <w:bCs/>
          <w:i/>
          <w:iCs/>
          <w:sz w:val="24"/>
          <w:szCs w:val="24"/>
        </w:rPr>
        <w:t xml:space="preserve">El dorado </w:t>
      </w:r>
      <w:r>
        <w:rPr>
          <w:rFonts w:cs="Arial"/>
          <w:b/>
          <w:bCs/>
          <w:sz w:val="24"/>
          <w:szCs w:val="24"/>
        </w:rPr>
        <w:t>Tete</w:t>
      </w:r>
      <w:r>
        <w:rPr>
          <w:rFonts w:cs="Arial"/>
          <w:sz w:val="24"/>
          <w:szCs w:val="24"/>
        </w:rPr>
        <w:t xml:space="preserve">: os megaprojetos de mineração. CIP, Maputo, 2011. </w:t>
      </w:r>
    </w:p>
    <w:p>
      <w:pPr>
        <w:pStyle w:val="Normal"/>
        <w:spacing w:lineRule="auto" w:line="240" w:before="0" w:after="120"/>
        <w:ind w:left="567" w:hanging="567"/>
        <w:jc w:val="both"/>
        <w:rPr>
          <w:rFonts w:ascii="Arial" w:hAnsi="Arial" w:cs="Arial"/>
          <w:b/>
          <w:b/>
          <w:bCs/>
          <w:sz w:val="24"/>
          <w:szCs w:val="24"/>
        </w:rPr>
      </w:pPr>
      <w:r>
        <w:rPr>
          <w:rFonts w:cs="Arial"/>
          <w:sz w:val="24"/>
          <w:szCs w:val="24"/>
        </w:rPr>
        <w:t xml:space="preserve">O PAÍS. </w:t>
      </w:r>
      <w:r>
        <w:rPr>
          <w:rFonts w:cs="Arial"/>
          <w:b/>
          <w:bCs/>
          <w:i/>
          <w:iCs/>
          <w:sz w:val="24"/>
          <w:szCs w:val="24"/>
        </w:rPr>
        <w:t>Disputa de recursos naturais culmina com uma morte</w:t>
      </w:r>
      <w:r>
        <w:rPr>
          <w:rFonts w:cs="Arial"/>
          <w:sz w:val="24"/>
          <w:szCs w:val="24"/>
        </w:rPr>
        <w:t xml:space="preserve">. 2017. Disponível em: </w:t>
      </w:r>
      <w:hyperlink r:id="rId11">
        <w:r>
          <w:rPr>
            <w:rStyle w:val="LinkdaInternet"/>
            <w:rFonts w:cs="Arial"/>
            <w:sz w:val="24"/>
            <w:szCs w:val="24"/>
          </w:rPr>
          <w:t>https://opais.co.mz/disputa-de-recursos-naturais-culmina-com-uma-morte/</w:t>
        </w:r>
      </w:hyperlink>
      <w:r>
        <w:rPr>
          <w:rFonts w:cs="Arial"/>
          <w:sz w:val="24"/>
          <w:szCs w:val="24"/>
        </w:rPr>
        <w:t xml:space="preserve">. Acesso: 04/09/2025.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PASSE, José João. </w:t>
      </w:r>
      <w:r>
        <w:rPr>
          <w:rFonts w:cs="Arial"/>
          <w:i/>
          <w:iCs/>
          <w:sz w:val="24"/>
          <w:szCs w:val="24"/>
        </w:rPr>
        <w:t>I</w:t>
      </w:r>
      <w:r>
        <w:rPr>
          <w:rFonts w:cs="Arial"/>
          <w:b/>
          <w:bCs/>
          <w:i/>
          <w:iCs/>
          <w:sz w:val="24"/>
          <w:szCs w:val="24"/>
        </w:rPr>
        <w:t>ndústria carbonífera no distrito de Moatize, província de Tete, Moçambique e sua influência ambiental dos solos por elementos potencialmente tóxicos.</w:t>
      </w:r>
      <w:r>
        <w:rPr>
          <w:rFonts w:cs="Arial"/>
          <w:sz w:val="24"/>
          <w:szCs w:val="24"/>
        </w:rPr>
        <w:t xml:space="preserve"> Tese [Doutorado em Ciências], USP, São Paulo, 2018.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RODRIGUES, Yssyssay. </w:t>
      </w:r>
      <w:r>
        <w:rPr>
          <w:rFonts w:cs="Arial"/>
          <w:b/>
          <w:bCs/>
          <w:i/>
          <w:iCs/>
          <w:sz w:val="24"/>
          <w:szCs w:val="24"/>
        </w:rPr>
        <w:t>A Vale em Moçambique</w:t>
      </w:r>
      <w:r>
        <w:rPr>
          <w:rFonts w:cs="Arial"/>
          <w:i/>
          <w:iCs/>
          <w:sz w:val="24"/>
          <w:szCs w:val="24"/>
        </w:rPr>
        <w:t>: uma etnografia das relações entre brasileiros e moçambicanos no cotidiano dos megaprojetos</w:t>
      </w:r>
      <w:r>
        <w:rPr>
          <w:rFonts w:cs="Arial"/>
          <w:sz w:val="24"/>
          <w:szCs w:val="24"/>
        </w:rPr>
        <w:t>. Dissertação [Mestrado em Ciências Sociais], UNESP, Araraquara, 2015.</w:t>
      </w:r>
    </w:p>
    <w:p>
      <w:pPr>
        <w:pStyle w:val="Normal"/>
        <w:spacing w:lineRule="auto" w:line="240" w:before="0" w:after="120"/>
        <w:ind w:left="567" w:hanging="567"/>
        <w:jc w:val="both"/>
        <w:rPr>
          <w:rFonts w:ascii="Arial" w:hAnsi="Arial" w:cs="Arial"/>
          <w:sz w:val="24"/>
          <w:szCs w:val="24"/>
        </w:rPr>
      </w:pPr>
      <w:r>
        <w:rPr>
          <w:rFonts w:cs="Arial"/>
          <w:sz w:val="24"/>
          <w:szCs w:val="24"/>
        </w:rPr>
        <w:t xml:space="preserve">RANTALA, Janne. </w:t>
      </w:r>
      <w:r>
        <w:rPr>
          <w:rFonts w:cs="Arial"/>
          <w:b/>
          <w:bCs/>
          <w:i/>
          <w:iCs/>
          <w:sz w:val="24"/>
          <w:szCs w:val="24"/>
        </w:rPr>
        <w:t>Grande riqueza, poucos beneficiários</w:t>
      </w:r>
      <w:r>
        <w:rPr>
          <w:rFonts w:cs="Arial"/>
          <w:i/>
          <w:iCs/>
          <w:sz w:val="24"/>
          <w:szCs w:val="24"/>
        </w:rPr>
        <w:t>: percepções locais da gestão dos recursos naturais em Moçambique</w:t>
      </w:r>
      <w:r>
        <w:rPr>
          <w:rFonts w:cs="Arial"/>
          <w:sz w:val="24"/>
          <w:szCs w:val="24"/>
        </w:rPr>
        <w:t xml:space="preserve">. Maputo, 2022. </w:t>
      </w:r>
    </w:p>
    <w:p>
      <w:pPr>
        <w:pStyle w:val="Normal"/>
        <w:spacing w:lineRule="auto" w:line="240" w:before="0" w:after="120"/>
        <w:ind w:left="567" w:hanging="567"/>
        <w:jc w:val="both"/>
        <w:rPr>
          <w:rFonts w:ascii="Arial" w:hAnsi="Arial" w:cs="Arial"/>
          <w:sz w:val="24"/>
          <w:szCs w:val="24"/>
        </w:rPr>
      </w:pPr>
      <w:r>
        <w:rPr>
          <w:rFonts w:cs="Arial"/>
          <w:sz w:val="24"/>
          <w:szCs w:val="24"/>
        </w:rPr>
        <w:t xml:space="preserve">SANTOS, Milton. </w:t>
      </w:r>
      <w:r>
        <w:rPr>
          <w:rFonts w:cs="Arial"/>
          <w:b/>
          <w:bCs/>
          <w:i/>
          <w:iCs/>
          <w:sz w:val="24"/>
          <w:szCs w:val="24"/>
        </w:rPr>
        <w:t>Por uma outra globalização</w:t>
      </w:r>
      <w:r>
        <w:rPr>
          <w:rFonts w:cs="Arial"/>
          <w:i/>
          <w:iCs/>
          <w:sz w:val="24"/>
          <w:szCs w:val="24"/>
        </w:rPr>
        <w:t>: do pensamento único a consciência universal</w:t>
      </w:r>
      <w:r>
        <w:rPr>
          <w:rFonts w:cs="Arial"/>
          <w:sz w:val="24"/>
          <w:szCs w:val="24"/>
        </w:rPr>
        <w:t>. Editora: Record. São Paulo, 2013.</w:t>
      </w:r>
    </w:p>
    <w:p>
      <w:pPr>
        <w:pStyle w:val="Normal"/>
        <w:spacing w:lineRule="auto" w:line="240" w:before="0" w:after="120"/>
        <w:ind w:left="567" w:hanging="567"/>
        <w:jc w:val="both"/>
        <w:rPr>
          <w:rFonts w:ascii="Arial" w:hAnsi="Arial" w:cs="Arial"/>
          <w:sz w:val="24"/>
          <w:szCs w:val="24"/>
        </w:rPr>
      </w:pPr>
      <w:r>
        <w:rPr>
          <w:rFonts w:cs="Arial"/>
          <w:sz w:val="24"/>
          <w:szCs w:val="24"/>
        </w:rPr>
        <w:t xml:space="preserve">SELEMANE, Tomás. </w:t>
      </w:r>
      <w:r>
        <w:rPr>
          <w:rFonts w:cs="Arial"/>
          <w:b/>
          <w:bCs/>
          <w:i/>
          <w:iCs/>
          <w:sz w:val="24"/>
          <w:szCs w:val="24"/>
        </w:rPr>
        <w:t>Questões à volta da mineração em Moçambique</w:t>
      </w:r>
      <w:r>
        <w:rPr>
          <w:rFonts w:cs="Arial"/>
          <w:i/>
          <w:iCs/>
          <w:sz w:val="24"/>
          <w:szCs w:val="24"/>
        </w:rPr>
        <w:t xml:space="preserve"> – relatório de Monitoria das atividades Mineiras em Moma, Moatize, Manica e Sussundenga.</w:t>
      </w:r>
      <w:r>
        <w:rPr>
          <w:rFonts w:cs="Arial"/>
          <w:sz w:val="24"/>
          <w:szCs w:val="24"/>
        </w:rPr>
        <w:t xml:space="preserve"> CIP, Maputo, 2010.</w:t>
      </w:r>
    </w:p>
    <w:p>
      <w:pPr>
        <w:pStyle w:val="Normal"/>
        <w:bidi w:val="0"/>
        <w:spacing w:lineRule="auto" w:line="240" w:before="0" w:after="120"/>
        <w:ind w:left="567" w:hanging="567"/>
        <w:jc w:val="both"/>
        <w:rPr>
          <w:rFonts w:ascii="Arial" w:hAnsi="Arial" w:cs="Arial"/>
          <w:sz w:val="24"/>
          <w:szCs w:val="24"/>
        </w:rPr>
      </w:pPr>
      <w:r>
        <w:rPr>
          <w:rFonts w:cs="Arial"/>
          <w:sz w:val="24"/>
          <w:szCs w:val="24"/>
        </w:rPr>
        <w:t xml:space="preserve">SELEMANE, Tomás. </w:t>
      </w:r>
      <w:r>
        <w:rPr>
          <w:rFonts w:cs="Arial"/>
          <w:i/>
          <w:iCs/>
          <w:sz w:val="24"/>
          <w:szCs w:val="24"/>
        </w:rPr>
        <w:t>Tete e Cateme: entre a impulsão do El Dorado e a contínua degradação das condições de vida dos reassentados</w:t>
      </w:r>
      <w:r>
        <w:rPr>
          <w:rFonts w:cs="Arial"/>
          <w:sz w:val="24"/>
          <w:szCs w:val="24"/>
        </w:rPr>
        <w:t xml:space="preserve">. </w:t>
      </w:r>
      <w:r>
        <w:rPr>
          <w:rFonts w:cs="Arial"/>
          <w:b/>
          <w:bCs/>
          <w:sz w:val="24"/>
          <w:szCs w:val="24"/>
        </w:rPr>
        <w:t>Observador Rural.</w:t>
      </w:r>
      <w:r>
        <w:rPr>
          <w:rFonts w:cs="Arial"/>
          <w:sz w:val="24"/>
          <w:szCs w:val="24"/>
        </w:rPr>
        <w:t xml:space="preserve"> Documento de trabalho nº 45, OMR Maputo, 2016.</w:t>
      </w:r>
    </w:p>
    <w:p>
      <w:pPr>
        <w:pStyle w:val="Normal"/>
        <w:bidi w:val="0"/>
        <w:spacing w:lineRule="auto" w:line="240"/>
        <w:jc w:val="left"/>
        <w:rPr>
          <w:sz w:val="24"/>
          <w:szCs w:val="24"/>
        </w:rPr>
      </w:pPr>
      <w:r>
        <w:rPr>
          <w:sz w:val="24"/>
          <w:szCs w:val="24"/>
        </w:rPr>
      </w:r>
    </w:p>
    <w:p>
      <w:pPr>
        <w:pStyle w:val="Normal"/>
        <w:spacing w:lineRule="auto" w:line="240"/>
        <w:jc w:val="both"/>
        <w:rPr>
          <w:sz w:val="24"/>
          <w:szCs w:val="24"/>
        </w:rPr>
      </w:pPr>
      <w:r>
        <w:rPr>
          <w:sz w:val="24"/>
          <w:szCs w:val="24"/>
        </w:rPr>
      </w:r>
    </w:p>
    <w:p>
      <w:pPr>
        <w:pStyle w:val="Normal"/>
        <w:spacing w:lineRule="auto" w:line="240"/>
        <w:jc w:val="center"/>
        <w:rPr>
          <w:b/>
          <w:b/>
          <w:bCs/>
        </w:rPr>
      </w:pPr>
      <w:r>
        <w:rPr>
          <w:b/>
          <w:bCs/>
        </w:rPr>
        <w:t>ACTIVIDADES EXTRACTIVAS Y LA ACTUALIZACIÓN DE LOS PROCESOS DE VIOLENCIA EN AMÉRICA LATINA</w:t>
      </w:r>
    </w:p>
    <w:p>
      <w:pPr>
        <w:pStyle w:val="Normal"/>
        <w:spacing w:lineRule="auto" w:line="240"/>
        <w:jc w:val="center"/>
        <w:rPr>
          <w:b/>
          <w:b/>
          <w:bCs/>
        </w:rPr>
      </w:pPr>
      <w:r>
        <w:rPr>
          <w:b/>
          <w:bCs/>
        </w:rPr>
      </w:r>
    </w:p>
    <w:p>
      <w:pPr>
        <w:pStyle w:val="Normal"/>
        <w:spacing w:lineRule="auto" w:line="240"/>
        <w:jc w:val="right"/>
        <w:rPr>
          <w:sz w:val="24"/>
          <w:szCs w:val="24"/>
        </w:rPr>
      </w:pPr>
      <w:r>
        <w:rPr/>
        <w:t>David Barrios Rodríguez</w:t>
      </w:r>
      <w:r>
        <w:rPr>
          <w:rStyle w:val="Ncoradanotaderodap"/>
        </w:rPr>
        <w:footnoteReference w:id="6"/>
      </w:r>
    </w:p>
    <w:p>
      <w:pPr>
        <w:pStyle w:val="Normal"/>
        <w:spacing w:lineRule="auto" w:line="240"/>
        <w:jc w:val="both"/>
        <w:rPr>
          <w:sz w:val="24"/>
          <w:szCs w:val="24"/>
        </w:rPr>
      </w:pPr>
      <w:r>
        <w:rPr>
          <w:sz w:val="24"/>
          <w:szCs w:val="24"/>
        </w:rPr>
      </w:r>
    </w:p>
    <w:p>
      <w:pPr>
        <w:pStyle w:val="Normal"/>
        <w:spacing w:lineRule="auto" w:line="360"/>
        <w:jc w:val="both"/>
        <w:rPr>
          <w:sz w:val="24"/>
          <w:szCs w:val="24"/>
        </w:rPr>
      </w:pPr>
      <w:r>
        <w:rPr/>
        <w:t>El vínculo de nuestra región con la extracción de bienes naturales resulta una vía de entrada indispensable para su comprensión. Aun así la invocación del extractivismo ha implicado una resignificación relativamente reciente de una problemática que atraviesa nuestra historia desde el arribo de los invasores europeos en el siglo XV.</w:t>
      </w:r>
    </w:p>
    <w:p>
      <w:pPr>
        <w:pStyle w:val="Normal"/>
        <w:spacing w:lineRule="auto" w:line="360"/>
        <w:jc w:val="both"/>
        <w:rPr>
          <w:sz w:val="24"/>
          <w:szCs w:val="24"/>
        </w:rPr>
      </w:pPr>
      <w:r>
        <w:rPr/>
        <w:t xml:space="preserve">Respecto al extractivismo, entendemos que se trata de una alocución que se ha generalizado de manera relativamente reciente como parte de un debate que actualiza un proceso de largo aliento en la conformación del Moderno Sistema-Mundo y el patrón colonial de poder (Wallerstein y Quijano, 1992)11. En el siglo XXI se trata de una noción que se utiliza para diferenciar la preservación de una matriz dependiente de la exportación de materias primas entre gobiernos a los que se les atribuye un distinto signo político, lo que dio lugar a la oposición de extractivismo clásico y neoextractivismo; al mismo tiempo que se ponen de relieve la transformación/adaptación de aspectos tecnológicos (caracterizados por los volúmenes e intensidad del proceso), económico-financieros (en la medida en que son valorados en los mercados) y geopolíticos. En este último sentido ha sido subrayada la transformación, que implica un momento de transición hegemónica, en la que distintos países pero en especial China refuerzan el papel de la extracción de materias primas como eje económico de América Latina y el Caribe (USSOUTHCOM, 2025), lo que ha redundado en renovadas disputas territoriales y procesos de securitización (como cuando se considera su resguardo y extracción asunto de seguridad nacional) relacionados con la centralidad adquirida por los bienes naturales (Nolte y Wehner, 2016). </w:t>
      </w:r>
    </w:p>
    <w:p>
      <w:pPr>
        <w:pStyle w:val="Normal"/>
        <w:spacing w:lineRule="auto" w:line="360"/>
        <w:jc w:val="both"/>
        <w:rPr>
          <w:sz w:val="24"/>
          <w:szCs w:val="24"/>
        </w:rPr>
      </w:pPr>
      <w:r>
        <w:rPr/>
        <w:t>Una perspectiva de mayor amplitud espacial y temporal permite reconocer que buena parte de los recorridos sociopolíticos del área se explican por reiterados ciclos productivos que han tenido a su vez distintos efectos en la trama y urdimbre de la vida (Moore, 2015)2. A las economías de enclave dedicadas a la minería o a la plantación se agregó en el siglo XX la dependencia hacia la extracción de hidrocarburos fósiles, resultando en todos los casos ejemplos elocuentes de ese largo proceso en que se han modificado las relaciones sociales y los ejes que determinan estas actividades.</w:t>
      </w:r>
    </w:p>
    <w:p>
      <w:pPr>
        <w:pStyle w:val="Normal"/>
        <w:spacing w:lineRule="auto" w:line="360"/>
        <w:jc w:val="both"/>
        <w:rPr>
          <w:sz w:val="24"/>
          <w:szCs w:val="24"/>
        </w:rPr>
      </w:pPr>
      <w:r>
        <w:rPr/>
        <w:t>Pensemos por ejemplo en aspectos institucionales y organizacionales, en donde en un primer momento la incursión de españoles y portugueses con la consabida avidez por el oro se estableció como algo más cercano al pillaje que a una actividad estructurada. Ya durante la empresa colonial, la relación con la metrópoli promovió formas de trabajo basados en relaciones de servidumbre y esclavitud y con circuitos específicos para organizar la expoliación. En parte ese proceso explica el avance de las fronteras mercantiles (a partir de procesos de apropiación y mercantilización) (Moore, 2013), lo cual supuso modificar de manera irreversible el paisaje al mismo tiempo que resultó un punto de quiebre en la biogeografía del continente. Los considerables límites que para esa expansión implicaron las múltiples resistencias de pueblos indígenas y afrodescendientes, serían finalmente traspasados con la conformación de las repúblicas independientes y los procesos de violencia inéditos que estas llevaron adelante contra esas poblaciones con el objeto de afirmar a los Estados nacionales, en especial en aquellas zonas de frontera asociadas con el “efecto periferia” (Serje, 2017), proceso que tiene continuidades en el presente.</w:t>
      </w:r>
    </w:p>
    <w:p>
      <w:pPr>
        <w:pStyle w:val="Normal"/>
        <w:spacing w:lineRule="auto" w:line="360"/>
        <w:jc w:val="both"/>
        <w:rPr>
          <w:sz w:val="24"/>
          <w:szCs w:val="24"/>
        </w:rPr>
      </w:pPr>
      <w:r>
        <w:rPr/>
        <w:t>Durante el siglo XX con la profundización de actividades mineras y en particular por la emergencia de los hidrocarburos fósiles como motor de la expansión del capitalismo a nivel planetario, su extracción resultó al mismo tiempo un sinónimo de afirmación de la soberanía de los Estados, emblema del desarrollo en la clave del proceso de Industrialización por Sustitución de Importaciones (ISI). A partir de las últimas décadas y como parte de la profundización del modelo neoliberal hemos asistido a una ofensiva sobre los bienes naturales, pero también contra los territorios y sus poblaciones (Seoane, 2012). Para ello ha resultado crucial la refuncionalización del Estado que permite el ingreso del mercado en distintas áreas que antes le estaban vedadas.</w:t>
      </w:r>
    </w:p>
    <w:p>
      <w:pPr>
        <w:pStyle w:val="Normal"/>
        <w:spacing w:lineRule="auto" w:line="360"/>
        <w:jc w:val="both"/>
        <w:rPr>
          <w:sz w:val="24"/>
          <w:szCs w:val="24"/>
        </w:rPr>
      </w:pPr>
      <w:r>
        <w:rPr/>
        <w:t>Realizar esas precisiones de carácter histórico resulta importante con el objeto de evitar ciertos anacronismos. Nos preocupa que sean colocados en el mismo saco las trayectorias del cerro del Potosí, las economías de plantación de los siglos XVI-XIX o la “República de la soya” en el Sur del continente o la disputa por el Triángulo del Litio en el siglo XXI. Consideramos que de esa manera estamos perdiendo de vista muchos matices y la particularidad de los procesos, lo que no implica ignorar que los aportes realizados ofrezcan claves de comprensión y coordenadas necesarias. De manera análoga, si no reparamos en las modificaciones más recientes corremos el grave riesgo de omitir, ante planteamientos como el consenso de las commodities (Svampa, 2012) y el neoextractivismo, los cambios profundos en el comportamiento de las corporaciones, o la participación en América Latina y el Caribe de estructuras de la economía criminal (Kaplan, 1993; Barrios Rodríguez, 2024)/economías criminalizadas (Gutiérrez, Ciro, 2022) que también extraen o hacen usufructo de distintos bienes naturales. Se sigue tratando de procesos vivos, dinámicos en los que resulta pertinente atender de manera permanente a la realidad y los datos empíricos, lo que en ocasiones implica describir más que etiquetar los fenómenos sociales.</w:t>
      </w:r>
    </w:p>
    <w:p>
      <w:pPr>
        <w:pStyle w:val="Normal"/>
        <w:spacing w:lineRule="auto" w:line="360"/>
        <w:jc w:val="both"/>
        <w:rPr>
          <w:sz w:val="24"/>
          <w:szCs w:val="24"/>
        </w:rPr>
      </w:pPr>
      <w:r>
        <w:rPr/>
        <w:t>Con el objeto de conducir nuestra discusión hacia las dinámicas actuales que nos interesa poner de relieve tenemos que hacer una escala en la noción “seguridad”. De esta destacamos la importancia de reparar en las transformaciones en la estatalidad, las formas de territorialidad y la emergencia y sofisticación de las estructuras de la economía criminal/economías criminalizadas. Esto ha repercutido en las redefiniciones en torno a las amenazas y los enemigos internos, lo cual actualiza ciertos contenidos doctrinarios que han sido trascendentales en el pasado reciente, por ejemplo respecto a los componentes contrainsurgentes (a través de mecanismos duros y blandos) que comparten iniciativas público-privadas (Dunlap, 2024), como por parte de las formas de violencia armada organizada lo que resulta en una noción de carácter más descriptivo que trata de albergar distintas expresiones que van desde células sicariales, brazos armados de los cárteles, facciones de tráfico, formas de autodefensa e inclusive determinadas formas de paramilitarismo contrainsurgente (Barrios Rodríguez, 2023)4.</w:t>
      </w:r>
    </w:p>
    <w:p>
      <w:pPr>
        <w:pStyle w:val="Normal"/>
        <w:spacing w:lineRule="auto" w:line="360"/>
        <w:jc w:val="both"/>
        <w:rPr>
          <w:sz w:val="24"/>
          <w:szCs w:val="24"/>
        </w:rPr>
      </w:pPr>
      <w:r>
        <w:rPr/>
        <w:t>Desde finales del siglo XX pero con especial notoriedad en lo que va del siglo XXI una serie de discusiones se han reiterado respecto a la evolución contemporánea del capitalismo y que se vincula de manera estrecha con las actividades extractivas. Desde entonces han vuelto debates en torno a las prácticas de despojo o desposesión, lo que también trajo aparejado la controversia respecto a enfrentarnos a nuevos cercamientos de bienes comunes (commons) (Composto y Pérez, 2012). Sobre esto consideramos que muchas de estas formulaciones lo que intentan es colocar el acento en las violencias asociadas con el capitalismo contemporáneo, a partir del reconocimiento de que esto le fue consustancial como proyecto pero que ahora se abalanza hasta los últimos reductos de la existencia. De ahí que aparezcan nociones que intentan vincular ese comportamiento del capitalismo actual ampliando/abarcando múltiples elementos. Es lo que ocurrió con la formulación de conceptos como acumulación por despojo (con la correlativa recuperación y crítica a los planteamientos de Karl Marx y Rosa Luxemburgo) (Harvey, 2007), o bien con la ampliación de los alcances del extractivismo hacia distintos ámbitos, como ha ocurrido con el sistema financiero como suplemento de lo que se han denominado operaciones extractivas (Gago, 2015) e inclusive con la usurpación de saberes y conocimientos diversos, lo que ha significado el uso de la noción extractivismo epistémico y académico.</w:t>
      </w:r>
    </w:p>
    <w:p>
      <w:pPr>
        <w:pStyle w:val="Normal"/>
        <w:spacing w:lineRule="auto" w:line="360"/>
        <w:jc w:val="both"/>
        <w:rPr>
          <w:sz w:val="24"/>
          <w:szCs w:val="24"/>
        </w:rPr>
      </w:pPr>
      <w:r>
        <w:rPr/>
        <w:t>Advertimos que si bien, algunas de estas elaboraciones tratan de dar cuenta de la continuidad en los procesos de violencia que de manera diacrónica han permitido el despliegue del capitalismo; en ocasiones se incurre en un cierto abuso en su utilización. Resulta incluso de mayor preocupación que teniendo como propósito poner en evidencia las características esenciales del comportamiento sistémico, contribuyan en realidad con simplificaciones de los fenómenos sociales. Parte de esta preocupación proviene de haber leído y escuchado cada vez con mayor asiduidad en espacios muy diversos la extrapolación a contextos y situaciones diversas de nociones que funcionan como equivalentes generales de los procesos de violencias que vivimos y atestiguamos. Entre estas se cuentan propuestas a todas luces sugerentes como acumulación por despojo, necropolítica y sus derivados, capitalismo gore y desde luego extractivismo.</w:t>
      </w:r>
    </w:p>
    <w:p>
      <w:pPr>
        <w:pStyle w:val="Normal"/>
        <w:spacing w:lineRule="auto" w:line="360"/>
        <w:jc w:val="both"/>
        <w:rPr>
          <w:sz w:val="24"/>
          <w:szCs w:val="24"/>
        </w:rPr>
      </w:pPr>
      <w:r>
        <w:rPr/>
        <w:t>En cualquier caso, resulta indispensable poner de relieve aquellos mecanismos extraeconómicos que permiten ampliar las fronteras de la acumulación por distintas vías; lo que implica incorporar también en una doble aproximación, las repercusiones en términos de disciplinamiento social y la destrucción del ambiente que comportan.</w:t>
      </w:r>
    </w:p>
    <w:p>
      <w:pPr>
        <w:pStyle w:val="Normal"/>
        <w:spacing w:lineRule="auto" w:line="360"/>
        <w:jc w:val="both"/>
        <w:rPr>
          <w:sz w:val="24"/>
          <w:szCs w:val="24"/>
        </w:rPr>
      </w:pPr>
      <w:r>
        <w:rPr/>
        <w:t>El debate en torno al papel de las materias primas ha suscitado alineamientos y deslindes respecto al extractivismo y la aparición de aquello definido como neoextractivismo. En el primer caso ha sido identificado con los gobiernos neoliberales “clásicos” y en el segundo con los gobiernos que fueron albergados como parte de una ola considerada progresista5. Una de las diferencias más recuperadas entre ambas modalidades es que en el marco de los gobiernos progresistas porciones considerables de lo obtenido a través de las actividades extractivas serían utilizados para fortalecer sus procesos, al mismo tiempo de llevar a cabo una redistribución social a través de distintos mecanismos. En cambio, afectaciones socioambientales o la preeminencia de indicadores de exportación al exterior de las materias primas resultaban similares en ambos casos.</w:t>
      </w:r>
    </w:p>
    <w:p>
      <w:pPr>
        <w:pStyle w:val="Normal"/>
        <w:spacing w:lineRule="auto" w:line="360"/>
        <w:jc w:val="both"/>
        <w:rPr>
          <w:sz w:val="24"/>
          <w:szCs w:val="24"/>
        </w:rPr>
      </w:pPr>
      <w:r>
        <w:rPr/>
        <w:t>En relación a ello destaco dos elementos que pueden ser considerados como ausencias en la reflexión crítica sobre estas problemáticas. Por un lado lo antes mencionado respecto a que en términos históricos las actividades extractivas han conformado un sino trágico para América Latina y el Caribe: durante siglos la presencia de bienes naturales diversos ha marcado procesos sociopolíticos, económicos y como veremos en seguida, también aquellos que en una perspectiva de largo aliento implica los procesos de devastación que señalan puntos de clivaje en la trama y urdimbre de la vida en el planeta.</w:t>
      </w:r>
    </w:p>
    <w:p>
      <w:pPr>
        <w:pStyle w:val="Normal"/>
        <w:spacing w:lineRule="auto" w:line="360"/>
        <w:jc w:val="both"/>
        <w:rPr>
          <w:sz w:val="24"/>
          <w:szCs w:val="24"/>
        </w:rPr>
      </w:pPr>
      <w:r>
        <w:rPr/>
        <w:t>Desde esta perspectiva se puede rescatar que la dependencia económica en la exportación de materias primas prefiguró la inserción de la región en el escenario mundial a través de intercambios desiguales. Proceso en el que se despliega una dialéctica de efectos generativos para las potencias imperialistas en procesos de ascenso hegemónico, mientras que esas actividades extractivas comportaron efectos destructivos que rediseñaron los ecosistemas locales (Gellert, 2012).</w:t>
      </w:r>
    </w:p>
    <w:p>
      <w:pPr>
        <w:pStyle w:val="Normal"/>
        <w:spacing w:lineRule="auto" w:line="360"/>
        <w:jc w:val="both"/>
        <w:rPr>
          <w:sz w:val="24"/>
          <w:szCs w:val="24"/>
        </w:rPr>
      </w:pPr>
      <w:r>
        <w:rPr/>
        <w:t>La segunda ausencia está relacionada con el momento en que nos encontramos en términos civilizatorios. Se trata del quiebre de los umbrales que estabilizaron e hicieron posible la vida humana y no humana durante los últimos 12 mil años. Elaboraciones si se quiere metafóricas como las del Doomsday clock (reloj del fin del mundo) instaurado después de la finalización de la Segunda Guerra Mundial por el Bulletin of the Atomic Scientists colocó a inicios de 2025 las manecillas a 89 segundos de la “medianoche de la humanidad” incorporando ahora la inquietante deriva que tiene la llamada Inteligencia Artificial y su uso bélico, así como la amenaza que representan los arsenales nucleares en manos de distintas potencias bélicas (Mecklin, 2025). Formulaciones desde lo que identificamos como “ciencias duras” han esbozado un conjunto de 9 límites planetarios para la preservación de la estabilidad planetaria, de los cuales en 2023 habían sido sobrepasados 6 de ellos (Richardson, et al, 2023) con la posibilidad de que estemos por cruzar el séptimo (Gayle, 2024). Un abordaje más, basado en datos que se actualizan de manera continua señala que hemos ingresado a la sexta extinción masiva de especies (Barnosky et al, 2011).</w:t>
      </w:r>
    </w:p>
    <w:p>
      <w:pPr>
        <w:pStyle w:val="Normal"/>
        <w:spacing w:lineRule="auto" w:line="360"/>
        <w:jc w:val="both"/>
        <w:rPr>
          <w:sz w:val="24"/>
          <w:szCs w:val="24"/>
        </w:rPr>
      </w:pPr>
      <w:r>
        <w:rPr/>
        <w:t>En un escenario como este se ha establecido tanto una perspectiva que identifica las determinantes de la especie humana en el proceso y el legado geológico que ha implicado (Antropoceno), como aquella otra que relaciona la deriva catastrófica en la que nos  encontramos con el modo de producción en su despliegue histórico y espacial, con todas las implicaciones relativas a visiones de mundo y lógicas en la apropiación de bienes naturales, misma que se ha enunciado como Capitaloceno (Moore, 20016) y que tiene como correlato el concepto de Necroceno, reiterando las cualidades no sólo productivas del modo de producción sino poniendo de relieve que “La extinción está en el corazón de la acumulación capitalista.” (McBrien, 2016: 116).</w:t>
      </w:r>
    </w:p>
    <w:p>
      <w:pPr>
        <w:pStyle w:val="Normal"/>
        <w:spacing w:lineRule="auto" w:line="360"/>
        <w:jc w:val="both"/>
        <w:rPr>
          <w:sz w:val="24"/>
          <w:szCs w:val="24"/>
        </w:rPr>
      </w:pPr>
      <w:r>
        <w:rPr/>
        <w:t>En relación a las actividades extractivas/productivas específicas, como en el caso de la extracción de minerales ahora redirigidas hacia la economía digital y la transición energética, fue acuñado el concepto Thanatia que: “...proviene del griego thanatos que significa muerte, y representa una tierra hipotética donde se han extraído todos los materiales concentrados y se han dispersado por toda la corteza terrestre, de la que también se han consumido todos los combustibles fósiles.” (Valero, Valero y Calvo, 2021:8-9).</w:t>
      </w:r>
    </w:p>
    <w:p>
      <w:pPr>
        <w:pStyle w:val="Normal"/>
        <w:spacing w:lineRule="auto" w:line="360"/>
        <w:jc w:val="both"/>
        <w:rPr>
          <w:sz w:val="24"/>
          <w:szCs w:val="24"/>
        </w:rPr>
      </w:pPr>
      <w:r>
        <w:rPr/>
        <w:t xml:space="preserve">De esta manera podemos aproximarnos a la problemática esbozada en tanto característica de largo aliento pero de otra manera, incorporando otros elementos. Se trata de violencias lentas entendidas como “una violencia que ocurre gradualmente y fuera de la vista, una violencia de destrucción retardada que se dispersa en el tiempo y el espacio, una violencia de desgaste que normalmente no se considera violencia en absoluto” (Nixon, 2011:2). Es aquella que hace parte del ecocidio del que somos parte pero que al mismo tiempo se ensaña con porciones del planeta específicas y sus poblaciones, como expresión de los intercambios ecológicos desiguales (Frey, Gellert y Dahms, 2019). Desde esa óptica podemos también repensar la validez de las nociones abordadas, por ejemplo respecto a la vigencia de las reivindicaciones de los Estados nacionales (de manera independiente al matiz ideológico que se les atribuya) como contenedores de procesos que se desenvuelven en escalas y temporalidades de mucha mayor amplitud y relevancia. </w:t>
      </w:r>
    </w:p>
    <w:p>
      <w:pPr>
        <w:pStyle w:val="Normal"/>
        <w:spacing w:lineRule="auto" w:line="360"/>
        <w:jc w:val="both"/>
        <w:rPr>
          <w:sz w:val="24"/>
          <w:szCs w:val="24"/>
        </w:rPr>
      </w:pPr>
      <w:r>
        <w:rPr/>
      </w:r>
    </w:p>
    <w:p>
      <w:pPr>
        <w:pStyle w:val="Normal"/>
        <w:spacing w:lineRule="auto" w:line="360"/>
        <w:jc w:val="both"/>
        <w:rPr>
          <w:b/>
          <w:b/>
          <w:bCs/>
        </w:rPr>
      </w:pPr>
      <w:r>
        <w:rPr>
          <w:b/>
          <w:bCs/>
        </w:rPr>
        <w:t>La economía criminal como sistema especular del capitalismo contemporáneo</w:t>
      </w:r>
    </w:p>
    <w:p>
      <w:pPr>
        <w:pStyle w:val="Normal"/>
        <w:spacing w:lineRule="auto" w:line="360"/>
        <w:jc w:val="both"/>
        <w:rPr>
          <w:sz w:val="24"/>
          <w:szCs w:val="24"/>
        </w:rPr>
      </w:pPr>
      <w:r>
        <w:rPr/>
        <w:t>Partimos de la afirmación de que el proceso de influencia/imbricación de las actividades de la economía criminal con estructuras de los gobiernos y los Estados de América Latina y el Caribe, ocurre de manera diferenciada y multiescalar. Esto supone reconocer que las actividades que realizan estas estructuras han atravesado por un pronunciado proceso de diversificación6. En el fondo de la problemática se encuentran dinámicas sociales de mayor calado que dan cuenta del comportamiento sistémico. Consideramos que en la actualidad contamos con porciones de la región y de México en las que emergen novedosas formas de institucionalidad en las que tienen un papel determinante las estructuras de la economía criminal, término que resulta más apropiado que empresa criminal o crimen organizado si consideramos que en la actualidad el carácter criminógeno de la economía se nos presenta como un sistema especular (y no como actividades realizadas por entidades anómalas), es decir que provienen del ADN del capitalismo como proyecto histórico. Funcionan de hecho como parte de los mecanismos extraeconómicos que como señalamos en las páginas precedentes siempre acompañaron la expansión de las fronteras mercantiles.</w:t>
      </w:r>
    </w:p>
    <w:p>
      <w:pPr>
        <w:pStyle w:val="Normal"/>
        <w:spacing w:lineRule="auto" w:line="360"/>
        <w:jc w:val="both"/>
        <w:rPr>
          <w:sz w:val="24"/>
          <w:szCs w:val="24"/>
        </w:rPr>
      </w:pPr>
      <w:r>
        <w:rPr/>
        <w:t>De esta manera podemos poner en consideración los contextos en que grupos armados que hacen parte de las estructuras de la economía criminal controlan segmentos del territorio y poblaciones, tienden a reproducir la lógica securitaria de los Estados en lo que refiere a la definición de enemigos (Barrios Rodríguez, 2023). Al controlar vías de comunicación y transporte, establecer fronteras (tanto físicas como simbólicas), disputar el monopolio del uso de la violencia o detentarlo, optan por establecer distintos tipos de rentas ilegales, establecer regulaciones económicas, sistemas de justicia y castigos propios. Es por ello que también han incursionado en la extracción o sustracción de materias primas, lo que abarca hidrocarburos fósiles, minerales de distinto tipo, agua potable y biodiversidad en general77.</w:t>
      </w:r>
    </w:p>
    <w:p>
      <w:pPr>
        <w:pStyle w:val="Normal"/>
        <w:spacing w:lineRule="auto" w:line="360"/>
        <w:jc w:val="both"/>
        <w:rPr>
          <w:sz w:val="24"/>
          <w:szCs w:val="24"/>
        </w:rPr>
      </w:pPr>
      <w:r>
        <w:rPr/>
        <w:t>Desde lo establecido por la Iniciativa Global contra el Crimen Organizado Transnacional (GI-TOC por sus siglas en inglés)8 en su informe de 2023, que considera 15 indicadores podríamos aludir en el debate sobre actividades extractivas a los delitos contra la fauna, la flora, o contra los recursos no renovables. Si se nos concede que de cierta manera los estimulantes ilegales constituyen materias primas que actualizan el papel histórico de la región en la división internacional del trabajo, se podrían agregar el comercio de cannabis. Al expandirlo hacia mayores niveles de procesamiento, el comercio de heroína y cocaína9.</w:t>
      </w:r>
    </w:p>
    <w:p>
      <w:pPr>
        <w:pStyle w:val="Normal"/>
        <w:spacing w:lineRule="auto" w:line="360"/>
        <w:jc w:val="both"/>
        <w:rPr>
          <w:sz w:val="24"/>
          <w:szCs w:val="24"/>
        </w:rPr>
      </w:pPr>
      <w:r>
        <w:rPr/>
        <w:t>Sobre esto habría que señalar un par de elementos, por un lado la interacción entre distintas variables que hacen parte del portafolio de actividades de la economía criminal. Por el otro, que un elemento determinante es el papel de los Estados como la principal fuerza que impulsa este tipo de procesos, ya no solo en Asia, África y Latinoamérica, toda vez que el mismo informe señala que al menos 83% de la población mundial vive en entornos marcados por altos índices de criminalidad (GI-TOC, 2023). En relación a ello podemos considerar también lo planteado respecto a este tipo de imbricaciones a la luz de ejemplos específicos en el continente para lo cual se ha utilizado también la noción acumulación entrelazada en la cual “...la acumulación por reproducción ampliada (economía regular de mercado) y por desposesión, se solapan, y configuran así una dinámica mixta y articulada”, en la que se destacan algunas de las materias primas antes señaladas, pero se agrega, de manera muy importante, el acaparamiento de tierras (Terán-Mantovani y Scarpacci, 2024: 13).</w:t>
      </w:r>
    </w:p>
    <w:p>
      <w:pPr>
        <w:pStyle w:val="Normal"/>
        <w:spacing w:lineRule="auto" w:line="360"/>
        <w:jc w:val="both"/>
        <w:rPr>
          <w:sz w:val="24"/>
          <w:szCs w:val="24"/>
        </w:rPr>
      </w:pPr>
      <w:r>
        <w:rPr/>
        <w:t>Esto remite a aquello que hemos pensado como conformación de territorialidades depredadoras, caracterizadas por procesos simultáneos de cercamiento y expoliación (Barrios Rodríguez, 2023). Esta formulación intenta dialogar al mismo tiempo que es deudora, de la conceptualización del territorio como la proyección de relaciones de poder en el espacio lo que se materializa en procesos de Des/Re/Territorialización (Haesbaert, 2014; Lopes de Souza, 2015). Esto nos habla del carácter contencioso materializado espacialmente y que como podemos observar en distintas latitudes del continente corre por cuenta de Fuerzas Armadas, policías militarizadas, así como distintas expresiones (en ocasiones imbricadas con la institucionalidad) que reconocemos como formas de violencia armada organizada.</w:t>
      </w:r>
    </w:p>
    <w:p>
      <w:pPr>
        <w:pStyle w:val="Normal"/>
        <w:spacing w:lineRule="auto" w:line="360"/>
        <w:jc w:val="both"/>
        <w:rPr>
          <w:sz w:val="24"/>
          <w:szCs w:val="24"/>
        </w:rPr>
      </w:pPr>
      <w:r>
        <w:rPr/>
        <w:t>Ejemplificaremos estos planteamientos a partir de lo que ha ocurrido en dos momentos de la historia reciente. Por un lado, en la porción Centro-Sur del estado de Michoacán a partir de ciertas dinámicas de violencia y por el otro, en el Sur-Sureste de México con la implantación de dos megaproyectos de infraestructura estrechamente ligados con actividades extractivas. En ambos casos es posible observar el apuntalamiento de procesos de transformación a través de la presencia, control territorial y actividades tanto de las Fuerzas Armadas/Policías militarizadas como de las estructuras de la economía criminal.</w:t>
      </w:r>
    </w:p>
    <w:p>
      <w:pPr>
        <w:pStyle w:val="Normal"/>
        <w:spacing w:lineRule="auto" w:line="360"/>
        <w:jc w:val="both"/>
        <w:rPr>
          <w:sz w:val="24"/>
          <w:szCs w:val="24"/>
        </w:rPr>
      </w:pPr>
      <w:r>
        <w:rPr/>
        <w:t>Respecto al primer caso la región constituida por Tierra Caliente, Meseta Purépecha y Costa Nahua, ha permitido calibrar el rediseño territorial que articula los centros de producción de mercancías ilícitas (adormidera, marihuana y drogas de diseño) con los proyectos de infraestructura que conectan globalmente procesos económicos (puertos, vías ferroviarias, carreteras) en donde se percibe una tendencia a la imbricación entre las distintas modalidades de la economía. Ejemplo de ello ha sido la sustitución de cultivos tradicionales (caña de azúcar o milpa) por monocultivos de gran valorización en el mercado (frutillas o aguacate). En ese sentido, han coexistido la implementación de cobros de protección con otras variedades de rentas ilícitas. Desde el auge de la organización denominada Caballeros Templarios, pero que persiste como práctica, han sido confiscados ranchos o se han cobrado impuestos por la producción en ellos, mientras que empresas empacadoras transnacionales también fueron presa de este tipo de extorsiones (Guerra, 2018).</w:t>
      </w:r>
    </w:p>
    <w:p>
      <w:pPr>
        <w:pStyle w:val="Normal"/>
        <w:spacing w:lineRule="auto" w:line="360"/>
        <w:jc w:val="both"/>
        <w:rPr>
          <w:sz w:val="24"/>
          <w:szCs w:val="24"/>
        </w:rPr>
      </w:pPr>
      <w:r>
        <w:rPr/>
        <w:t>Pero además de ello, en lo que refiere esa porción del estado de Michoacán es posible observar ciertas convergencias entre las transformaciones productivas proyectadas institucionalmente y las que corrieron por cuenta de las estructuras de la economía criminal. Los planes de desarrollo territorial, basados en el monocultivo y la agroindustria fueron en los hechos, a través de las armas y la coerción, implementados por los sucesivos grupos de la economía criminal que controlaron la región y que impulsaron tanto la sustitución de cultivos tradicionales, como el afianzamiento de determinados productos, como el aguacate o frutillas varias. Incorporando actores transnacionales también se dio un fructífero intercambio con regiones de Asia a través del Pacífico, como ocurrió con minerales extraídos de manera ilegal o maderas preciosas, mientras que a México arribaban los precursores químicos que han catapultado a nuestro país como gran productor de metanfetaminas y otros estimulantes sintéticos. En el ámbito de la extracción de minerales, empresas y organizaciones de la economía criminal lograron ciertos acuerdos con beneficios mutuos en detrimento de las comunidades donde se llevan a cabo estas actividades, como ocurrió en el Municipio de Aquila.</w:t>
      </w:r>
    </w:p>
    <w:p>
      <w:pPr>
        <w:pStyle w:val="Normal"/>
        <w:spacing w:lineRule="auto" w:line="360"/>
        <w:jc w:val="both"/>
        <w:rPr>
          <w:sz w:val="24"/>
          <w:szCs w:val="24"/>
        </w:rPr>
      </w:pPr>
      <w:r>
        <w:rPr/>
        <w:t>En relación al Sur-Sureste de México en donde se implementan los megaproyectos de infraestructura podemos señalar que de momento la mayor parte del proceso ha estado relacionada con la apertura del territorio a relaciones de producción manu militari, lo que inclusive fue justificado e impulsado en términos jurídicos como un asunto de seguridad nacional (Centro Pro-dh, 2022, DOF, 2023). Respecto a su vínculo con actividades extractivas, se debe señalar que ha contado con distintos requerimientos energéticos que en distintas fases han implicado la combustión masiva de hidrocarburos fósiles, a lo que agregamos la extracción de minerales y materiales diversos para la construcción de las obras, lo cual agudiza la devastación socioambiental en lechos de ríos, cerros y depósitos de minerales (Barrios Rodríguez, 2024a).</w:t>
      </w:r>
    </w:p>
    <w:p>
      <w:pPr>
        <w:pStyle w:val="Normal"/>
        <w:spacing w:lineRule="auto" w:line="360"/>
        <w:jc w:val="both"/>
        <w:rPr>
          <w:sz w:val="24"/>
          <w:szCs w:val="24"/>
        </w:rPr>
      </w:pPr>
      <w:r>
        <w:rPr/>
        <w:t xml:space="preserve">Además de ello, pensamos en procesos de escisión entre la población y sus medios de producción, con el objetivo de gestar nuevas relaciones de producción, no sólo de aquellas vinculadas con la acumulación ampliada, como podría desprenderse de la urbanización a través de la conformación de polos de desarrollo o bienestar, sino por la participación de grupos de la economía criminal. De esta manera la extinción de los derechos de uso comunales (a través de expropiaciones, o la compra de terrenos) “libera” a las poblaciones no solo de su pretendido atraso, sino también de sus capacidades de autodeterminación para poder vender su fuerza de trabajo a las estructuras de la economía formal, pero también la ilícita. Es por ello que existe la preocupación y contamos con evidencias al respecto (Crail, Prado y Rosas, 2024), de que ocurran procesos análogos a los acaecidos en Michoacán a propósito del aprovechamiento de la infraestructura, la instauración de cobros por protección, reclutamiento de población, la participación en actividades extractivas diversas por parte de las estructuras de la economía criminal, lo que por la riqueza y densidad cultural y de bienes naturales en la región supone un grave peligro. </w:t>
      </w:r>
    </w:p>
    <w:p>
      <w:pPr>
        <w:pStyle w:val="Normal"/>
        <w:spacing w:lineRule="auto" w:line="360"/>
        <w:jc w:val="both"/>
        <w:rPr>
          <w:sz w:val="24"/>
          <w:szCs w:val="24"/>
        </w:rPr>
      </w:pPr>
      <w:r>
        <w:rPr/>
        <w:t>De momento también nos interesa poner de relieve que lo que ocurre en esa parte de México, guarda similitudes con lo que fue denominado como el nexo entre lo colonial, militar, turístico y medioambiental y que implica una colección de discursos y prácticas sociales que se entrecruzan y refuerzan, remodelando los paisajes y la toma de decisiones políticas (Davis, 2015). En este caso lo podemos considerar a partir, no sólo de la relación problemática que tiene el Estado mexicano con las reivindicaciones de los pueblos indígenas en materia de autodeterminación y defensa del territorio, sino también con el arribo de empresas transnacionales dedicadas a la expoliación de los bienes naturales o al sector de los servicios y lo que esa presencia acompañada de contingentes turísticos con distintas procedencias puede impactar en este tipo de regiones.</w:t>
      </w:r>
    </w:p>
    <w:p>
      <w:pPr>
        <w:pStyle w:val="Normal"/>
        <w:spacing w:lineRule="auto" w:line="360"/>
        <w:jc w:val="both"/>
        <w:rPr>
          <w:sz w:val="24"/>
          <w:szCs w:val="24"/>
        </w:rPr>
      </w:pPr>
      <w:r>
        <w:rPr/>
        <w:t>A eso debemos agregar el componente de la militarización, relacionado con el despliegue de efectivos de las Fuerzas Armadas y de la Guardia Nacional, así como por las funciones que se les asignaron en las distintas fases del proceso. Por último, pero de la mayor relevancia por la problemática antes esbozada, es altamente probable que en esa militarización se profundice su carácter “preservacionista”, lo que en términos académicos (en clara respuesta a la emergencia de la economía verde) ha sido elaborado como medio ambientalismo militar o militarización ecológica (Havlick, 2019) así como acaparamiento de tierras verde, militarización verde o violencia verde (Dunlap, 2017). Esta manera de aludir a la problemática está relacionada con el papel que tienen las Fuerzas Armadas tanto en el proceso de devastación ambiental como en su intervención ante fenómenos como el cambio climático y sus afectaciones (Klare, 2019).</w:t>
      </w:r>
    </w:p>
    <w:p>
      <w:pPr>
        <w:pStyle w:val="Normal"/>
        <w:spacing w:lineRule="auto" w:line="360"/>
        <w:jc w:val="both"/>
        <w:rPr>
          <w:sz w:val="24"/>
          <w:szCs w:val="24"/>
        </w:rPr>
      </w:pPr>
      <w:r>
        <w:rPr/>
        <w:t>En síntesis, reafirmamos que se trata de un sistema especular, en el sentido en que se mira y reproduce en el espejo del funcionamiento sistémico, lo que en la actualidad supone tanto la extracción ilícita de bienes naturales, como la construcción o usufructo de la infraestructura disponible. De esta manera observamos que la economía criminal se dirigirá en la misma dirección que los procesos de acumulación formales, proveyendo además instrumentos anclados en la violencia que potencian el cruce de fronteras mercantiles. Se trata de un problema que articula, refuerza y profundiza la convergencia catastrófica entre el neoliberalismo, la militarización y el cambio climático (Parenti, 2016), o en una elaboración similar, como un trilema catastrófico del que hacen parte la extracción, construcción de infraestructura y las fuerzas policiacas (Dunlap y Brock, 2022) produciendo migración forzada y desplazamiento forzado interno, procesos de securitización, desaparición, violaciones a los derechos humanos y de manera más general la erosión de las condiciones que hacen posible la vida.</w:t>
      </w:r>
    </w:p>
    <w:p>
      <w:pPr>
        <w:pStyle w:val="Normal"/>
        <w:spacing w:lineRule="auto" w:line="360"/>
        <w:jc w:val="both"/>
        <w:rPr>
          <w:sz w:val="24"/>
          <w:szCs w:val="24"/>
        </w:rPr>
      </w:pPr>
      <w:r>
        <w:rPr/>
      </w:r>
    </w:p>
    <w:p>
      <w:pPr>
        <w:pStyle w:val="Normal"/>
        <w:spacing w:lineRule="auto" w:line="360"/>
        <w:jc w:val="both"/>
        <w:rPr>
          <w:sz w:val="24"/>
          <w:szCs w:val="24"/>
        </w:rPr>
      </w:pPr>
      <w:r>
        <w:rPr>
          <w:rFonts w:eastAsia="Arial" w:cs="Arial"/>
          <w:b/>
          <w:bCs/>
          <w:color w:val="auto"/>
          <w:kern w:val="0"/>
          <w:sz w:val="22"/>
          <w:szCs w:val="22"/>
          <w:lang w:val="pt-BR" w:eastAsia="zh-CN" w:bidi="ar-SA"/>
        </w:rPr>
        <w:t>Referencias Bibliograficas</w:t>
      </w:r>
    </w:p>
    <w:p>
      <w:pPr>
        <w:pStyle w:val="Normal"/>
        <w:spacing w:lineRule="auto" w:line="240"/>
        <w:jc w:val="both"/>
        <w:rPr>
          <w:sz w:val="24"/>
          <w:szCs w:val="24"/>
        </w:rPr>
      </w:pPr>
      <w:r>
        <w:rPr/>
        <w:t>Barrios Rodríguez, D. (2017). “Trayectorias contemporáneas del miedo en América Latina”.</w:t>
      </w:r>
    </w:p>
    <w:p>
      <w:pPr>
        <w:pStyle w:val="Normal"/>
        <w:spacing w:lineRule="auto" w:line="240"/>
        <w:jc w:val="both"/>
        <w:rPr>
          <w:sz w:val="24"/>
          <w:szCs w:val="24"/>
        </w:rPr>
      </w:pPr>
      <w:r>
        <w:rPr/>
        <w:t>Amérique Latine Histoire et mémoire, (34). https://doi.org/10.4000/alhim.5751</w:t>
      </w:r>
    </w:p>
    <w:p>
      <w:pPr>
        <w:pStyle w:val="Normal"/>
        <w:spacing w:lineRule="auto" w:line="240"/>
        <w:jc w:val="both"/>
        <w:rPr>
          <w:sz w:val="24"/>
          <w:szCs w:val="24"/>
        </w:rPr>
      </w:pPr>
      <w:r>
        <w:rPr/>
        <w:t>Barrios, Rodríguez, D. (2023). La vida entre cercos. Militarización social en América Latina en el siglo XXI. Ciudad de México: CIALC-IIEc, pp. 282.</w:t>
      </w:r>
    </w:p>
    <w:p>
      <w:pPr>
        <w:pStyle w:val="Normal"/>
        <w:spacing w:lineRule="auto" w:line="240"/>
        <w:jc w:val="both"/>
        <w:rPr>
          <w:sz w:val="24"/>
          <w:szCs w:val="24"/>
        </w:rPr>
      </w:pPr>
      <w:r>
        <w:rPr/>
        <w:t>Barrios Rodrígez, D. (2024a). “Megaproyectos de infraestructura como mausoleos del necroceno capitalista: el corredor del Istmo de Tehuantepec”. El Ágora USB 24(2), 651-670.</w:t>
      </w:r>
    </w:p>
    <w:p>
      <w:pPr>
        <w:pStyle w:val="Normal"/>
        <w:spacing w:lineRule="auto" w:line="240"/>
        <w:jc w:val="both"/>
        <w:rPr>
          <w:sz w:val="24"/>
          <w:szCs w:val="24"/>
        </w:rPr>
      </w:pPr>
      <w:r>
        <w:rPr/>
        <w:t>Barrios, Rodríguez, D. (2024b). “El castillo de la pureza: La problemática de la inseguridad en Ciudad Universitaria y Ciudad de México” en Espacios de confianza: alternativas en construcción. Trayectorias divergentes en torno a la seguridad y la violencia en Ciudad Universitaria, coordinado por Ortiz, Chao, C. y Boudreau, J. Ciudad de México: IIEc-Facultad de Arquitectura.</w:t>
      </w:r>
    </w:p>
    <w:p>
      <w:pPr>
        <w:pStyle w:val="Normal"/>
        <w:spacing w:lineRule="auto" w:line="240"/>
        <w:jc w:val="both"/>
        <w:rPr>
          <w:sz w:val="24"/>
          <w:szCs w:val="24"/>
        </w:rPr>
      </w:pPr>
      <w:r>
        <w:rPr/>
        <w:t>Composto, C. y Pérez Roig, D.(2012). Presentación. Trazos de sangre y fuego: ¿continuidad de la acumulación originaria en nuestra época? Theomai, núm. 26, julio-diciembre, Buenos Aires: Red Internacional de Estudios sobre Sociedad, Naturaleza y Desarrollo.</w:t>
      </w:r>
    </w:p>
    <w:p>
      <w:pPr>
        <w:pStyle w:val="Normal"/>
        <w:spacing w:lineRule="auto" w:line="240"/>
        <w:jc w:val="both"/>
        <w:rPr>
          <w:sz w:val="24"/>
          <w:szCs w:val="24"/>
        </w:rPr>
      </w:pPr>
      <w:r>
        <w:rPr/>
        <w:t>Costa, S., &amp; Gonçalves, G. L. (2019). A port in global capitalism: Unveiling entangled accumulation in Rio de Janeiro. Routledge.</w:t>
      </w:r>
    </w:p>
    <w:p>
      <w:pPr>
        <w:pStyle w:val="Normal"/>
        <w:spacing w:lineRule="auto" w:line="240"/>
        <w:jc w:val="both"/>
        <w:rPr>
          <w:sz w:val="24"/>
          <w:szCs w:val="24"/>
        </w:rPr>
      </w:pPr>
      <w:r>
        <w:rPr/>
        <w:t>Crail, A., Prado, V. y Rosas, D. (2024). “Violencia, el mal que crece a la par que el megaproyecto”, Pulitzer</w:t>
        <w:tab/>
        <w:t>Center,</w:t>
      </w:r>
    </w:p>
    <w:p>
      <w:pPr>
        <w:pStyle w:val="Normal"/>
        <w:spacing w:lineRule="auto" w:line="240"/>
        <w:jc w:val="both"/>
        <w:rPr>
          <w:sz w:val="24"/>
          <w:szCs w:val="24"/>
        </w:rPr>
      </w:pPr>
      <w:r>
        <w:rPr/>
        <w:t>https://pulitzercenter.org/es/stories/violencia-el-mal-que-crece-la-par-del-megaproyecto</w:t>
      </w:r>
    </w:p>
    <w:p>
      <w:pPr>
        <w:pStyle w:val="Normal"/>
        <w:spacing w:lineRule="auto" w:line="240"/>
        <w:jc w:val="both"/>
        <w:rPr>
          <w:sz w:val="24"/>
          <w:szCs w:val="24"/>
        </w:rPr>
      </w:pPr>
      <w:r>
        <w:rPr/>
        <w:t>Davis, S. (2015). The empires' edge: Militarization, resistance, and transcending hegemony in the Pacific (Vol. 21). University of Georgia Press.</w:t>
      </w:r>
    </w:p>
    <w:p>
      <w:pPr>
        <w:pStyle w:val="Normal"/>
        <w:spacing w:lineRule="auto" w:line="240"/>
        <w:jc w:val="both"/>
        <w:rPr>
          <w:sz w:val="24"/>
          <w:szCs w:val="24"/>
        </w:rPr>
      </w:pPr>
      <w:r>
        <w:rPr/>
        <w:t>DOF. (2023). “Decreto por el que la construcción, funcionamiento, mantenimiento, operación, infraestructura, los espacios, bienes de interés público, ejecución y administración de la infraestructura de transportes, de servicios y polos de desarrollo para el bienestar y equipo tanto del Tren Maya como del Corredor Interoceánico del Istmo de Tehuantepec, así como los aeropuertos que se indican, son de seguridad nacional y de interés público”, Diario Oficial de la Federación, 18 de mayo.</w:t>
      </w:r>
    </w:p>
    <w:p>
      <w:pPr>
        <w:pStyle w:val="Normal"/>
        <w:spacing w:lineRule="auto" w:line="240"/>
        <w:jc w:val="both"/>
        <w:rPr>
          <w:sz w:val="24"/>
          <w:szCs w:val="24"/>
        </w:rPr>
      </w:pPr>
      <w:r>
        <w:rPr/>
        <w:t>Dunlap, A. y Jakobsen, J. (2020). The violent technologies of extraction (pp. 91-118). Cham: Springer International Publishing.</w:t>
      </w:r>
    </w:p>
    <w:p>
      <w:pPr>
        <w:pStyle w:val="Normal"/>
        <w:spacing w:lineRule="auto" w:line="240"/>
        <w:jc w:val="both"/>
        <w:rPr>
          <w:sz w:val="24"/>
          <w:szCs w:val="24"/>
        </w:rPr>
      </w:pPr>
      <w:r>
        <w:rPr/>
        <w:t>Dunlap, A. y Brock, A. (Eds.). (2022). Enforcing ecocide: Power, policing &amp; planetary militarization. Springer Nature.</w:t>
      </w:r>
    </w:p>
    <w:p>
      <w:pPr>
        <w:pStyle w:val="Normal"/>
        <w:spacing w:lineRule="auto" w:line="240"/>
        <w:jc w:val="both"/>
        <w:rPr>
          <w:sz w:val="24"/>
          <w:szCs w:val="24"/>
        </w:rPr>
      </w:pPr>
      <w:r>
        <w:rPr/>
        <w:t xml:space="preserve">Frey, R. S., Gellert, P. K. y Dahms, H. F. (Editores). (2019). Ecologically unequal exchange: Environmental injustice in comparative and historical perspective. Palgrave Macmillan. </w:t>
      </w:r>
    </w:p>
    <w:p>
      <w:pPr>
        <w:pStyle w:val="Normal"/>
        <w:spacing w:lineRule="auto" w:line="240"/>
        <w:jc w:val="both"/>
        <w:rPr>
          <w:sz w:val="24"/>
          <w:szCs w:val="24"/>
        </w:rPr>
      </w:pPr>
      <w:r>
        <w:rPr/>
        <w:t>Gago, V. (2015). Para una crítica de las operaciones extractivas del capital: patrón de acumulación y luchas sociales en el tiempo de la financiarización. Nueva sociedad, (255), 38-52.</w:t>
      </w:r>
    </w:p>
    <w:p>
      <w:pPr>
        <w:pStyle w:val="Normal"/>
        <w:spacing w:lineRule="auto" w:line="240"/>
        <w:jc w:val="both"/>
        <w:rPr>
          <w:sz w:val="24"/>
          <w:szCs w:val="24"/>
        </w:rPr>
      </w:pPr>
      <w:r>
        <w:rPr/>
        <w:t>Garcia, R. (2023). Colapsología ¿una mutilación de la ecología?. Nueva Sociedad, (303), 130-143. Gayle, D. (2024). “Earth may have breached seven of nine planetary boundaries, health check shows”, The Guardian, 23 de septiembre.</w:t>
      </w:r>
    </w:p>
    <w:p>
      <w:pPr>
        <w:pStyle w:val="Normal"/>
        <w:spacing w:lineRule="auto" w:line="240"/>
        <w:jc w:val="both"/>
        <w:rPr>
          <w:sz w:val="24"/>
          <w:szCs w:val="24"/>
        </w:rPr>
      </w:pPr>
      <w:r>
        <w:rPr/>
        <w:t>Gellert, P. (2012). “Extraction and the world system” en Handbook of World-Systems Analysis editado por Babones, S. y Chase-Dunn, C. Abingdon: Routledge.</w:t>
      </w:r>
    </w:p>
    <w:p>
      <w:pPr>
        <w:pStyle w:val="Normal"/>
        <w:spacing w:lineRule="auto" w:line="240"/>
        <w:jc w:val="both"/>
        <w:rPr>
          <w:sz w:val="24"/>
          <w:szCs w:val="24"/>
        </w:rPr>
      </w:pPr>
      <w:r>
        <w:rPr/>
        <w:t>Gledhill, J. (2016). La nueva guerra contra los pobres. La producción de inseguridad en Latinoamérica. Estado español: Bellaterra, 310 p.</w:t>
      </w:r>
    </w:p>
    <w:p>
      <w:pPr>
        <w:pStyle w:val="Normal"/>
        <w:spacing w:lineRule="auto" w:line="240"/>
        <w:jc w:val="both"/>
        <w:rPr>
          <w:sz w:val="24"/>
          <w:szCs w:val="24"/>
        </w:rPr>
      </w:pPr>
      <w:r>
        <w:rPr/>
        <w:t>Global Initiative Against Transnational Organized Crime (GI-TOC). (2023). Índice Global de Crimen Organizado. Ginebra.</w:t>
      </w:r>
    </w:p>
    <w:p>
      <w:pPr>
        <w:pStyle w:val="Normal"/>
        <w:spacing w:lineRule="auto" w:line="240"/>
        <w:jc w:val="both"/>
        <w:rPr>
          <w:sz w:val="24"/>
          <w:szCs w:val="24"/>
        </w:rPr>
      </w:pPr>
      <w:r>
        <w:rPr/>
        <w:t>Graham, T. (2025). “Trump’s claim that Mexican cartels and government are allied is not reality”, The Guardian, 09 de febrero de 2025.</w:t>
      </w:r>
    </w:p>
    <w:p>
      <w:pPr>
        <w:pStyle w:val="Normal"/>
        <w:spacing w:lineRule="auto" w:line="240"/>
        <w:jc w:val="both"/>
        <w:rPr>
          <w:sz w:val="24"/>
          <w:szCs w:val="24"/>
        </w:rPr>
      </w:pPr>
      <w:r>
        <w:rPr/>
        <w:t>Guerra, E. (2018). “Organizaciones criminales, anclajes comunitarios y vida cotidiana. Una breve historia sobre el narcotráfico en Tepalcatepec, Michoacán (1960-2013)”, dentro La crisis de seguridad y violencia en México. Causas, efectos y dimensiones del problema coordinado por Flores Pérez, C. Ciudad de México: CIESAS.</w:t>
      </w:r>
    </w:p>
    <w:p>
      <w:pPr>
        <w:pStyle w:val="Normal"/>
        <w:spacing w:lineRule="auto" w:line="240"/>
        <w:jc w:val="both"/>
        <w:rPr>
          <w:sz w:val="24"/>
          <w:szCs w:val="24"/>
        </w:rPr>
      </w:pPr>
      <w:r>
        <w:rPr/>
        <w:t>Gudynas, E. (2015). Extractivismos: ecología, economía y política de un modo de entender el desarrollo y la naturaleza. La Paz: CEDIB.</w:t>
      </w:r>
    </w:p>
    <w:p>
      <w:pPr>
        <w:pStyle w:val="Normal"/>
        <w:spacing w:lineRule="auto" w:line="240"/>
        <w:jc w:val="both"/>
        <w:rPr>
          <w:sz w:val="24"/>
          <w:szCs w:val="24"/>
        </w:rPr>
      </w:pPr>
      <w:r>
        <w:rPr/>
        <w:t>Gutiérrez, J. A., y Ciro, E. (2023). Tillyian process without a Tillyian effect: criminalised economies and state-building in the Colombian conflict. In State, Political Power and Criminality in Civil War (pp. 29-55). Routledge.</w:t>
      </w:r>
    </w:p>
    <w:p>
      <w:pPr>
        <w:pStyle w:val="Normal"/>
        <w:spacing w:lineRule="auto" w:line="240"/>
        <w:jc w:val="both"/>
        <w:rPr>
          <w:sz w:val="24"/>
          <w:szCs w:val="24"/>
        </w:rPr>
      </w:pPr>
      <w:r>
        <w:rPr/>
        <w:t>Havlick, D. G. (2019). Bombs away: Militarization, conservation, and ecological restoration. University of Chicago Press.</w:t>
      </w:r>
    </w:p>
    <w:p>
      <w:pPr>
        <w:pStyle w:val="Normal"/>
        <w:spacing w:lineRule="auto" w:line="240"/>
        <w:jc w:val="both"/>
        <w:rPr>
          <w:sz w:val="24"/>
          <w:szCs w:val="24"/>
        </w:rPr>
      </w:pPr>
      <w:r>
        <w:rPr/>
        <w:t>Klare, M. (2019). All Hell Breaking Loose: The Pentagon's Perspective on Climate Change, Metropolitan Books.</w:t>
      </w:r>
    </w:p>
    <w:p>
      <w:pPr>
        <w:pStyle w:val="Normal"/>
        <w:spacing w:lineRule="auto" w:line="240"/>
        <w:jc w:val="both"/>
        <w:rPr>
          <w:sz w:val="24"/>
          <w:szCs w:val="24"/>
        </w:rPr>
      </w:pPr>
      <w:r>
        <w:rPr/>
        <w:t>Mecklin, J. (editor) (2025). “Closer than ever: It is now 89 seconds to midnight”, Chicago: Bulletin of the Atomic Scientists.</w:t>
      </w:r>
    </w:p>
    <w:p>
      <w:pPr>
        <w:pStyle w:val="Normal"/>
        <w:spacing w:lineRule="auto" w:line="240"/>
        <w:jc w:val="both"/>
        <w:rPr>
          <w:sz w:val="24"/>
          <w:szCs w:val="24"/>
        </w:rPr>
      </w:pPr>
      <w:r>
        <w:rPr/>
        <w:t>Moore, J. W. (2013). El auge de la ecología-mundo capitalista, I. Laberinto, 38, 9-26.</w:t>
      </w:r>
    </w:p>
    <w:p>
      <w:pPr>
        <w:pStyle w:val="Normal"/>
        <w:spacing w:lineRule="auto" w:line="240"/>
        <w:jc w:val="both"/>
        <w:rPr>
          <w:sz w:val="24"/>
          <w:szCs w:val="24"/>
        </w:rPr>
      </w:pPr>
      <w:r>
        <w:rPr/>
        <w:t>Moore, J. W. (2015). Capitalism in the Web of Life: Ecology and the Accumulation of Capital. Verso. Movimiento de Reconciliación (FOR) -Coordinación Colombia-Europa-Estados Unidos (CCEEU). (2014). “Falsos positivos” en Colombia y el papel de la asistencia militar de Estados Unidos, 2000-2010. Bogotá.</w:t>
      </w:r>
    </w:p>
    <w:p>
      <w:pPr>
        <w:pStyle w:val="Normal"/>
        <w:spacing w:lineRule="auto" w:line="240"/>
        <w:jc w:val="both"/>
        <w:rPr>
          <w:sz w:val="24"/>
          <w:szCs w:val="24"/>
        </w:rPr>
      </w:pPr>
      <w:r>
        <w:rPr/>
        <w:t>Parenti, C. (2016) “The catastrophic convergence: militarism, neoliberalism and climate change”, en Buxton, N. y Hayes, B. The secure and the dispossessed. How the military and the corporations are shaping a climate changed world, Londres: Pluto Press.</w:t>
      </w:r>
    </w:p>
    <w:p>
      <w:pPr>
        <w:pStyle w:val="Normal"/>
        <w:spacing w:lineRule="auto" w:line="240"/>
        <w:jc w:val="both"/>
        <w:rPr>
          <w:sz w:val="24"/>
          <w:szCs w:val="24"/>
        </w:rPr>
      </w:pPr>
      <w:r>
        <w:rPr/>
        <w:t>Quijano, A. y Wallerstein, I. (1992). "La Americanidad como concepto o América en</w:t>
      </w:r>
    </w:p>
    <w:p>
      <w:pPr>
        <w:pStyle w:val="Normal"/>
        <w:spacing w:lineRule="auto" w:line="240"/>
        <w:jc w:val="both"/>
        <w:rPr>
          <w:sz w:val="24"/>
          <w:szCs w:val="24"/>
        </w:rPr>
      </w:pPr>
      <w:r>
        <w:rPr/>
        <w:t>el moderno sistema mundial", Revista Internacional de Ciencias Sociales, 134, 583-591.</w:t>
      </w:r>
    </w:p>
    <w:p>
      <w:pPr>
        <w:pStyle w:val="Normal"/>
        <w:spacing w:lineRule="auto" w:line="240"/>
        <w:jc w:val="both"/>
        <w:rPr>
          <w:sz w:val="24"/>
          <w:szCs w:val="24"/>
        </w:rPr>
      </w:pPr>
      <w:r>
        <w:rPr/>
        <w:t>Serje, de la Ossa, M.(2017). “Fronteras y periferias en la historia del capitalismo: el caso de América Latina”, Revista de Geografía Norte Grande (66), pp. 33-48.</w:t>
      </w:r>
    </w:p>
    <w:p>
      <w:pPr>
        <w:pStyle w:val="Normal"/>
        <w:spacing w:lineRule="auto" w:line="240"/>
        <w:jc w:val="both"/>
        <w:rPr>
          <w:sz w:val="24"/>
          <w:szCs w:val="24"/>
        </w:rPr>
      </w:pPr>
      <w:r>
        <w:rPr/>
        <w:t>Svampa, M. (2012). “Consenso de los commodities, giro ecoterritorial y pensamiento crítico en América Latina”. OSAL, 13(32), 15-38.</w:t>
      </w:r>
    </w:p>
    <w:p>
      <w:pPr>
        <w:pStyle w:val="Normal"/>
        <w:spacing w:lineRule="auto" w:line="240"/>
        <w:jc w:val="both"/>
        <w:rPr>
          <w:sz w:val="24"/>
          <w:szCs w:val="24"/>
        </w:rPr>
      </w:pPr>
      <w:r>
        <w:rPr/>
        <w:t>Teran-Mantovani, E., y M. Scarpacci. (2024). "Economías criminales, extractivismo y acumulación entrelazada: un análisis multiescalar de los nuevos escenarios latinoamericanos. URVIO Revista Latinoamericana de Estudios de Seguridad 38: 8-31.</w:t>
      </w:r>
    </w:p>
    <w:p>
      <w:pPr>
        <w:pStyle w:val="Normal"/>
        <w:spacing w:lineRule="auto" w:line="240"/>
        <w:jc w:val="both"/>
        <w:rPr>
          <w:sz w:val="24"/>
          <w:szCs w:val="24"/>
        </w:rPr>
      </w:pPr>
      <w:r>
        <w:rPr/>
        <w:t>US SOUTHCOM (2025). Statement of Admiral Alvin Holsey Commander, United States Southern Command before the 119 th Congress Senate Armed Services Committee 13 february 2025.</w:t>
      </w:r>
    </w:p>
    <w:p>
      <w:pPr>
        <w:pStyle w:val="Normal"/>
        <w:spacing w:lineRule="auto" w:line="240"/>
        <w:jc w:val="both"/>
        <w:rPr>
          <w:sz w:val="24"/>
          <w:szCs w:val="24"/>
        </w:rPr>
      </w:pPr>
      <w:r>
        <w:rPr/>
      </w:r>
    </w:p>
    <w:sectPr>
      <w:headerReference w:type="default" r:id="rId12"/>
      <w:footnotePr>
        <w:numFmt w:val="decimal"/>
      </w:footnotePr>
      <w:type w:val="nextPage"/>
      <w:pgSz w:w="11906" w:h="16838"/>
      <w:pgMar w:left="1701" w:right="1134" w:header="3401" w:top="3458" w:footer="0" w:bottom="1474" w:gutter="0"/>
      <w:pgNumType w:start="1"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taderodap"/>
        <w:spacing w:lineRule="auto" w:line="240"/>
        <w:jc w:val="both"/>
        <w:rPr/>
      </w:pPr>
      <w:r>
        <w:rPr>
          <w:rStyle w:val="Caracteresdenotaderodap"/>
        </w:rPr>
        <w:footnoteRef/>
      </w:r>
      <w:r>
        <w:rPr/>
        <w:tab/>
        <w:t xml:space="preserve">Doutor em Sociologia Política pela Universidade Federal de Santa Catarina (UFSC). Professor do Programa de Pós-Graduação em Políticas Públicas (PPGPP) e do curso de Ciências Sociais da Universidade Federal do Maranhão (UFMA). ORCID: </w:t>
      </w:r>
      <w:hyperlink r:id="rId1">
        <w:r>
          <w:rPr>
            <w:rStyle w:val="LinkdaInternet"/>
          </w:rPr>
          <w:t>https://orcid.org/0000-0002-6508-3105</w:t>
        </w:r>
      </w:hyperlink>
      <w:r>
        <w:rPr/>
        <w:t xml:space="preserve">, Email: </w:t>
      </w:r>
      <w:hyperlink r:id="rId2">
        <w:r>
          <w:rPr>
            <w:rStyle w:val="LinkdaInternet"/>
          </w:rPr>
          <w:t>guillermo.alfredo@ufma.br</w:t>
        </w:r>
      </w:hyperlink>
      <w:r>
        <w:rPr/>
        <w:t xml:space="preserve">  </w:t>
      </w:r>
    </w:p>
  </w:footnote>
  <w:footnote w:id="3">
    <w:p>
      <w:pPr>
        <w:pStyle w:val="Notaderodap"/>
        <w:spacing w:lineRule="auto" w:line="240"/>
        <w:jc w:val="both"/>
        <w:rPr/>
      </w:pPr>
      <w:r>
        <w:rPr>
          <w:rStyle w:val="Caracteresdenotaderodap"/>
        </w:rPr>
        <w:footnoteRef/>
      </w:r>
      <w:r>
        <w:rPr/>
        <w:tab/>
        <w:t xml:space="preserve">Doutor em Estudos sobre a Integração da América Latina (PROLAM/USP). Professor do Programa de Pós-graduação em Sociologia (PPGS) e do curso de Ciências Sociais da Universidade Federal da Grande Dourados (UFGD). ORCID: </w:t>
      </w:r>
      <w:hyperlink r:id="rId3">
        <w:r>
          <w:rPr>
            <w:rStyle w:val="LinkdaInternet"/>
          </w:rPr>
          <w:t>https://orcid.org/0000-0003-1196-2814</w:t>
        </w:r>
      </w:hyperlink>
      <w:r>
        <w:rPr/>
        <w:t xml:space="preserve">, Email: </w:t>
      </w:r>
      <w:hyperlink r:id="rId4">
        <w:r>
          <w:rPr>
            <w:rStyle w:val="LinkdaInternet"/>
          </w:rPr>
          <w:t>marcossilva@ufgd.edu.br</w:t>
        </w:r>
      </w:hyperlink>
      <w:r>
        <w:rPr/>
        <w:t xml:space="preserve"> </w:t>
      </w:r>
    </w:p>
  </w:footnote>
  <w:footnote w:id="4">
    <w:p>
      <w:pPr>
        <w:pStyle w:val="Notaderodap"/>
        <w:spacing w:lineRule="auto" w:line="240"/>
        <w:jc w:val="both"/>
        <w:rPr>
          <w:rFonts w:ascii="Arial" w:hAnsi="Arial" w:cs="Arial"/>
        </w:rPr>
      </w:pPr>
      <w:r>
        <w:rPr>
          <w:rStyle w:val="Caracteresdenotaderodap"/>
        </w:rPr>
        <w:footnoteRef/>
      </w:r>
      <w:r>
        <w:rPr>
          <w:rFonts w:cs="Arial"/>
        </w:rPr>
        <w:tab/>
        <w:t xml:space="preserve"> </w:t>
      </w:r>
      <w:r>
        <w:rPr>
          <w:rFonts w:cs="Arial"/>
        </w:rPr>
        <w:t xml:space="preserve">Docente da Universidade Púngué (UniPúnguè) - Extensão de Tete, Moçambique. Pós-doutorando em Geografia pela Universidade Estadual Paulista “Júlio de Mesquita Filho” – UNESP/Rio Claro. Doutor e Mestre em Geografia pela Universidade Federal da Grande Dourados (UFGD/Dourados/MS). Licenciado em Geografia pela Universidade Eduardo Mondlane (UEM, Maputo/Moçambique). E-mail: </w:t>
      </w:r>
      <w:hyperlink r:id="rId5">
        <w:r>
          <w:rPr>
            <w:rStyle w:val="LinkdaInternet"/>
            <w:rFonts w:cs="Arial"/>
          </w:rPr>
          <w:t>lucascatsossauem@gmail.com</w:t>
        </w:r>
      </w:hyperlink>
    </w:p>
  </w:footnote>
  <w:footnote w:id="5">
    <w:p>
      <w:pPr>
        <w:pStyle w:val="Notaderodap"/>
        <w:spacing w:lineRule="auto" w:line="240"/>
        <w:jc w:val="both"/>
        <w:rPr>
          <w:rFonts w:ascii="Arial" w:hAnsi="Arial" w:cs="Arial"/>
        </w:rPr>
      </w:pPr>
      <w:r>
        <w:rPr>
          <w:rStyle w:val="Caracteresdenotaderodap"/>
        </w:rPr>
        <w:footnoteRef/>
      </w:r>
      <w:r>
        <w:rPr>
          <w:rFonts w:cs="Arial"/>
        </w:rPr>
        <w:tab/>
        <w:t xml:space="preserve"> </w:t>
      </w:r>
      <w:r>
        <w:rPr>
          <w:rFonts w:cs="Arial"/>
        </w:rPr>
        <w:t xml:space="preserve">Em relação ao cemitério, a Vale chegou de remover as ossadas, sem, no entanto, realizar consultas comunitárias como mandam as leis costumeiras em Moçambique. Essa ação da Vale foi interpretada como sendo profanação, enfim, um desrespeito a cultura e as tradições em Moçambique (Catsossa, 2020, 2021). </w:t>
      </w:r>
    </w:p>
  </w:footnote>
  <w:footnote w:id="6">
    <w:p>
      <w:pPr>
        <w:pStyle w:val="Notaderodap"/>
        <w:spacing w:lineRule="auto" w:line="240"/>
        <w:rPr/>
      </w:pPr>
      <w:r>
        <w:rPr>
          <w:rStyle w:val="Caracteresdenotaderodap"/>
        </w:rPr>
        <w:footnoteRef/>
      </w:r>
      <w:r>
        <w:rPr/>
        <w:tab/>
        <w:t xml:space="preserve">Investigador Titular, Instituto de Investigaciones Económicas de la UNAM. E-mail: </w:t>
      </w:r>
      <w:hyperlink r:id="rId6">
        <w:r>
          <w:rPr>
            <w:rStyle w:val="LinkdaInternet"/>
          </w:rPr>
          <w:t>davidbarrios@filos.unam.mx</w:t>
        </w:r>
      </w:hyperlink>
      <w:r>
        <w:rPr/>
        <w:t xml:space="preserve"> </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lang w:eastAsia="pt-BR"/>
      </w:rPr>
    </w:pPr>
    <w:r>
      <w:rPr>
        <w:lang w:eastAsia="pt-BR"/>
      </w:rPr>
      <w:drawing>
        <wp:anchor behindDoc="1" distT="0" distB="0" distL="0" distR="0" simplePos="0" locked="0" layoutInCell="1" allowOverlap="1" relativeHeight="39">
          <wp:simplePos x="0" y="0"/>
          <wp:positionH relativeFrom="column">
            <wp:posOffset>-1079500</wp:posOffset>
          </wp:positionH>
          <wp:positionV relativeFrom="paragraph">
            <wp:posOffset>-2159000</wp:posOffset>
          </wp:positionV>
          <wp:extent cx="7559675" cy="10691495"/>
          <wp:effectExtent l="0" t="0" r="0" b="0"/>
          <wp:wrapNone/>
          <wp:docPr id="1"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3" descr=""/>
                  <pic:cNvPicPr>
                    <a:picLocks noChangeAspect="1" noChangeArrowheads="1"/>
                  </pic:cNvPicPr>
                </pic:nvPicPr>
                <pic:blipFill>
                  <a:blip r:embed="rId1"/>
                  <a:srcRect l="-10" t="-7" r="-10" b="-7"/>
                  <a:stretch>
                    <a:fillRect/>
                  </a:stretch>
                </pic:blipFill>
                <pic:spPr bwMode="auto">
                  <a:xfrm>
                    <a:off x="0" y="0"/>
                    <a:ext cx="7559675" cy="1069149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tabs>
          <w:tab w:val="num" w:pos="0"/>
        </w:tabs>
        <w:ind w:left="0" w:hanging="0"/>
      </w:pPr>
    </w:lvl>
    <w:lvl w:ilvl="1">
      <w:start w:val="1"/>
      <w:pStyle w:val="Ttulo2"/>
      <w:numFmt w:val="none"/>
      <w:suff w:val="nothing"/>
      <w:lvlText w:val=""/>
      <w:lvlJc w:val="left"/>
      <w:pPr>
        <w:tabs>
          <w:tab w:val="num" w:pos="0"/>
        </w:tabs>
        <w:ind w:left="0" w:hanging="0"/>
      </w:pPr>
    </w:lvl>
    <w:lvl w:ilvl="2">
      <w:start w:val="1"/>
      <w:pStyle w:val="Ttulo3"/>
      <w:numFmt w:val="none"/>
      <w:suff w:val="nothing"/>
      <w:lvlText w:val=""/>
      <w:lvlJc w:val="left"/>
      <w:pPr>
        <w:tabs>
          <w:tab w:val="num" w:pos="0"/>
        </w:tabs>
        <w:ind w:left="0" w:hanging="0"/>
      </w:pPr>
    </w:lvl>
    <w:lvl w:ilvl="3">
      <w:start w:val="1"/>
      <w:pStyle w:val="Ttulo4"/>
      <w:numFmt w:val="none"/>
      <w:suff w:val="nothing"/>
      <w:lvlText w:val=""/>
      <w:lvlJc w:val="left"/>
      <w:pPr>
        <w:tabs>
          <w:tab w:val="num" w:pos="0"/>
        </w:tabs>
        <w:ind w:left="0" w:hanging="0"/>
      </w:pPr>
    </w:lvl>
    <w:lvl w:ilvl="4">
      <w:start w:val="1"/>
      <w:pStyle w:val="Ttulo5"/>
      <w:numFmt w:val="none"/>
      <w:suff w:val="nothing"/>
      <w:lvlText w:val=""/>
      <w:lvlJc w:val="left"/>
      <w:pPr>
        <w:tabs>
          <w:tab w:val="num" w:pos="0"/>
        </w:tabs>
        <w:ind w:left="0" w:hanging="0"/>
      </w:pPr>
    </w:lvl>
    <w:lvl w:ilvl="5">
      <w:start w:val="1"/>
      <w:pStyle w:val="Ttulo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30"/>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Cs w:val="24"/>
        <w:lang w:val="pt-BR" w:eastAsia="zh-CN" w:bidi="hi-IN"/>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left"/>
    </w:pPr>
    <w:rPr>
      <w:rFonts w:ascii="Arial" w:hAnsi="Arial" w:eastAsia="Arial" w:cs="Arial"/>
      <w:color w:val="auto"/>
      <w:kern w:val="0"/>
      <w:sz w:val="22"/>
      <w:szCs w:val="22"/>
      <w:lang w:val="pt-BR" w:eastAsia="zh-CN" w:bidi="ar-SA"/>
    </w:rPr>
  </w:style>
  <w:style w:type="paragraph" w:styleId="Ttulo1">
    <w:name w:val="Heading 1"/>
    <w:basedOn w:val="Normal"/>
    <w:next w:val="Normal"/>
    <w:uiPriority w:val="9"/>
    <w:qFormat/>
    <w:pPr>
      <w:keepNext w:val="true"/>
      <w:keepLines/>
      <w:numPr>
        <w:ilvl w:val="0"/>
        <w:numId w:val="1"/>
      </w:numPr>
      <w:spacing w:before="400" w:after="120"/>
      <w:outlineLvl w:val="0"/>
    </w:pPr>
    <w:rPr>
      <w:sz w:val="40"/>
      <w:szCs w:val="40"/>
    </w:rPr>
  </w:style>
  <w:style w:type="paragraph" w:styleId="Ttulo2">
    <w:name w:val="Heading 2"/>
    <w:basedOn w:val="Normal"/>
    <w:next w:val="Normal"/>
    <w:uiPriority w:val="9"/>
    <w:semiHidden/>
    <w:unhideWhenUsed/>
    <w:qFormat/>
    <w:pPr>
      <w:keepNext w:val="true"/>
      <w:keepLines/>
      <w:numPr>
        <w:ilvl w:val="1"/>
        <w:numId w:val="1"/>
      </w:numPr>
      <w:spacing w:before="360" w:after="120"/>
      <w:outlineLvl w:val="1"/>
    </w:pPr>
    <w:rPr>
      <w:sz w:val="32"/>
      <w:szCs w:val="32"/>
    </w:rPr>
  </w:style>
  <w:style w:type="paragraph" w:styleId="Ttulo3">
    <w:name w:val="Heading 3"/>
    <w:basedOn w:val="Normal"/>
    <w:next w:val="Normal"/>
    <w:uiPriority w:val="9"/>
    <w:semiHidden/>
    <w:unhideWhenUsed/>
    <w:qFormat/>
    <w:pPr>
      <w:keepNext w:val="true"/>
      <w:keepLines/>
      <w:numPr>
        <w:ilvl w:val="2"/>
        <w:numId w:val="1"/>
      </w:numPr>
      <w:spacing w:before="320" w:after="80"/>
      <w:outlineLvl w:val="2"/>
    </w:pPr>
    <w:rPr>
      <w:color w:val="434343"/>
      <w:sz w:val="28"/>
      <w:szCs w:val="28"/>
    </w:rPr>
  </w:style>
  <w:style w:type="paragraph" w:styleId="Ttulo4">
    <w:name w:val="Heading 4"/>
    <w:basedOn w:val="Normal"/>
    <w:next w:val="Normal"/>
    <w:uiPriority w:val="9"/>
    <w:semiHidden/>
    <w:unhideWhenUsed/>
    <w:qFormat/>
    <w:pPr>
      <w:keepNext w:val="true"/>
      <w:keepLines/>
      <w:numPr>
        <w:ilvl w:val="3"/>
        <w:numId w:val="1"/>
      </w:numPr>
      <w:spacing w:before="280" w:after="80"/>
      <w:outlineLvl w:val="3"/>
    </w:pPr>
    <w:rPr>
      <w:color w:val="666666"/>
      <w:sz w:val="24"/>
      <w:szCs w:val="24"/>
    </w:rPr>
  </w:style>
  <w:style w:type="paragraph" w:styleId="Ttulo5">
    <w:name w:val="Heading 5"/>
    <w:basedOn w:val="Normal"/>
    <w:next w:val="Normal"/>
    <w:uiPriority w:val="9"/>
    <w:semiHidden/>
    <w:unhideWhenUsed/>
    <w:qFormat/>
    <w:pPr>
      <w:keepNext w:val="true"/>
      <w:keepLines/>
      <w:numPr>
        <w:ilvl w:val="4"/>
        <w:numId w:val="1"/>
      </w:numPr>
      <w:spacing w:before="240" w:after="80"/>
      <w:outlineLvl w:val="4"/>
    </w:pPr>
    <w:rPr>
      <w:color w:val="666666"/>
    </w:rPr>
  </w:style>
  <w:style w:type="paragraph" w:styleId="Ttulo6">
    <w:name w:val="Heading 6"/>
    <w:basedOn w:val="Normal"/>
    <w:next w:val="Normal"/>
    <w:uiPriority w:val="9"/>
    <w:semiHidden/>
    <w:unhideWhenUsed/>
    <w:qFormat/>
    <w:pPr>
      <w:keepNext w:val="true"/>
      <w:keepLines/>
      <w:numPr>
        <w:ilvl w:val="5"/>
        <w:numId w:val="1"/>
      </w:numPr>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Fontepargpadro" w:customStyle="1">
    <w:name w:val="Fonte parág. padrão"/>
    <w:qFormat/>
    <w:rPr/>
  </w:style>
  <w:style w:type="character" w:styleId="CabealhoChar" w:customStyle="1">
    <w:name w:val="Cabeçalho Char"/>
    <w:basedOn w:val="Fontepargpadro"/>
    <w:qFormat/>
    <w:rPr/>
  </w:style>
  <w:style w:type="character" w:styleId="RodapChar" w:customStyle="1">
    <w:name w:val="Rodapé Char"/>
    <w:basedOn w:val="Fontepargpadro"/>
    <w:qFormat/>
    <w:rPr/>
  </w:style>
  <w:style w:type="character" w:styleId="LinkdaInternet" w:customStyle="1">
    <w:name w:val="Link da Internet"/>
    <w:rPr>
      <w:color w:val="000080"/>
      <w:u w:val="single"/>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pPr>
      <w:spacing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dodocumento">
    <w:name w:val="Title"/>
    <w:basedOn w:val="Normal"/>
    <w:next w:val="Normal"/>
    <w:uiPriority w:val="10"/>
    <w:qFormat/>
    <w:pPr>
      <w:keepNext w:val="true"/>
      <w:keepLines/>
      <w:spacing w:before="0" w:after="60"/>
    </w:pPr>
    <w:rPr>
      <w:sz w:val="52"/>
      <w:szCs w:val="52"/>
    </w:rPr>
  </w:style>
  <w:style w:type="paragraph" w:styleId="Caption">
    <w:name w:val="caption"/>
    <w:basedOn w:val="Normal"/>
    <w:qFormat/>
    <w:pPr>
      <w:suppressLineNumbers/>
      <w:spacing w:before="120" w:after="120"/>
    </w:pPr>
    <w:rPr>
      <w:rFonts w:cs="Lohit Devanagari"/>
      <w:i/>
      <w:iCs/>
      <w:sz w:val="24"/>
      <w:szCs w:val="24"/>
    </w:rPr>
  </w:style>
  <w:style w:type="paragraph" w:styleId="Subttulo">
    <w:name w:val="Subtitle"/>
    <w:basedOn w:val="Normal"/>
    <w:next w:val="Normal"/>
    <w:uiPriority w:val="11"/>
    <w:qFormat/>
    <w:pPr>
      <w:keepNext w:val="true"/>
      <w:keepLines/>
      <w:spacing w:before="0" w:after="320"/>
    </w:pPr>
    <w:rPr>
      <w:color w:val="666666"/>
      <w:sz w:val="30"/>
      <w:szCs w:val="30"/>
    </w:rPr>
  </w:style>
  <w:style w:type="paragraph" w:styleId="CabealhoeRodap" w:customStyle="1">
    <w:name w:val="Cabeçalho e Rodapé"/>
    <w:basedOn w:val="Normal"/>
    <w:qFormat/>
    <w:pPr>
      <w:suppressLineNumbers/>
      <w:tabs>
        <w:tab w:val="clear" w:pos="720"/>
        <w:tab w:val="center" w:pos="4819" w:leader="none"/>
        <w:tab w:val="right" w:pos="9638" w:leader="none"/>
      </w:tabs>
    </w:pPr>
    <w:rPr/>
  </w:style>
  <w:style w:type="paragraph" w:styleId="Cabealho">
    <w:name w:val="Header"/>
    <w:basedOn w:val="Normal"/>
    <w:pPr>
      <w:tabs>
        <w:tab w:val="clear" w:pos="720"/>
        <w:tab w:val="center" w:pos="4252" w:leader="none"/>
        <w:tab w:val="right" w:pos="8504" w:leader="none"/>
      </w:tabs>
      <w:spacing w:lineRule="auto" w:line="240"/>
    </w:pPr>
    <w:rPr/>
  </w:style>
  <w:style w:type="paragraph" w:styleId="Rodap">
    <w:name w:val="Footer"/>
    <w:basedOn w:val="Normal"/>
    <w:pPr>
      <w:tabs>
        <w:tab w:val="clear" w:pos="720"/>
        <w:tab w:val="center" w:pos="4252" w:leader="none"/>
        <w:tab w:val="right" w:pos="8504" w:leader="none"/>
      </w:tabs>
      <w:spacing w:lineRule="auto" w:line="240"/>
    </w:pPr>
    <w:rPr/>
  </w:style>
  <w:style w:type="paragraph" w:styleId="Notaderodap">
    <w:name w:val="Footnote Text"/>
    <w:basedOn w:val="Normal"/>
    <w:pPr>
      <w:suppressLineNumbers/>
      <w:ind w:left="339" w:hanging="339"/>
    </w:pPr>
    <w:rPr>
      <w:sz w:val="20"/>
      <w:szCs w:val="20"/>
    </w:rPr>
  </w:style>
  <w:style w:type="numbering" w:styleId="NoList" w:default="1">
    <w:name w:val="No List"/>
    <w:uiPriority w:val="99"/>
    <w:semiHidden/>
    <w:unhideWhenUsed/>
    <w:qFormat/>
  </w:style>
  <w:style w:type="numbering" w:styleId="WW8Num1" w:customStyle="1">
    <w:name w:val="WW8Num1"/>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dx.doi.org/10.15517/dre.v21i2.39433" TargetMode="External"/><Relationship Id="rId3" Type="http://schemas.openxmlformats.org/officeDocument/2006/relationships/hyperlink" Target="https://www.clacso.org/ecuador-anomia-estado-fa-llido-y-lumpen-acumulacion-una-lectu-ra-desde-el-marxismo/" TargetMode="External"/><Relationship Id="rId4" Type="http://schemas.openxmlformats.org/officeDocument/2006/relationships/hyperlink" Target="https://doi.org/10.25100/sye.v0i37.7822" TargetMode="External"/><Relationship Id="rId5" Type="http://schemas.openxmlformats.org/officeDocument/2006/relationships/hyperlink" Target="https://jornal.unesp.br/2025/08/21/fim-do-ciclo-da-esquerda-no-governo-da-bolivia-reflete-anos-de-alta-tensao-politica-e-crise-economica-profunda/" TargetMode="External"/><Relationship Id="rId6" Type="http://schemas.openxmlformats.org/officeDocument/2006/relationships/hyperlink" Target="https://doi.org/10.21201/2024.000050" TargetMode="External"/><Relationship Id="rId7" Type="http://schemas.openxmlformats.org/officeDocument/2006/relationships/hyperlink" Target="http://dx.doi.org/10.1590/0101-6628.008" TargetMode="External"/><Relationship Id="rId8" Type="http://schemas.openxmlformats.org/officeDocument/2006/relationships/hyperlink" Target="https://doi.org/10.1111/joac.12215" TargetMode="External"/><Relationship Id="rId9" Type="http://schemas.openxmlformats.org/officeDocument/2006/relationships/hyperlink" Target="https://doi.org/10.1590/3710906/2022" TargetMode="External"/><Relationship Id="rId10" Type="http://schemas.openxmlformats.org/officeDocument/2006/relationships/hyperlink" Target="https://justica-ambiental.org/2022/01/19/um-cerco-letal-de-carvao/" TargetMode="External"/><Relationship Id="rId11" Type="http://schemas.openxmlformats.org/officeDocument/2006/relationships/hyperlink" Target="https://opais.co.mz/disputa-de-recursos-naturais-culmina-com-uma-morte/" TargetMode="External"/><Relationship Id="rId12" Type="http://schemas.openxmlformats.org/officeDocument/2006/relationships/header" Target="header1.xml"/><Relationship Id="rId13" Type="http://schemas.openxmlformats.org/officeDocument/2006/relationships/footnotes" Target="footnotes.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orcid.org/0000-0002-6508-3105" TargetMode="External"/><Relationship Id="rId2" Type="http://schemas.openxmlformats.org/officeDocument/2006/relationships/hyperlink" Target="mailto:guillermo.alfredo@ufma.br" TargetMode="External"/><Relationship Id="rId3" Type="http://schemas.openxmlformats.org/officeDocument/2006/relationships/hyperlink" Target="https://orcid.org/0000-0003-1196-2814" TargetMode="External"/><Relationship Id="rId4" Type="http://schemas.openxmlformats.org/officeDocument/2006/relationships/hyperlink" Target="mailto:marcossilva@ufgd.edu.br" TargetMode="External"/><Relationship Id="rId5" Type="http://schemas.openxmlformats.org/officeDocument/2006/relationships/hyperlink" Target="mailto:lucascatsossauem@gmail.com" TargetMode="External"/><Relationship Id="rId6" Type="http://schemas.openxmlformats.org/officeDocument/2006/relationships/hyperlink" Target="mailto:davidbarrios@filos.unam.mx" TargetMode="Externa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Application>LibreOffice/6.4.7.2$Linux_X86_64 LibreOffice_project/40$Build-2</Application>
  <Pages>38</Pages>
  <Words>13411</Words>
  <Characters>77016</Characters>
  <CharactersWithSpaces>90303</CharactersWithSpaces>
  <Paragraphs>198</Paragraphs>
  <Company>Universidad Nacional Autonoma de México</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2025-06-04T20:28:00Z</dcterms:created>
  <dc:creator>DELL</dc:creator>
  <dc:description/>
  <dc:language>pt-BR</dc:language>
  <cp:lastModifiedBy/>
  <dcterms:modified xsi:type="dcterms:W3CDTF">2025-09-17T10:14:12Z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Universidad Nacional Autonoma de México</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