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1"/>
        <w:spacing w:before="0" w:line="360" w:lineRule="auto"/>
        <w:jc w:val="left"/>
        <w:rPr>
          <w:sz w:val="24"/>
          <w:szCs w:val="24"/>
        </w:rPr>
      </w:pPr>
      <w:bookmarkStart w:colFirst="0" w:colLast="0" w:name="_heading=h.tfw71xallyhe" w:id="0"/>
      <w:bookmarkEnd w:id="0"/>
      <w:r w:rsidDel="00000000" w:rsidR="00000000" w:rsidRPr="00000000">
        <w:rPr>
          <w:rtl w:val="0"/>
        </w:rPr>
      </w:r>
    </w:p>
    <w:p w:rsidR="00000000" w:rsidDel="00000000" w:rsidP="00000000" w:rsidRDefault="00000000" w:rsidRPr="00000000" w14:paraId="00000002">
      <w:pPr>
        <w:pStyle w:val="Title"/>
        <w:keepNext w:val="1"/>
        <w:spacing w:before="0" w:line="360" w:lineRule="auto"/>
        <w:jc w:val="center"/>
        <w:rPr>
          <w:sz w:val="24"/>
          <w:szCs w:val="24"/>
        </w:rPr>
      </w:pPr>
      <w:bookmarkStart w:colFirst="0" w:colLast="0" w:name="_heading=h.rpa6lni01epd" w:id="1"/>
      <w:bookmarkEnd w:id="1"/>
      <w:r w:rsidDel="00000000" w:rsidR="00000000" w:rsidRPr="00000000">
        <w:rPr>
          <w:rtl w:val="0"/>
        </w:rPr>
      </w:r>
    </w:p>
    <w:p w:rsidR="00000000" w:rsidDel="00000000" w:rsidP="00000000" w:rsidRDefault="00000000" w:rsidRPr="00000000" w14:paraId="00000003">
      <w:pPr>
        <w:pStyle w:val="Title"/>
        <w:keepNext w:val="1"/>
        <w:spacing w:after="200" w:before="0" w:line="360" w:lineRule="auto"/>
        <w:jc w:val="center"/>
        <w:rPr/>
      </w:pPr>
      <w:bookmarkStart w:colFirst="0" w:colLast="0" w:name="_heading=h.qlklsnjhk3q6" w:id="2"/>
      <w:bookmarkEnd w:id="2"/>
      <w:r w:rsidDel="00000000" w:rsidR="00000000" w:rsidRPr="00000000">
        <w:rPr>
          <w:sz w:val="24"/>
          <w:szCs w:val="24"/>
          <w:rtl w:val="0"/>
        </w:rPr>
        <w:t xml:space="preserve">XEQUE-MATE? GUERRA ÀS DROGAS E A URGÊNCIA DA REDUÇÃO DE DANOS NO BRASIL</w:t>
      </w:r>
      <w:r w:rsidDel="00000000" w:rsidR="00000000" w:rsidRPr="00000000">
        <w:rPr>
          <w:rtl w:val="0"/>
        </w:rPr>
      </w:r>
    </w:p>
    <w:p w:rsidR="00000000" w:rsidDel="00000000" w:rsidP="00000000" w:rsidRDefault="00000000" w:rsidRPr="00000000" w14:paraId="00000004">
      <w:pPr>
        <w:spacing w:line="240" w:lineRule="auto"/>
        <w:jc w:val="right"/>
        <w:rPr/>
      </w:pPr>
      <w:r w:rsidDel="00000000" w:rsidR="00000000" w:rsidRPr="00000000">
        <w:rPr>
          <w:rtl w:val="0"/>
        </w:rPr>
        <w:t xml:space="preserve">Isabella Antoniazzi de Barros Galvão</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5">
      <w:pPr>
        <w:spacing w:line="240" w:lineRule="auto"/>
        <w:jc w:val="right"/>
        <w:rPr/>
      </w:pPr>
      <w:r w:rsidDel="00000000" w:rsidR="00000000" w:rsidRPr="00000000">
        <w:rPr>
          <w:rtl w:val="0"/>
        </w:rPr>
        <w:t xml:space="preserve">Edvânia Angela Souza</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06">
      <w:pPr>
        <w:spacing w:line="240" w:lineRule="auto"/>
        <w:jc w:val="right"/>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5"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Resumo</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5" w:right="0" w:firstLine="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 presente artigo visa</w:t>
      </w:r>
      <w:r w:rsidDel="00000000" w:rsidR="00000000" w:rsidRPr="00000000">
        <w:rPr>
          <w:sz w:val="20"/>
          <w:szCs w:val="20"/>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aprofundar os estudos resultantes de uma pesquisa que compôs o Trabalho de Conclusão de Curso (TCC) da pri</w:t>
      </w:r>
      <w:r w:rsidDel="00000000" w:rsidR="00000000" w:rsidRPr="00000000">
        <w:rPr>
          <w:sz w:val="20"/>
          <w:szCs w:val="20"/>
          <w:rtl w:val="0"/>
        </w:rPr>
        <w:t xml:space="preserve">meira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autora, cujo objetivo específico foi contextualizar a Política Nacional sobre Drogas brasileira. A partir do materialismo histórico dialético, considera-se a centralidade da questão étnico-racial na formação sócio-histórica brasileira. Para tal, utilizou-se para análise partes da obra "Diário do Hospício &amp; Cemitério dos Vivos" do escritor Lima Barreto </w:t>
      </w:r>
      <w:r w:rsidDel="00000000" w:rsidR="00000000" w:rsidRPr="00000000">
        <w:rPr>
          <w:sz w:val="20"/>
          <w:szCs w:val="20"/>
          <w:rtl w:val="0"/>
        </w:rPr>
        <w:t xml:space="preserve">(2017)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tendo sido possível compreender o uso de </w:t>
      </w:r>
      <w:r w:rsidDel="00000000" w:rsidR="00000000" w:rsidRPr="00000000">
        <w:rPr>
          <w:sz w:val="20"/>
          <w:szCs w:val="20"/>
          <w:rtl w:val="0"/>
        </w:rPr>
        <w:t xml:space="preserve">drogas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como expressão da questão social</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e racial.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Dessa forma, o trabalho evidencia a Guerra às Drogas como principal causa do genocídio da população negra no Brasil e pensa, como alternativa coerente ao Projeto Ético-Político do Serviço Social,  a Redução de Danos (R</w:t>
      </w:r>
      <w:r w:rsidDel="00000000" w:rsidR="00000000" w:rsidRPr="00000000">
        <w:rPr>
          <w:sz w:val="20"/>
          <w:szCs w:val="20"/>
          <w:rtl w:val="0"/>
        </w:rPr>
        <w:t xml:space="preserve">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5"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Palavras-chave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Lima Barreto; </w:t>
      </w:r>
      <w:r w:rsidDel="00000000" w:rsidR="00000000" w:rsidRPr="00000000">
        <w:rPr>
          <w:sz w:val="20"/>
          <w:szCs w:val="20"/>
          <w:rtl w:val="0"/>
        </w:rPr>
        <w:t xml:space="preserve">Guerra às Drogas; Redução Danos</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5"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5"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Abstract</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5" w:right="0" w:firstLine="0"/>
        <w:jc w:val="both"/>
        <w:rPr>
          <w:rFonts w:ascii="Arial" w:cs="Arial" w:eastAsia="Arial" w:hAnsi="Arial"/>
          <w:b w:val="1"/>
          <w:i w:val="0"/>
          <w:smallCaps w:val="0"/>
          <w:strike w:val="0"/>
          <w:color w:val="000000"/>
          <w:sz w:val="20"/>
          <w:szCs w:val="20"/>
          <w:u w:val="none"/>
          <w:shd w:fill="auto" w:val="clear"/>
          <w:vertAlign w:val="baseline"/>
        </w:rPr>
      </w:pPr>
      <w:hyperlink r:id="rId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article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aims </w:t>
      </w:r>
      <w:hyperlink r:id="rId1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1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deepen</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1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studies that </w:t>
      </w:r>
      <w:hyperlink r:id="rId1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resulted</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1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from</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1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1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research</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1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that</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1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composed</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1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first </w:t>
      </w:r>
      <w:hyperlink r:id="rId2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author</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hyperlink r:id="rId2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Undergraduate Thesis, </w:t>
      </w:r>
      <w:hyperlink r:id="rId2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whose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2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specific</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2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objective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2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was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2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2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contextualize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2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2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Brazilian</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3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National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3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Drug</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3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Policy</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Using </w:t>
      </w:r>
      <w:hyperlink r:id="rId3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dialectical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3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historical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3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materialism</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as a method, it is possible to comprehend </w:t>
      </w:r>
      <w:hyperlink r:id="rId3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centrality </w:t>
      </w:r>
      <w:hyperlink r:id="rId3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3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3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ethnic</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hyperlink r:id="rId4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racial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4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issue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4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Brasil’s socio-</w:t>
      </w:r>
      <w:hyperlink r:id="rId4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historical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4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formation</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To achieve this, parts </w:t>
      </w:r>
      <w:hyperlink r:id="rId4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4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4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work</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“Diário do Hospício e Cemitério dos Vivos” </w:t>
      </w:r>
      <w:hyperlink r:id="rId4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4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brazilian </w:t>
      </w:r>
      <w:hyperlink r:id="rId5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writer</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Lima Barreto (2017) </w:t>
      </w:r>
      <w:hyperlink r:id="rId5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were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5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used</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5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5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analysis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5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5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it</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5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was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5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possible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5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6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understand</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6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6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6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color w:val="000000"/>
          <w:sz w:val="20"/>
          <w:szCs w:val="20"/>
          <w:u w:val="none"/>
          <w:rtl w:val="0"/>
        </w:rPr>
        <w:t xml:space="preserve">drugs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6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6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6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expression</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6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6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racial and S</w:t>
      </w:r>
      <w:hyperlink r:id="rId6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ocial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w:t>
      </w:r>
      <w:hyperlink r:id="rId7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ssue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 Therefore, </w:t>
      </w:r>
      <w:hyperlink r:id="rId7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7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work</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highlights </w:t>
      </w:r>
      <w:hyperlink r:id="rId7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7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War</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7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Drugs </w:t>
      </w:r>
      <w:hyperlink r:id="rId7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7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7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main</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7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cause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8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8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8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genocide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8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8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8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black</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8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population</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8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8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Brazil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8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considers, </w:t>
      </w:r>
      <w:hyperlink r:id="rId9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9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9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coherent</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9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alternative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9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9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9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Ethical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hyperlink r:id="rId9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Political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9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Project</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9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10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Social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10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Work</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w:t>
      </w:r>
      <w:hyperlink r:id="rId10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Harm</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10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Reduction</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5"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Keywords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Lima Barreto; War on Drugs; Harm Reduction.</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w:t>
      </w:r>
      <w:r w:rsidDel="00000000" w:rsidR="00000000" w:rsidRPr="00000000">
        <w:rPr>
          <w:b w:val="1"/>
          <w:sz w:val="24"/>
          <w:szCs w:val="24"/>
          <w:rtl w:val="0"/>
        </w:rPr>
        <w:t xml:space="preserve">O</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mim para mim, tenho certeza que não sou louco; mas devido ao álcool, misturado com toda espécie de apreensões que as dificuldades de minha vida material há seis anos me assoberbam, de vez em quando dou sinais de loucura: deliro (Lima Barreto, [1920], 2017, p. 33).</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uso de substâncias psicoativas (SPA) é sabidamente um fenômeno histórico, que esteve presente em diferentes territórios e culturas ao longo do desenvolvimento da humanidade e do mundo como conhecemos hoje. No século XIX, o consumo dessas substâncias sofreu transformações, assumindo novas características. Perdem-se os aspectos culturais, medicinais e terapêuticos do uso e ganha notoriedade o consumo que, além de popularizado, tem como principal objetivo a alteração das consciências. Esse processo não ocorreu de maneira isolada da estrutura capitalista e ficou conhecido por Revolução Psicoativa. Ela marca um momento no qual as drogas transitam para o universo do consumo, tornando-se então uma mercadoria, a qual será apreendida pelo mercantilismo e pelo capitalismo em expansão.</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trabalho se propõe a apresentar o resultado de parte da pesquisa que compôs o Trabalho de Conclusão de Curso (TCC) em Serviço Social da primeira autora</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amadurecendo algumas das reflexões que a fizeram concluir que o uso de drogas é uma das expressões da questão social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e dos racismos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considerando para tal análise a obra “Diário do Hospício &amp; Cemitério dos Vivos” de Lima Barreto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w:t>
      </w:r>
      <w:r w:rsidDel="00000000" w:rsidR="00000000" w:rsidRPr="00000000">
        <w:rPr>
          <w:sz w:val="24"/>
          <w:szCs w:val="24"/>
          <w:rtl w:val="0"/>
        </w:rPr>
        <w:t xml:space="preserve">2017</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talentoso escritor negro que viveu no Rio de Janeiro no início do século XX e que por fazer uso abusivo de álcool, foi duramente reprimido em vida, tendo vivenciado diversas internações compulsórias, as quais foram atravessadas por violências e cujos relatos contribuem para evidenciar que o aumento do uso de substâncias psicoativas (SPA) e da categoria “louco” tem suas raízes no avanço da civilização capitalista (Adiala, 2011), além da incompatibilidade entre o Projeto Ético-Político do Serviço Social e a Política Nacional sobre Drogas vigente, cuja perspectiva da abstinência legitima o antiproibicionismo e a Guerra às Drogas, grande responsável pelo genocídio da população negra no Brasil. Nesse sentido, apresenta-se a Redução de Danos (RD) como alternativa e proposta política.</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tal, o método utilizado foi o materialismo histórico dialético, pois ele é capaz de elaborar a totalidade da ordem social capitalista em que estamos inseridos enquanto seres sociais, centralizada na luta de classes, considerando a questão social e suas expressões, algo caro para pesquisas em Serviço Social como a aqui citada. O método permite captar a dinâmica entre as relações sociais e as estruturas, oferecendo uma compreensão mais profunda dos processos de transformação social. A partir desta perspectiva, foi possível realizar uma leitura crítica e atenta da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referida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obra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do autor</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Lima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Barreto, aliada à pesquisa bibliográfica, utilizando livros, artigos, periódicos, dissertações de mestrado e teses de doutorado que versam a respeito do uso de substâncias psicoativas e suas transformações ao longo da história, a Guerra às Drogas e a Redução de Danos (RD) e à pesquisa documental no âmbito das legislações sobre drogas nos séculos XIX e XX, ambas de abordagem qualitativa.</w:t>
      </w:r>
    </w:p>
    <w:p w:rsidR="00000000" w:rsidDel="00000000" w:rsidP="00000000" w:rsidRDefault="00000000" w:rsidRPr="00000000" w14:paraId="00000015">
      <w:pPr>
        <w:pStyle w:val="Heading1"/>
        <w:spacing w:line="360" w:lineRule="auto"/>
        <w:jc w:val="both"/>
        <w:rPr>
          <w:sz w:val="24"/>
          <w:szCs w:val="24"/>
        </w:rPr>
      </w:pPr>
      <w:bookmarkStart w:colFirst="0" w:colLast="0" w:name="_heading=h.2ec46zelxb52" w:id="3"/>
      <w:bookmarkEnd w:id="3"/>
      <w:r w:rsidDel="00000000" w:rsidR="00000000" w:rsidRPr="00000000">
        <w:rPr>
          <w:sz w:val="24"/>
          <w:szCs w:val="24"/>
          <w:vertAlign w:val="baseline"/>
          <w:rtl w:val="0"/>
        </w:rPr>
        <w:t xml:space="preserve">2</w:t>
        <w:tab/>
        <w:t xml:space="preserve">LOUCURA E USO DE SUBSTÂNCIAS PSICOATIVAS (SPA) NA HISTÓRIA </w:t>
      </w:r>
      <w:r w:rsidDel="00000000" w:rsidR="00000000" w:rsidRPr="00000000">
        <w:rPr>
          <w:sz w:val="24"/>
          <w:szCs w:val="24"/>
          <w:rtl w:val="0"/>
        </w:rPr>
        <w:t xml:space="preserve">DO BRASIL: A PERSPECTIVA DA LUTA DE CLASSES</w:t>
      </w:r>
    </w:p>
    <w:p w:rsidR="00000000" w:rsidDel="00000000" w:rsidP="00000000" w:rsidRDefault="00000000" w:rsidRPr="00000000" w14:paraId="00000016">
      <w:pPr>
        <w:rP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partir da metade do Século XIX, ocorria no Brasil a lenta abolição da escravização e com ela o processo de proliferação do trabalho livre e assalariado. Aqui, entende-se o termo livre a partir da concepção de Marx (Marx, 1980) sobre trabalhadores livres. Isto é, uma classe que não é dona dos meios de produção e por isso encontra-se desembaraçada deles, e concomitantemente não é parte direta desses meios de produção, o que a difere de pessoas escravizadas.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Nessa conjuntura, o uso de substâncias psicoativas se populariza entre a classe trabalhadora, formada pela população branca imigrante e pela população negra recém liberta - a qual, excedente no novo mercado de trabalho que era criado, enfrentou diversas dificuldades e ficou sem condições de inserir-se formalmente no processo de trabalho livre, o que implicou na ausência de ocupação regular, restando portanto o subemprego e a marginalização progressiva (Moura, 1977). Dessa forma, ela se torna vítima de uma política de repressão estatal que atinge sobretudo os menos favorecidos, a quem o uso excessivo de drogas passou a ser associado (Torcato, 2013). Entre os “menos favorecidos", é importante ressaltar a centralidade da questão étnico-racial, pois, segundo Moura, há uma ligação concreta entre a etnia negra e a pobreza, exploração e delinquência (Moura, 1977). Ainda nesse sentido, o autor afirma que os estratos superiores criam e mantêm uma imagem do negro que conclui que ele não possui condições para vivenciar e aproveitar a liberdade, “[...] pois dissipa-a na cachaça, no amor livre e na maconha” (Moura, 1977, p. 19).</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Desse modo, as primeiras legislações a dispor sobre a proibição de SPA envolviam o consumo da maconha, que, conforme exposto por Clóvis Moura, esteve relacionado à negritude. Por isso, a proibição simboliza e faz alusão aos ideais de branqueamento e faz-se necessário compreender que a problematização do uso de drogas e o proibicionismo se traduziram em mecanismos de exclusão da população negra brasileira, agudizando a questão étnico-racial em meio às demais articulações do Estado para viabilizar o abandono do povo negro antes e após a abolição (Santos; Antunes; Galvão, 2024), visto que desde os primórdios este grupo foi categorizado como alvo de controle e repressão da classe dominante na figura do Estado, mesmo que ainda não formalmente.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Isto posto, foi possível entender que houve grande movimentação no território brasileiro pelo controle da disponibilidade e proibição das substâncias psicoativas por parte da classe dominante, que visava sobretudo controlar os corpos da classe trabalhadora e garantir, assim, seu lucro, em meio a uma “[...] conjuntura global de crise do trabalho compulsório e a proliferação do assalariamento” (Torcato, 2013, p. 117).</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Aliada à classe médica, a burguesia importa de países como os Estados Unidos as primeiras facetas do proibicionismo e a patologização da categoria vício, para impedir que os “novos hábitos” cotidianos da classe trabalhadora trouxessem prejuízos à disciplina, de modo a manter o controle sobre esses contingentes populacionais indesejados. Segundo Tadeu de Paula (Paula, 2022), a estratégia institucionaliza uma nova modalidade de racismo e ganha força nos EUA após conquistas de direitos civis pelo movimento negro no país.</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Faz-se imprescindível ressaltar que a partir do século XX a questão do uso de substâncias psicoativas passa a ser internacionalmente discutida, havendo portanto uma série de tratados e convenções que receberam bastante empenho das autoridades estadunidenses para ratificação e visavam a formulação de legislações locais que proibissem o uso de SPA por parte dos países participantes (Adiala, 2011), como foi o caso da Convenção do Ópio em 1912, que foi promulgada no Brasil em 1915 e deu início à implementação oficial do proibicionismo no Brasil.</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Diante disso, houve a implementação de legislações como  a Lei Nº 4294 de 14 de julho de 1921, que consagrou a categoria “toxicomania”, consolidou a articulação entre a classe médica e a burguesia (Torcato, 2013) e por isso impunha a necessidade da criação de estabelecimentos voltados para o tratamento de tal questão, considerada uma doença mental que indicava uma predisposição ao crime, pois compreendiam que  “[...] a incapacidade de resistir ao vício e a possibilidade de cometer crimes são dois aspectos da personalidade doentia do toxicômano [...]” (Adiala, 2011, p. 154).</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 chamados sanatórios para toxicômanos, também conhecidos como hospícios, eram considerados (por vezes, até hoje) a única solução para o combate ao uso abusivo de substâncias psicoativas, impondo rigorosamente a abstinência. A legislação também estabelece pena de prisão para traficantes de tais substâncias “venenosas” (Brasil, 1921), criminalizando sua comercialização, o que não significa que anteriormente ao marco legal essa ação já não era reprimida. pois assim como afirma Engels, o capitalismo “continua reproduzindo as pragas que procura curar” (Marx e Engels, 1961, p. 137).</w:t>
      </w:r>
    </w:p>
    <w:p w:rsidR="00000000" w:rsidDel="00000000" w:rsidP="00000000" w:rsidRDefault="00000000" w:rsidRPr="00000000" w14:paraId="0000001F">
      <w:pPr>
        <w:pStyle w:val="Heading2"/>
        <w:spacing w:line="360" w:lineRule="auto"/>
        <w:jc w:val="both"/>
        <w:rPr>
          <w:sz w:val="24"/>
          <w:szCs w:val="24"/>
        </w:rPr>
      </w:pPr>
      <w:bookmarkStart w:colFirst="0" w:colLast="0" w:name="_heading=h.nl6epy33y7jh" w:id="4"/>
      <w:bookmarkEnd w:id="4"/>
      <w:r w:rsidDel="00000000" w:rsidR="00000000" w:rsidRPr="00000000">
        <w:rPr>
          <w:sz w:val="24"/>
          <w:szCs w:val="24"/>
          <w:vertAlign w:val="baseline"/>
          <w:rtl w:val="0"/>
        </w:rPr>
        <w:t xml:space="preserve">2.1</w:t>
        <w:tab/>
      </w:r>
      <w:r w:rsidDel="00000000" w:rsidR="00000000" w:rsidRPr="00000000">
        <w:rPr>
          <w:sz w:val="24"/>
          <w:szCs w:val="24"/>
          <w:rtl w:val="0"/>
        </w:rPr>
        <w:t xml:space="preserve">Um relato tipicamente brasileiro: o diário de Lima Barreto</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 referida pesquisa, foi considerado o Hospital Nacional de Alienados, pois foi onde, no início do século XX,  se passaram os relatos contidos no livro “Diário do Hospício &amp; Cemitério dos Vivos” do escritor Lima Barreto </w:t>
      </w:r>
      <w:r w:rsidDel="00000000" w:rsidR="00000000" w:rsidRPr="00000000">
        <w:rPr>
          <w:sz w:val="24"/>
          <w:szCs w:val="24"/>
          <w:rtl w:val="0"/>
        </w:rPr>
        <w:t xml:space="preserve">(2017)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Nele, o autor testemunha o hospício como um mecanismo que compõe parte de uma estrutura de opressão, enclausuramento e reclusão da população pobre e majoritariamente negra, caracterizada como anormal, e evidencia a aliança do manicômio com o aparato policial que viabiliza a repressão contra a população que compõe uma parcela da sociedade que não contribui para a acumulação de capital da classe branca. Por isso, torna-se inútil e é dividida entre delinquente e louca.</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Sem fazer monopólio, os loucos são da proveniência mais diversa, originando-se em geral das camadas mais pobres da nossa gente pobre. São de imigrantes italianos, portugueses e outros mais exóticos, são os negros, roceiros, que teimam em dormir pelos desvãos das janelas sobre uma esteira esmolambadas e uma manta sórdida; são copeiros, cocheiros, moços de cavalariça, trabalhadores braçais. No meio disto, muitos com educação, mas que a falta de recursos e proteção atira naquela geena social. (Lima Barreto, [1920], 2017, p. 35).</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Durante o período em que esteve internado, Lima Barreto teceu reflexões como essa, de grande profundidade sobre a realidade social por ele vivenciada. Ele demonstra em seus escritos que a população que compartilhava com ele o mesmo destino, tinha uma grande coisa em comum: o fato de serem trabalhadores livres que, vulnerabilizados diante da ausência de proteção social e das inúmeras tentativas de extermínio do Estado, terminaram no mesmo lugar, excluídos da livre circulação na sociedade. Caminhando nesse sentido, há outros dois relatos que tornaram-se importantíssimos para compreender o uso de drogas como expressão da questão social através da leitura dos escritos de Lima Barreto:</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Adivinhava a morte de meu pai e eu sem dinheiro para enterrá-lo, previa moléstias com tratamento caro e eu sem recursos; amedrontava-me com uma demissão e eu sem fortes conhecimentos que me arranjassem colocação condigna com a minha instrução; eu me aborrecia e procurava distrair-me, ficar na cidade, avançar pela noite adentro; e assim conheci o chopp, o whisky, as noitadas, amanhecendo na casa deste ou daquele (Lima Barreto, [1920], 2017, p. 12)</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muito polidamente deu-me conselhos para reagir contra o meu vício. Oh! Meu Deus! Como eu tenho feito o possível para extirpá-lo e, parecendo-me que todas as dificuldades de dinheiro que sofro são devidas a ele, e por sofrê-las, é que vou à bebida. Parece uma contradição; é, porém, o que se passa em mim (Lima Barreto, [1920], 2017, p. 44)</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Lima Barreto revela que, atingidos pelos tentáculos da ordem social capitalista, os sujeitos da classe dominada se veem imersos no abuso de substâncias psicoativas, que comparece como uma forma de alterar suas consciências e sobreviver à barbárie imposta por esse sistema que avilta as condições de vida da classe trabalhadora e a explora até a escassez. Sobre isso, Engels já havia afirmado há muito tempo (Marx e Engels, 1961), que o apego à bebida tornava-se necessário diante das condições de vida do proletariado.</w:t>
      </w:r>
      <w:r w:rsidDel="00000000" w:rsidR="00000000" w:rsidRPr="00000000">
        <w:rPr>
          <w:rtl w:val="0"/>
        </w:rPr>
      </w:r>
    </w:p>
    <w:p w:rsidR="00000000" w:rsidDel="00000000" w:rsidP="00000000" w:rsidRDefault="00000000" w:rsidRPr="00000000" w14:paraId="0000002A">
      <w:pPr>
        <w:pStyle w:val="Heading1"/>
        <w:spacing w:line="360" w:lineRule="auto"/>
        <w:jc w:val="both"/>
        <w:rPr>
          <w:sz w:val="24"/>
          <w:szCs w:val="24"/>
        </w:rPr>
      </w:pPr>
      <w:bookmarkStart w:colFirst="0" w:colLast="0" w:name="_heading=h.i82feqo3n8nn" w:id="5"/>
      <w:bookmarkEnd w:id="5"/>
      <w:r w:rsidDel="00000000" w:rsidR="00000000" w:rsidRPr="00000000">
        <w:rPr>
          <w:sz w:val="24"/>
          <w:szCs w:val="24"/>
          <w:rtl w:val="0"/>
        </w:rPr>
        <w:t xml:space="preserve">3</w:t>
        <w:tab/>
        <w:t xml:space="preserve">SUBSTÂNCIAS PSICOATIVAS EM DISPUTA? SEGURANÇA PÚBLICA, BELICISMO E GUERRA ÀS DROGAS</w:t>
      </w:r>
    </w:p>
    <w:p w:rsidR="00000000" w:rsidDel="00000000" w:rsidP="00000000" w:rsidRDefault="00000000" w:rsidRPr="00000000" w14:paraId="0000002B">
      <w:pPr>
        <w:rP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proibicionismo importado no Brasil nesse período estabelece o modus operandi conservador do Estado brasileiro diante do uso de substâncias psicoativas, visando uma sociedade completamente livre de seu uso. Nos dias atuais, isso se mantém e assume proporções ainda maiores e é um dos grandes vetores da Guerra às Drogas no Brasil, a qual, segundo Tadeu de Paula, “[...] se tornou um novo modo capitalista de exercício de poder colonial e racista” (Paula, 2022, p. 50), de modo a fortalecer a dominância da burguesia e por isso precisa ser apreendida como inscrita na luta de classes.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Segundo Netto, o “[...] belicismo passa a incluir as políticas de segurança pública em períodos de paz formal e se estende como negócio capitalista privado à vida na paz e na guerra, configurando a emergência da militarização da vida social" (Netto, 2012). A Política Nacional sobre Drogas (PNAD) é amplamente disputada pelos setores de segurança e saúde pública e no contexto da saúde atualmente ainda destacam-se hegemonicamente o paradigma asilar, manicomial e da abstinência (Medeiros, 2022).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PNAD é oficialmente instituída no Brasil a partir do Decreto N° 4345 de 2002, denominado Política Nacional Antidrogas (Brasil, 2002), cujo nome já propaga o proibicionismo. O documento atualmente vigente, de 2019, é assinado pelo ex-presidente Jair Messias Bolsonaro e mantém a perspectiva proibicionista, objetiva “[...] que as pessoas se mantenham abstinentes em relação ao uso de drogas” (Brasil, 2019), criando um “[...] um diagrama de poder antidrogas antidemocrático” (Paula, 2022, p. 32). Além disso, a PNAD defende o trabalho realizado pelas Comunidades Terapêuticas (CTs), as quais são conhecidas por desrespeitar os direitos humanos, além de reproduzir e reatualizar a lógica manicomial de isolamento e segregação de pessoas em sofrimento psíquico e que fazem uso de substâncias psicoativas das relações sociais, utilizando-se, majoritariamente, da religião como única possibilidade de salvação, o que se opõe totalmente à Reforma Psiquiátrica (Belloni, 2014) e ao Projeto Ético-Político de Serviço Social, que tem como princípio a liberdade e rompe com o conservadorismo, visando uma sociedade livre de opressões e dominação, na qual os direitos humanos sejam respeitados, de forma democrática.</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Conselho Nacional de Políticas sobre Drogas (CONAD), órgão de controle social importantíssimo para o desenvolvimento e manutenção da referida política, é obrigatoriamente, conforme legislação, presidido pelo Ministro da Justiça e Segurança Pública, designado pelo Presidente da República, e composto por diversos órgãos deste ministério, o que ainda associa o uso de SPA sobretudo à segurança pública e a PNAD à repressão ao tráfico. O Sistema Único de Assistência Social (SUAS), somente comparece nos documentos da PNAD a partir de 2005, em uma resolução do CONAD, e mesmo atualmente não assume protagonismo nas legislações. Medeiros (2022) ressalta que nos espaços dos Conselhos de Políticas sobre Drogas, os segmentos que defendem as estratégias de Redução de Danos, direitos humanos e o antiproibicionismo são minoria. Dessa forma, a lacuna deixada pela Saúde e Assistência na PNAD é ocupada pelo belicismo.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no século XIX o proibicionismo e a problematização do uso de substâncias psicoativas transformou-se em um mecanismo de exclusão da população negra brasileira, a Política Nacional sobre Drogas brasileira e outras legislações que versam sobre o uso de drogas no país, como a Lei N° 11.343/2006, também conhecida nacionalmente como Lei de Drogas, se traduzem na estratégia da Guerra às Drogas, responsável pelo extermínio do povo negro. A repressão deixou de ser uma excepcionalidade e se transformou num estado de guerra permanente (Netto, 2012), localizado sobretudo nas periferias do país, voltado às populações pobre e negra, onde se institucionaliza a bala perdida (Paula, 2022).</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Segundo o autor (Netto, 2012), o Brasil está entre os países no mundo com maior número de pessoas encarceradas, e ainda assim, a natureza dessa guerra se expressa massivamente no extermínio executado dessas populações em nome da lei, e não no cárcere, o que indica uma dimensão ainda maior na atualidade da questão apontada pela pesquisa.</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Segundo Paula, (2022) a Guerra às Drogas é um dispositivo colonial de manutenção da supremacia branca, imposto a e importado pelo Brasil de países como EUA e Inglaterra, cuja estratégia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prioriza a redução da oferta de drogas e relega a segundo plano a prevenção ao uso, tendo como principais pilares o modelo moral e criminal,que preconiza o enfrentamento das drogas pelo encarceramento dos usuários, e o modelo de doença, segundo o qual a dependência de drogas é tratada como uma patologia de origem biológica (Alves, 2009 apud Machado e Boarini, 2013, p. 582).</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6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Cabe reiterar, portanto, que a defesa do Projeto Ético-Político do Serviço Social é incompatível com o que estabelece a Política Nacional sobre Drogas (Brasil, 2019), pois o primeiro é “[...] categorizado pela busca de ruptura como conservadorismo” (Silva, 2018, p. 93) e pela emancipação da classe trabalhadora e pobre, majoritariamente negra e o segundo pela repressão ao uso de drogas ilícitas, o que por sua vez é uma guerra contra a classe trabalhadora especialmente a negra (Silva, 2018). Nesse ínterim, a concepção democrática que se sobressai como opção para assistentes sociais e outros profissionais que atuam nas políticas de assistência, saúde e educação, é a Redução de Danos.</w:t>
      </w:r>
    </w:p>
    <w:p w:rsidR="00000000" w:rsidDel="00000000" w:rsidP="00000000" w:rsidRDefault="00000000" w:rsidRPr="00000000" w14:paraId="00000036">
      <w:pPr>
        <w:pStyle w:val="Heading1"/>
        <w:spacing w:line="360" w:lineRule="auto"/>
        <w:jc w:val="both"/>
        <w:rPr>
          <w:sz w:val="24"/>
          <w:szCs w:val="24"/>
        </w:rPr>
      </w:pPr>
      <w:bookmarkStart w:colFirst="0" w:colLast="0" w:name="_heading=h.5sk9buvk2q1w" w:id="6"/>
      <w:bookmarkEnd w:id="6"/>
      <w:r w:rsidDel="00000000" w:rsidR="00000000" w:rsidRPr="00000000">
        <w:rPr>
          <w:sz w:val="24"/>
          <w:szCs w:val="24"/>
          <w:rtl w:val="0"/>
        </w:rPr>
        <w:t xml:space="preserve">4 </w:t>
        <w:tab/>
        <w:t xml:space="preserve">XEQUE-MATE: A REDUÇÃO DE DANOS É O ÚNICO CAMINHO</w:t>
      </w:r>
    </w:p>
    <w:p w:rsidR="00000000" w:rsidDel="00000000" w:rsidP="00000000" w:rsidRDefault="00000000" w:rsidRPr="00000000" w14:paraId="00000037">
      <w:pPr>
        <w:rP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Brasil, é consenso que a Redução de Danos (RD) foi adotada como estratégia pela primeira vez em 1989, na cidade de Santos (SP), pelo médico David Cipriano, durante o combate à epidemia de HIV/AIDS, através da distribuição de seringas e</w:t>
      </w:r>
      <w:r w:rsidDel="00000000" w:rsidR="00000000" w:rsidRPr="00000000">
        <w:rPr>
          <w:sz w:val="24"/>
          <w:szCs w:val="24"/>
          <w:rtl w:val="0"/>
        </w:rPr>
        <w:t xml:space="preserve">m Unidades de Distribuição e Indústria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UDIs), locais em que havia uso de drogas injet</w:t>
      </w:r>
      <w:r w:rsidDel="00000000" w:rsidR="00000000" w:rsidRPr="00000000">
        <w:rPr>
          <w:sz w:val="24"/>
          <w:szCs w:val="24"/>
          <w:rtl w:val="0"/>
        </w:rPr>
        <w:t xml:space="preserve">áveis,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aos usuários de substâncias psicoativas injetáveis (Silveira et al., 2003; Mesquita, 1991; Petuco &amp; Medeiros, 2009 apud Machado e Boarini, 2013). O Programa de Cipriano, no entanto, foi interrompido pouco tempo depois e teve todo seu material apreendido, pelo fato da estratégia ter sido considerada apologia ao incentivo ao uso de drogas (Domanico, 2019).</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 década de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19</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90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motivado principalmente pela epidemia de AIDS, o CONFEN (atual CONAD) implementou a estratégia de Redução de Danos (Machado e Boarini, 2013). No entanto, esta entrava em conflito com as determinações da Lei Nº 6.368/1976, a antiga Lei de Drogas, vigente na época. Sendo assim, foi compreendida por segmentos específicos como criminosa, por supostamente incentivar o uso de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Entende-se, portanto, que 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coloca em xeque a hegemonia da abstinência (Paula, 2022), por propor uma intervenção antiproibicionista e pautada nos direitos humanos.</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Valida-se a RD como uma “[...] proposta política para usuários de drogas” (Paula, 2022, p. 155), pois a estratégia identificar os sujeitos a partir de suas singularidades, traçando com eles caminhos que estão voltados não para o que é entendido moralmente como o correto, mas para a defesa de suas vidas (Paula, 2022), possibilitando a compreensão de usuários de SPA como sujeitos políticos, para além de seu uso, subvertendo as linhas de poder que atuam no campo das drogas (Paula, 2022), apontando para uma população historicamente colocada como alvo de repressão.</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partir da RD, pessoas que fazem uso de drogas são postos como protagonistas (Paula, 2022), ou seja, reconhecidos como seres sociais e de direitos, através de um método que possibilita a dissociação dos estigmas de criminoso, doente ou pecador aos usuários de substâncias psicoativas, o que desafia dinâmicas de poder desenvolvidas sócio-historicamente para criminalizar patologizar essa população (Paula, 2022).</w:t>
      </w:r>
    </w:p>
    <w:p w:rsidR="00000000" w:rsidDel="00000000" w:rsidP="00000000" w:rsidRDefault="00000000" w:rsidRPr="00000000" w14:paraId="0000003C">
      <w:pPr>
        <w:pStyle w:val="Heading1"/>
        <w:spacing w:line="360" w:lineRule="auto"/>
        <w:ind w:firstLine="709"/>
        <w:jc w:val="both"/>
        <w:rPr>
          <w:sz w:val="24"/>
          <w:szCs w:val="24"/>
        </w:rPr>
      </w:pPr>
      <w:bookmarkStart w:colFirst="0" w:colLast="0" w:name="_heading=h.yqqi0t2nnaq0" w:id="7"/>
      <w:bookmarkEnd w:id="7"/>
      <w:r w:rsidDel="00000000" w:rsidR="00000000" w:rsidRPr="00000000">
        <w:rPr>
          <w:sz w:val="24"/>
          <w:szCs w:val="24"/>
          <w:rtl w:val="0"/>
        </w:rPr>
        <w:t xml:space="preserve">5</w:t>
      </w:r>
      <w:r w:rsidDel="00000000" w:rsidR="00000000" w:rsidRPr="00000000">
        <w:rPr>
          <w:sz w:val="24"/>
          <w:szCs w:val="24"/>
          <w:vertAlign w:val="baseline"/>
          <w:rtl w:val="0"/>
        </w:rPr>
        <w:tab/>
        <w:t xml:space="preserve">CONCLUSÃO</w:t>
      </w:r>
      <w:r w:rsidDel="00000000" w:rsidR="00000000" w:rsidRPr="00000000">
        <w:rPr>
          <w:rtl w:val="0"/>
        </w:rPr>
      </w:r>
    </w:p>
    <w:p w:rsidR="00000000" w:rsidDel="00000000" w:rsidP="00000000" w:rsidRDefault="00000000" w:rsidRPr="00000000" w14:paraId="0000003D">
      <w:pPr>
        <w:rP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3" w:right="0" w:firstLine="436.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Desse modo, conclui-se que a referida pesquisa evidenciou os reais interesses por trás do desenvolvimento da psiquiatria como ciência e dos estudos da loucura e das doenças mentais por parte da classe médica, constatando que tudo surgiu da necessidade de controle dos corpos da classe trabalhadora e garantir o lucro da burguesia. Afinal, fica explícito que havia uma preocupação maior com circulação das substâncias psicoativas no mercado e território brasileiro do que com a população que se valia de seu uso cotidianamente como método de escape perante a realidade produzida pelo emergente modo de produção capitalista. O capitalismo promove tamanha barbárie na vida das classes dominadas, que estas têm a necessidade de alterar suas consciências para dar conta da exploração e da repressão sofridas, de modo que o abuso de substâncias psicoativas, em especial o álcool, se torna uma necessidade de sobrevivência para trabalhadores livres em condições de exploração, riscos sociais, desemprego e incertezas, realidade social para a qual a leitura de Lima Barreto dá à luz para compreensão de sua dimensão sócio-histórica.</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3" w:right="0" w:firstLine="436.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além disso, fica evidente que os hospitais psiquiátricos, os manicômios não são os únicos instrumentos utilizados pela  burguesia para dominação, isolamento e enclausuramento do povo negro, dos povos originários e da população pobre vulnerabilizada pela desproteção social como um todo. O encarceramento e sobretudo o abandono sofrido pela população negra após a abolição da escravização também fazem parte do aparato repressivo do Estado que têm como alvo essas populações.</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3" w:right="0" w:firstLine="436.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fim, a pesquisa comprova que o uso de drogas está de fato profundamente ligado à estrutura da sociedade capitalista desde a Revolução Psicoativa no século XIX e portanto à luta de classes, o que o classifica como uma das expressões da questão social. Compreende-se, portanto, que a hipertrofia da dimensão repressiva do Estado capitalista é tida por ele como a solução para dar fim à população que excede as necessidades do Capital e torna-se inútil para ele. Estratégia para qual a Guerra às Drogas tem sido utilizada para viabilização. Nesse contexto, a proposta da Redução de Danos comparece como uma luz no fim do túnel e precisa ser apreendida por profissionais das políticas de saúde e assistência e sobretudo pelo Serviço Social, que deve seguir lutando por um lugar à mesa na disputa pela Política Nacional sobre Drogas brasileira, através de órgãos de controle social como os Conselhos de Políticas sobre Drogas, em suas diferentes esferas (municipais, estaduais e nacional).</w:t>
      </w:r>
    </w:p>
    <w:p w:rsidR="00000000" w:rsidDel="00000000" w:rsidP="00000000" w:rsidRDefault="00000000" w:rsidRPr="00000000" w14:paraId="00000041">
      <w:pPr>
        <w:pStyle w:val="Heading1"/>
        <w:spacing w:line="360" w:lineRule="auto"/>
        <w:jc w:val="center"/>
        <w:rPr>
          <w:sz w:val="24"/>
          <w:szCs w:val="24"/>
          <w:vertAlign w:val="baseline"/>
        </w:rPr>
      </w:pPr>
      <w:bookmarkStart w:colFirst="0" w:colLast="0" w:name="_heading=h.h8sm0ieg8jgq" w:id="8"/>
      <w:bookmarkEnd w:id="8"/>
      <w:r w:rsidDel="00000000" w:rsidR="00000000" w:rsidRPr="00000000">
        <w:rPr>
          <w:sz w:val="24"/>
          <w:szCs w:val="24"/>
          <w:rtl w:val="0"/>
        </w:rPr>
        <w:t xml:space="preserve">REFERÊNCIAS</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ADIALA, Julio Cesar.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Drogas, medicina e civilização na primeira república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2011. Tese (Doutorado em História das Ciências e da Saúde) - Fundação Oswaldo Cruz - FIOCRUZ. Casa de Oswaldo Cruz, Rio de Janeiro, 2011.</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ffffff" w:val="clear"/>
        <w:spacing w:after="18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BELLONI, Fábio.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'Os manicômios hoje se chamam comunidades terapêuticas'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[Entrevista concedida a] André Antunes. Escola Politécnica de Saúde Joaquim Venâncio, Fiocruz (EPSJV/Fiocruz). Disponível em: </w:t>
      </w:r>
      <w:hyperlink r:id="rId104">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https://www.epsjv.fiocruz.br/noticias/entrevista/os-manicomios-hoje-se-chamam-comunidades-terapeuticas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Acesso em: 05 jun. 2025</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BRASIL. Decreto Nº 9761, de 11 de abril de 2019.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Aprova a Política Nacional sobre Drogas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Diário Oficial da União. Brasília, DF. 11 abr. 2019. Disponível em: https://www.planalto.gov.br/ccivil_03/_ato2019-2022/2019/decreto/d9761.htm#anexo. Acesso em: 20 out. 2023.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BRASIL, Decreto Nº 4294, de 6 de julho de 1921.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Estabelece penalidades para os contraventores na venda de cocaína, ópio, morfina e seus derivados; cria um estabelecimento especial para internação dos intoxicados pelo álcool ou substâncias venenosas; estabelece as formas de processo e julgamento e manda abrir os créditos necessários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Diário Oficial da União. 31 dez. 1921. Disponível em: https://www2.camara.leg.br/legin/fed/decret/1920-1929/decreto-4294-6-julho-1921-569300-p ublicacaooriginal-92525-pl.html Acesso em: 22 maio 2024.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BRASIL, Decreto Nº 4345, de 26 de agosto de 2002.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Institui a Política Nacional Antidrogas e dá outras providências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Diário Oficial da União. 27 ago. 2002. Disponível em: </w:t>
      </w:r>
      <w:hyperlink r:id="rId105">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https://www.planalto.gov.br/ccivil_03/decreto/2002/D4345impressao.htm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Acesso em: 07 jun. 2025</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120" w:line="240" w:lineRule="auto"/>
        <w:ind w:left="0" w:right="-29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DOMANICO, Andrea.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História, Conceito e Princípios de Redução de Danos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Redução de Danos: Conceitos e Práticas. Material Comemorativo aos 30 anos de Redução de Danos no Basil. UNIFESP, 2019.</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120" w:line="240" w:lineRule="auto"/>
        <w:ind w:left="0" w:right="-29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LIMA BARRETO, Afonso Henriques 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Diário do Hospício &amp; O cemitério dos vivos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Primeira edição. São Paulo: Companhia das Letras, 21 de julho de 2017.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MACHADO, Letícia Vier &amp; BOARINI, Maria Lúcia.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Políticas Sobre Drogas no Brasil: a Estratégia de Redução de Danos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PSICOLOGIA: CIÊNCIA E PROFISSÃO, 2013, 33 (3): 580-595.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MARX, Karl.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 Capital. Livro Primeiro: O processo de produção do capital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Volume II. Tradução de Reginaldo Sant’anna. Rio de Janeiro: Civilização Brasileira, 1980.</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MARX, Karl e ENGELS, Friedrich.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Obras escolhidas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Volume 2. Tradução de Almir Matos. Rio de Janeiro: Editorial Vitória Limitada, 1961.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MEDEIROS, Pollyana Fausta Pimentel 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Reflexões sobre o exercício profissional do 94 assistente social no conselho de política sobre álcool e outras drogas.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Congresso Brasileiro de Assistentes Sociais. Ano XVII, out/2022. Disponível em: </w:t>
      </w:r>
      <w:hyperlink r:id="rId106">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https://www.cfess.org.br/cbas2022/</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Acesso em: 01, jun. 2024</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MOURA, Clóvis.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O negro, de bom escravo a mau cidadão?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Rio de Janeiro: Gráfica e Editora de Livros LTDA, 1977.</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NETTO, José Paulo.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Crise do Capital e Consequências Societárias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24"/>
          <w:szCs w:val="24"/>
          <w:highlight w:val="white"/>
          <w:u w:val="none"/>
          <w:vertAlign w:val="baseline"/>
          <w:rtl w:val="0"/>
        </w:rPr>
        <w:t xml:space="preserve">Serviço Social &amp; Sociedade, p. 413-429, 2012.</w:t>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PAULA, Tadeu 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Guerra às Drogas e Redução de Danos: Tecendo o comum nas encruzilhadas do SUS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São Paulo, HUCITEC. 2022.</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SANTOS, Elaine Teixeira Alves dos ; ANTUNES, Natália Amaral; GALVÃO, Isabella Antoniazzi de Barros.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População em Situação de Rua e os Estigmas no Acesso ao Direito à Saúde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Anais do X Congresso Nacional de Serviço Social em Saúde, 2024, São Paulo. Galoá, 2024.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120" w:line="240" w:lineRule="auto"/>
        <w:ind w:left="0" w:right="-29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SILVA, Adriana Brito da.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Reprodução do Conservadorismo e o uso de substâncias psicoativas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Emancipa: O cotidiano em Debate/ Revista do Conselho Regional de Serviço Social de São Paulo - CRESS 9ª Região. nº 03. maio 2018. pp. 86-97.</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TORCATO, Carlos Eduardo Martins.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 uso de drogas e a instauração do proibicionismo no Brasil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Saúde &amp; Transformação Social / Health &amp; Social Change, vol. 4, núm. 2, abril-junho/ 2013.</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headerReference r:id="rId107" w:type="default"/>
      <w:headerReference r:id="rId108" w:type="first"/>
      <w:footerReference r:id="rId109" w:type="default"/>
      <w:footerReference r:id="rId110" w:type="first"/>
      <w:pgSz w:h="16838" w:w="11906" w:orient="portrait"/>
      <w:pgMar w:bottom="1190" w:top="1757" w:left="1701" w:right="1134" w:header="1700" w:footer="1133"/>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8">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Assistente social e mestranda em Serviço Social pela UNESP - FCHS. Pesquisa Redução de Danos e População em Situação de Rua, é membra do grupo de Extensão Universitária Grupo de Alfabetização Paulo Freire (GAPAF), do Grupo de Estudos e Pesquisas "Mundo Trabalho: Serviço Social e Saúde do Trabalhador e da Trabalhadora" (GEMTSSS) da FCHS e membra do Fórum da População em Situação de Rua de Ribeirão Preto, SP. E-mail: i.galvao@unesp.br</w:t>
      </w:r>
      <w:r w:rsidDel="00000000" w:rsidR="00000000" w:rsidRPr="00000000">
        <w:rPr>
          <w:rtl w:val="0"/>
        </w:rPr>
      </w:r>
    </w:p>
  </w:footnote>
  <w:footnote w:id="1">
    <w:p w:rsidR="00000000" w:rsidDel="00000000" w:rsidP="00000000" w:rsidRDefault="00000000" w:rsidRPr="00000000" w14:paraId="00000059">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Professora Associada pela UNESP - FCHS. Doutora em Serviço Social pela mesma Universidade com Pós Doutorado pela Universidade de Havana, departamento de Sociologia e pelo Programa de Pós Graduação em Saúde Coletiva da UNIFESP. É docente do Departamento e Coordenadora do Conselho de Curso de Serviço Social da UNESP, Professora Colaboradora dos Programas de Pós Graduação em Serviço Social da Unesp Franca e da UNIFESP Baixada Santista. É líder do Grupo de Estudos e Pesquisas "Mundo Trabalho: Serviço Social e Saúde do Trabalhador e da Trabalhadora" (GEMTSSS). E-mail: edvania.angela@unesp.br</w:t>
      </w:r>
    </w:p>
    <w:p w:rsidR="00000000" w:rsidDel="00000000" w:rsidP="00000000" w:rsidRDefault="00000000" w:rsidRPr="00000000" w14:paraId="0000005A">
      <w:pPr>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-2538</wp:posOffset>
          </wp:positionH>
          <wp:positionV relativeFrom="page">
            <wp:posOffset>-170178</wp:posOffset>
          </wp:positionV>
          <wp:extent cx="7560310" cy="1069213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0310" cy="1069213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240" w:lineRule="auto"/>
    </w:pPr>
    <w:rPr>
      <w:b w:val="1"/>
      <w:sz w:val="48"/>
      <w:szCs w:val="48"/>
    </w:rPr>
  </w:style>
  <w:style w:type="paragraph" w:styleId="Heading2">
    <w:name w:val="heading 2"/>
    <w:basedOn w:val="Normal"/>
    <w:next w:val="Normal"/>
    <w:pPr>
      <w:keepNext w:val="1"/>
      <w:keepLines w:val="1"/>
      <w:pageBreakBefore w:val="0"/>
      <w:spacing w:after="80" w:before="360" w:line="240" w:lineRule="auto"/>
    </w:pPr>
    <w:rPr>
      <w:b w:val="1"/>
      <w:sz w:val="36"/>
      <w:szCs w:val="36"/>
    </w:rPr>
  </w:style>
  <w:style w:type="paragraph" w:styleId="Heading3">
    <w:name w:val="heading 3"/>
    <w:basedOn w:val="Normal"/>
    <w:next w:val="Normal"/>
    <w:pPr>
      <w:keepNext w:val="1"/>
      <w:keepLines w:val="1"/>
      <w:pageBreakBefore w:val="0"/>
      <w:spacing w:after="80" w:before="280" w:line="240" w:lineRule="auto"/>
    </w:pPr>
    <w:rPr>
      <w:b w:val="1"/>
      <w:sz w:val="28"/>
      <w:szCs w:val="28"/>
    </w:rPr>
  </w:style>
  <w:style w:type="paragraph" w:styleId="Heading4">
    <w:name w:val="heading 4"/>
    <w:basedOn w:val="Normal"/>
    <w:next w:val="Normal"/>
    <w:pPr>
      <w:keepNext w:val="1"/>
      <w:keepLines w:val="1"/>
      <w:pageBreakBefore w:val="0"/>
      <w:spacing w:after="40" w:before="240" w:line="240" w:lineRule="auto"/>
    </w:pPr>
    <w:rPr>
      <w:b w:val="1"/>
      <w:sz w:val="24"/>
      <w:szCs w:val="24"/>
    </w:rPr>
  </w:style>
  <w:style w:type="paragraph" w:styleId="Heading5">
    <w:name w:val="heading 5"/>
    <w:basedOn w:val="Normal"/>
    <w:next w:val="Normal"/>
    <w:pPr>
      <w:keepNext w:val="1"/>
      <w:keepLines w:val="1"/>
      <w:pageBreakBefore w:val="0"/>
      <w:spacing w:after="40" w:before="220" w:line="240" w:lineRule="auto"/>
    </w:pPr>
    <w:rPr>
      <w:b w:val="1"/>
      <w:sz w:val="22"/>
      <w:szCs w:val="22"/>
    </w:rPr>
  </w:style>
  <w:style w:type="paragraph" w:styleId="Heading6">
    <w:name w:val="heading 6"/>
    <w:basedOn w:val="Normal"/>
    <w:next w:val="Normal"/>
    <w:pPr>
      <w:keepNext w:val="1"/>
      <w:keepLines w:val="1"/>
      <w:pageBreakBefore w:val="0"/>
      <w:spacing w:after="40" w:before="200" w:line="240" w:lineRule="auto"/>
    </w:pPr>
    <w:rPr>
      <w:b w:val="1"/>
      <w:sz w:val="20"/>
      <w:szCs w:val="20"/>
    </w:rPr>
  </w:style>
  <w:style w:type="paragraph" w:styleId="Title">
    <w:name w:val="Title"/>
    <w:basedOn w:val="Normal"/>
    <w:next w:val="Normal"/>
    <w:pPr>
      <w:keepNext w:val="1"/>
      <w:keepLines w:val="1"/>
      <w:pageBreakBefore w:val="0"/>
      <w:spacing w:after="120" w:before="480" w:line="240" w:lineRule="auto"/>
    </w:pPr>
    <w:rPr>
      <w:b w:val="1"/>
      <w:sz w:val="72"/>
      <w:szCs w:val="7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240" w:lineRule="auto"/>
    </w:pPr>
    <w:rPr>
      <w:b w:val="1"/>
      <w:sz w:val="48"/>
      <w:szCs w:val="48"/>
    </w:rPr>
  </w:style>
  <w:style w:type="paragraph" w:styleId="Heading2">
    <w:name w:val="heading 2"/>
    <w:basedOn w:val="Normal"/>
    <w:next w:val="Normal"/>
    <w:pPr>
      <w:keepNext w:val="1"/>
      <w:keepLines w:val="1"/>
      <w:pageBreakBefore w:val="0"/>
      <w:spacing w:after="80" w:before="360" w:line="240" w:lineRule="auto"/>
    </w:pPr>
    <w:rPr>
      <w:b w:val="1"/>
      <w:sz w:val="36"/>
      <w:szCs w:val="36"/>
    </w:rPr>
  </w:style>
  <w:style w:type="paragraph" w:styleId="Heading3">
    <w:name w:val="heading 3"/>
    <w:basedOn w:val="Normal"/>
    <w:next w:val="Normal"/>
    <w:pPr>
      <w:keepNext w:val="1"/>
      <w:keepLines w:val="1"/>
      <w:pageBreakBefore w:val="0"/>
      <w:spacing w:after="80" w:before="280" w:line="240" w:lineRule="auto"/>
    </w:pPr>
    <w:rPr>
      <w:b w:val="1"/>
      <w:sz w:val="28"/>
      <w:szCs w:val="28"/>
    </w:rPr>
  </w:style>
  <w:style w:type="paragraph" w:styleId="Heading4">
    <w:name w:val="heading 4"/>
    <w:basedOn w:val="Normal"/>
    <w:next w:val="Normal"/>
    <w:pPr>
      <w:keepNext w:val="1"/>
      <w:keepLines w:val="1"/>
      <w:pageBreakBefore w:val="0"/>
      <w:spacing w:after="40" w:before="240" w:line="240" w:lineRule="auto"/>
    </w:pPr>
    <w:rPr>
      <w:b w:val="1"/>
      <w:sz w:val="24"/>
      <w:szCs w:val="24"/>
    </w:rPr>
  </w:style>
  <w:style w:type="paragraph" w:styleId="Heading5">
    <w:name w:val="heading 5"/>
    <w:basedOn w:val="Normal"/>
    <w:next w:val="Normal"/>
    <w:pPr>
      <w:keepNext w:val="1"/>
      <w:keepLines w:val="1"/>
      <w:pageBreakBefore w:val="0"/>
      <w:spacing w:after="40" w:before="220" w:line="240" w:lineRule="auto"/>
    </w:pPr>
    <w:rPr>
      <w:b w:val="1"/>
      <w:sz w:val="22"/>
      <w:szCs w:val="22"/>
    </w:rPr>
  </w:style>
  <w:style w:type="paragraph" w:styleId="Heading6">
    <w:name w:val="heading 6"/>
    <w:basedOn w:val="Normal"/>
    <w:next w:val="Normal"/>
    <w:pPr>
      <w:keepNext w:val="1"/>
      <w:keepLines w:val="1"/>
      <w:pageBreakBefore w:val="0"/>
      <w:spacing w:after="40" w:before="200" w:line="240" w:lineRule="auto"/>
    </w:pPr>
    <w:rPr>
      <w:b w:val="1"/>
      <w:sz w:val="20"/>
      <w:szCs w:val="20"/>
    </w:rPr>
  </w:style>
  <w:style w:type="paragraph" w:styleId="Title">
    <w:name w:val="Title"/>
    <w:basedOn w:val="Normal"/>
    <w:next w:val="Normal"/>
    <w:pPr>
      <w:keepNext w:val="1"/>
      <w:keepLines w:val="1"/>
      <w:pageBreakBefore w:val="0"/>
      <w:spacing w:after="120" w:before="480" w:line="240" w:lineRule="auto"/>
    </w:pPr>
    <w:rPr>
      <w:b w:val="1"/>
      <w:sz w:val="72"/>
      <w:szCs w:val="72"/>
    </w:rPr>
  </w:style>
  <w:style w:type="paragraph" w:styleId="Subtitle">
    <w:name w:val="Subtitle"/>
    <w:basedOn w:val="Normal"/>
    <w:next w:val="Normal"/>
    <w:pPr>
      <w:keepNext w:val="1"/>
      <w:keepLines w:val="1"/>
      <w:pageBreakBefore w:val="0"/>
      <w:spacing w:after="80" w:before="360" w:line="24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24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dictionary.cambridge.org/pt/dicionario/ingles-portugues/racial" TargetMode="External"/><Relationship Id="rId42" Type="http://schemas.openxmlformats.org/officeDocument/2006/relationships/hyperlink" Target="https://dictionary.cambridge.org/pt/dicionario/ingles-portugues/in" TargetMode="External"/><Relationship Id="rId41" Type="http://schemas.openxmlformats.org/officeDocument/2006/relationships/hyperlink" Target="https://dictionary.cambridge.org/pt/dicionario/ingles-portugues/issue" TargetMode="External"/><Relationship Id="rId44" Type="http://schemas.openxmlformats.org/officeDocument/2006/relationships/hyperlink" Target="https://dictionary.cambridge.org/pt/dicionario/ingles-portugues/formation" TargetMode="External"/><Relationship Id="rId43" Type="http://schemas.openxmlformats.org/officeDocument/2006/relationships/hyperlink" Target="https://dictionary.cambridge.org/pt/dicionario/ingles-portugues/historical" TargetMode="External"/><Relationship Id="rId46" Type="http://schemas.openxmlformats.org/officeDocument/2006/relationships/hyperlink" Target="https://dictionary.cambridge.org/pt/dicionario/ingles-portugues/the" TargetMode="External"/><Relationship Id="rId45" Type="http://schemas.openxmlformats.org/officeDocument/2006/relationships/hyperlink" Target="https://dictionary.cambridge.org/pt/dicionario/ingles-portugues/of" TargetMode="External"/><Relationship Id="rId107" Type="http://schemas.openxmlformats.org/officeDocument/2006/relationships/header" Target="header1.xml"/><Relationship Id="rId106" Type="http://schemas.openxmlformats.org/officeDocument/2006/relationships/hyperlink" Target="https://www.cfess.org.br/cbas2022/" TargetMode="External"/><Relationship Id="rId105" Type="http://schemas.openxmlformats.org/officeDocument/2006/relationships/hyperlink" Target="https://www.planalto.gov.br/ccivil_03/decreto/2002/D4345impressao.htm" TargetMode="External"/><Relationship Id="rId104" Type="http://schemas.openxmlformats.org/officeDocument/2006/relationships/hyperlink" Target="https://www.epsjv.fiocruz.br/noticias/entrevista/os-manicomios-hoje-se-chamam-comunidades-terapeuticas" TargetMode="External"/><Relationship Id="rId109" Type="http://schemas.openxmlformats.org/officeDocument/2006/relationships/footer" Target="footer1.xml"/><Relationship Id="rId108" Type="http://schemas.openxmlformats.org/officeDocument/2006/relationships/header" Target="header2.xml"/><Relationship Id="rId48" Type="http://schemas.openxmlformats.org/officeDocument/2006/relationships/hyperlink" Target="https://dictionary.cambridge.org/pt/dicionario/ingles-portugues/of" TargetMode="External"/><Relationship Id="rId47" Type="http://schemas.openxmlformats.org/officeDocument/2006/relationships/hyperlink" Target="https://dictionary.cambridge.org/pt/dicionario/ingles-portugues/work" TargetMode="External"/><Relationship Id="rId49" Type="http://schemas.openxmlformats.org/officeDocument/2006/relationships/hyperlink" Target="https://dictionary.cambridge.org/pt/dicionario/ingles-portugues/the" TargetMode="External"/><Relationship Id="rId103" Type="http://schemas.openxmlformats.org/officeDocument/2006/relationships/hyperlink" Target="https://dictionary.cambridge.org/pt/dicionario/ingles-portugues/reduction" TargetMode="External"/><Relationship Id="rId102" Type="http://schemas.openxmlformats.org/officeDocument/2006/relationships/hyperlink" Target="https://dictionary.cambridge.org/pt/dicionario/ingles-portugues/harm" TargetMode="External"/><Relationship Id="rId101" Type="http://schemas.openxmlformats.org/officeDocument/2006/relationships/hyperlink" Target="https://dictionary.cambridge.org/pt/dicionario/ingles-portugues/work" TargetMode="External"/><Relationship Id="rId100" Type="http://schemas.openxmlformats.org/officeDocument/2006/relationships/hyperlink" Target="https://dictionary.cambridge.org/pt/dicionario/ingles-portugues/social" TargetMode="External"/><Relationship Id="rId31" Type="http://schemas.openxmlformats.org/officeDocument/2006/relationships/hyperlink" Target="https://dictionary.cambridge.org/pt/dicionario/ingles-portugues/drug" TargetMode="External"/><Relationship Id="rId30" Type="http://schemas.openxmlformats.org/officeDocument/2006/relationships/hyperlink" Target="https://dictionary.cambridge.org/pt/dicionario/ingles-portugues/national" TargetMode="External"/><Relationship Id="rId33" Type="http://schemas.openxmlformats.org/officeDocument/2006/relationships/hyperlink" Target="https://dictionary.cambridge.org/pt/dicionario/ingles-portugues/dialectical" TargetMode="External"/><Relationship Id="rId32" Type="http://schemas.openxmlformats.org/officeDocument/2006/relationships/hyperlink" Target="https://dictionary.cambridge.org/pt/dicionario/ingles-portugues/policy" TargetMode="External"/><Relationship Id="rId35" Type="http://schemas.openxmlformats.org/officeDocument/2006/relationships/hyperlink" Target="https://dictionary.cambridge.org/pt/dicionario/ingles-portugues/materialism" TargetMode="External"/><Relationship Id="rId34" Type="http://schemas.openxmlformats.org/officeDocument/2006/relationships/hyperlink" Target="https://dictionary.cambridge.org/pt/dicionario/ingles-portugues/historical" TargetMode="External"/><Relationship Id="rId37" Type="http://schemas.openxmlformats.org/officeDocument/2006/relationships/hyperlink" Target="https://dictionary.cambridge.org/pt/dicionario/ingles-portugues/of" TargetMode="External"/><Relationship Id="rId36" Type="http://schemas.openxmlformats.org/officeDocument/2006/relationships/hyperlink" Target="https://dictionary.cambridge.org/pt/dicionario/ingles-portugues/the" TargetMode="External"/><Relationship Id="rId39" Type="http://schemas.openxmlformats.org/officeDocument/2006/relationships/hyperlink" Target="https://dictionary.cambridge.org/pt/dicionario/ingles-portugues/ethnic" TargetMode="External"/><Relationship Id="rId38" Type="http://schemas.openxmlformats.org/officeDocument/2006/relationships/hyperlink" Target="https://dictionary.cambridge.org/pt/dicionario/ingles-portugues/the" TargetMode="External"/><Relationship Id="rId20" Type="http://schemas.openxmlformats.org/officeDocument/2006/relationships/hyperlink" Target="https://dictionary.cambridge.org/pt/dicionario/ingles-portugues/author" TargetMode="External"/><Relationship Id="rId22" Type="http://schemas.openxmlformats.org/officeDocument/2006/relationships/hyperlink" Target="https://dictionary.cambridge.org/pt/dicionario/ingles-portugues/whose" TargetMode="External"/><Relationship Id="rId21" Type="http://schemas.openxmlformats.org/officeDocument/2006/relationships/hyperlink" Target="https://dictionary.cambridge.org/pt/dicionario/ingles-portugues/s" TargetMode="External"/><Relationship Id="rId24" Type="http://schemas.openxmlformats.org/officeDocument/2006/relationships/hyperlink" Target="https://dictionary.cambridge.org/pt/dicionario/ingles-portugues/objective" TargetMode="External"/><Relationship Id="rId23" Type="http://schemas.openxmlformats.org/officeDocument/2006/relationships/hyperlink" Target="https://dictionary.cambridge.org/pt/dicionario/ingles-portugues/specific" TargetMode="External"/><Relationship Id="rId26" Type="http://schemas.openxmlformats.org/officeDocument/2006/relationships/hyperlink" Target="https://dictionary.cambridge.org/pt/dicionario/ingles-portugues/to" TargetMode="External"/><Relationship Id="rId25" Type="http://schemas.openxmlformats.org/officeDocument/2006/relationships/hyperlink" Target="https://dictionary.cambridge.org/pt/dicionario/ingles-portugues/was" TargetMode="External"/><Relationship Id="rId28" Type="http://schemas.openxmlformats.org/officeDocument/2006/relationships/hyperlink" Target="https://dictionary.cambridge.org/pt/dicionario/ingles-portugues/the" TargetMode="External"/><Relationship Id="rId27" Type="http://schemas.openxmlformats.org/officeDocument/2006/relationships/hyperlink" Target="https://dictionary.cambridge.org/pt/dicionario/ingles-portugues/contextualize" TargetMode="External"/><Relationship Id="rId29" Type="http://schemas.openxmlformats.org/officeDocument/2006/relationships/hyperlink" Target="https://dictionary.cambridge.org/pt/dicionario/ingles-portugues/brazilian" TargetMode="External"/><Relationship Id="rId95" Type="http://schemas.openxmlformats.org/officeDocument/2006/relationships/hyperlink" Target="https://dictionary.cambridge.org/pt/dicionario/ingles-portugues/the" TargetMode="External"/><Relationship Id="rId94" Type="http://schemas.openxmlformats.org/officeDocument/2006/relationships/hyperlink" Target="https://dictionary.cambridge.org/pt/dicionario/ingles-portugues/to" TargetMode="External"/><Relationship Id="rId97" Type="http://schemas.openxmlformats.org/officeDocument/2006/relationships/hyperlink" Target="https://dictionary.cambridge.org/pt/dicionario/ingles-portugues/political" TargetMode="External"/><Relationship Id="rId96" Type="http://schemas.openxmlformats.org/officeDocument/2006/relationships/hyperlink" Target="https://dictionary.cambridge.org/pt/dicionario/ingles-portugues/ethical" TargetMode="External"/><Relationship Id="rId11" Type="http://schemas.openxmlformats.org/officeDocument/2006/relationships/hyperlink" Target="https://dictionary.cambridge.org/pt/dicionario/ingles-portugues/deepen" TargetMode="External"/><Relationship Id="rId99" Type="http://schemas.openxmlformats.org/officeDocument/2006/relationships/hyperlink" Target="https://dictionary.cambridge.org/pt/dicionario/ingles-portugues/of" TargetMode="External"/><Relationship Id="rId10" Type="http://schemas.openxmlformats.org/officeDocument/2006/relationships/hyperlink" Target="https://dictionary.cambridge.org/pt/dicionario/ingles-portugues/to" TargetMode="External"/><Relationship Id="rId98" Type="http://schemas.openxmlformats.org/officeDocument/2006/relationships/hyperlink" Target="https://dictionary.cambridge.org/pt/dicionario/ingles-portugues/project" TargetMode="External"/><Relationship Id="rId13" Type="http://schemas.openxmlformats.org/officeDocument/2006/relationships/hyperlink" Target="https://dictionary.cambridge.org/pt/dicionario/ingles-portugues/resulting" TargetMode="External"/><Relationship Id="rId12" Type="http://schemas.openxmlformats.org/officeDocument/2006/relationships/hyperlink" Target="https://dictionary.cambridge.org/pt/dicionario/ingles-portugues/the" TargetMode="External"/><Relationship Id="rId91" Type="http://schemas.openxmlformats.org/officeDocument/2006/relationships/hyperlink" Target="https://dictionary.cambridge.org/pt/dicionario/ingles-portugues/a" TargetMode="External"/><Relationship Id="rId90" Type="http://schemas.openxmlformats.org/officeDocument/2006/relationships/hyperlink" Target="https://dictionary.cambridge.org/pt/dicionario/ingles-portugues/as" TargetMode="External"/><Relationship Id="rId93" Type="http://schemas.openxmlformats.org/officeDocument/2006/relationships/hyperlink" Target="https://dictionary.cambridge.org/pt/dicionario/ingles-portugues/alternative" TargetMode="External"/><Relationship Id="rId92" Type="http://schemas.openxmlformats.org/officeDocument/2006/relationships/hyperlink" Target="https://dictionary.cambridge.org/pt/dicionario/ingles-portugues/coherent" TargetMode="External"/><Relationship Id="rId15" Type="http://schemas.openxmlformats.org/officeDocument/2006/relationships/hyperlink" Target="https://dictionary.cambridge.org/pt/dicionario/ingles-portugues/a" TargetMode="External"/><Relationship Id="rId110" Type="http://schemas.openxmlformats.org/officeDocument/2006/relationships/footer" Target="footer2.xml"/><Relationship Id="rId14" Type="http://schemas.openxmlformats.org/officeDocument/2006/relationships/hyperlink" Target="https://dictionary.cambridge.org/pt/dicionario/ingles-portugues/from" TargetMode="External"/><Relationship Id="rId17" Type="http://schemas.openxmlformats.org/officeDocument/2006/relationships/hyperlink" Target="https://dictionary.cambridge.org/pt/dicionario/ingles-portugues/that" TargetMode="External"/><Relationship Id="rId16" Type="http://schemas.openxmlformats.org/officeDocument/2006/relationships/hyperlink" Target="https://dictionary.cambridge.org/pt/dicionario/ingles-portugues/research" TargetMode="External"/><Relationship Id="rId19" Type="http://schemas.openxmlformats.org/officeDocument/2006/relationships/hyperlink" Target="https://dictionary.cambridge.org/pt/dicionario/ingles-portugues/the" TargetMode="External"/><Relationship Id="rId18" Type="http://schemas.openxmlformats.org/officeDocument/2006/relationships/hyperlink" Target="https://dictionary.cambridge.org/pt/dicionario/ingles-portugues/composed" TargetMode="External"/><Relationship Id="rId84" Type="http://schemas.openxmlformats.org/officeDocument/2006/relationships/hyperlink" Target="https://dictionary.cambridge.org/pt/dicionario/ingles-portugues/the" TargetMode="External"/><Relationship Id="rId83" Type="http://schemas.openxmlformats.org/officeDocument/2006/relationships/hyperlink" Target="https://dictionary.cambridge.org/pt/dicionario/ingles-portugues/of" TargetMode="External"/><Relationship Id="rId86" Type="http://schemas.openxmlformats.org/officeDocument/2006/relationships/hyperlink" Target="https://dictionary.cambridge.org/pt/dicionario/ingles-portugues/population" TargetMode="External"/><Relationship Id="rId85" Type="http://schemas.openxmlformats.org/officeDocument/2006/relationships/hyperlink" Target="https://dictionary.cambridge.org/pt/dicionario/ingles-portugues/black" TargetMode="External"/><Relationship Id="rId88" Type="http://schemas.openxmlformats.org/officeDocument/2006/relationships/hyperlink" Target="https://dictionary.cambridge.org/pt/dicionario/ingles-portugues/brazil" TargetMode="External"/><Relationship Id="rId87" Type="http://schemas.openxmlformats.org/officeDocument/2006/relationships/hyperlink" Target="https://dictionary.cambridge.org/pt/dicionario/ingles-portugues/in" TargetMode="External"/><Relationship Id="rId89" Type="http://schemas.openxmlformats.org/officeDocument/2006/relationships/hyperlink" Target="https://dictionary.cambridge.org/pt/dicionario/ingles-portugues/and" TargetMode="External"/><Relationship Id="rId80" Type="http://schemas.openxmlformats.org/officeDocument/2006/relationships/hyperlink" Target="https://dictionary.cambridge.org/pt/dicionario/ingles-portugues/of" TargetMode="External"/><Relationship Id="rId82" Type="http://schemas.openxmlformats.org/officeDocument/2006/relationships/hyperlink" Target="https://dictionary.cambridge.org/pt/dicionario/ingles-portugues/genocide" TargetMode="External"/><Relationship Id="rId81" Type="http://schemas.openxmlformats.org/officeDocument/2006/relationships/hyperlink" Target="https://dictionary.cambridge.org/pt/dicionario/ingles-portugues/th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ictionary.cambridge.org/pt/dicionario/ingles-portugues/article"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dictionary.cambridge.org/pt/dicionario/ingles-portugues/this" TargetMode="External"/><Relationship Id="rId73" Type="http://schemas.openxmlformats.org/officeDocument/2006/relationships/hyperlink" Target="https://dictionary.cambridge.org/pt/dicionario/ingles-portugues/the" TargetMode="External"/><Relationship Id="rId72" Type="http://schemas.openxmlformats.org/officeDocument/2006/relationships/hyperlink" Target="https://dictionary.cambridge.org/pt/dicionario/ingles-portugues/work" TargetMode="External"/><Relationship Id="rId75" Type="http://schemas.openxmlformats.org/officeDocument/2006/relationships/hyperlink" Target="https://dictionary.cambridge.org/pt/dicionario/ingles-portugues/on" TargetMode="External"/><Relationship Id="rId74" Type="http://schemas.openxmlformats.org/officeDocument/2006/relationships/hyperlink" Target="https://dictionary.cambridge.org/pt/dicionario/ingles-portugues/war" TargetMode="External"/><Relationship Id="rId77" Type="http://schemas.openxmlformats.org/officeDocument/2006/relationships/hyperlink" Target="https://dictionary.cambridge.org/pt/dicionario/ingles-portugues/the" TargetMode="External"/><Relationship Id="rId76" Type="http://schemas.openxmlformats.org/officeDocument/2006/relationships/hyperlink" Target="https://dictionary.cambridge.org/pt/dicionario/ingles-portugues/as" TargetMode="External"/><Relationship Id="rId79" Type="http://schemas.openxmlformats.org/officeDocument/2006/relationships/hyperlink" Target="https://dictionary.cambridge.org/pt/dicionario/ingles-portugues/cause" TargetMode="External"/><Relationship Id="rId78" Type="http://schemas.openxmlformats.org/officeDocument/2006/relationships/hyperlink" Target="https://dictionary.cambridge.org/pt/dicionario/ingles-portugues/main" TargetMode="External"/><Relationship Id="rId71" Type="http://schemas.openxmlformats.org/officeDocument/2006/relationships/hyperlink" Target="https://dictionary.cambridge.org/pt/dicionario/ingles-portugues/the" TargetMode="External"/><Relationship Id="rId70" Type="http://schemas.openxmlformats.org/officeDocument/2006/relationships/hyperlink" Target="https://dictionary.cambridge.org/pt/dicionario/ingles-portugues/issue" TargetMode="External"/><Relationship Id="rId62" Type="http://schemas.openxmlformats.org/officeDocument/2006/relationships/hyperlink" Target="https://dictionary.cambridge.org/pt/dicionario/ingles-portugues/use" TargetMode="External"/><Relationship Id="rId61" Type="http://schemas.openxmlformats.org/officeDocument/2006/relationships/hyperlink" Target="https://dictionary.cambridge.org/pt/dicionario/ingles-portugues/the" TargetMode="External"/><Relationship Id="rId64" Type="http://schemas.openxmlformats.org/officeDocument/2006/relationships/hyperlink" Target="https://dictionary.cambridge.org/pt/dicionario/ingles-portugues/as" TargetMode="External"/><Relationship Id="rId63" Type="http://schemas.openxmlformats.org/officeDocument/2006/relationships/hyperlink" Target="https://dictionary.cambridge.org/pt/dicionario/ingles-portugues/of" TargetMode="External"/><Relationship Id="rId66" Type="http://schemas.openxmlformats.org/officeDocument/2006/relationships/hyperlink" Target="https://dictionary.cambridge.org/pt/dicionario/ingles-portugues/expression" TargetMode="External"/><Relationship Id="rId65" Type="http://schemas.openxmlformats.org/officeDocument/2006/relationships/hyperlink" Target="https://dictionary.cambridge.org/pt/dicionario/ingles-portugues/an" TargetMode="External"/><Relationship Id="rId68" Type="http://schemas.openxmlformats.org/officeDocument/2006/relationships/hyperlink" Target="https://dictionary.cambridge.org/pt/dicionario/ingles-portugues/the" TargetMode="External"/><Relationship Id="rId67" Type="http://schemas.openxmlformats.org/officeDocument/2006/relationships/hyperlink" Target="https://dictionary.cambridge.org/pt/dicionario/ingles-portugues/of" TargetMode="External"/><Relationship Id="rId60" Type="http://schemas.openxmlformats.org/officeDocument/2006/relationships/hyperlink" Target="https://dictionary.cambridge.org/pt/dicionario/ingles-portugues/understand" TargetMode="External"/><Relationship Id="rId69" Type="http://schemas.openxmlformats.org/officeDocument/2006/relationships/hyperlink" Target="https://dictionary.cambridge.org/pt/dicionario/ingles-portugues/social" TargetMode="External"/><Relationship Id="rId51" Type="http://schemas.openxmlformats.org/officeDocument/2006/relationships/hyperlink" Target="https://dictionary.cambridge.org/pt/dicionario/ingles-portugues/were" TargetMode="External"/><Relationship Id="rId50" Type="http://schemas.openxmlformats.org/officeDocument/2006/relationships/hyperlink" Target="https://dictionary.cambridge.org/pt/dicionario/ingles-portugues/writer" TargetMode="External"/><Relationship Id="rId53" Type="http://schemas.openxmlformats.org/officeDocument/2006/relationships/hyperlink" Target="https://dictionary.cambridge.org/pt/dicionario/ingles-portugues/for" TargetMode="External"/><Relationship Id="rId52" Type="http://schemas.openxmlformats.org/officeDocument/2006/relationships/hyperlink" Target="https://dictionary.cambridge.org/pt/dicionario/ingles-portugues/used" TargetMode="External"/><Relationship Id="rId55" Type="http://schemas.openxmlformats.org/officeDocument/2006/relationships/hyperlink" Target="https://dictionary.cambridge.org/pt/dicionario/ingles-portugues/and" TargetMode="External"/><Relationship Id="rId54" Type="http://schemas.openxmlformats.org/officeDocument/2006/relationships/hyperlink" Target="https://dictionary.cambridge.org/pt/dicionario/ingles-portugues/analysis" TargetMode="External"/><Relationship Id="rId57" Type="http://schemas.openxmlformats.org/officeDocument/2006/relationships/hyperlink" Target="https://dictionary.cambridge.org/pt/dicionario/ingles-portugues/was" TargetMode="External"/><Relationship Id="rId56" Type="http://schemas.openxmlformats.org/officeDocument/2006/relationships/hyperlink" Target="https://dictionary.cambridge.org/pt/dicionario/ingles-portugues/it" TargetMode="External"/><Relationship Id="rId59" Type="http://schemas.openxmlformats.org/officeDocument/2006/relationships/hyperlink" Target="https://dictionary.cambridge.org/pt/dicionario/ingles-portugues/to" TargetMode="External"/><Relationship Id="rId58" Type="http://schemas.openxmlformats.org/officeDocument/2006/relationships/hyperlink" Target="https://dictionary.cambridge.org/pt/dicionario/ingles-portugues/possibl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qRbCt9iM7Exrm+hDBvASJvWKQ==">CgMxLjAyDmgudGZ3NzF4YWxseWhlMg5oLnJwYTZsbmkwMWVwZDIOaC5xbGtsc25qaGszcTYyDmguMmVjNDZ6ZWx4YjUyMg5oLm5sNmVweTMzeTdqaDIOaC5pODJmZXFvM244bm4yDmguNXNrOWJ1dmsycTF3Mg5oLnlxcWkwdDJubmFxMDIOaC5oOHNtMGllZzhqZ3E4AHIhMV9YTndrVV9KZUcwV3R5MldPcy1VREkyZFVob1c2VjYz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