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B7533" w14:textId="77777777" w:rsidR="00235AE9" w:rsidRDefault="009026B5">
      <w:pPr>
        <w:spacing w:line="240" w:lineRule="auto"/>
        <w:ind w:left="0" w:hanging="2"/>
        <w:jc w:val="center"/>
        <w:rPr>
          <w:sz w:val="24"/>
          <w:szCs w:val="24"/>
        </w:rPr>
      </w:pPr>
      <w:r>
        <w:rPr>
          <w:b/>
          <w:sz w:val="24"/>
          <w:szCs w:val="24"/>
        </w:rPr>
        <w:t>INCLUSÃO PRODUTIVA:</w:t>
      </w:r>
      <w:r>
        <w:rPr>
          <w:sz w:val="24"/>
          <w:szCs w:val="24"/>
        </w:rPr>
        <w:t xml:space="preserve"> a narrativa neoliberal da inclusão social via mercado de trabalho </w:t>
      </w:r>
    </w:p>
    <w:p w14:paraId="182C2163" w14:textId="77777777" w:rsidR="00235AE9" w:rsidRPr="006448FA" w:rsidRDefault="00235AE9" w:rsidP="006448FA">
      <w:pPr>
        <w:spacing w:line="240" w:lineRule="auto"/>
        <w:ind w:left="0" w:hanging="2"/>
        <w:jc w:val="right"/>
        <w:rPr>
          <w:sz w:val="20"/>
          <w:szCs w:val="20"/>
        </w:rPr>
      </w:pPr>
    </w:p>
    <w:p w14:paraId="7009901B" w14:textId="77777777" w:rsidR="00235AE9" w:rsidRDefault="009026B5">
      <w:pPr>
        <w:spacing w:line="240" w:lineRule="auto"/>
        <w:ind w:left="0" w:hanging="2"/>
        <w:jc w:val="right"/>
        <w:rPr>
          <w:sz w:val="24"/>
          <w:szCs w:val="24"/>
        </w:rPr>
      </w:pPr>
      <w:r>
        <w:rPr>
          <w:sz w:val="24"/>
          <w:szCs w:val="24"/>
        </w:rPr>
        <w:t>Rosilaine Coradini Guilherme</w:t>
      </w:r>
      <w:r>
        <w:rPr>
          <w:sz w:val="24"/>
          <w:szCs w:val="24"/>
          <w:vertAlign w:val="superscript"/>
        </w:rPr>
        <w:footnoteReference w:id="1"/>
      </w:r>
      <w:r>
        <w:rPr>
          <w:sz w:val="24"/>
          <w:szCs w:val="24"/>
        </w:rPr>
        <w:t xml:space="preserve"> </w:t>
      </w:r>
    </w:p>
    <w:p w14:paraId="39EA3E0A" w14:textId="77777777" w:rsidR="00235AE9" w:rsidRDefault="009026B5">
      <w:pPr>
        <w:spacing w:line="240" w:lineRule="auto"/>
        <w:ind w:left="0" w:hanging="2"/>
        <w:jc w:val="right"/>
        <w:rPr>
          <w:sz w:val="24"/>
          <w:szCs w:val="24"/>
        </w:rPr>
      </w:pPr>
      <w:r>
        <w:rPr>
          <w:sz w:val="24"/>
          <w:szCs w:val="24"/>
        </w:rPr>
        <w:t>Eduardo Cechin da Silva</w:t>
      </w:r>
      <w:r>
        <w:rPr>
          <w:sz w:val="24"/>
          <w:szCs w:val="24"/>
          <w:vertAlign w:val="superscript"/>
        </w:rPr>
        <w:footnoteReference w:id="2"/>
      </w:r>
    </w:p>
    <w:p w14:paraId="6A5AE491" w14:textId="77777777" w:rsidR="00235AE9" w:rsidRDefault="009026B5">
      <w:pPr>
        <w:spacing w:line="240" w:lineRule="auto"/>
        <w:ind w:left="0" w:hanging="2"/>
        <w:jc w:val="right"/>
        <w:rPr>
          <w:sz w:val="24"/>
          <w:szCs w:val="24"/>
        </w:rPr>
      </w:pPr>
      <w:r>
        <w:rPr>
          <w:sz w:val="24"/>
          <w:szCs w:val="24"/>
        </w:rPr>
        <w:t>João Paulo Gonçalves de Oliveira Junior</w:t>
      </w:r>
      <w:r>
        <w:rPr>
          <w:sz w:val="24"/>
          <w:szCs w:val="24"/>
          <w:vertAlign w:val="superscript"/>
        </w:rPr>
        <w:footnoteReference w:id="3"/>
      </w:r>
    </w:p>
    <w:p w14:paraId="3BFF6DD6" w14:textId="77777777" w:rsidR="00235AE9" w:rsidRDefault="009026B5">
      <w:pPr>
        <w:spacing w:line="240" w:lineRule="auto"/>
        <w:ind w:left="0" w:hanging="2"/>
        <w:jc w:val="right"/>
        <w:rPr>
          <w:sz w:val="24"/>
          <w:szCs w:val="24"/>
        </w:rPr>
      </w:pPr>
      <w:proofErr w:type="spellStart"/>
      <w:r>
        <w:rPr>
          <w:sz w:val="24"/>
          <w:szCs w:val="24"/>
        </w:rPr>
        <w:t>Mellany</w:t>
      </w:r>
      <w:proofErr w:type="spellEnd"/>
      <w:r>
        <w:rPr>
          <w:sz w:val="24"/>
          <w:szCs w:val="24"/>
        </w:rPr>
        <w:t xml:space="preserve"> Borges Nunes da Silva</w:t>
      </w:r>
      <w:r>
        <w:rPr>
          <w:sz w:val="24"/>
          <w:szCs w:val="24"/>
          <w:vertAlign w:val="superscript"/>
        </w:rPr>
        <w:footnoteReference w:id="4"/>
      </w:r>
    </w:p>
    <w:p w14:paraId="51257871" w14:textId="77777777" w:rsidR="00235AE9" w:rsidRDefault="009026B5">
      <w:pPr>
        <w:spacing w:line="240" w:lineRule="auto"/>
        <w:ind w:left="0" w:hanging="2"/>
        <w:jc w:val="right"/>
        <w:rPr>
          <w:sz w:val="24"/>
          <w:szCs w:val="24"/>
        </w:rPr>
      </w:pPr>
      <w:r>
        <w:rPr>
          <w:sz w:val="24"/>
          <w:szCs w:val="24"/>
        </w:rPr>
        <w:t>Elisângela Maia Pessôa</w:t>
      </w:r>
      <w:r>
        <w:rPr>
          <w:sz w:val="24"/>
          <w:szCs w:val="24"/>
          <w:vertAlign w:val="superscript"/>
        </w:rPr>
        <w:footnoteReference w:id="5"/>
      </w:r>
    </w:p>
    <w:p w14:paraId="258A6EC1" w14:textId="77777777" w:rsidR="00235AE9" w:rsidRDefault="00235AE9">
      <w:pPr>
        <w:spacing w:line="240" w:lineRule="auto"/>
        <w:ind w:left="0" w:hanging="2"/>
        <w:rPr>
          <w:b/>
          <w:color w:val="333333"/>
          <w:sz w:val="18"/>
          <w:szCs w:val="18"/>
          <w:shd w:val="clear" w:color="auto" w:fill="EDEDED"/>
        </w:rPr>
      </w:pPr>
    </w:p>
    <w:p w14:paraId="4AC7A493" w14:textId="77777777" w:rsidR="00235AE9" w:rsidRDefault="009026B5" w:rsidP="006448FA">
      <w:pPr>
        <w:spacing w:line="240" w:lineRule="auto"/>
        <w:ind w:leftChars="1286" w:left="2833" w:hangingChars="2" w:hanging="4"/>
        <w:jc w:val="both"/>
        <w:rPr>
          <w:b/>
          <w:sz w:val="20"/>
          <w:szCs w:val="20"/>
        </w:rPr>
      </w:pPr>
      <w:r>
        <w:rPr>
          <w:b/>
          <w:sz w:val="20"/>
          <w:szCs w:val="20"/>
        </w:rPr>
        <w:t>Resumo</w:t>
      </w:r>
    </w:p>
    <w:p w14:paraId="680179A9" w14:textId="61429639" w:rsidR="00235AE9" w:rsidRDefault="009026B5" w:rsidP="006448FA">
      <w:pPr>
        <w:spacing w:line="240" w:lineRule="auto"/>
        <w:ind w:leftChars="1286" w:left="2833" w:hangingChars="2" w:hanging="4"/>
        <w:jc w:val="both"/>
      </w:pPr>
      <w:r>
        <w:rPr>
          <w:sz w:val="20"/>
          <w:szCs w:val="20"/>
        </w:rPr>
        <w:t xml:space="preserve">Este texto objetiva debater a concepção de inclusão produtiva a fim de expor as contradições da narrativa neoliberal de inclusão social pela via do mercado de </w:t>
      </w:r>
      <w:proofErr w:type="spellStart"/>
      <w:proofErr w:type="gramStart"/>
      <w:r>
        <w:rPr>
          <w:sz w:val="20"/>
          <w:szCs w:val="20"/>
        </w:rPr>
        <w:t>trabalho.Trata</w:t>
      </w:r>
      <w:proofErr w:type="spellEnd"/>
      <w:proofErr w:type="gramEnd"/>
      <w:r>
        <w:rPr>
          <w:sz w:val="20"/>
          <w:szCs w:val="20"/>
        </w:rPr>
        <w:t>-se de um estudo exploratório de caráter qualitativo que se estrutura no método materialista histórico-dialético, a partir de material bibliográfico. Tem-se como ponto de partida o trabalho no sentido ontológico e, no seu reverso, a sociabilidade burguesa que coisifica a força de trabalho ao transformá-la em mercadoria. Em resposta ao objetivo do estudo, os resultados apontam que a noção de inclusão produtiva contribui para ocultar as relações desiguais entre capital e trabalho, ao culpabiliza</w:t>
      </w:r>
      <w:r>
        <w:rPr>
          <w:sz w:val="20"/>
          <w:szCs w:val="20"/>
        </w:rPr>
        <w:t>r o sujeito por supostamente não possuir formação ou capacitação compatível com as exigências do mercado. O que contribui para ampliar a fragmentação da classe trabalhadora, desviando o foco das causas estruturais do desemprego, do trabalho informal e precarizado, assim como das novas modalidades de trabalho como o empreendedorismo.</w:t>
      </w:r>
      <w:r>
        <w:t xml:space="preserve"> </w:t>
      </w:r>
    </w:p>
    <w:p w14:paraId="1BA53591" w14:textId="5319BAEE" w:rsidR="00235AE9" w:rsidRDefault="009026B5" w:rsidP="006448FA">
      <w:pPr>
        <w:spacing w:line="240" w:lineRule="auto"/>
        <w:ind w:leftChars="1286" w:left="2833" w:hangingChars="2" w:hanging="4"/>
        <w:jc w:val="both"/>
        <w:rPr>
          <w:sz w:val="20"/>
          <w:szCs w:val="20"/>
        </w:rPr>
      </w:pPr>
      <w:r>
        <w:rPr>
          <w:b/>
          <w:sz w:val="20"/>
          <w:szCs w:val="20"/>
        </w:rPr>
        <w:t>Palavras-chave</w:t>
      </w:r>
      <w:r>
        <w:rPr>
          <w:sz w:val="20"/>
          <w:szCs w:val="20"/>
        </w:rPr>
        <w:t>: Inclusão Produtiva; Proteção Social; Neoliberalismo</w:t>
      </w:r>
      <w:r w:rsidR="006448FA">
        <w:rPr>
          <w:sz w:val="20"/>
          <w:szCs w:val="20"/>
        </w:rPr>
        <w:t>.</w:t>
      </w:r>
    </w:p>
    <w:p w14:paraId="55FFB1A8" w14:textId="77777777" w:rsidR="006448FA" w:rsidRDefault="006448FA" w:rsidP="006448FA">
      <w:pPr>
        <w:spacing w:line="240" w:lineRule="auto"/>
        <w:ind w:leftChars="0" w:left="0" w:firstLineChars="0" w:firstLine="0"/>
        <w:jc w:val="both"/>
        <w:rPr>
          <w:b/>
          <w:sz w:val="20"/>
          <w:szCs w:val="20"/>
        </w:rPr>
      </w:pPr>
    </w:p>
    <w:p w14:paraId="3D829B16" w14:textId="66D35F66" w:rsidR="00235AE9" w:rsidRDefault="009026B5" w:rsidP="006448FA">
      <w:pPr>
        <w:spacing w:line="240" w:lineRule="auto"/>
        <w:ind w:leftChars="1286" w:left="2833" w:hangingChars="2" w:hanging="4"/>
        <w:jc w:val="both"/>
        <w:rPr>
          <w:sz w:val="20"/>
          <w:szCs w:val="20"/>
        </w:rPr>
      </w:pPr>
      <w:r>
        <w:rPr>
          <w:b/>
          <w:sz w:val="20"/>
          <w:szCs w:val="20"/>
        </w:rPr>
        <w:t>Abstract</w:t>
      </w:r>
    </w:p>
    <w:p w14:paraId="568472E2" w14:textId="77777777" w:rsidR="00235AE9" w:rsidRDefault="009026B5" w:rsidP="006448FA">
      <w:pPr>
        <w:spacing w:line="240" w:lineRule="auto"/>
        <w:ind w:leftChars="1286" w:left="2833" w:hangingChars="2" w:hanging="4"/>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text</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debate </w:t>
      </w:r>
      <w:proofErr w:type="spellStart"/>
      <w:r>
        <w:rPr>
          <w:sz w:val="20"/>
          <w:szCs w:val="20"/>
        </w:rPr>
        <w:t>the</w:t>
      </w:r>
      <w:proofErr w:type="spellEnd"/>
      <w:r>
        <w:rPr>
          <w:sz w:val="20"/>
          <w:szCs w:val="20"/>
        </w:rPr>
        <w:t xml:space="preserve"> </w:t>
      </w:r>
      <w:proofErr w:type="spellStart"/>
      <w:r>
        <w:rPr>
          <w:sz w:val="20"/>
          <w:szCs w:val="20"/>
        </w:rPr>
        <w:t>concept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productive</w:t>
      </w:r>
      <w:proofErr w:type="spellEnd"/>
      <w:r>
        <w:rPr>
          <w:sz w:val="20"/>
          <w:szCs w:val="20"/>
        </w:rPr>
        <w:t xml:space="preserve"> </w:t>
      </w:r>
      <w:proofErr w:type="spellStart"/>
      <w:r>
        <w:rPr>
          <w:sz w:val="20"/>
          <w:szCs w:val="20"/>
        </w:rPr>
        <w:t>inclusion</w:t>
      </w:r>
      <w:proofErr w:type="spellEnd"/>
      <w:r>
        <w:rPr>
          <w:sz w:val="20"/>
          <w:szCs w:val="20"/>
        </w:rPr>
        <w:t xml:space="preserve"> in </w:t>
      </w:r>
      <w:proofErr w:type="spellStart"/>
      <w:r>
        <w:rPr>
          <w:sz w:val="20"/>
          <w:szCs w:val="20"/>
        </w:rPr>
        <w:t>order</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expose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contradictions</w:t>
      </w:r>
      <w:proofErr w:type="spellEnd"/>
      <w:r>
        <w:rPr>
          <w:sz w:val="20"/>
          <w:szCs w:val="20"/>
        </w:rPr>
        <w:t xml:space="preserve"> in </w:t>
      </w:r>
      <w:proofErr w:type="spellStart"/>
      <w:r>
        <w:rPr>
          <w:sz w:val="20"/>
          <w:szCs w:val="20"/>
        </w:rPr>
        <w:t>the</w:t>
      </w:r>
      <w:proofErr w:type="spellEnd"/>
      <w:r>
        <w:rPr>
          <w:sz w:val="20"/>
          <w:szCs w:val="20"/>
        </w:rPr>
        <w:t xml:space="preserve"> neoliberal </w:t>
      </w:r>
      <w:proofErr w:type="spellStart"/>
      <w:r>
        <w:rPr>
          <w:sz w:val="20"/>
          <w:szCs w:val="20"/>
        </w:rPr>
        <w:t>narrative</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inclusion</w:t>
      </w:r>
      <w:proofErr w:type="spellEnd"/>
      <w:r>
        <w:rPr>
          <w:sz w:val="20"/>
          <w:szCs w:val="20"/>
        </w:rPr>
        <w:t xml:space="preserve"> </w:t>
      </w:r>
      <w:proofErr w:type="spellStart"/>
      <w:r>
        <w:rPr>
          <w:sz w:val="20"/>
          <w:szCs w:val="20"/>
        </w:rPr>
        <w:lastRenderedPageBreak/>
        <w:t>through</w:t>
      </w:r>
      <w:proofErr w:type="spellEnd"/>
      <w:r>
        <w:rPr>
          <w:sz w:val="20"/>
          <w:szCs w:val="20"/>
        </w:rPr>
        <w:t xml:space="preserve"> </w:t>
      </w:r>
      <w:proofErr w:type="spellStart"/>
      <w:r>
        <w:rPr>
          <w:sz w:val="20"/>
          <w:szCs w:val="20"/>
        </w:rPr>
        <w:t>the</w:t>
      </w:r>
      <w:proofErr w:type="spellEnd"/>
      <w:r>
        <w:rPr>
          <w:sz w:val="20"/>
          <w:szCs w:val="20"/>
        </w:rPr>
        <w:t xml:space="preserve"> labor </w:t>
      </w:r>
      <w:proofErr w:type="spellStart"/>
      <w:r>
        <w:rPr>
          <w:sz w:val="20"/>
          <w:szCs w:val="20"/>
        </w:rPr>
        <w:t>market</w:t>
      </w:r>
      <w:proofErr w:type="spellEnd"/>
      <w:r>
        <w:rPr>
          <w:sz w:val="20"/>
          <w:szCs w:val="20"/>
        </w:rPr>
        <w:t xml:space="preserve">. It </w:t>
      </w:r>
      <w:proofErr w:type="spellStart"/>
      <w:r>
        <w:rPr>
          <w:sz w:val="20"/>
          <w:szCs w:val="20"/>
        </w:rPr>
        <w:t>is</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exploratory</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of</w:t>
      </w:r>
      <w:proofErr w:type="spellEnd"/>
      <w:r>
        <w:rPr>
          <w:sz w:val="20"/>
          <w:szCs w:val="20"/>
        </w:rPr>
        <w:t xml:space="preserve"> a </w:t>
      </w:r>
      <w:proofErr w:type="spellStart"/>
      <w:r>
        <w:rPr>
          <w:sz w:val="20"/>
          <w:szCs w:val="20"/>
        </w:rPr>
        <w:t>qualitative</w:t>
      </w:r>
      <w:proofErr w:type="spellEnd"/>
      <w:r>
        <w:rPr>
          <w:sz w:val="20"/>
          <w:szCs w:val="20"/>
        </w:rPr>
        <w:t xml:space="preserve"> </w:t>
      </w:r>
      <w:proofErr w:type="spellStart"/>
      <w:r>
        <w:rPr>
          <w:sz w:val="20"/>
          <w:szCs w:val="20"/>
        </w:rPr>
        <w:t>nature</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historical-dialectical</w:t>
      </w:r>
      <w:proofErr w:type="spellEnd"/>
      <w:r>
        <w:rPr>
          <w:sz w:val="20"/>
          <w:szCs w:val="20"/>
        </w:rPr>
        <w:t xml:space="preserve"> </w:t>
      </w:r>
      <w:proofErr w:type="spellStart"/>
      <w:r>
        <w:rPr>
          <w:sz w:val="20"/>
          <w:szCs w:val="20"/>
        </w:rPr>
        <w:t>materialist</w:t>
      </w:r>
      <w:proofErr w:type="spellEnd"/>
      <w:r>
        <w:rPr>
          <w:sz w:val="20"/>
          <w:szCs w:val="20"/>
        </w:rPr>
        <w:t xml:space="preserve"> </w:t>
      </w:r>
      <w:proofErr w:type="spellStart"/>
      <w:r>
        <w:rPr>
          <w:sz w:val="20"/>
          <w:szCs w:val="20"/>
        </w:rPr>
        <w:t>method</w:t>
      </w:r>
      <w:proofErr w:type="spellEnd"/>
      <w:r>
        <w:rPr>
          <w:sz w:val="20"/>
          <w:szCs w:val="20"/>
        </w:rPr>
        <w:t xml:space="preserve">, </w:t>
      </w:r>
      <w:proofErr w:type="spellStart"/>
      <w:r>
        <w:rPr>
          <w:sz w:val="20"/>
          <w:szCs w:val="20"/>
        </w:rPr>
        <w:t>using</w:t>
      </w:r>
      <w:proofErr w:type="spellEnd"/>
      <w:r>
        <w:rPr>
          <w:sz w:val="20"/>
          <w:szCs w:val="20"/>
        </w:rPr>
        <w:t xml:space="preserve"> </w:t>
      </w:r>
      <w:proofErr w:type="spellStart"/>
      <w:r>
        <w:rPr>
          <w:sz w:val="20"/>
          <w:szCs w:val="20"/>
        </w:rPr>
        <w:t>bibliographic</w:t>
      </w:r>
      <w:proofErr w:type="spellEnd"/>
      <w:r>
        <w:rPr>
          <w:sz w:val="20"/>
          <w:szCs w:val="20"/>
        </w:rPr>
        <w:t xml:space="preserve"> material. The </w:t>
      </w:r>
      <w:proofErr w:type="spellStart"/>
      <w:r>
        <w:rPr>
          <w:sz w:val="20"/>
          <w:szCs w:val="20"/>
        </w:rPr>
        <w:t>starting</w:t>
      </w:r>
      <w:proofErr w:type="spellEnd"/>
      <w:r>
        <w:rPr>
          <w:sz w:val="20"/>
          <w:szCs w:val="20"/>
        </w:rPr>
        <w:t xml:space="preserve"> point </w:t>
      </w:r>
      <w:proofErr w:type="spellStart"/>
      <w:r>
        <w:rPr>
          <w:sz w:val="20"/>
          <w:szCs w:val="20"/>
        </w:rPr>
        <w:t>is</w:t>
      </w:r>
      <w:proofErr w:type="spellEnd"/>
      <w:r>
        <w:rPr>
          <w:sz w:val="20"/>
          <w:szCs w:val="20"/>
        </w:rPr>
        <w:t xml:space="preserve"> labor in its </w:t>
      </w:r>
      <w:proofErr w:type="spellStart"/>
      <w:r>
        <w:rPr>
          <w:sz w:val="20"/>
          <w:szCs w:val="20"/>
        </w:rPr>
        <w:t>ontological</w:t>
      </w:r>
      <w:proofErr w:type="spellEnd"/>
      <w:r>
        <w:rPr>
          <w:sz w:val="20"/>
          <w:szCs w:val="20"/>
        </w:rPr>
        <w:t xml:space="preserve"> </w:t>
      </w:r>
      <w:proofErr w:type="spellStart"/>
      <w:r>
        <w:rPr>
          <w:sz w:val="20"/>
          <w:szCs w:val="20"/>
        </w:rPr>
        <w:t>sense</w:t>
      </w:r>
      <w:proofErr w:type="spellEnd"/>
      <w:r>
        <w:rPr>
          <w:sz w:val="20"/>
          <w:szCs w:val="20"/>
        </w:rPr>
        <w:t xml:space="preserve"> </w:t>
      </w:r>
      <w:proofErr w:type="spellStart"/>
      <w:r>
        <w:rPr>
          <w:sz w:val="20"/>
          <w:szCs w:val="20"/>
        </w:rPr>
        <w:t>and</w:t>
      </w:r>
      <w:proofErr w:type="spellEnd"/>
      <w:r>
        <w:rPr>
          <w:sz w:val="20"/>
          <w:szCs w:val="20"/>
        </w:rPr>
        <w:t xml:space="preserve">, in its reverse, </w:t>
      </w:r>
      <w:proofErr w:type="spellStart"/>
      <w:r>
        <w:rPr>
          <w:sz w:val="20"/>
          <w:szCs w:val="20"/>
        </w:rPr>
        <w:t>bourgeois</w:t>
      </w:r>
      <w:proofErr w:type="spellEnd"/>
      <w:r>
        <w:rPr>
          <w:sz w:val="20"/>
          <w:szCs w:val="20"/>
        </w:rPr>
        <w:t xml:space="preserve"> </w:t>
      </w:r>
      <w:proofErr w:type="spellStart"/>
      <w:r>
        <w:rPr>
          <w:sz w:val="20"/>
          <w:szCs w:val="20"/>
        </w:rPr>
        <w:t>sociability</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objectifies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workforce</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transforming</w:t>
      </w:r>
      <w:proofErr w:type="spellEnd"/>
      <w:r>
        <w:rPr>
          <w:sz w:val="20"/>
          <w:szCs w:val="20"/>
        </w:rPr>
        <w:t xml:space="preserve"> it </w:t>
      </w:r>
      <w:proofErr w:type="spellStart"/>
      <w:r>
        <w:rPr>
          <w:sz w:val="20"/>
          <w:szCs w:val="20"/>
        </w:rPr>
        <w:t>into</w:t>
      </w:r>
      <w:proofErr w:type="spellEnd"/>
      <w:r>
        <w:rPr>
          <w:sz w:val="20"/>
          <w:szCs w:val="20"/>
        </w:rPr>
        <w:t xml:space="preserve"> a commodity. In response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study's</w:t>
      </w:r>
      <w:proofErr w:type="spellEnd"/>
      <w:r>
        <w:rPr>
          <w:sz w:val="20"/>
          <w:szCs w:val="20"/>
        </w:rPr>
        <w:t xml:space="preserve"> </w:t>
      </w:r>
      <w:proofErr w:type="spellStart"/>
      <w:r>
        <w:rPr>
          <w:sz w:val="20"/>
          <w:szCs w:val="20"/>
        </w:rPr>
        <w:t>objective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results</w:t>
      </w:r>
      <w:proofErr w:type="spellEnd"/>
      <w:r>
        <w:rPr>
          <w:sz w:val="20"/>
          <w:szCs w:val="20"/>
        </w:rPr>
        <w:t xml:space="preserve"> show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notion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productive</w:t>
      </w:r>
      <w:proofErr w:type="spellEnd"/>
      <w:r>
        <w:rPr>
          <w:sz w:val="20"/>
          <w:szCs w:val="20"/>
        </w:rPr>
        <w:t xml:space="preserve"> </w:t>
      </w:r>
      <w:proofErr w:type="spellStart"/>
      <w:r>
        <w:rPr>
          <w:sz w:val="20"/>
          <w:szCs w:val="20"/>
        </w:rPr>
        <w:t>inclusion</w:t>
      </w:r>
      <w:proofErr w:type="spellEnd"/>
      <w:r>
        <w:rPr>
          <w:sz w:val="20"/>
          <w:szCs w:val="20"/>
        </w:rPr>
        <w:t xml:space="preserve"> </w:t>
      </w:r>
      <w:proofErr w:type="spellStart"/>
      <w:r>
        <w:rPr>
          <w:sz w:val="20"/>
          <w:szCs w:val="20"/>
        </w:rPr>
        <w:t>contributes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concealing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unequal</w:t>
      </w:r>
      <w:proofErr w:type="spellEnd"/>
      <w:r>
        <w:rPr>
          <w:sz w:val="20"/>
          <w:szCs w:val="20"/>
        </w:rPr>
        <w:t xml:space="preserve"> </w:t>
      </w:r>
      <w:proofErr w:type="spellStart"/>
      <w:r>
        <w:rPr>
          <w:sz w:val="20"/>
          <w:szCs w:val="20"/>
        </w:rPr>
        <w:t>relations</w:t>
      </w:r>
      <w:proofErr w:type="spellEnd"/>
      <w:r>
        <w:rPr>
          <w:sz w:val="20"/>
          <w:szCs w:val="20"/>
        </w:rPr>
        <w:t xml:space="preserve"> </w:t>
      </w:r>
      <w:proofErr w:type="spellStart"/>
      <w:r>
        <w:rPr>
          <w:sz w:val="20"/>
          <w:szCs w:val="20"/>
        </w:rPr>
        <w:t>between</w:t>
      </w:r>
      <w:proofErr w:type="spellEnd"/>
      <w:r>
        <w:rPr>
          <w:sz w:val="20"/>
          <w:szCs w:val="20"/>
        </w:rPr>
        <w:t xml:space="preserve"> capital </w:t>
      </w:r>
      <w:proofErr w:type="spellStart"/>
      <w:r>
        <w:rPr>
          <w:sz w:val="20"/>
          <w:szCs w:val="20"/>
        </w:rPr>
        <w:t>and</w:t>
      </w:r>
      <w:proofErr w:type="spellEnd"/>
      <w:r>
        <w:rPr>
          <w:sz w:val="20"/>
          <w:szCs w:val="20"/>
        </w:rPr>
        <w:t xml:space="preserve"> labor, </w:t>
      </w:r>
      <w:proofErr w:type="spellStart"/>
      <w:r>
        <w:rPr>
          <w:sz w:val="20"/>
          <w:szCs w:val="20"/>
        </w:rPr>
        <w:t>by</w:t>
      </w:r>
      <w:proofErr w:type="spellEnd"/>
      <w:r>
        <w:rPr>
          <w:sz w:val="20"/>
          <w:szCs w:val="20"/>
        </w:rPr>
        <w:t xml:space="preserve"> </w:t>
      </w:r>
      <w:proofErr w:type="spellStart"/>
      <w:r>
        <w:rPr>
          <w:sz w:val="20"/>
          <w:szCs w:val="20"/>
        </w:rPr>
        <w:t>blaming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subject</w:t>
      </w:r>
      <w:proofErr w:type="spellEnd"/>
      <w:r>
        <w:rPr>
          <w:sz w:val="20"/>
          <w:szCs w:val="20"/>
        </w:rPr>
        <w:t xml:space="preserve"> for </w:t>
      </w:r>
      <w:proofErr w:type="spellStart"/>
      <w:r>
        <w:rPr>
          <w:sz w:val="20"/>
          <w:szCs w:val="20"/>
        </w:rPr>
        <w:t>supposedly</w:t>
      </w:r>
      <w:proofErr w:type="spellEnd"/>
      <w:r>
        <w:rPr>
          <w:sz w:val="20"/>
          <w:szCs w:val="20"/>
        </w:rPr>
        <w:t xml:space="preserve"> </w:t>
      </w:r>
      <w:proofErr w:type="spellStart"/>
      <w:r>
        <w:rPr>
          <w:sz w:val="20"/>
          <w:szCs w:val="20"/>
        </w:rPr>
        <w:t>not</w:t>
      </w:r>
      <w:proofErr w:type="spellEnd"/>
      <w:r>
        <w:rPr>
          <w:sz w:val="20"/>
          <w:szCs w:val="20"/>
        </w:rPr>
        <w:t xml:space="preserve"> </w:t>
      </w:r>
      <w:proofErr w:type="spellStart"/>
      <w:r>
        <w:rPr>
          <w:sz w:val="20"/>
          <w:szCs w:val="20"/>
        </w:rPr>
        <w:t>having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or</w:t>
      </w:r>
      <w:proofErr w:type="spellEnd"/>
      <w:r>
        <w:rPr>
          <w:sz w:val="20"/>
          <w:szCs w:val="20"/>
        </w:rPr>
        <w:t xml:space="preserve"> training </w:t>
      </w:r>
      <w:proofErr w:type="spellStart"/>
      <w:r>
        <w:rPr>
          <w:sz w:val="20"/>
          <w:szCs w:val="20"/>
        </w:rPr>
        <w:t>compatible</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demands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market</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contributes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increasing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fragmentation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working</w:t>
      </w:r>
      <w:proofErr w:type="spellEnd"/>
      <w:r>
        <w:rPr>
          <w:sz w:val="20"/>
          <w:szCs w:val="20"/>
        </w:rPr>
        <w:t xml:space="preserve"> </w:t>
      </w:r>
      <w:proofErr w:type="spellStart"/>
      <w:r>
        <w:rPr>
          <w:sz w:val="20"/>
          <w:szCs w:val="20"/>
        </w:rPr>
        <w:t>class</w:t>
      </w:r>
      <w:proofErr w:type="spellEnd"/>
      <w:r>
        <w:rPr>
          <w:sz w:val="20"/>
          <w:szCs w:val="20"/>
        </w:rPr>
        <w:t xml:space="preserve">, </w:t>
      </w:r>
      <w:proofErr w:type="spellStart"/>
      <w:r>
        <w:rPr>
          <w:sz w:val="20"/>
          <w:szCs w:val="20"/>
        </w:rPr>
        <w:t>diverting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focus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structural</w:t>
      </w:r>
      <w:proofErr w:type="spellEnd"/>
      <w:r>
        <w:rPr>
          <w:sz w:val="20"/>
          <w:szCs w:val="20"/>
        </w:rPr>
        <w:t xml:space="preserve"> causes </w:t>
      </w:r>
      <w:proofErr w:type="spellStart"/>
      <w:r>
        <w:rPr>
          <w:sz w:val="20"/>
          <w:szCs w:val="20"/>
        </w:rPr>
        <w:t>of</w:t>
      </w:r>
      <w:proofErr w:type="spellEnd"/>
      <w:r>
        <w:rPr>
          <w:sz w:val="20"/>
          <w:szCs w:val="20"/>
        </w:rPr>
        <w:t xml:space="preserve"> </w:t>
      </w:r>
      <w:proofErr w:type="spellStart"/>
      <w:r>
        <w:rPr>
          <w:sz w:val="20"/>
          <w:szCs w:val="20"/>
        </w:rPr>
        <w:t>unemployment</w:t>
      </w:r>
      <w:proofErr w:type="spellEnd"/>
      <w:r>
        <w:rPr>
          <w:sz w:val="20"/>
          <w:szCs w:val="20"/>
        </w:rPr>
        <w:t xml:space="preserve">, informal </w:t>
      </w:r>
      <w:proofErr w:type="spellStart"/>
      <w:r>
        <w:rPr>
          <w:sz w:val="20"/>
          <w:szCs w:val="20"/>
        </w:rPr>
        <w:t>and</w:t>
      </w:r>
      <w:proofErr w:type="spellEnd"/>
      <w:r>
        <w:rPr>
          <w:sz w:val="20"/>
          <w:szCs w:val="20"/>
        </w:rPr>
        <w:t xml:space="preserve"> </w:t>
      </w:r>
      <w:proofErr w:type="spellStart"/>
      <w:r>
        <w:rPr>
          <w:sz w:val="20"/>
          <w:szCs w:val="20"/>
        </w:rPr>
        <w:t>precarious</w:t>
      </w:r>
      <w:proofErr w:type="spellEnd"/>
      <w:r>
        <w:rPr>
          <w:sz w:val="20"/>
          <w:szCs w:val="20"/>
        </w:rPr>
        <w:t xml:space="preserve"> </w:t>
      </w:r>
      <w:proofErr w:type="spellStart"/>
      <w:r>
        <w:rPr>
          <w:sz w:val="20"/>
          <w:szCs w:val="20"/>
        </w:rPr>
        <w:t>work</w:t>
      </w:r>
      <w:proofErr w:type="spellEnd"/>
      <w:r>
        <w:rPr>
          <w:sz w:val="20"/>
          <w:szCs w:val="20"/>
        </w:rPr>
        <w:t xml:space="preserve">, as </w:t>
      </w:r>
      <w:proofErr w:type="spellStart"/>
      <w:r>
        <w:rPr>
          <w:sz w:val="20"/>
          <w:szCs w:val="20"/>
        </w:rPr>
        <w:t>well</w:t>
      </w:r>
      <w:proofErr w:type="spellEnd"/>
      <w:r>
        <w:rPr>
          <w:sz w:val="20"/>
          <w:szCs w:val="20"/>
        </w:rPr>
        <w:t xml:space="preserve"> as new </w:t>
      </w:r>
      <w:proofErr w:type="spellStart"/>
      <w:r>
        <w:rPr>
          <w:sz w:val="20"/>
          <w:szCs w:val="20"/>
        </w:rPr>
        <w:t>forms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work</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entrepreneurship</w:t>
      </w:r>
      <w:proofErr w:type="spellEnd"/>
      <w:r>
        <w:rPr>
          <w:sz w:val="20"/>
          <w:szCs w:val="20"/>
        </w:rPr>
        <w:t>.</w:t>
      </w:r>
    </w:p>
    <w:p w14:paraId="3238246A" w14:textId="77777777" w:rsidR="00235AE9" w:rsidRDefault="009026B5" w:rsidP="006448FA">
      <w:pPr>
        <w:spacing w:line="240" w:lineRule="auto"/>
        <w:ind w:leftChars="1286" w:left="2833" w:hangingChars="2" w:hanging="4"/>
        <w:jc w:val="both"/>
        <w:rPr>
          <w:sz w:val="20"/>
          <w:szCs w:val="20"/>
        </w:rPr>
      </w:pPr>
      <w:r>
        <w:rPr>
          <w:b/>
          <w:sz w:val="20"/>
          <w:szCs w:val="20"/>
        </w:rPr>
        <w:t>Keywords</w:t>
      </w:r>
      <w:r>
        <w:rPr>
          <w:sz w:val="20"/>
          <w:szCs w:val="20"/>
        </w:rPr>
        <w:t xml:space="preserve">: </w:t>
      </w:r>
      <w:proofErr w:type="spellStart"/>
      <w:r>
        <w:rPr>
          <w:sz w:val="20"/>
          <w:szCs w:val="20"/>
        </w:rPr>
        <w:t>Productive</w:t>
      </w:r>
      <w:proofErr w:type="spellEnd"/>
      <w:r>
        <w:rPr>
          <w:sz w:val="20"/>
          <w:szCs w:val="20"/>
        </w:rPr>
        <w:t xml:space="preserve"> </w:t>
      </w:r>
      <w:proofErr w:type="spellStart"/>
      <w:r>
        <w:rPr>
          <w:sz w:val="20"/>
          <w:szCs w:val="20"/>
        </w:rPr>
        <w:t>Inclusion</w:t>
      </w:r>
      <w:proofErr w:type="spellEnd"/>
      <w:r>
        <w:rPr>
          <w:sz w:val="20"/>
          <w:szCs w:val="20"/>
        </w:rPr>
        <w:t xml:space="preserve">; Social </w:t>
      </w:r>
      <w:proofErr w:type="spellStart"/>
      <w:r>
        <w:rPr>
          <w:sz w:val="20"/>
          <w:szCs w:val="20"/>
        </w:rPr>
        <w:t>Protection</w:t>
      </w:r>
      <w:proofErr w:type="spellEnd"/>
      <w:r>
        <w:rPr>
          <w:sz w:val="20"/>
          <w:szCs w:val="20"/>
        </w:rPr>
        <w:t xml:space="preserve">; </w:t>
      </w:r>
      <w:proofErr w:type="spellStart"/>
      <w:r>
        <w:rPr>
          <w:sz w:val="20"/>
          <w:szCs w:val="20"/>
        </w:rPr>
        <w:t>Neoliberalism</w:t>
      </w:r>
      <w:proofErr w:type="spellEnd"/>
      <w:r>
        <w:rPr>
          <w:sz w:val="20"/>
          <w:szCs w:val="20"/>
        </w:rPr>
        <w:t>.</w:t>
      </w:r>
    </w:p>
    <w:p w14:paraId="2ED9C7F5" w14:textId="77777777" w:rsidR="00235AE9" w:rsidRDefault="00235AE9">
      <w:pPr>
        <w:spacing w:line="240" w:lineRule="auto"/>
        <w:ind w:left="0" w:hanging="2"/>
        <w:jc w:val="both"/>
        <w:rPr>
          <w:sz w:val="20"/>
          <w:szCs w:val="20"/>
        </w:rPr>
      </w:pPr>
    </w:p>
    <w:p w14:paraId="73D8C67C" w14:textId="77777777" w:rsidR="00235AE9" w:rsidRDefault="009026B5">
      <w:pPr>
        <w:spacing w:line="240" w:lineRule="auto"/>
        <w:ind w:left="0" w:hanging="2"/>
        <w:rPr>
          <w:b/>
          <w:sz w:val="24"/>
          <w:szCs w:val="24"/>
        </w:rPr>
      </w:pPr>
      <w:r>
        <w:rPr>
          <w:b/>
          <w:sz w:val="24"/>
          <w:szCs w:val="24"/>
        </w:rPr>
        <w:t>1</w:t>
      </w:r>
      <w:r>
        <w:rPr>
          <w:b/>
          <w:sz w:val="24"/>
          <w:szCs w:val="24"/>
        </w:rPr>
        <w:tab/>
        <w:t xml:space="preserve">INTRODUÇÃO </w:t>
      </w:r>
    </w:p>
    <w:p w14:paraId="5E4383FF" w14:textId="77777777" w:rsidR="00235AE9" w:rsidRDefault="00235AE9">
      <w:pPr>
        <w:spacing w:line="240" w:lineRule="auto"/>
        <w:ind w:left="0" w:hanging="2"/>
        <w:rPr>
          <w:b/>
          <w:sz w:val="24"/>
          <w:szCs w:val="24"/>
        </w:rPr>
      </w:pPr>
    </w:p>
    <w:p w14:paraId="5F2BBEB4" w14:textId="5DA8C23F" w:rsidR="00235AE9" w:rsidRDefault="006448FA" w:rsidP="006448FA">
      <w:pPr>
        <w:spacing w:line="360" w:lineRule="auto"/>
        <w:ind w:left="-2" w:firstLineChars="0" w:firstLine="720"/>
        <w:jc w:val="both"/>
        <w:rPr>
          <w:sz w:val="24"/>
          <w:szCs w:val="24"/>
        </w:rPr>
      </w:pPr>
      <w:r>
        <w:rPr>
          <w:sz w:val="24"/>
          <w:szCs w:val="24"/>
        </w:rPr>
        <w:t xml:space="preserve">No contexto brasileiro com a matriz neoliberal nas políticas econômicas e sociais a partir dos anos 1990, delineia-se a gestão flexível da produção e do trabalho, o que produz crescente aumento do desemprego estrutural, da pobreza e do desmonte dos sistemas de proteção social. “Todas essas transformações incluem rebatimentos na organização política dos trabalhadores”, na medida em que “amplo contingente populacional é submetido ao desemprego involuntário ou às novas formas de contratação como o trabalho por tempo parcial ou temporário, além das subcontratações pela via das terceirizações” (Guilherme, 2016, p. 91).  </w:t>
      </w:r>
    </w:p>
    <w:p w14:paraId="2C3FDCE7" w14:textId="77777777" w:rsidR="00235AE9" w:rsidRDefault="009026B5" w:rsidP="006448FA">
      <w:pPr>
        <w:spacing w:line="360" w:lineRule="auto"/>
        <w:ind w:left="-2" w:firstLineChars="0" w:firstLine="720"/>
        <w:jc w:val="both"/>
        <w:rPr>
          <w:sz w:val="24"/>
          <w:szCs w:val="24"/>
        </w:rPr>
      </w:pPr>
      <w:r>
        <w:rPr>
          <w:sz w:val="24"/>
          <w:szCs w:val="24"/>
        </w:rPr>
        <w:t xml:space="preserve">Neste artigo, debate-se a respeito da concepção de inclusão produtiva sob a narrativa neoliberal, a qual expressa a ideia de que a inclusão social se dará pela integração no mercado de trabalho. Não por acaso, os programas de inclusão produtiva – que são contemporâneos ao advento do neoliberalismo no Brasil – “ganharam notoriedade no final dos anos 1990 e têm apresentado um forte crescimento a partir da década de 2000 [...]. A maioria envolve ações de capacitação técnica e profissional, seguida por apoio a </w:t>
      </w:r>
      <w:r>
        <w:rPr>
          <w:sz w:val="24"/>
          <w:szCs w:val="24"/>
        </w:rPr>
        <w:t xml:space="preserve">atividades autônomas de autoemprego” (Silva, 2020, p. 371). Nota-se que as ações no campo da inclusão produtiva estão dirigidas a sujeitos considerados aptos ao trabalho, visando a sua integração no mercado de trabalho, restando refletir a respeito das diferentes formas precarizadas do labor comumente praticadas na sociabilidade capitalista.     </w:t>
      </w:r>
    </w:p>
    <w:p w14:paraId="290A57C5" w14:textId="2A5D2F71" w:rsidR="00235AE9" w:rsidRDefault="009026B5" w:rsidP="006448FA">
      <w:pPr>
        <w:spacing w:line="360" w:lineRule="auto"/>
        <w:ind w:left="-2" w:firstLineChars="0" w:firstLine="720"/>
        <w:jc w:val="both"/>
        <w:rPr>
          <w:sz w:val="24"/>
          <w:szCs w:val="24"/>
        </w:rPr>
      </w:pPr>
      <w:r>
        <w:rPr>
          <w:sz w:val="24"/>
          <w:szCs w:val="24"/>
        </w:rPr>
        <w:lastRenderedPageBreak/>
        <w:t>A delimitação do tema decorre de etapa exploratória da pesquisa intitulada “Proteção Social não Contributiva na América Latina e Caribe: programas de transferência condicionada de renda, de inclusão laboral e mínimos sociais para pessoa idosa e PCD”, especificamente a partir da</w:t>
      </w:r>
      <w:r>
        <w:rPr>
          <w:sz w:val="24"/>
          <w:szCs w:val="24"/>
        </w:rPr>
        <w:t xml:space="preserve"> leitura de materiais bibliográficos mapeados no Portal </w:t>
      </w:r>
      <w:proofErr w:type="spellStart"/>
      <w:r>
        <w:rPr>
          <w:sz w:val="24"/>
          <w:szCs w:val="24"/>
        </w:rPr>
        <w:t>Scielo</w:t>
      </w:r>
      <w:proofErr w:type="spellEnd"/>
      <w:r>
        <w:rPr>
          <w:sz w:val="24"/>
          <w:szCs w:val="24"/>
        </w:rPr>
        <w:t xml:space="preserve"> e Google Acadêmico. Em termos metodológicos o presente texto foi desenvolvido mediante revisão bibliográfica, articulando parte das referências que compõem a amostra da referida pesquisa com outras produções consideradas relevantes, sob o recorte da teoria social crítica. Trata-se de um estudo exploratório de caráter qualitativo que se estrutura no método materialista histórico-dialético. </w:t>
      </w:r>
    </w:p>
    <w:p w14:paraId="0CD5EFD8" w14:textId="77777777" w:rsidR="00235AE9" w:rsidRDefault="009026B5" w:rsidP="006448FA">
      <w:pPr>
        <w:spacing w:line="360" w:lineRule="auto"/>
        <w:ind w:left="-2" w:firstLineChars="0" w:firstLine="720"/>
        <w:jc w:val="both"/>
        <w:rPr>
          <w:b/>
          <w:sz w:val="24"/>
          <w:szCs w:val="24"/>
        </w:rPr>
      </w:pPr>
      <w:r>
        <w:rPr>
          <w:sz w:val="24"/>
          <w:szCs w:val="24"/>
        </w:rPr>
        <w:t xml:space="preserve">Deste modo, o artigo está estruturado da seguinte maneira, além da presente introdução: inicialmente apresenta o debate a respeito da inclusão produtiva, a fim de evidenciar as estratégias contemporâneas de enfrentamento da pobreza e o alcance protetivo brasileiro; posteriormente aborda-se a perspectiva neoliberal sobre a inclusão social pela via do mercado de trabalho, com a finalidade de expor as contradições desta narrativa. Por fim, apresentam-se as considerações do estudo. </w:t>
      </w:r>
    </w:p>
    <w:p w14:paraId="065EEBB1" w14:textId="77777777" w:rsidR="00235AE9" w:rsidRDefault="00235AE9">
      <w:pPr>
        <w:spacing w:line="360" w:lineRule="auto"/>
        <w:ind w:left="0" w:hanging="2"/>
        <w:jc w:val="both"/>
        <w:rPr>
          <w:b/>
          <w:sz w:val="24"/>
          <w:szCs w:val="24"/>
        </w:rPr>
      </w:pPr>
    </w:p>
    <w:p w14:paraId="02849DF3" w14:textId="77777777" w:rsidR="00235AE9" w:rsidRDefault="009026B5">
      <w:pPr>
        <w:spacing w:line="240" w:lineRule="auto"/>
        <w:ind w:left="0" w:hanging="2"/>
        <w:jc w:val="both"/>
        <w:rPr>
          <w:b/>
          <w:sz w:val="24"/>
          <w:szCs w:val="24"/>
        </w:rPr>
      </w:pPr>
      <w:r>
        <w:rPr>
          <w:b/>
          <w:sz w:val="24"/>
          <w:szCs w:val="24"/>
        </w:rPr>
        <w:t xml:space="preserve">2 INCLUSÃO PRODUTIVA COMO ESTRATÉGIA DE COMBATE À POBREZA  </w:t>
      </w:r>
    </w:p>
    <w:p w14:paraId="34AC330B" w14:textId="77777777" w:rsidR="00235AE9" w:rsidRDefault="00235AE9">
      <w:pPr>
        <w:spacing w:line="240" w:lineRule="auto"/>
        <w:ind w:left="0" w:hanging="2"/>
        <w:jc w:val="both"/>
        <w:rPr>
          <w:b/>
          <w:color w:val="FF0000"/>
          <w:sz w:val="24"/>
          <w:szCs w:val="24"/>
        </w:rPr>
      </w:pPr>
    </w:p>
    <w:p w14:paraId="4D2EF694" w14:textId="77777777" w:rsidR="00235AE9" w:rsidRDefault="009026B5" w:rsidP="006448FA">
      <w:pPr>
        <w:spacing w:line="360" w:lineRule="auto"/>
        <w:ind w:left="-2" w:firstLineChars="0" w:firstLine="720"/>
        <w:jc w:val="both"/>
        <w:rPr>
          <w:sz w:val="24"/>
          <w:szCs w:val="24"/>
        </w:rPr>
      </w:pPr>
      <w:r>
        <w:rPr>
          <w:sz w:val="24"/>
          <w:szCs w:val="24"/>
        </w:rPr>
        <w:t xml:space="preserve">O trabalho, no sentido ontológico, é a categoria fundante do ser social e configura uma atividade condicionada à relação do ser humano com a natureza, na qual é instituída a finalidade pela ideação para materialização do ato que transforma a si e o seu meio (Lukács, 2018). Sob tal perspectiva, a partir da exteriorização da sua práxis, o ser humano se depara com novas possibilidades, as quais modificam sua maneira de pensar e intervir no processo de transformação da natureza. </w:t>
      </w:r>
    </w:p>
    <w:p w14:paraId="1DB6647C" w14:textId="77777777" w:rsidR="00235AE9" w:rsidRDefault="009026B5" w:rsidP="006448FA">
      <w:pPr>
        <w:spacing w:line="360" w:lineRule="auto"/>
        <w:ind w:left="-2" w:firstLineChars="0" w:firstLine="720"/>
        <w:jc w:val="both"/>
        <w:rPr>
          <w:sz w:val="24"/>
          <w:szCs w:val="24"/>
        </w:rPr>
      </w:pPr>
      <w:r>
        <w:rPr>
          <w:sz w:val="24"/>
          <w:szCs w:val="24"/>
        </w:rPr>
        <w:t xml:space="preserve">O trabalho torna-se a base da transformação da natureza e do próprio sujeito; através deste ato que pressupõe a prévia ideação e a objetivação, é possível criar e recriar (Antunes, 2018; Lukács, 2018). Por outro lado, a transformação da natureza possibilitada pelo trabalho, no qual se materializa uma forma não fidedigna a </w:t>
      </w:r>
      <w:r>
        <w:rPr>
          <w:sz w:val="24"/>
          <w:szCs w:val="24"/>
        </w:rPr>
        <w:lastRenderedPageBreak/>
        <w:t>idealizada, mas uma de acordo com as condições objetivas impostas (Marx, 2010), propulsiona-se a criação de excedentes. Isto decorre a partir da transição do nomadismo ao sedentarismo em quesitos da busca pela subsistência, surgindo deste momento, a divisão social e a acumulação de riquezas (Engels, 2024).</w:t>
      </w:r>
    </w:p>
    <w:p w14:paraId="79399EEB" w14:textId="77777777" w:rsidR="00235AE9" w:rsidRDefault="009026B5" w:rsidP="006448FA">
      <w:pPr>
        <w:spacing w:line="360" w:lineRule="auto"/>
        <w:ind w:left="-2" w:firstLineChars="0" w:firstLine="720"/>
        <w:jc w:val="both"/>
        <w:rPr>
          <w:sz w:val="24"/>
          <w:szCs w:val="24"/>
        </w:rPr>
      </w:pPr>
      <w:r>
        <w:rPr>
          <w:sz w:val="24"/>
          <w:szCs w:val="24"/>
        </w:rPr>
        <w:t xml:space="preserve">Se na sociedade primitiva o homem usufrui dos resultados do seu trabalho para atender às suas necessidades, no modo de produção capitalista (MPC) o trabalho tem outro perfil: o do assalariamento. O MPC cooptou a atividade fundante do homem, para extrair através da mais-valia, o lucro, o seu mais-valor, estranhando o trabalhador no processo produtivo (Marx, 2010). Harvey diz que seria </w:t>
      </w:r>
      <w:r>
        <w:rPr>
          <w:b/>
          <w:sz w:val="24"/>
          <w:szCs w:val="24"/>
        </w:rPr>
        <w:t>“</w:t>
      </w:r>
      <w:r>
        <w:rPr>
          <w:sz w:val="24"/>
          <w:szCs w:val="24"/>
        </w:rPr>
        <w:t>isso que o capitalista tem de fazer, esse é seu propósito consciente, porque a origem do lucro está no mais-valor, e o papel do capitalista é buscar lucro” (2013, p. 122).</w:t>
      </w:r>
    </w:p>
    <w:p w14:paraId="32928E37" w14:textId="4992FDA2" w:rsidR="00235AE9" w:rsidRDefault="009026B5" w:rsidP="006448FA">
      <w:pPr>
        <w:spacing w:line="360" w:lineRule="auto"/>
        <w:ind w:left="-2" w:firstLineChars="0" w:firstLine="720"/>
        <w:jc w:val="both"/>
        <w:rPr>
          <w:sz w:val="24"/>
          <w:szCs w:val="24"/>
        </w:rPr>
      </w:pPr>
      <w:r>
        <w:rPr>
          <w:sz w:val="24"/>
          <w:szCs w:val="24"/>
        </w:rPr>
        <w:t xml:space="preserve">No contexto brasileiro de dependência econômica e política, o trabalho manifesta-se com peculiaridades regionais, de conservação e modernização a partir do capitalismo tardio na região. De acordo com Galeano (2023), isto advém dos resultados do processo de colonização, fazendo com que a América Latina (AL) fosse jogada ao mercado, sem mesmo ter sido consultada, logo entra no radar do mundo através da porta de serviços, sendo subalternizada. Disto, é constituída a base da dependência econômica e tecnológica </w:t>
      </w:r>
      <w:r>
        <w:rPr>
          <w:sz w:val="24"/>
          <w:szCs w:val="24"/>
        </w:rPr>
        <w:t xml:space="preserve">do Brasil, a qual beneficia a economia de países capitalistas avançados pela via da posse. Com isso, o trabalho no Brasil tem suas raízes na crônica lógica da superexploração.  </w:t>
      </w:r>
    </w:p>
    <w:p w14:paraId="3B669CBD" w14:textId="77777777" w:rsidR="00235AE9" w:rsidRDefault="009026B5" w:rsidP="006448FA">
      <w:pPr>
        <w:spacing w:line="360" w:lineRule="auto"/>
        <w:ind w:left="-2" w:firstLineChars="0" w:firstLine="720"/>
        <w:jc w:val="both"/>
        <w:rPr>
          <w:sz w:val="24"/>
          <w:szCs w:val="24"/>
        </w:rPr>
      </w:pPr>
      <w:r>
        <w:rPr>
          <w:sz w:val="24"/>
          <w:szCs w:val="24"/>
        </w:rPr>
        <w:t>Entre um dos fatores decorrentes deste processo histórico, há a desumanização da mão-de-obra, que fez repercutir econômica e ideologicamente na sociedade brasileira. Este fato “não ocorre a partir de um vazio, e sim sobre a base de uma matriz econômico-social preexistente, ela mesma moldada em estreita conexão com o capitalismo europeu e norte-americano” (</w:t>
      </w:r>
      <w:proofErr w:type="spellStart"/>
      <w:r>
        <w:rPr>
          <w:sz w:val="24"/>
          <w:szCs w:val="24"/>
        </w:rPr>
        <w:t>Cueva</w:t>
      </w:r>
      <w:proofErr w:type="spellEnd"/>
      <w:r>
        <w:rPr>
          <w:sz w:val="24"/>
          <w:szCs w:val="24"/>
        </w:rPr>
        <w:t xml:space="preserve">, 1983, p. 23). O que trouxe resultados para o mercado de trabalho mediante criação de atividades laborais pautadas na lógica da informalidade ou do empreendedorismo. </w:t>
      </w:r>
    </w:p>
    <w:p w14:paraId="6A97C072" w14:textId="77777777" w:rsidR="00235AE9" w:rsidRDefault="009026B5" w:rsidP="006448FA">
      <w:pPr>
        <w:spacing w:line="360" w:lineRule="auto"/>
        <w:ind w:left="-2" w:firstLineChars="0" w:firstLine="720"/>
        <w:jc w:val="both"/>
        <w:rPr>
          <w:sz w:val="24"/>
          <w:szCs w:val="24"/>
        </w:rPr>
      </w:pPr>
      <w:r>
        <w:rPr>
          <w:sz w:val="24"/>
          <w:szCs w:val="24"/>
        </w:rPr>
        <w:t xml:space="preserve">A respeito do empreendedorismo (Antunes, 2018) pondera que essa modalidade </w:t>
      </w:r>
      <w:proofErr w:type="gramStart"/>
      <w:r>
        <w:rPr>
          <w:sz w:val="24"/>
          <w:szCs w:val="24"/>
        </w:rPr>
        <w:t>torna-se</w:t>
      </w:r>
      <w:proofErr w:type="gramEnd"/>
      <w:r>
        <w:rPr>
          <w:sz w:val="24"/>
          <w:szCs w:val="24"/>
        </w:rPr>
        <w:t xml:space="preserve"> fundamental para a exploração da classe trabalhadora, </w:t>
      </w:r>
      <w:r>
        <w:rPr>
          <w:sz w:val="24"/>
          <w:szCs w:val="24"/>
        </w:rPr>
        <w:lastRenderedPageBreak/>
        <w:t>aumentando a degradação da práxis vital à (</w:t>
      </w:r>
      <w:proofErr w:type="spellStart"/>
      <w:r>
        <w:rPr>
          <w:sz w:val="24"/>
          <w:szCs w:val="24"/>
        </w:rPr>
        <w:t>re</w:t>
      </w:r>
      <w:proofErr w:type="spellEnd"/>
      <w:r>
        <w:rPr>
          <w:sz w:val="24"/>
          <w:szCs w:val="24"/>
        </w:rPr>
        <w:t>)produção da vida humana. Esse tipo de precarização do trabalho atinge uma fração da classe trabalhadora pauperizada e vulnerável, implicando, assim, no vilipêndio da mão de obra. O autor ainda refere que sob essa lógica a</w:t>
      </w:r>
      <w:r>
        <w:rPr>
          <w:color w:val="0000FF"/>
          <w:sz w:val="24"/>
          <w:szCs w:val="24"/>
        </w:rPr>
        <w:t xml:space="preserve"> </w:t>
      </w:r>
      <w:r>
        <w:rPr>
          <w:sz w:val="24"/>
          <w:szCs w:val="24"/>
        </w:rPr>
        <w:t>força de trabalho assume um caráter que não é mais o do sentido originário da realização plena do ser social, mas possui um caráter mercadológico que gera riquezas para a manutenção</w:t>
      </w:r>
      <w:r>
        <w:rPr>
          <w:sz w:val="24"/>
          <w:szCs w:val="24"/>
        </w:rPr>
        <w:t xml:space="preserve"> do capital (Antunes, 2018). A partir dessas mudanças </w:t>
      </w:r>
      <w:proofErr w:type="spellStart"/>
      <w:r>
        <w:rPr>
          <w:sz w:val="24"/>
          <w:szCs w:val="24"/>
        </w:rPr>
        <w:t>flexibilizadoras</w:t>
      </w:r>
      <w:proofErr w:type="spellEnd"/>
      <w:r>
        <w:rPr>
          <w:sz w:val="24"/>
          <w:szCs w:val="24"/>
        </w:rPr>
        <w:t xml:space="preserve"> do processo produtivo, distintas modalidades de trabalho são criadas, tornando a classe trabalhadora fragmentada (Antunes, 2003). Entre os exemplos, há que “os jovens estão </w:t>
      </w:r>
      <w:proofErr w:type="spellStart"/>
      <w:r>
        <w:rPr>
          <w:sz w:val="24"/>
          <w:szCs w:val="24"/>
        </w:rPr>
        <w:t>sobrerrepresentados</w:t>
      </w:r>
      <w:proofErr w:type="spellEnd"/>
      <w:r>
        <w:rPr>
          <w:sz w:val="24"/>
          <w:szCs w:val="24"/>
        </w:rPr>
        <w:t xml:space="preserve"> na população de trabalhadores informais da região [...] como consequência, tiveram uma maior perda de renda em razão da interrupção do trabalho e da ausência de proteção” (CEPAL, 2023 </w:t>
      </w:r>
      <w:r>
        <w:rPr>
          <w:i/>
          <w:sz w:val="24"/>
          <w:szCs w:val="24"/>
        </w:rPr>
        <w:t xml:space="preserve">apud </w:t>
      </w:r>
      <w:proofErr w:type="spellStart"/>
      <w:r>
        <w:rPr>
          <w:sz w:val="24"/>
          <w:szCs w:val="24"/>
        </w:rPr>
        <w:t>Lanzara</w:t>
      </w:r>
      <w:proofErr w:type="spellEnd"/>
      <w:r>
        <w:rPr>
          <w:sz w:val="24"/>
          <w:szCs w:val="24"/>
        </w:rPr>
        <w:t>; Castro, 2024, p. 6).</w:t>
      </w:r>
    </w:p>
    <w:p w14:paraId="5ABEC1AF" w14:textId="77777777" w:rsidR="00235AE9" w:rsidRDefault="009026B5" w:rsidP="006448FA">
      <w:pPr>
        <w:widowControl w:val="0"/>
        <w:spacing w:line="360" w:lineRule="auto"/>
        <w:ind w:left="-2" w:firstLineChars="0" w:firstLine="720"/>
        <w:jc w:val="both"/>
        <w:rPr>
          <w:sz w:val="24"/>
          <w:szCs w:val="24"/>
        </w:rPr>
      </w:pPr>
      <w:r>
        <w:rPr>
          <w:sz w:val="24"/>
          <w:szCs w:val="24"/>
        </w:rPr>
        <w:t>Frente às condições precárias de vida, com as mudanças no mundo do trabalho, a proteção social se conforma como um meio para amenizar as desigualdades. Sabe-se que os territórios latino-americanos, com especial atenção ao Brasil, permanecem marcados por suas heranças coloniais e escravistas. Também, pela sua dependência externa e por uma visão político-ideológica que prioriza a focalização e a eficiência fiscal em detrimento da universalização dos direitos sociais e do enfrentamento das desigualdades estrut</w:t>
      </w:r>
      <w:r>
        <w:rPr>
          <w:sz w:val="24"/>
          <w:szCs w:val="24"/>
        </w:rPr>
        <w:t>urais (Guilherme, 2016).</w:t>
      </w:r>
    </w:p>
    <w:p w14:paraId="63194278" w14:textId="77777777" w:rsidR="00235AE9" w:rsidRDefault="009026B5" w:rsidP="006448FA">
      <w:pPr>
        <w:widowControl w:val="0"/>
        <w:spacing w:line="360" w:lineRule="auto"/>
        <w:ind w:left="-2" w:firstLineChars="0" w:firstLine="720"/>
        <w:jc w:val="both"/>
        <w:rPr>
          <w:sz w:val="24"/>
          <w:szCs w:val="24"/>
        </w:rPr>
      </w:pPr>
      <w:r>
        <w:rPr>
          <w:sz w:val="24"/>
          <w:szCs w:val="24"/>
        </w:rPr>
        <w:t xml:space="preserve">Nesta lógica, a proteção social não contributiva é direcionada aos “extremamente pobres, através de transferência de renda aliada a qualificação profissional que deve ser substituída à medida que o indivíduo consegue inserir-se no mercado de trabalho” (Banco Mundial, 1996 </w:t>
      </w:r>
      <w:r>
        <w:rPr>
          <w:i/>
          <w:sz w:val="24"/>
          <w:szCs w:val="24"/>
        </w:rPr>
        <w:t xml:space="preserve">apud </w:t>
      </w:r>
      <w:proofErr w:type="spellStart"/>
      <w:r>
        <w:rPr>
          <w:sz w:val="24"/>
          <w:szCs w:val="24"/>
        </w:rPr>
        <w:t>Burginski</w:t>
      </w:r>
      <w:proofErr w:type="spellEnd"/>
      <w:r>
        <w:rPr>
          <w:sz w:val="24"/>
          <w:szCs w:val="24"/>
        </w:rPr>
        <w:t>, 2018, p. 412). Logo, a proteção social se conforma, prioritariamente, na lógica da seletividade e da focalização, “em especial as políticas não contributivas, [que] são fundamentais para o desenvolvimento das capacidades humanas, incluídas novas habilidades, e para viabilizar a inclusão laboral” (CEPAL, 2024, p. 106, tradução nossa).</w:t>
      </w:r>
    </w:p>
    <w:p w14:paraId="5B17E503" w14:textId="77777777" w:rsidR="00235AE9" w:rsidRDefault="009026B5" w:rsidP="006448FA">
      <w:pPr>
        <w:spacing w:line="360" w:lineRule="auto"/>
        <w:ind w:left="-2" w:firstLineChars="0" w:firstLine="720"/>
        <w:jc w:val="both"/>
        <w:rPr>
          <w:color w:val="0000FF"/>
          <w:sz w:val="24"/>
          <w:szCs w:val="24"/>
        </w:rPr>
      </w:pPr>
      <w:r>
        <w:rPr>
          <w:sz w:val="24"/>
          <w:szCs w:val="24"/>
        </w:rPr>
        <w:t xml:space="preserve">O Brasil implementa estratégias por meio de políticas públicas vinculadas à proteção social centradas no combate à pobreza, com o objetivo de reduzir as </w:t>
      </w:r>
      <w:r>
        <w:rPr>
          <w:sz w:val="24"/>
          <w:szCs w:val="24"/>
        </w:rPr>
        <w:lastRenderedPageBreak/>
        <w:t xml:space="preserve">desigualdades sociais. </w:t>
      </w:r>
      <w:proofErr w:type="gramStart"/>
      <w:r>
        <w:rPr>
          <w:sz w:val="24"/>
          <w:szCs w:val="24"/>
        </w:rPr>
        <w:t>Essas estratégias advém</w:t>
      </w:r>
      <w:proofErr w:type="gramEnd"/>
      <w:r>
        <w:rPr>
          <w:sz w:val="24"/>
          <w:szCs w:val="24"/>
        </w:rPr>
        <w:t xml:space="preserve"> das recomendações normativas de órgãos multilaterais, como os Objetivos do Desenvolvimento Sustentável (ODS). “Com destaque para o ODS 1 – erradicação da pobreza –, </w:t>
      </w:r>
      <w:proofErr w:type="gramStart"/>
      <w:r>
        <w:rPr>
          <w:sz w:val="24"/>
          <w:szCs w:val="24"/>
        </w:rPr>
        <w:t>o  ODS</w:t>
      </w:r>
      <w:proofErr w:type="gramEnd"/>
      <w:r>
        <w:rPr>
          <w:sz w:val="24"/>
          <w:szCs w:val="24"/>
        </w:rPr>
        <w:t xml:space="preserve"> 8 – promoção do trabalho decente e desenvolvimento econômico – e o ODS 10 – redução das desigualdades” (IPEA, 2018; CEPAL, 2019 </w:t>
      </w:r>
      <w:r>
        <w:rPr>
          <w:i/>
          <w:sz w:val="24"/>
          <w:szCs w:val="24"/>
        </w:rPr>
        <w:t xml:space="preserve">apud </w:t>
      </w:r>
      <w:r>
        <w:rPr>
          <w:sz w:val="24"/>
          <w:szCs w:val="24"/>
        </w:rPr>
        <w:t>Silva, 2020). Entende-se que tais recomendações</w:t>
      </w:r>
      <w:r>
        <w:rPr>
          <w:color w:val="FF00FF"/>
          <w:sz w:val="24"/>
          <w:szCs w:val="24"/>
        </w:rPr>
        <w:t xml:space="preserve"> </w:t>
      </w:r>
      <w:r>
        <w:rPr>
          <w:sz w:val="24"/>
          <w:szCs w:val="24"/>
        </w:rPr>
        <w:t>se fizeram necessárias devido às crises cíclicas do capital, as quais não podem ser consideradas como natural, m</w:t>
      </w:r>
      <w:r>
        <w:rPr>
          <w:sz w:val="24"/>
          <w:szCs w:val="24"/>
        </w:rPr>
        <w:t>as analisadas como resultantes das contradições entre capital e trabalho – questão social –, que intensificam, propagam e estimulam a desigualdade entre as classes antagônicas (</w:t>
      </w:r>
      <w:proofErr w:type="spellStart"/>
      <w:r>
        <w:rPr>
          <w:sz w:val="24"/>
          <w:szCs w:val="24"/>
        </w:rPr>
        <w:t>Carcanholo</w:t>
      </w:r>
      <w:proofErr w:type="spellEnd"/>
      <w:r>
        <w:rPr>
          <w:sz w:val="24"/>
          <w:szCs w:val="24"/>
        </w:rPr>
        <w:t xml:space="preserve">, 2010). </w:t>
      </w:r>
    </w:p>
    <w:p w14:paraId="3EB981C0" w14:textId="77777777" w:rsidR="00235AE9" w:rsidRDefault="009026B5" w:rsidP="006448FA">
      <w:pPr>
        <w:spacing w:line="360" w:lineRule="auto"/>
        <w:ind w:left="-2" w:firstLineChars="0" w:firstLine="720"/>
        <w:jc w:val="both"/>
        <w:rPr>
          <w:sz w:val="24"/>
          <w:szCs w:val="24"/>
        </w:rPr>
      </w:pPr>
      <w:r>
        <w:rPr>
          <w:sz w:val="24"/>
          <w:szCs w:val="24"/>
        </w:rPr>
        <w:t>Entre as respostas do capital para enfrentar as crises cíclicas ampliadoras dos níveis de desemprego, pode-se citar “[...] os programas de inclusão produtiva que são dirigidos principalmente a indivíduos em idade laboral que vivem sob condições de vulnerabilidade social” (Silva, 2020, p. 371). Esses podem se materializar pela “formação educacional básica, capacitação técnica e profissionalizante, apoio a microempreendimentos, serviços de intermediação laboral ou até mesmo geração de empregos”; e, também, “v</w:t>
      </w:r>
      <w:r>
        <w:rPr>
          <w:sz w:val="24"/>
          <w:szCs w:val="24"/>
        </w:rPr>
        <w:t>ia subsídios econômicos a empresas para contratação de determinados segmentos sociais”</w:t>
      </w:r>
      <w:r>
        <w:rPr>
          <w:color w:val="FF00FF"/>
          <w:sz w:val="24"/>
          <w:szCs w:val="24"/>
        </w:rPr>
        <w:t xml:space="preserve"> </w:t>
      </w:r>
      <w:r>
        <w:rPr>
          <w:sz w:val="24"/>
          <w:szCs w:val="24"/>
        </w:rPr>
        <w:t xml:space="preserve">(Silva, 2020b </w:t>
      </w:r>
      <w:r>
        <w:rPr>
          <w:i/>
          <w:sz w:val="24"/>
          <w:szCs w:val="24"/>
        </w:rPr>
        <w:t xml:space="preserve">apud </w:t>
      </w:r>
      <w:r>
        <w:rPr>
          <w:sz w:val="24"/>
          <w:szCs w:val="24"/>
        </w:rPr>
        <w:t>Silva, 2020, p. 371).</w:t>
      </w:r>
    </w:p>
    <w:p w14:paraId="6DB37E89" w14:textId="0BC78332" w:rsidR="00235AE9" w:rsidRDefault="009026B5" w:rsidP="00127546">
      <w:pPr>
        <w:spacing w:line="360" w:lineRule="auto"/>
        <w:ind w:leftChars="0" w:firstLineChars="0" w:firstLine="720"/>
        <w:jc w:val="both"/>
        <w:rPr>
          <w:sz w:val="24"/>
          <w:szCs w:val="24"/>
        </w:rPr>
      </w:pPr>
      <w:r>
        <w:rPr>
          <w:sz w:val="24"/>
          <w:szCs w:val="24"/>
        </w:rPr>
        <w:t xml:space="preserve">Na análise de Dornelles, </w:t>
      </w:r>
      <w:proofErr w:type="spellStart"/>
      <w:r>
        <w:rPr>
          <w:sz w:val="24"/>
          <w:szCs w:val="24"/>
        </w:rPr>
        <w:t>Panozzo</w:t>
      </w:r>
      <w:proofErr w:type="spellEnd"/>
      <w:r>
        <w:rPr>
          <w:sz w:val="24"/>
          <w:szCs w:val="24"/>
        </w:rPr>
        <w:t xml:space="preserve"> e Reis (2016, p. 4), “para muitos jovens o emprego pode ser considerado o principal acesso à inclusão social, possibilitando-lhes manter as necessidades básicas e o acesso à proteção social, além de desenvolver o sentimento de pertencimento”; esse percurso decorre dos efeitos do aumento das desigualdades mediante a defesa da competição e do individualismo.</w:t>
      </w:r>
      <w:r>
        <w:rPr>
          <w:color w:val="FF00FF"/>
          <w:sz w:val="24"/>
          <w:szCs w:val="24"/>
        </w:rPr>
        <w:t xml:space="preserve"> </w:t>
      </w:r>
      <w:r>
        <w:rPr>
          <w:sz w:val="24"/>
          <w:szCs w:val="24"/>
        </w:rPr>
        <w:t>É a partir desta linha reflexiva desenvolvida até aqui que, na próxima seção deste artigo, será abordada a narrativa da perspectiva neoliberal so</w:t>
      </w:r>
      <w:r>
        <w:rPr>
          <w:sz w:val="24"/>
          <w:szCs w:val="24"/>
        </w:rPr>
        <w:t xml:space="preserve">bre a inclusão social pela via do mercado de trabalho. Tem-se como </w:t>
      </w:r>
      <w:r w:rsidR="006448FA">
        <w:rPr>
          <w:sz w:val="24"/>
          <w:szCs w:val="24"/>
        </w:rPr>
        <w:t>finalidade expor</w:t>
      </w:r>
      <w:r>
        <w:rPr>
          <w:sz w:val="24"/>
          <w:szCs w:val="24"/>
        </w:rPr>
        <w:t xml:space="preserve"> as contradições da narrativa da inclusão produtiva no contexto contemporâneo.</w:t>
      </w:r>
    </w:p>
    <w:p w14:paraId="1A0A3B2B" w14:textId="77777777" w:rsidR="00235AE9" w:rsidRDefault="00235AE9">
      <w:pPr>
        <w:spacing w:line="360" w:lineRule="auto"/>
        <w:ind w:left="0" w:hanging="2"/>
        <w:jc w:val="both"/>
        <w:rPr>
          <w:sz w:val="24"/>
          <w:szCs w:val="24"/>
        </w:rPr>
      </w:pPr>
    </w:p>
    <w:p w14:paraId="158C9B98" w14:textId="77777777" w:rsidR="00235AE9" w:rsidRDefault="009026B5">
      <w:pPr>
        <w:spacing w:line="240" w:lineRule="auto"/>
        <w:ind w:left="0" w:hanging="2"/>
        <w:jc w:val="both"/>
        <w:rPr>
          <w:b/>
          <w:sz w:val="24"/>
          <w:szCs w:val="24"/>
        </w:rPr>
      </w:pPr>
      <w:r>
        <w:rPr>
          <w:b/>
          <w:sz w:val="24"/>
          <w:szCs w:val="24"/>
        </w:rPr>
        <w:t>3 AS CONTRADIÇÕES DA INCLUSÃO SOCIAL VIA MERCADO DE TRABALHO</w:t>
      </w:r>
    </w:p>
    <w:p w14:paraId="4E39C7D2" w14:textId="77777777" w:rsidR="00235AE9" w:rsidRDefault="009026B5">
      <w:pPr>
        <w:spacing w:line="240" w:lineRule="auto"/>
        <w:ind w:left="0" w:hanging="2"/>
        <w:jc w:val="both"/>
        <w:rPr>
          <w:b/>
          <w:sz w:val="24"/>
          <w:szCs w:val="24"/>
          <w:highlight w:val="yellow"/>
        </w:rPr>
      </w:pPr>
      <w:r>
        <w:rPr>
          <w:b/>
          <w:sz w:val="24"/>
          <w:szCs w:val="24"/>
        </w:rPr>
        <w:t xml:space="preserve"> </w:t>
      </w:r>
    </w:p>
    <w:p w14:paraId="19B3A692" w14:textId="77777777" w:rsidR="00235AE9" w:rsidRDefault="009026B5" w:rsidP="006448FA">
      <w:pPr>
        <w:spacing w:line="360" w:lineRule="auto"/>
        <w:ind w:left="-2" w:firstLineChars="0" w:firstLine="720"/>
        <w:jc w:val="both"/>
        <w:rPr>
          <w:sz w:val="24"/>
          <w:szCs w:val="24"/>
        </w:rPr>
      </w:pPr>
      <w:r>
        <w:rPr>
          <w:sz w:val="24"/>
          <w:szCs w:val="24"/>
        </w:rPr>
        <w:lastRenderedPageBreak/>
        <w:t xml:space="preserve">No capitalismo, sob a égide da globalização e as subsequentes repercussões na vida da classe trabalhadora, surgem políticas sociais desenhadas sob o ideário neoliberal. Conforme </w:t>
      </w:r>
      <w:proofErr w:type="spellStart"/>
      <w:r>
        <w:rPr>
          <w:sz w:val="24"/>
          <w:szCs w:val="24"/>
        </w:rPr>
        <w:t>Burginski</w:t>
      </w:r>
      <w:proofErr w:type="spellEnd"/>
      <w:r>
        <w:rPr>
          <w:sz w:val="24"/>
          <w:szCs w:val="24"/>
        </w:rPr>
        <w:t xml:space="preserve"> (2018, p. 409), a AL foi onde se experienciou o neoliberalismo antes de sua expansão global, isto é, “considerado um laboratório [...] o Chile experimentou o neoliberalismo no governo militar do general Pinochet, sendo o pioneiro na história contemporânea”. Na mesma linha de análise, Siqueira (2013) refere que diferente de outras correntes </w:t>
      </w:r>
      <w:proofErr w:type="spellStart"/>
      <w:r>
        <w:rPr>
          <w:sz w:val="24"/>
          <w:szCs w:val="24"/>
        </w:rPr>
        <w:t>ideopolíticas</w:t>
      </w:r>
      <w:proofErr w:type="spellEnd"/>
      <w:r>
        <w:rPr>
          <w:sz w:val="24"/>
          <w:szCs w:val="24"/>
        </w:rPr>
        <w:t>, o ideário neoliberal começa a adentrar no debate da cena mundial após a segunda guerra-mundial, no contexto de ascensão das políticas keynesianas</w:t>
      </w:r>
      <w:r>
        <w:rPr>
          <w:sz w:val="24"/>
          <w:szCs w:val="24"/>
        </w:rPr>
        <w:t xml:space="preserve">. Entre os doutrinadores, destaca-se que Hayek foi o expoente das ideias individualistas do que viria a ser chamado de neoliberalismo a partir das crises dos anos de 1970 e 1980. </w:t>
      </w:r>
    </w:p>
    <w:p w14:paraId="1C09FC5E" w14:textId="77777777" w:rsidR="00235AE9" w:rsidRDefault="009026B5" w:rsidP="006448FA">
      <w:pPr>
        <w:spacing w:line="360" w:lineRule="auto"/>
        <w:ind w:left="-2" w:firstLineChars="0" w:firstLine="720"/>
        <w:jc w:val="both"/>
        <w:rPr>
          <w:color w:val="9900FF"/>
          <w:sz w:val="24"/>
          <w:szCs w:val="24"/>
        </w:rPr>
      </w:pPr>
      <w:r>
        <w:rPr>
          <w:sz w:val="24"/>
          <w:szCs w:val="24"/>
        </w:rPr>
        <w:t>O pensamento neoliberal pressupõe a defesa de um Estado mínimo intervencionista e de um livre mercado, por meio de sua desregulamentação, da rejeição à igualdade e do direito universal (Siqueira, 2013). Apesar de ser a doutrina estatal incorporada pela maioria dos Estados, sobretudo na AL, tal receituário adapta-se frente às crises cíclicas. Assim, surge o neodesenvolvimentismo e neokeynesianismo enquanto formas distintas de operacionalização do neoliberalismo (</w:t>
      </w:r>
      <w:proofErr w:type="spellStart"/>
      <w:r>
        <w:rPr>
          <w:sz w:val="24"/>
          <w:szCs w:val="24"/>
        </w:rPr>
        <w:t>Burginski</w:t>
      </w:r>
      <w:proofErr w:type="spellEnd"/>
      <w:r>
        <w:rPr>
          <w:sz w:val="24"/>
          <w:szCs w:val="24"/>
        </w:rPr>
        <w:t>, 2018).</w:t>
      </w:r>
      <w:r>
        <w:rPr>
          <w:color w:val="9900FF"/>
          <w:sz w:val="24"/>
          <w:szCs w:val="24"/>
        </w:rPr>
        <w:t xml:space="preserve"> </w:t>
      </w:r>
    </w:p>
    <w:p w14:paraId="46236702" w14:textId="77777777" w:rsidR="00235AE9" w:rsidRDefault="009026B5" w:rsidP="006448FA">
      <w:pPr>
        <w:spacing w:line="360" w:lineRule="auto"/>
        <w:ind w:left="-2" w:firstLineChars="0" w:firstLine="720"/>
        <w:jc w:val="both"/>
        <w:rPr>
          <w:sz w:val="24"/>
          <w:szCs w:val="24"/>
        </w:rPr>
      </w:pPr>
      <w:r>
        <w:rPr>
          <w:color w:val="9900FF"/>
          <w:sz w:val="24"/>
          <w:szCs w:val="24"/>
        </w:rPr>
        <w:t xml:space="preserve"> </w:t>
      </w:r>
      <w:r>
        <w:rPr>
          <w:sz w:val="24"/>
          <w:szCs w:val="24"/>
        </w:rPr>
        <w:t xml:space="preserve">Portanto, o cerne dessas políticas </w:t>
      </w:r>
      <w:r>
        <w:rPr>
          <w:sz w:val="24"/>
          <w:szCs w:val="24"/>
        </w:rPr>
        <w:t>sugeridas por órgãos multilaterais e desencadeadas pelos Estados, tem por fundamento a focalização e seletividade no campo da formulação e acesso das políticas de proteção social, tal qual o contínuo desfinanciamento destas; o que, ao mesmo tempo, manifesta moralmente a responsabilização do sujeito considerado como indivíduo perante sua condição social, dada as supostas liberdades jurídicas e formais concedidas. De tal maneira, o sujeito deve participar ativamente – na realidade passivamente – da equação pr</w:t>
      </w:r>
      <w:r>
        <w:rPr>
          <w:sz w:val="24"/>
          <w:szCs w:val="24"/>
        </w:rPr>
        <w:t>otetiva promovida entre Estado-Mercado-Sociedade Civil (Rezende, 2023).</w:t>
      </w:r>
    </w:p>
    <w:p w14:paraId="57338ECB" w14:textId="77777777" w:rsidR="00235AE9" w:rsidRDefault="009026B5" w:rsidP="006448FA">
      <w:pPr>
        <w:spacing w:line="360" w:lineRule="auto"/>
        <w:ind w:left="-2" w:firstLineChars="0" w:firstLine="720"/>
        <w:jc w:val="both"/>
        <w:rPr>
          <w:sz w:val="24"/>
          <w:szCs w:val="24"/>
        </w:rPr>
      </w:pPr>
      <w:r>
        <w:rPr>
          <w:sz w:val="24"/>
          <w:szCs w:val="24"/>
        </w:rPr>
        <w:t xml:space="preserve">Esta questão se expressa na discussão da suposta inclusão social pela via do mercado de trabalho, por meio de políticas de inclusão produtiva, tanto pela narrativa da Comissão Econômica para AL e Caribe (CEPAL), quanto pelas políticas </w:t>
      </w:r>
      <w:r>
        <w:rPr>
          <w:sz w:val="24"/>
          <w:szCs w:val="24"/>
        </w:rPr>
        <w:lastRenderedPageBreak/>
        <w:t>materializadas no continente. Esses programas têm como finalidade atingir a população pobre por meio da qualificação profissional, promovendo sua inserção no mercado de trabalho e oferecendo oportunidades para que os sujeitos superem as situações de vulnerabilidade (Silva, 2020). Entende-se que essas premissas revelam a contradição da narrativa neoliberal no que tange a ideia de que a qualificação profissional – como uma prerrogativa centrada no desenvolvimento das capacidades dos sujeitos – por si só, se c</w:t>
      </w:r>
      <w:r>
        <w:rPr>
          <w:sz w:val="24"/>
          <w:szCs w:val="24"/>
        </w:rPr>
        <w:t xml:space="preserve">oloca suficiente para a sua inserção no mercado de </w:t>
      </w:r>
      <w:proofErr w:type="gramStart"/>
      <w:r>
        <w:rPr>
          <w:sz w:val="24"/>
          <w:szCs w:val="24"/>
        </w:rPr>
        <w:t>trabalho,  sendo</w:t>
      </w:r>
      <w:proofErr w:type="gramEnd"/>
      <w:r>
        <w:rPr>
          <w:sz w:val="24"/>
          <w:szCs w:val="24"/>
        </w:rPr>
        <w:t xml:space="preserve"> esse último referido como um meio para a inclusão social.  </w:t>
      </w:r>
    </w:p>
    <w:p w14:paraId="6FF9DE21" w14:textId="77777777" w:rsidR="00235AE9" w:rsidRDefault="009026B5" w:rsidP="006448FA">
      <w:pPr>
        <w:widowControl w:val="0"/>
        <w:spacing w:line="360" w:lineRule="auto"/>
        <w:ind w:left="-2" w:firstLineChars="0" w:firstLine="720"/>
        <w:jc w:val="both"/>
        <w:rPr>
          <w:sz w:val="24"/>
          <w:szCs w:val="24"/>
        </w:rPr>
      </w:pPr>
      <w:r>
        <w:rPr>
          <w:sz w:val="24"/>
          <w:szCs w:val="24"/>
        </w:rPr>
        <w:t>Sobre o tema, na perspectiva Cepalina, a inclusão laboral é um dos pontos fundamentais da proteção social, tendo em vista o desenvolvimento econômico das sociedades. Com isso, “é um requisito para consolidar sistemas sustentáveis e resilientes, pois implica simultaneamente que se garantam a inserção no mercado e algumas condições de trabalho decente, com acesso garantido à proteção social” (CEPAL, 2024, p. 141, tradução nossa). Sua construção ocorre a partir da análise e projeção da melhoria dessas camadas:</w:t>
      </w:r>
      <w:r>
        <w:rPr>
          <w:sz w:val="24"/>
          <w:szCs w:val="24"/>
        </w:rPr>
        <w:t xml:space="preserve"> a inserção laboral, referente às barreiras que dificultam a sua presença, e as condições de trabalho, acerca das dificuldades para acessar o emprego decente (CEPAL, 2024). </w:t>
      </w:r>
    </w:p>
    <w:p w14:paraId="5FCB96C4" w14:textId="77777777" w:rsidR="00235AE9" w:rsidRDefault="009026B5" w:rsidP="006448FA">
      <w:pPr>
        <w:tabs>
          <w:tab w:val="left" w:pos="-2694"/>
        </w:tabs>
        <w:spacing w:line="360" w:lineRule="auto"/>
        <w:ind w:left="-2" w:firstLineChars="0" w:firstLine="720"/>
        <w:jc w:val="both"/>
        <w:rPr>
          <w:sz w:val="24"/>
          <w:szCs w:val="24"/>
        </w:rPr>
      </w:pPr>
      <w:r>
        <w:rPr>
          <w:sz w:val="24"/>
          <w:szCs w:val="24"/>
        </w:rPr>
        <w:t xml:space="preserve">Em vista disso, os programas de inclusão no mercado de trabalho, principalmente os programas para jovens, têm como objetivos: promover a inclusão social e educacional, incentivando a conclusão do ensino básico; qualificar por meio de experiências práticas; facilitar a transição para o mercado de trabalho através de orientações, estágios, programas de aprendizagem e apoio à empregabilidade (Dornelles; </w:t>
      </w:r>
      <w:proofErr w:type="spellStart"/>
      <w:r>
        <w:rPr>
          <w:sz w:val="24"/>
          <w:szCs w:val="24"/>
        </w:rPr>
        <w:t>Panozzo</w:t>
      </w:r>
      <w:proofErr w:type="spellEnd"/>
      <w:r>
        <w:rPr>
          <w:sz w:val="24"/>
          <w:szCs w:val="24"/>
        </w:rPr>
        <w:t xml:space="preserve">; Reis; 2016). Essas ações se materializam, por exemplo, pelos programas como o </w:t>
      </w:r>
      <w:proofErr w:type="spellStart"/>
      <w:r>
        <w:rPr>
          <w:sz w:val="24"/>
          <w:szCs w:val="24"/>
        </w:rPr>
        <w:t>Projovem</w:t>
      </w:r>
      <w:proofErr w:type="spellEnd"/>
      <w:r>
        <w:rPr>
          <w:sz w:val="24"/>
          <w:szCs w:val="24"/>
        </w:rPr>
        <w:t xml:space="preserve"> e o Pronatec. </w:t>
      </w:r>
    </w:p>
    <w:p w14:paraId="2063C3EF" w14:textId="77777777" w:rsidR="00235AE9" w:rsidRDefault="009026B5" w:rsidP="006448FA">
      <w:pPr>
        <w:tabs>
          <w:tab w:val="left" w:pos="-2694"/>
        </w:tabs>
        <w:spacing w:line="360" w:lineRule="auto"/>
        <w:ind w:left="-2" w:firstLineChars="0" w:firstLine="720"/>
        <w:jc w:val="both"/>
        <w:rPr>
          <w:b/>
          <w:sz w:val="24"/>
          <w:szCs w:val="24"/>
        </w:rPr>
      </w:pPr>
      <w:r>
        <w:rPr>
          <w:sz w:val="24"/>
          <w:szCs w:val="24"/>
        </w:rPr>
        <w:t xml:space="preserve">No </w:t>
      </w:r>
      <w:proofErr w:type="spellStart"/>
      <w:r>
        <w:rPr>
          <w:sz w:val="24"/>
          <w:szCs w:val="24"/>
        </w:rPr>
        <w:t>Projovem</w:t>
      </w:r>
      <w:proofErr w:type="spellEnd"/>
      <w:r>
        <w:rPr>
          <w:sz w:val="24"/>
          <w:szCs w:val="24"/>
        </w:rPr>
        <w:t xml:space="preserve">, são escolhidos conteúdos de acordo com as particularidades dos jovens, procurando construir uma formação de sujeitos conscientes e ativos – esses </w:t>
      </w:r>
      <w:proofErr w:type="spellStart"/>
      <w:r>
        <w:rPr>
          <w:sz w:val="24"/>
          <w:szCs w:val="24"/>
        </w:rPr>
        <w:t>conteúdos</w:t>
      </w:r>
      <w:proofErr w:type="spellEnd"/>
      <w:r>
        <w:rPr>
          <w:sz w:val="24"/>
          <w:szCs w:val="24"/>
        </w:rPr>
        <w:t xml:space="preserve"> não são apenas teóricos, mas também práticos – ferramentas promotoras da inclusão social</w:t>
      </w:r>
      <w:r>
        <w:rPr>
          <w:b/>
          <w:sz w:val="24"/>
          <w:szCs w:val="24"/>
        </w:rPr>
        <w:t xml:space="preserve"> </w:t>
      </w:r>
      <w:r>
        <w:rPr>
          <w:sz w:val="24"/>
          <w:szCs w:val="24"/>
        </w:rPr>
        <w:t xml:space="preserve">(Brasil, 2009 </w:t>
      </w:r>
      <w:r>
        <w:rPr>
          <w:i/>
          <w:sz w:val="24"/>
          <w:szCs w:val="24"/>
        </w:rPr>
        <w:t xml:space="preserve">apud </w:t>
      </w:r>
      <w:r>
        <w:rPr>
          <w:sz w:val="24"/>
          <w:szCs w:val="24"/>
        </w:rPr>
        <w:t xml:space="preserve">Nascimento; Rosa, 2016). Em relação ao Pronatec, este tem como objetivos: democratizar o acesso à Educação Profissional; </w:t>
      </w:r>
      <w:r>
        <w:rPr>
          <w:sz w:val="24"/>
          <w:szCs w:val="24"/>
        </w:rPr>
        <w:lastRenderedPageBreak/>
        <w:t>investir na melhoria das condições infraestruturais das redes estaduais; oferecer oportunidades de qualificação; fort</w:t>
      </w:r>
      <w:r>
        <w:rPr>
          <w:sz w:val="24"/>
          <w:szCs w:val="24"/>
        </w:rPr>
        <w:t xml:space="preserve">alecer os recursos pedagógicos; e contribuir para a melhoria da qualidade do Ensino Médio. Tais objetivos são concretizados através de diferentes ações, iniciativas e projetos (Brasil, 2011 </w:t>
      </w:r>
      <w:r>
        <w:rPr>
          <w:i/>
          <w:sz w:val="24"/>
          <w:szCs w:val="24"/>
        </w:rPr>
        <w:t xml:space="preserve">apud </w:t>
      </w:r>
      <w:r>
        <w:rPr>
          <w:sz w:val="24"/>
          <w:szCs w:val="24"/>
        </w:rPr>
        <w:t>Pereira; Oliveira, 2019).</w:t>
      </w:r>
    </w:p>
    <w:p w14:paraId="2E605C6D" w14:textId="77777777" w:rsidR="00235AE9" w:rsidRDefault="009026B5" w:rsidP="006448FA">
      <w:pPr>
        <w:tabs>
          <w:tab w:val="left" w:pos="-2694"/>
        </w:tabs>
        <w:spacing w:line="360" w:lineRule="auto"/>
        <w:ind w:left="-2" w:firstLineChars="0" w:firstLine="720"/>
        <w:jc w:val="both"/>
        <w:rPr>
          <w:sz w:val="24"/>
          <w:szCs w:val="24"/>
        </w:rPr>
      </w:pPr>
      <w:r>
        <w:rPr>
          <w:sz w:val="24"/>
          <w:szCs w:val="24"/>
        </w:rPr>
        <w:t>Perante isto, denotam-se eminentes contradições no discurso neoliberal de inclusão social via mercado laboral. Desde seus princípios doutrinadores que se chocam às narrativas elaboradas de erradicação da pobreza, de fortalecimento da participação estatal e do suposto pertencimento a partir da capacitação e qualificação. As políticas de inclusão produtiva costumam ser apresentadas como caminho para promover o desenvolvimento social e o sentimento de pertencimento na sociedade. Porém, muitas vezes estas escon</w:t>
      </w:r>
      <w:r>
        <w:rPr>
          <w:sz w:val="24"/>
          <w:szCs w:val="24"/>
        </w:rPr>
        <w:t xml:space="preserve">dem contradições: exigem que cada indivíduo se encaixe em padrões produtivistas, onde só participa quem consegue atender aos critérios do mercado. Ao invés de gerar um campo mais justo e igualitário, reforçam o individualismo e culpabilizam o sujeito por sua “exclusão”. </w:t>
      </w:r>
    </w:p>
    <w:p w14:paraId="41C688B4" w14:textId="77777777" w:rsidR="00235AE9" w:rsidRDefault="009026B5" w:rsidP="006448FA">
      <w:pPr>
        <w:tabs>
          <w:tab w:val="left" w:pos="-2694"/>
        </w:tabs>
        <w:spacing w:line="360" w:lineRule="auto"/>
        <w:ind w:left="-2" w:firstLineChars="0" w:firstLine="720"/>
        <w:jc w:val="both"/>
        <w:rPr>
          <w:sz w:val="24"/>
          <w:szCs w:val="24"/>
        </w:rPr>
      </w:pPr>
      <w:r>
        <w:rPr>
          <w:sz w:val="24"/>
          <w:szCs w:val="24"/>
        </w:rPr>
        <w:t xml:space="preserve">Dessa maneira, tais políticas não combatem as desigualdades sociais, mas mitigam o pauperismo absoluto e defendem a suposta democratização (técnica) da educação e do trabalho estranhado. Assim, </w:t>
      </w:r>
      <w:proofErr w:type="gramStart"/>
      <w:r>
        <w:rPr>
          <w:sz w:val="24"/>
          <w:szCs w:val="24"/>
        </w:rPr>
        <w:t>a  supervalorização</w:t>
      </w:r>
      <w:proofErr w:type="gramEnd"/>
      <w:r>
        <w:rPr>
          <w:sz w:val="24"/>
          <w:szCs w:val="24"/>
        </w:rPr>
        <w:t xml:space="preserve"> de ações políticas de teor neoliberal retira a atenção da necessidade de políticas sociais estruturantes que vislumbram a transformação da estrutura social brasileira de desigualdades.</w:t>
      </w:r>
    </w:p>
    <w:p w14:paraId="787749B0" w14:textId="77777777" w:rsidR="00235AE9" w:rsidRDefault="00235AE9">
      <w:pPr>
        <w:tabs>
          <w:tab w:val="left" w:pos="-2694"/>
        </w:tabs>
        <w:spacing w:line="240" w:lineRule="auto"/>
        <w:ind w:left="0" w:hanging="2"/>
        <w:jc w:val="both"/>
        <w:rPr>
          <w:sz w:val="20"/>
          <w:szCs w:val="20"/>
        </w:rPr>
      </w:pPr>
    </w:p>
    <w:p w14:paraId="1352DF26" w14:textId="77777777" w:rsidR="00235AE9" w:rsidRDefault="009026B5">
      <w:pPr>
        <w:spacing w:line="240" w:lineRule="auto"/>
        <w:ind w:left="0" w:hanging="2"/>
        <w:jc w:val="both"/>
        <w:rPr>
          <w:b/>
          <w:sz w:val="24"/>
          <w:szCs w:val="24"/>
        </w:rPr>
      </w:pPr>
      <w:r>
        <w:rPr>
          <w:b/>
          <w:sz w:val="24"/>
          <w:szCs w:val="24"/>
        </w:rPr>
        <w:t>4</w:t>
      </w:r>
      <w:r>
        <w:rPr>
          <w:b/>
          <w:sz w:val="24"/>
          <w:szCs w:val="24"/>
        </w:rPr>
        <w:tab/>
        <w:t>CONCLUSÃO</w:t>
      </w:r>
    </w:p>
    <w:p w14:paraId="6D47722B" w14:textId="77777777" w:rsidR="00235AE9" w:rsidRDefault="00235AE9">
      <w:pPr>
        <w:spacing w:line="240" w:lineRule="auto"/>
        <w:ind w:left="0" w:hanging="2"/>
        <w:jc w:val="both"/>
        <w:rPr>
          <w:b/>
          <w:sz w:val="20"/>
          <w:szCs w:val="20"/>
        </w:rPr>
      </w:pPr>
    </w:p>
    <w:p w14:paraId="68F3D2C1" w14:textId="77777777" w:rsidR="00235AE9" w:rsidRDefault="009026B5" w:rsidP="006448FA">
      <w:pPr>
        <w:tabs>
          <w:tab w:val="left" w:pos="-2694"/>
        </w:tabs>
        <w:spacing w:line="360" w:lineRule="auto"/>
        <w:ind w:left="-2" w:firstLineChars="0" w:firstLine="720"/>
        <w:jc w:val="both"/>
        <w:rPr>
          <w:sz w:val="24"/>
          <w:szCs w:val="24"/>
        </w:rPr>
      </w:pPr>
      <w:r>
        <w:rPr>
          <w:sz w:val="24"/>
          <w:szCs w:val="24"/>
        </w:rPr>
        <w:t xml:space="preserve">A partir deste estudo, constatou-se que a força de trabalho na sociabilidade burguesa é transformada em mera mercadoria, mediante processo de superexploração. O que permite a acumulação capitalista que, por sua vez, na perspectiva de Marx, fomenta a superpopulação relativa ou o denominado exército industrial de reserva. Entretanto, mesmo esta força de trabalho descartada pelo mercado de trabalho, ainda assim contribui para a acumulação capitalista.      </w:t>
      </w:r>
    </w:p>
    <w:p w14:paraId="6CE92F1F" w14:textId="77777777" w:rsidR="00235AE9" w:rsidRDefault="009026B5" w:rsidP="006448FA">
      <w:pPr>
        <w:spacing w:line="360" w:lineRule="auto"/>
        <w:ind w:left="-2" w:firstLineChars="0" w:firstLine="720"/>
        <w:jc w:val="both"/>
        <w:rPr>
          <w:sz w:val="24"/>
          <w:szCs w:val="24"/>
        </w:rPr>
      </w:pPr>
      <w:r>
        <w:rPr>
          <w:sz w:val="24"/>
          <w:szCs w:val="24"/>
        </w:rPr>
        <w:t xml:space="preserve">Tais premissas iluminaram o debate sobre a noção de inclusão produtiva, entendida como uma estratégia contemporânea de enfrentamento da pobreza </w:t>
      </w:r>
      <w:r>
        <w:rPr>
          <w:sz w:val="24"/>
          <w:szCs w:val="24"/>
        </w:rPr>
        <w:lastRenderedPageBreak/>
        <w:t>unidimensional que se baseia unicamente na renda monetária, mediante a idealização de uma futura inserção no mercado de trabalho propulsor do acesso à renda e do consumo. Entretanto, pensar políticas de combate à pobreza exige que se problematize as causas estruturais do fenômeno, caso contrário as políticas de proteção social contribuem para a reprodução do capital e das desigualdades.</w:t>
      </w:r>
    </w:p>
    <w:p w14:paraId="48C19F83" w14:textId="699DAAFE" w:rsidR="00235AE9" w:rsidRDefault="009026B5" w:rsidP="006448FA">
      <w:pPr>
        <w:tabs>
          <w:tab w:val="left" w:pos="-2694"/>
        </w:tabs>
        <w:spacing w:line="360" w:lineRule="auto"/>
        <w:ind w:left="-2" w:firstLineChars="0" w:firstLine="720"/>
        <w:jc w:val="both"/>
        <w:rPr>
          <w:sz w:val="24"/>
          <w:szCs w:val="24"/>
        </w:rPr>
      </w:pPr>
      <w:r>
        <w:rPr>
          <w:sz w:val="24"/>
          <w:szCs w:val="24"/>
        </w:rPr>
        <w:t>Ficou nítido, então, que a narrativa neoliberal associa programas de inclusão produtiva à qualificação profissional e à inclusão social por meio da suposta integração no mercado de trabalho. Propaga-se a ideia de que ao concluir os cursos técnicos e de curta duração, a expectativa é de que funcionem como um passaporte para o acesso ao trabalho formal ou ao autoemprego. No entanto, as barreiras para se conquistar oportunidades de emprego, mesmo quando se possui formação ou qualificação profissional, evidenci</w:t>
      </w:r>
      <w:r>
        <w:rPr>
          <w:sz w:val="24"/>
          <w:szCs w:val="24"/>
        </w:rPr>
        <w:t>a as causas estruturais do desemprego. Ao relacionar o fracasso para inserção laboral à falta de esforço ou de competência pessoal, encobre-se a origem dos ditos descartáveis do mercado de trabalho, que estão profundamente vinculados ao trabalho estranhado e às contradições estruturais do capitalismo enquanto sistema socioeconômico.</w:t>
      </w:r>
    </w:p>
    <w:p w14:paraId="47114A1E" w14:textId="77777777" w:rsidR="00235AE9" w:rsidRDefault="00235AE9">
      <w:pPr>
        <w:tabs>
          <w:tab w:val="left" w:pos="-2694"/>
        </w:tabs>
        <w:spacing w:line="360" w:lineRule="auto"/>
        <w:ind w:left="0" w:hanging="2"/>
        <w:jc w:val="both"/>
        <w:rPr>
          <w:sz w:val="24"/>
          <w:szCs w:val="24"/>
        </w:rPr>
      </w:pPr>
    </w:p>
    <w:p w14:paraId="7D553F74" w14:textId="77777777" w:rsidR="00235AE9" w:rsidRDefault="009026B5">
      <w:pPr>
        <w:spacing w:line="240" w:lineRule="auto"/>
        <w:ind w:left="0" w:hanging="2"/>
        <w:jc w:val="center"/>
        <w:rPr>
          <w:sz w:val="24"/>
          <w:szCs w:val="24"/>
        </w:rPr>
      </w:pPr>
      <w:r>
        <w:rPr>
          <w:b/>
          <w:sz w:val="24"/>
          <w:szCs w:val="24"/>
        </w:rPr>
        <w:t>REFERÊNCIAS</w:t>
      </w:r>
    </w:p>
    <w:p w14:paraId="4A704E2F" w14:textId="77777777" w:rsidR="00235AE9" w:rsidRDefault="009026B5">
      <w:pPr>
        <w:spacing w:line="240" w:lineRule="auto"/>
        <w:ind w:left="0" w:hanging="2"/>
        <w:rPr>
          <w:sz w:val="24"/>
          <w:szCs w:val="24"/>
        </w:rPr>
      </w:pPr>
      <w:r>
        <w:rPr>
          <w:sz w:val="24"/>
          <w:szCs w:val="24"/>
        </w:rPr>
        <w:t xml:space="preserve">ANTUNES, R. O caráter polissêmico e multifacetado do mundo do trabalho. </w:t>
      </w:r>
      <w:r>
        <w:rPr>
          <w:b/>
          <w:sz w:val="24"/>
          <w:szCs w:val="24"/>
        </w:rPr>
        <w:t>Trabalho, Educação e Saúde</w:t>
      </w:r>
      <w:r>
        <w:rPr>
          <w:sz w:val="24"/>
          <w:szCs w:val="24"/>
        </w:rPr>
        <w:t xml:space="preserve">, Rio de Janeiro, v. 1, n. 2, p. 229-237, set. 2003. Disponível em: </w:t>
      </w:r>
      <w:hyperlink r:id="rId7">
        <w:r w:rsidR="00235AE9">
          <w:rPr>
            <w:color w:val="1155CC"/>
            <w:sz w:val="24"/>
            <w:szCs w:val="24"/>
            <w:u w:val="single"/>
          </w:rPr>
          <w:t>https://www.scielo.br/j/tes/a/jGSb8jWJPtWKnTjcHw8B7Cn/?format=pdf&amp;lang=pt</w:t>
        </w:r>
      </w:hyperlink>
      <w:r>
        <w:rPr>
          <w:sz w:val="24"/>
          <w:szCs w:val="24"/>
        </w:rPr>
        <w:t>. Acesso em: 18 maio 2025.</w:t>
      </w:r>
    </w:p>
    <w:p w14:paraId="51744374" w14:textId="77777777" w:rsidR="00235AE9" w:rsidRDefault="00235AE9">
      <w:pPr>
        <w:spacing w:line="240" w:lineRule="auto"/>
        <w:ind w:left="0" w:hanging="2"/>
        <w:rPr>
          <w:sz w:val="24"/>
          <w:szCs w:val="24"/>
        </w:rPr>
      </w:pPr>
    </w:p>
    <w:p w14:paraId="744CA5EF" w14:textId="77777777" w:rsidR="00235AE9" w:rsidRDefault="009026B5">
      <w:pPr>
        <w:spacing w:line="240" w:lineRule="auto"/>
        <w:ind w:left="0" w:hanging="2"/>
        <w:rPr>
          <w:sz w:val="24"/>
          <w:szCs w:val="24"/>
        </w:rPr>
      </w:pPr>
      <w:r>
        <w:rPr>
          <w:sz w:val="24"/>
          <w:szCs w:val="24"/>
        </w:rPr>
        <w:t xml:space="preserve">ANTUNES, R. </w:t>
      </w:r>
      <w:r>
        <w:rPr>
          <w:b/>
          <w:sz w:val="24"/>
          <w:szCs w:val="24"/>
        </w:rPr>
        <w:t xml:space="preserve">O privilégio da servidão: </w:t>
      </w:r>
      <w:r>
        <w:rPr>
          <w:sz w:val="24"/>
          <w:szCs w:val="24"/>
        </w:rPr>
        <w:t>o novo proletariado de serviços na era digital. São Paulo: Boitempo, 2018.</w:t>
      </w:r>
    </w:p>
    <w:p w14:paraId="3B86B823" w14:textId="77777777" w:rsidR="00235AE9" w:rsidRDefault="00235AE9">
      <w:pPr>
        <w:spacing w:line="240" w:lineRule="auto"/>
        <w:ind w:left="0" w:hanging="2"/>
        <w:rPr>
          <w:sz w:val="24"/>
          <w:szCs w:val="24"/>
        </w:rPr>
      </w:pPr>
    </w:p>
    <w:p w14:paraId="3A52E95D" w14:textId="77777777" w:rsidR="00235AE9" w:rsidRDefault="009026B5">
      <w:pPr>
        <w:spacing w:line="240" w:lineRule="auto"/>
        <w:ind w:left="0" w:hanging="2"/>
        <w:rPr>
          <w:sz w:val="24"/>
          <w:szCs w:val="24"/>
        </w:rPr>
      </w:pPr>
      <w:r>
        <w:rPr>
          <w:sz w:val="24"/>
          <w:szCs w:val="24"/>
        </w:rPr>
        <w:t xml:space="preserve">BURGINSKI, V. M. Neokeynesianismo e neodesenvolvimentismo: expressões ideológicas do Estado neoliberal. </w:t>
      </w:r>
      <w:proofErr w:type="spellStart"/>
      <w:r>
        <w:rPr>
          <w:b/>
          <w:sz w:val="24"/>
          <w:szCs w:val="24"/>
        </w:rPr>
        <w:t>Katálysis</w:t>
      </w:r>
      <w:proofErr w:type="spellEnd"/>
      <w:r>
        <w:rPr>
          <w:sz w:val="24"/>
          <w:szCs w:val="24"/>
        </w:rPr>
        <w:t xml:space="preserve">, Florianópolis, v. 21, n. 2, p. 406-415, 2018. Disponível em: </w:t>
      </w:r>
      <w:hyperlink r:id="rId8">
        <w:r w:rsidR="00235AE9">
          <w:rPr>
            <w:color w:val="1155CC"/>
            <w:sz w:val="24"/>
            <w:szCs w:val="24"/>
            <w:u w:val="single"/>
          </w:rPr>
          <w:t>https://www.scielo.br/j/rk/a/jsbkNBYyhytyPmc4fjkZhfB/</w:t>
        </w:r>
      </w:hyperlink>
      <w:r>
        <w:rPr>
          <w:sz w:val="24"/>
          <w:szCs w:val="24"/>
        </w:rPr>
        <w:t>. Acesso em: 21 mar. 2025.</w:t>
      </w:r>
    </w:p>
    <w:p w14:paraId="19CF55AD" w14:textId="77777777" w:rsidR="00235AE9" w:rsidRDefault="00235AE9">
      <w:pPr>
        <w:spacing w:line="240" w:lineRule="auto"/>
        <w:ind w:left="0" w:hanging="2"/>
        <w:rPr>
          <w:sz w:val="24"/>
          <w:szCs w:val="24"/>
        </w:rPr>
      </w:pPr>
    </w:p>
    <w:p w14:paraId="42168CDD" w14:textId="77777777" w:rsidR="00235AE9" w:rsidRDefault="009026B5">
      <w:pPr>
        <w:spacing w:line="240" w:lineRule="auto"/>
        <w:ind w:left="0" w:hanging="2"/>
        <w:rPr>
          <w:sz w:val="24"/>
          <w:szCs w:val="24"/>
        </w:rPr>
      </w:pPr>
      <w:r>
        <w:rPr>
          <w:sz w:val="24"/>
          <w:szCs w:val="24"/>
        </w:rPr>
        <w:t xml:space="preserve">CARCANHOLO, M. D. Crise econômica atual e seus impactos para a organização da classe trabalhadora. </w:t>
      </w:r>
      <w:r>
        <w:rPr>
          <w:b/>
          <w:sz w:val="24"/>
          <w:szCs w:val="24"/>
        </w:rPr>
        <w:t>Aurora</w:t>
      </w:r>
      <w:r>
        <w:rPr>
          <w:sz w:val="24"/>
          <w:szCs w:val="24"/>
        </w:rPr>
        <w:t xml:space="preserve">, São Paulo, v. 4, n. 6, ago. 2010. Disponível em: </w:t>
      </w:r>
      <w:hyperlink r:id="rId9">
        <w:r w:rsidR="00235AE9">
          <w:rPr>
            <w:color w:val="1155CC"/>
            <w:sz w:val="24"/>
            <w:szCs w:val="24"/>
            <w:u w:val="single"/>
          </w:rPr>
          <w:t>https://revistas.marilia.unesp.br/index.php/aurora/article/view/1226/1093</w:t>
        </w:r>
      </w:hyperlink>
      <w:r>
        <w:rPr>
          <w:sz w:val="24"/>
          <w:szCs w:val="24"/>
        </w:rPr>
        <w:t>. Acesso: 23 maio 2025.</w:t>
      </w:r>
    </w:p>
    <w:p w14:paraId="7626CAE8" w14:textId="77777777" w:rsidR="00235AE9" w:rsidRDefault="00235AE9">
      <w:pPr>
        <w:spacing w:line="240" w:lineRule="auto"/>
        <w:ind w:left="0" w:hanging="2"/>
        <w:rPr>
          <w:sz w:val="24"/>
          <w:szCs w:val="24"/>
        </w:rPr>
      </w:pPr>
    </w:p>
    <w:p w14:paraId="49431134" w14:textId="77777777" w:rsidR="00235AE9" w:rsidRDefault="009026B5">
      <w:pPr>
        <w:widowControl w:val="0"/>
        <w:spacing w:line="240" w:lineRule="auto"/>
        <w:ind w:left="0" w:hanging="2"/>
        <w:rPr>
          <w:sz w:val="24"/>
          <w:szCs w:val="24"/>
        </w:rPr>
      </w:pPr>
      <w:r>
        <w:rPr>
          <w:sz w:val="24"/>
          <w:szCs w:val="24"/>
        </w:rPr>
        <w:t xml:space="preserve">COMISSÃO ECONÔMICA PARA A AMÉRICA LATINA E O CARIBE (CEPAL). </w:t>
      </w:r>
      <w:r>
        <w:rPr>
          <w:b/>
          <w:sz w:val="24"/>
          <w:szCs w:val="24"/>
        </w:rPr>
        <w:t xml:space="preserve">Panorama Social de América Latina y </w:t>
      </w:r>
      <w:proofErr w:type="spellStart"/>
      <w:r>
        <w:rPr>
          <w:b/>
          <w:sz w:val="24"/>
          <w:szCs w:val="24"/>
        </w:rPr>
        <w:t>el</w:t>
      </w:r>
      <w:proofErr w:type="spellEnd"/>
      <w:r>
        <w:rPr>
          <w:b/>
          <w:sz w:val="24"/>
          <w:szCs w:val="24"/>
        </w:rPr>
        <w:t xml:space="preserve"> Caribe, 2024:</w:t>
      </w:r>
      <w:r>
        <w:rPr>
          <w:sz w:val="24"/>
          <w:szCs w:val="24"/>
        </w:rPr>
        <w:t xml:space="preserve"> </w:t>
      </w:r>
      <w:proofErr w:type="spellStart"/>
      <w:r>
        <w:rPr>
          <w:sz w:val="24"/>
          <w:szCs w:val="24"/>
        </w:rPr>
        <w:t>desafíos</w:t>
      </w:r>
      <w:proofErr w:type="spellEnd"/>
      <w:r>
        <w:rPr>
          <w:sz w:val="24"/>
          <w:szCs w:val="24"/>
        </w:rPr>
        <w:t xml:space="preserve"> de </w:t>
      </w:r>
      <w:proofErr w:type="spellStart"/>
      <w:r>
        <w:rPr>
          <w:sz w:val="24"/>
          <w:szCs w:val="24"/>
        </w:rPr>
        <w:t>la</w:t>
      </w:r>
      <w:proofErr w:type="spellEnd"/>
      <w:r>
        <w:rPr>
          <w:sz w:val="24"/>
          <w:szCs w:val="24"/>
        </w:rPr>
        <w:t xml:space="preserve"> </w:t>
      </w:r>
      <w:proofErr w:type="spellStart"/>
      <w:r>
        <w:rPr>
          <w:sz w:val="24"/>
          <w:szCs w:val="24"/>
        </w:rPr>
        <w:t>protección</w:t>
      </w:r>
      <w:proofErr w:type="spellEnd"/>
      <w:r>
        <w:rPr>
          <w:sz w:val="24"/>
          <w:szCs w:val="24"/>
        </w:rPr>
        <w:t xml:space="preserve"> social no contributiva para </w:t>
      </w:r>
      <w:proofErr w:type="spellStart"/>
      <w:r>
        <w:rPr>
          <w:sz w:val="24"/>
          <w:szCs w:val="24"/>
        </w:rPr>
        <w:t>avanzar</w:t>
      </w:r>
      <w:proofErr w:type="spellEnd"/>
      <w:r>
        <w:rPr>
          <w:sz w:val="24"/>
          <w:szCs w:val="24"/>
        </w:rPr>
        <w:t xml:space="preserve"> </w:t>
      </w:r>
      <w:proofErr w:type="spellStart"/>
      <w:r>
        <w:rPr>
          <w:sz w:val="24"/>
          <w:szCs w:val="24"/>
        </w:rPr>
        <w:t>hacia</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desarrollo</w:t>
      </w:r>
      <w:proofErr w:type="spellEnd"/>
      <w:r>
        <w:rPr>
          <w:sz w:val="24"/>
          <w:szCs w:val="24"/>
        </w:rPr>
        <w:t xml:space="preserve"> social inclusivo. Santiago: ONU, 2024. Disponível em: </w:t>
      </w:r>
      <w:hyperlink r:id="rId10">
        <w:r w:rsidR="00235AE9">
          <w:rPr>
            <w:color w:val="1155CC"/>
            <w:sz w:val="24"/>
            <w:szCs w:val="24"/>
            <w:u w:val="single"/>
          </w:rPr>
          <w:t>https://repositorio.cepal.org/server/api/core/bitstreams/950fc6d4-2795-4db9-9d98-b2cf3b4646ad/content</w:t>
        </w:r>
      </w:hyperlink>
      <w:r>
        <w:rPr>
          <w:sz w:val="24"/>
          <w:szCs w:val="24"/>
        </w:rPr>
        <w:t>. Acesso em: 30 maio 2025.</w:t>
      </w:r>
    </w:p>
    <w:p w14:paraId="2CF7D986" w14:textId="77777777" w:rsidR="00235AE9" w:rsidRDefault="00235AE9">
      <w:pPr>
        <w:spacing w:line="240" w:lineRule="auto"/>
        <w:ind w:left="0" w:hanging="2"/>
        <w:rPr>
          <w:sz w:val="24"/>
          <w:szCs w:val="24"/>
        </w:rPr>
      </w:pPr>
    </w:p>
    <w:p w14:paraId="3B60B728" w14:textId="77777777" w:rsidR="00235AE9" w:rsidRDefault="009026B5">
      <w:pPr>
        <w:spacing w:line="240" w:lineRule="auto"/>
        <w:ind w:left="0" w:hanging="2"/>
        <w:rPr>
          <w:sz w:val="24"/>
          <w:szCs w:val="24"/>
        </w:rPr>
      </w:pPr>
      <w:r>
        <w:rPr>
          <w:sz w:val="24"/>
          <w:szCs w:val="24"/>
        </w:rPr>
        <w:t xml:space="preserve">CUEVA, A. </w:t>
      </w:r>
      <w:r>
        <w:rPr>
          <w:b/>
          <w:sz w:val="24"/>
          <w:szCs w:val="24"/>
        </w:rPr>
        <w:t>O desenvolvimento do capitalismo na América Latina.</w:t>
      </w:r>
      <w:r>
        <w:rPr>
          <w:sz w:val="24"/>
          <w:szCs w:val="24"/>
        </w:rPr>
        <w:t xml:space="preserve"> São Paulo: Global Editora, 1983.</w:t>
      </w:r>
    </w:p>
    <w:p w14:paraId="085F4C55" w14:textId="77777777" w:rsidR="00235AE9" w:rsidRDefault="00235AE9">
      <w:pPr>
        <w:spacing w:line="240" w:lineRule="auto"/>
        <w:ind w:left="0" w:hanging="2"/>
        <w:rPr>
          <w:sz w:val="24"/>
          <w:szCs w:val="24"/>
        </w:rPr>
      </w:pPr>
    </w:p>
    <w:p w14:paraId="4B000157" w14:textId="77777777" w:rsidR="00235AE9" w:rsidRDefault="009026B5">
      <w:pPr>
        <w:spacing w:line="240" w:lineRule="auto"/>
        <w:ind w:left="0" w:hanging="2"/>
        <w:rPr>
          <w:sz w:val="24"/>
          <w:szCs w:val="24"/>
        </w:rPr>
      </w:pPr>
      <w:r>
        <w:rPr>
          <w:sz w:val="24"/>
          <w:szCs w:val="24"/>
        </w:rPr>
        <w:t xml:space="preserve">DORNELLES, A. E.; PANOZZO, V. M.; REIS, C. N. Juventude latino-americana e mercado de trabalho: programas de capacitação e inserção. </w:t>
      </w:r>
      <w:proofErr w:type="spellStart"/>
      <w:r>
        <w:rPr>
          <w:b/>
          <w:sz w:val="24"/>
          <w:szCs w:val="24"/>
        </w:rPr>
        <w:t>Katálysis</w:t>
      </w:r>
      <w:proofErr w:type="spellEnd"/>
      <w:r>
        <w:rPr>
          <w:sz w:val="24"/>
          <w:szCs w:val="24"/>
        </w:rPr>
        <w:t xml:space="preserve">, Florianópolis, v. 19, n. 1, 2016. Disponível em: </w:t>
      </w:r>
      <w:hyperlink r:id="rId11">
        <w:r w:rsidR="00235AE9">
          <w:rPr>
            <w:color w:val="1155CC"/>
            <w:sz w:val="24"/>
            <w:szCs w:val="24"/>
            <w:u w:val="single"/>
          </w:rPr>
          <w:t>https://www.scielo.br/j/rk/a/3Nwh9VZrWNfzRdBsfGd7LPH/?lang=pt</w:t>
        </w:r>
      </w:hyperlink>
      <w:r>
        <w:rPr>
          <w:sz w:val="24"/>
          <w:szCs w:val="24"/>
        </w:rPr>
        <w:t>. Acesso em: 20 fev. 2025.</w:t>
      </w:r>
    </w:p>
    <w:p w14:paraId="5A4043BD" w14:textId="77777777" w:rsidR="00235AE9" w:rsidRDefault="00235AE9">
      <w:pPr>
        <w:spacing w:line="240" w:lineRule="auto"/>
        <w:ind w:left="0" w:hanging="2"/>
        <w:rPr>
          <w:sz w:val="24"/>
          <w:szCs w:val="24"/>
        </w:rPr>
      </w:pPr>
    </w:p>
    <w:p w14:paraId="6E73A165" w14:textId="77777777" w:rsidR="00235AE9" w:rsidRDefault="009026B5">
      <w:pPr>
        <w:spacing w:line="240" w:lineRule="auto"/>
        <w:ind w:left="0" w:hanging="2"/>
        <w:rPr>
          <w:sz w:val="24"/>
          <w:szCs w:val="24"/>
        </w:rPr>
      </w:pPr>
      <w:r>
        <w:rPr>
          <w:sz w:val="24"/>
          <w:szCs w:val="24"/>
        </w:rPr>
        <w:t xml:space="preserve">ENGELS, F. </w:t>
      </w:r>
      <w:r>
        <w:rPr>
          <w:b/>
          <w:sz w:val="24"/>
          <w:szCs w:val="24"/>
        </w:rPr>
        <w:t>A origem da família, da propriedade privada e do Estado</w:t>
      </w:r>
      <w:r>
        <w:rPr>
          <w:sz w:val="24"/>
          <w:szCs w:val="24"/>
        </w:rPr>
        <w:t>. Rio de Janeiro: BestBolso, 2024.</w:t>
      </w:r>
    </w:p>
    <w:p w14:paraId="65038392" w14:textId="77777777" w:rsidR="00235AE9" w:rsidRDefault="00235AE9">
      <w:pPr>
        <w:spacing w:line="240" w:lineRule="auto"/>
        <w:ind w:left="0" w:hanging="2"/>
        <w:rPr>
          <w:sz w:val="24"/>
          <w:szCs w:val="24"/>
        </w:rPr>
      </w:pPr>
    </w:p>
    <w:p w14:paraId="52DB56D3" w14:textId="77777777" w:rsidR="00235AE9" w:rsidRDefault="009026B5">
      <w:pPr>
        <w:spacing w:line="240" w:lineRule="auto"/>
        <w:ind w:left="0" w:hanging="2"/>
        <w:rPr>
          <w:sz w:val="24"/>
          <w:szCs w:val="24"/>
        </w:rPr>
      </w:pPr>
      <w:r>
        <w:rPr>
          <w:sz w:val="24"/>
          <w:szCs w:val="24"/>
        </w:rPr>
        <w:t xml:space="preserve">GALEANO, E. </w:t>
      </w:r>
      <w:r>
        <w:rPr>
          <w:b/>
          <w:sz w:val="24"/>
          <w:szCs w:val="24"/>
        </w:rPr>
        <w:t xml:space="preserve">As veias abertas da América Latina. </w:t>
      </w:r>
      <w:r>
        <w:rPr>
          <w:sz w:val="24"/>
          <w:szCs w:val="24"/>
        </w:rPr>
        <w:t xml:space="preserve">Porto Alegre: L&amp;PM, 2023. </w:t>
      </w:r>
    </w:p>
    <w:p w14:paraId="439EADE0" w14:textId="77777777" w:rsidR="00235AE9" w:rsidRDefault="00235AE9">
      <w:pPr>
        <w:spacing w:line="240" w:lineRule="auto"/>
        <w:ind w:left="0" w:hanging="2"/>
        <w:rPr>
          <w:sz w:val="24"/>
          <w:szCs w:val="24"/>
        </w:rPr>
      </w:pPr>
    </w:p>
    <w:p w14:paraId="39814052" w14:textId="77777777" w:rsidR="00235AE9" w:rsidRDefault="009026B5">
      <w:pPr>
        <w:spacing w:line="240" w:lineRule="auto"/>
        <w:ind w:left="0" w:hanging="2"/>
        <w:rPr>
          <w:sz w:val="24"/>
          <w:szCs w:val="24"/>
        </w:rPr>
      </w:pPr>
      <w:r>
        <w:rPr>
          <w:sz w:val="24"/>
          <w:szCs w:val="24"/>
        </w:rPr>
        <w:t xml:space="preserve">GARCIA, Ivan Simões; MOREIRA, Eduardo Ribeiro. A Categoria Trabalho em Lukács segundo a Dialética Marxista. </w:t>
      </w:r>
      <w:r>
        <w:rPr>
          <w:b/>
          <w:sz w:val="24"/>
          <w:szCs w:val="24"/>
        </w:rPr>
        <w:t>Direito e Práxis</w:t>
      </w:r>
      <w:r>
        <w:rPr>
          <w:sz w:val="24"/>
          <w:szCs w:val="24"/>
        </w:rPr>
        <w:t xml:space="preserve">, Rio de Janeiro, v. 11, n. 2, 2020, p. 854-879. Disponível em: </w:t>
      </w:r>
      <w:hyperlink r:id="rId12">
        <w:r w:rsidR="00235AE9">
          <w:rPr>
            <w:color w:val="1155CC"/>
            <w:sz w:val="24"/>
            <w:szCs w:val="24"/>
            <w:u w:val="single"/>
          </w:rPr>
          <w:t>https://www.scielo.br/j/rdp/a/yJChvrSNhJfK4mxmSPsCWLx/?lang=pt</w:t>
        </w:r>
      </w:hyperlink>
      <w:r>
        <w:rPr>
          <w:sz w:val="24"/>
          <w:szCs w:val="24"/>
        </w:rPr>
        <w:t>. Acesso em: 02 abr. 2025</w:t>
      </w:r>
    </w:p>
    <w:p w14:paraId="2E8D4A61" w14:textId="77777777" w:rsidR="00235AE9" w:rsidRDefault="00235AE9">
      <w:pPr>
        <w:spacing w:line="240" w:lineRule="auto"/>
        <w:ind w:left="0" w:hanging="2"/>
        <w:rPr>
          <w:sz w:val="24"/>
          <w:szCs w:val="24"/>
        </w:rPr>
      </w:pPr>
    </w:p>
    <w:p w14:paraId="7D6B34BD" w14:textId="77777777" w:rsidR="00235AE9" w:rsidRDefault="009026B5">
      <w:pPr>
        <w:spacing w:line="240" w:lineRule="auto"/>
        <w:ind w:left="0" w:hanging="2"/>
        <w:rPr>
          <w:sz w:val="24"/>
          <w:szCs w:val="24"/>
        </w:rPr>
      </w:pPr>
      <w:r>
        <w:rPr>
          <w:sz w:val="24"/>
          <w:szCs w:val="24"/>
        </w:rPr>
        <w:t xml:space="preserve">GUILHERME, R. C. </w:t>
      </w:r>
      <w:r>
        <w:rPr>
          <w:b/>
          <w:sz w:val="24"/>
          <w:szCs w:val="24"/>
        </w:rPr>
        <w:t>Renda mínima de inserção e transferência condicionada de renda:</w:t>
      </w:r>
      <w:r>
        <w:rPr>
          <w:sz w:val="24"/>
          <w:szCs w:val="24"/>
        </w:rPr>
        <w:t xml:space="preserve"> as (a) simetrias entre União Europeia e MERCOSUL. 2016. 249 f. Tese (Doutorado em Serviço Social) - Pontifícia Universidade Católica do Rio Grande do Sul, Porto Alegre, 2016. Disponível em: </w:t>
      </w:r>
      <w:hyperlink r:id="rId13">
        <w:r w:rsidR="00235AE9">
          <w:rPr>
            <w:color w:val="1155CC"/>
            <w:sz w:val="24"/>
            <w:szCs w:val="24"/>
            <w:u w:val="single"/>
          </w:rPr>
          <w:t>https://repositorio.pucrs.br/dspace/handle/10923/8378</w:t>
        </w:r>
      </w:hyperlink>
      <w:r>
        <w:rPr>
          <w:sz w:val="24"/>
          <w:szCs w:val="24"/>
        </w:rPr>
        <w:t xml:space="preserve">. Acesso em: 30 </w:t>
      </w:r>
      <w:proofErr w:type="spellStart"/>
      <w:r>
        <w:rPr>
          <w:sz w:val="24"/>
          <w:szCs w:val="24"/>
        </w:rPr>
        <w:t>mai</w:t>
      </w:r>
      <w:proofErr w:type="spellEnd"/>
      <w:r>
        <w:rPr>
          <w:sz w:val="24"/>
          <w:szCs w:val="24"/>
        </w:rPr>
        <w:t xml:space="preserve"> </w:t>
      </w:r>
    </w:p>
    <w:p w14:paraId="14D33E22" w14:textId="77777777" w:rsidR="00235AE9" w:rsidRDefault="00235AE9">
      <w:pPr>
        <w:spacing w:line="240" w:lineRule="auto"/>
        <w:ind w:left="0" w:hanging="2"/>
        <w:rPr>
          <w:sz w:val="24"/>
          <w:szCs w:val="24"/>
        </w:rPr>
      </w:pPr>
    </w:p>
    <w:p w14:paraId="0703616B" w14:textId="77777777" w:rsidR="00235AE9" w:rsidRDefault="009026B5">
      <w:pPr>
        <w:spacing w:line="240" w:lineRule="auto"/>
        <w:ind w:left="0" w:hanging="2"/>
        <w:rPr>
          <w:sz w:val="24"/>
          <w:szCs w:val="24"/>
        </w:rPr>
      </w:pPr>
      <w:r>
        <w:rPr>
          <w:sz w:val="24"/>
          <w:szCs w:val="24"/>
        </w:rPr>
        <w:t xml:space="preserve">HARVEY, D. </w:t>
      </w:r>
      <w:r>
        <w:rPr>
          <w:b/>
          <w:sz w:val="24"/>
          <w:szCs w:val="24"/>
        </w:rPr>
        <w:t xml:space="preserve">Para entender O Capital: </w:t>
      </w:r>
      <w:r>
        <w:rPr>
          <w:sz w:val="24"/>
          <w:szCs w:val="24"/>
        </w:rPr>
        <w:t>Livro 1</w:t>
      </w:r>
      <w:r>
        <w:rPr>
          <w:b/>
          <w:sz w:val="24"/>
          <w:szCs w:val="24"/>
        </w:rPr>
        <w:t>.</w:t>
      </w:r>
      <w:r>
        <w:rPr>
          <w:sz w:val="24"/>
          <w:szCs w:val="24"/>
        </w:rPr>
        <w:t xml:space="preserve"> São Paulo: Boitempo, 2013.</w:t>
      </w:r>
    </w:p>
    <w:p w14:paraId="27BCE8CA" w14:textId="77777777" w:rsidR="00235AE9" w:rsidRDefault="00235AE9">
      <w:pPr>
        <w:spacing w:line="240" w:lineRule="auto"/>
        <w:ind w:left="0" w:hanging="2"/>
        <w:rPr>
          <w:sz w:val="24"/>
          <w:szCs w:val="24"/>
        </w:rPr>
      </w:pPr>
    </w:p>
    <w:p w14:paraId="153B5996" w14:textId="77777777" w:rsidR="00235AE9" w:rsidRDefault="009026B5">
      <w:pPr>
        <w:spacing w:line="240" w:lineRule="auto"/>
        <w:ind w:left="0" w:hanging="2"/>
        <w:rPr>
          <w:sz w:val="24"/>
          <w:szCs w:val="24"/>
        </w:rPr>
      </w:pPr>
      <w:r>
        <w:rPr>
          <w:sz w:val="24"/>
          <w:szCs w:val="24"/>
        </w:rPr>
        <w:t xml:space="preserve">LANZARA, A. P.; CASTRO, M. H. de O. Mudanças tecnológicas, trabalho e desigualdades na América Latina: repensar as alternativas de proteção social no pós-pandemia. </w:t>
      </w:r>
      <w:r>
        <w:rPr>
          <w:b/>
          <w:sz w:val="24"/>
          <w:szCs w:val="24"/>
        </w:rPr>
        <w:t>Cadernos Gestão Pública e Cidadania</w:t>
      </w:r>
      <w:r>
        <w:rPr>
          <w:sz w:val="24"/>
          <w:szCs w:val="24"/>
        </w:rPr>
        <w:t xml:space="preserve">, São Paulo, v. 29, 2024 Disponível em: </w:t>
      </w:r>
      <w:hyperlink r:id="rId14">
        <w:r w:rsidR="00235AE9">
          <w:rPr>
            <w:color w:val="1155CC"/>
            <w:sz w:val="24"/>
            <w:szCs w:val="24"/>
            <w:u w:val="single"/>
          </w:rPr>
          <w:t>https://www.scielo.br/j/cgpc/a/WfVmNMXC5ppwK4qk7hbhMwv/</w:t>
        </w:r>
      </w:hyperlink>
      <w:r>
        <w:rPr>
          <w:sz w:val="24"/>
          <w:szCs w:val="24"/>
        </w:rPr>
        <w:t>.  Acesso em: 20 abr. 2025.</w:t>
      </w:r>
    </w:p>
    <w:p w14:paraId="20E89EEB" w14:textId="77777777" w:rsidR="00235AE9" w:rsidRDefault="00235AE9">
      <w:pPr>
        <w:spacing w:line="240" w:lineRule="auto"/>
        <w:ind w:left="0" w:hanging="2"/>
        <w:rPr>
          <w:sz w:val="24"/>
          <w:szCs w:val="24"/>
        </w:rPr>
      </w:pPr>
    </w:p>
    <w:p w14:paraId="17256588" w14:textId="77777777" w:rsidR="00235AE9" w:rsidRDefault="009026B5">
      <w:pPr>
        <w:spacing w:line="240" w:lineRule="auto"/>
        <w:ind w:left="0" w:hanging="2"/>
        <w:rPr>
          <w:sz w:val="24"/>
          <w:szCs w:val="24"/>
        </w:rPr>
      </w:pPr>
      <w:r>
        <w:rPr>
          <w:sz w:val="24"/>
          <w:szCs w:val="24"/>
        </w:rPr>
        <w:t xml:space="preserve">LUKÁCS, G. </w:t>
      </w:r>
      <w:r>
        <w:rPr>
          <w:b/>
          <w:sz w:val="24"/>
          <w:szCs w:val="24"/>
        </w:rPr>
        <w:t>Para uma ontologia do ser social volume 14.</w:t>
      </w:r>
      <w:r>
        <w:rPr>
          <w:sz w:val="24"/>
          <w:szCs w:val="24"/>
        </w:rPr>
        <w:t xml:space="preserve"> 1. ed. Maceió: Coletivo Veredas, 2018. </w:t>
      </w:r>
    </w:p>
    <w:p w14:paraId="10B4C2D0" w14:textId="77777777" w:rsidR="00235AE9" w:rsidRDefault="00235AE9">
      <w:pPr>
        <w:spacing w:line="240" w:lineRule="auto"/>
        <w:ind w:left="0" w:hanging="2"/>
        <w:rPr>
          <w:sz w:val="24"/>
          <w:szCs w:val="24"/>
        </w:rPr>
      </w:pPr>
    </w:p>
    <w:p w14:paraId="01A26614" w14:textId="77777777" w:rsidR="00235AE9" w:rsidRDefault="009026B5">
      <w:pPr>
        <w:spacing w:line="240" w:lineRule="auto"/>
        <w:ind w:left="0" w:hanging="2"/>
        <w:rPr>
          <w:sz w:val="24"/>
          <w:szCs w:val="24"/>
        </w:rPr>
      </w:pPr>
      <w:r>
        <w:rPr>
          <w:sz w:val="24"/>
          <w:szCs w:val="24"/>
        </w:rPr>
        <w:t xml:space="preserve">MARX, K. </w:t>
      </w:r>
      <w:r>
        <w:rPr>
          <w:b/>
          <w:sz w:val="24"/>
          <w:szCs w:val="24"/>
        </w:rPr>
        <w:t>Manuscritos Econômico-Filosóficos</w:t>
      </w:r>
      <w:r>
        <w:rPr>
          <w:sz w:val="24"/>
          <w:szCs w:val="24"/>
        </w:rPr>
        <w:t>. 1. ed. 4 reimpr. São Paulo: Boitempo, 2010.</w:t>
      </w:r>
    </w:p>
    <w:p w14:paraId="4E32CFCD" w14:textId="77777777" w:rsidR="00235AE9" w:rsidRDefault="00235AE9">
      <w:pPr>
        <w:spacing w:line="240" w:lineRule="auto"/>
        <w:ind w:left="0" w:hanging="2"/>
        <w:rPr>
          <w:sz w:val="24"/>
          <w:szCs w:val="24"/>
        </w:rPr>
      </w:pPr>
    </w:p>
    <w:p w14:paraId="0E5AD0B5" w14:textId="77777777" w:rsidR="00235AE9" w:rsidRDefault="009026B5">
      <w:pPr>
        <w:spacing w:line="240" w:lineRule="auto"/>
        <w:ind w:left="0" w:hanging="2"/>
        <w:rPr>
          <w:sz w:val="24"/>
          <w:szCs w:val="24"/>
        </w:rPr>
      </w:pPr>
      <w:r>
        <w:rPr>
          <w:sz w:val="24"/>
          <w:szCs w:val="24"/>
        </w:rPr>
        <w:t xml:space="preserve">MATTOS, F. A. M.; HALLAK NETO, J.; PRONI, M. W. A visão utópica da CEPAL e a desigualdade de renda no Brasil. </w:t>
      </w:r>
      <w:r>
        <w:rPr>
          <w:b/>
          <w:sz w:val="24"/>
          <w:szCs w:val="24"/>
        </w:rPr>
        <w:t>Revista Crítica de Ciências Sociais</w:t>
      </w:r>
      <w:r>
        <w:rPr>
          <w:sz w:val="24"/>
          <w:szCs w:val="24"/>
        </w:rPr>
        <w:t xml:space="preserve">, Coimbra, n. 124, p. 131-156, 2021. Disponível em: </w:t>
      </w:r>
      <w:hyperlink r:id="rId15">
        <w:r w:rsidR="00235AE9">
          <w:rPr>
            <w:color w:val="1155CC"/>
            <w:sz w:val="24"/>
            <w:szCs w:val="24"/>
            <w:u w:val="single"/>
          </w:rPr>
          <w:t>https://www.scielo.pt/scielo.php?script=sci_arttext&amp;pid=S2182-74352021000100131&amp;lang=pt</w:t>
        </w:r>
      </w:hyperlink>
      <w:r>
        <w:rPr>
          <w:sz w:val="24"/>
          <w:szCs w:val="24"/>
        </w:rPr>
        <w:t>. Acesso em: 21 mar. 2025.</w:t>
      </w:r>
    </w:p>
    <w:p w14:paraId="4D05578A" w14:textId="77777777" w:rsidR="00235AE9" w:rsidRDefault="00235AE9">
      <w:pPr>
        <w:spacing w:line="240" w:lineRule="auto"/>
        <w:ind w:left="0" w:hanging="2"/>
        <w:rPr>
          <w:sz w:val="24"/>
          <w:szCs w:val="24"/>
        </w:rPr>
      </w:pPr>
    </w:p>
    <w:p w14:paraId="60FC3447" w14:textId="77777777" w:rsidR="00235AE9" w:rsidRDefault="009026B5">
      <w:pPr>
        <w:spacing w:line="240" w:lineRule="auto"/>
        <w:ind w:left="0" w:hanging="2"/>
        <w:rPr>
          <w:sz w:val="24"/>
          <w:szCs w:val="24"/>
        </w:rPr>
      </w:pPr>
      <w:r>
        <w:rPr>
          <w:sz w:val="24"/>
          <w:szCs w:val="24"/>
        </w:rPr>
        <w:t xml:space="preserve">NASCIMENTO, I. V. do; ROSA, </w:t>
      </w:r>
      <w:proofErr w:type="spellStart"/>
      <w:r>
        <w:rPr>
          <w:sz w:val="24"/>
          <w:szCs w:val="24"/>
        </w:rPr>
        <w:t>Karyanne</w:t>
      </w:r>
      <w:proofErr w:type="spellEnd"/>
      <w:r>
        <w:rPr>
          <w:sz w:val="24"/>
          <w:szCs w:val="24"/>
        </w:rPr>
        <w:t xml:space="preserve"> M. </w:t>
      </w:r>
      <w:proofErr w:type="spellStart"/>
      <w:r>
        <w:rPr>
          <w:sz w:val="24"/>
          <w:szCs w:val="24"/>
        </w:rPr>
        <w:t>da</w:t>
      </w:r>
      <w:proofErr w:type="spellEnd"/>
      <w:r>
        <w:rPr>
          <w:sz w:val="24"/>
          <w:szCs w:val="24"/>
        </w:rPr>
        <w:t xml:space="preserve"> S. N. Currículo Integrado em um Programa de Inclusão Social: a visão dos gestores. </w:t>
      </w:r>
      <w:r>
        <w:rPr>
          <w:b/>
          <w:sz w:val="24"/>
          <w:szCs w:val="24"/>
        </w:rPr>
        <w:t>Educação e Emancipação</w:t>
      </w:r>
      <w:r>
        <w:rPr>
          <w:sz w:val="24"/>
          <w:szCs w:val="24"/>
        </w:rPr>
        <w:t xml:space="preserve">, São Luís, v. 9, n. 3, p. 112-132, jul./dez. 2016. Disponível em: </w:t>
      </w:r>
      <w:hyperlink r:id="rId16">
        <w:r w:rsidR="00235AE9">
          <w:rPr>
            <w:color w:val="1155CC"/>
            <w:sz w:val="24"/>
            <w:szCs w:val="24"/>
            <w:u w:val="single"/>
          </w:rPr>
          <w:t>https://periodicoseletronicos.ufma.br/index.php/reducacaoemancipacao/article/view/6758/4322</w:t>
        </w:r>
      </w:hyperlink>
      <w:r>
        <w:rPr>
          <w:sz w:val="24"/>
          <w:szCs w:val="24"/>
        </w:rPr>
        <w:t>. Acesso em: 15 fev. 2025.</w:t>
      </w:r>
    </w:p>
    <w:p w14:paraId="466E7E41" w14:textId="77777777" w:rsidR="00235AE9" w:rsidRDefault="00235AE9">
      <w:pPr>
        <w:spacing w:line="240" w:lineRule="auto"/>
        <w:ind w:left="0" w:hanging="2"/>
        <w:rPr>
          <w:b/>
          <w:sz w:val="24"/>
          <w:szCs w:val="24"/>
        </w:rPr>
      </w:pPr>
    </w:p>
    <w:p w14:paraId="17EE6420" w14:textId="77777777" w:rsidR="00235AE9" w:rsidRDefault="009026B5">
      <w:pPr>
        <w:spacing w:line="240" w:lineRule="auto"/>
        <w:ind w:left="0" w:hanging="2"/>
        <w:rPr>
          <w:sz w:val="24"/>
          <w:szCs w:val="24"/>
        </w:rPr>
      </w:pPr>
      <w:r>
        <w:rPr>
          <w:sz w:val="24"/>
          <w:szCs w:val="24"/>
        </w:rPr>
        <w:t xml:space="preserve">PEREIRA, A. L. G. P.; OLIVEIRA, R. de. A inserção dos egressos dos cursos técnicos do Pronatec no mercado de trabalho. </w:t>
      </w:r>
      <w:r>
        <w:rPr>
          <w:b/>
          <w:sz w:val="24"/>
          <w:szCs w:val="24"/>
        </w:rPr>
        <w:t>Perspectiva</w:t>
      </w:r>
      <w:r>
        <w:rPr>
          <w:sz w:val="24"/>
          <w:szCs w:val="24"/>
        </w:rPr>
        <w:t xml:space="preserve">, Florianópolis, v. 37, n. 3, p. 917-938, jul./set. 2019. Disponível em: </w:t>
      </w:r>
      <w:hyperlink r:id="rId17">
        <w:r w:rsidR="00235AE9">
          <w:rPr>
            <w:color w:val="1155CC"/>
            <w:sz w:val="24"/>
            <w:szCs w:val="24"/>
            <w:u w:val="single"/>
          </w:rPr>
          <w:t>https://periodicos.ufsc.br/index.php/perspectiva/article/view/2175-795X.2019.e52345</w:t>
        </w:r>
      </w:hyperlink>
      <w:r>
        <w:rPr>
          <w:sz w:val="24"/>
          <w:szCs w:val="24"/>
        </w:rPr>
        <w:t>. Acesso em: 25 abr. 2025.</w:t>
      </w:r>
    </w:p>
    <w:p w14:paraId="2F83D14E" w14:textId="77777777" w:rsidR="00235AE9" w:rsidRDefault="00235AE9">
      <w:pPr>
        <w:spacing w:line="240" w:lineRule="auto"/>
        <w:ind w:left="0" w:hanging="2"/>
        <w:rPr>
          <w:b/>
          <w:sz w:val="24"/>
          <w:szCs w:val="24"/>
        </w:rPr>
      </w:pPr>
    </w:p>
    <w:p w14:paraId="6F016138" w14:textId="77777777" w:rsidR="00235AE9" w:rsidRDefault="009026B5">
      <w:pPr>
        <w:spacing w:line="240" w:lineRule="auto"/>
        <w:ind w:left="0" w:hanging="2"/>
        <w:rPr>
          <w:sz w:val="24"/>
          <w:szCs w:val="24"/>
        </w:rPr>
      </w:pPr>
      <w:r>
        <w:rPr>
          <w:sz w:val="24"/>
          <w:szCs w:val="24"/>
        </w:rPr>
        <w:t xml:space="preserve">REZENDE, M. J. de. Coesão social democrática e dissuasão de conflitos: A América Latina e a covid-19 nos documentos da CEPAL/ONU (2020–2021). </w:t>
      </w:r>
      <w:r>
        <w:rPr>
          <w:b/>
          <w:sz w:val="24"/>
          <w:szCs w:val="24"/>
        </w:rPr>
        <w:t>Dilemas</w:t>
      </w:r>
      <w:r>
        <w:rPr>
          <w:sz w:val="24"/>
          <w:szCs w:val="24"/>
        </w:rPr>
        <w:t xml:space="preserve">, Rio de Janeiro, v. 16, n. 2, p. 1-23, 2023. Disponível em: </w:t>
      </w:r>
      <w:hyperlink r:id="rId18">
        <w:r w:rsidR="00235AE9">
          <w:rPr>
            <w:color w:val="1155CC"/>
            <w:sz w:val="24"/>
            <w:szCs w:val="24"/>
            <w:u w:val="single"/>
          </w:rPr>
          <w:t>https://www.scielo.br/j/dilemas/a/qSpdrnH5wMMk9SxMR4455Qn/</w:t>
        </w:r>
      </w:hyperlink>
      <w:r>
        <w:rPr>
          <w:sz w:val="24"/>
          <w:szCs w:val="24"/>
        </w:rPr>
        <w:t>. Acesso em: 21 mar. 2025.</w:t>
      </w:r>
    </w:p>
    <w:p w14:paraId="22FB90EA" w14:textId="77777777" w:rsidR="00235AE9" w:rsidRDefault="00235AE9">
      <w:pPr>
        <w:spacing w:line="240" w:lineRule="auto"/>
        <w:ind w:left="0" w:hanging="2"/>
        <w:rPr>
          <w:b/>
          <w:sz w:val="24"/>
          <w:szCs w:val="24"/>
        </w:rPr>
      </w:pPr>
    </w:p>
    <w:p w14:paraId="27F32651" w14:textId="77777777" w:rsidR="00235AE9" w:rsidRDefault="009026B5">
      <w:pPr>
        <w:spacing w:line="240" w:lineRule="auto"/>
        <w:ind w:left="0" w:hanging="2"/>
        <w:rPr>
          <w:sz w:val="24"/>
          <w:szCs w:val="24"/>
        </w:rPr>
      </w:pPr>
      <w:r>
        <w:rPr>
          <w:sz w:val="24"/>
          <w:szCs w:val="24"/>
        </w:rPr>
        <w:t xml:space="preserve">SILVA, S. P. Políticas de inclusão produtiva: o “elo perdido” da proteção </w:t>
      </w:r>
      <w:proofErr w:type="gramStart"/>
      <w:r>
        <w:rPr>
          <w:sz w:val="24"/>
          <w:szCs w:val="24"/>
        </w:rPr>
        <w:t>social?.</w:t>
      </w:r>
      <w:proofErr w:type="gramEnd"/>
      <w:r>
        <w:rPr>
          <w:sz w:val="24"/>
          <w:szCs w:val="24"/>
        </w:rPr>
        <w:t xml:space="preserve"> </w:t>
      </w:r>
      <w:r>
        <w:rPr>
          <w:b/>
          <w:sz w:val="24"/>
          <w:szCs w:val="24"/>
        </w:rPr>
        <w:t xml:space="preserve">Políticas Sociais: </w:t>
      </w:r>
      <w:r>
        <w:rPr>
          <w:sz w:val="24"/>
          <w:szCs w:val="24"/>
        </w:rPr>
        <w:t xml:space="preserve">acompanhamento e análise (BPS), n. 27, 2020. Disponível em: </w:t>
      </w:r>
      <w:hyperlink r:id="rId19">
        <w:r w:rsidR="00235AE9">
          <w:rPr>
            <w:color w:val="1155CC"/>
            <w:sz w:val="24"/>
            <w:szCs w:val="24"/>
            <w:u w:val="single"/>
          </w:rPr>
          <w:t>https://repositorio.ipea.gov.br/bitstream/11058/10284/1/BPS_27_nps_politicas_de_inclusao.pdf</w:t>
        </w:r>
      </w:hyperlink>
      <w:r>
        <w:rPr>
          <w:sz w:val="24"/>
          <w:szCs w:val="24"/>
        </w:rPr>
        <w:t>. Acesso em: 23 maio 2025.</w:t>
      </w:r>
    </w:p>
    <w:p w14:paraId="3611CBF1" w14:textId="77777777" w:rsidR="00235AE9" w:rsidRDefault="00235AE9">
      <w:pPr>
        <w:spacing w:line="240" w:lineRule="auto"/>
        <w:ind w:left="0" w:hanging="2"/>
        <w:rPr>
          <w:b/>
          <w:sz w:val="24"/>
          <w:szCs w:val="24"/>
        </w:rPr>
      </w:pPr>
    </w:p>
    <w:p w14:paraId="432AB0F6" w14:textId="7F30038E" w:rsidR="00A858CB" w:rsidRDefault="009026B5" w:rsidP="00A858CB">
      <w:pPr>
        <w:spacing w:line="240" w:lineRule="auto"/>
        <w:ind w:left="0" w:hanging="2"/>
        <w:rPr>
          <w:sz w:val="24"/>
          <w:szCs w:val="24"/>
        </w:rPr>
      </w:pPr>
      <w:r>
        <w:rPr>
          <w:sz w:val="24"/>
          <w:szCs w:val="24"/>
        </w:rPr>
        <w:t xml:space="preserve">SIQUEIRA, L. </w:t>
      </w:r>
      <w:r>
        <w:rPr>
          <w:b/>
          <w:sz w:val="24"/>
          <w:szCs w:val="24"/>
        </w:rPr>
        <w:t xml:space="preserve">Pobreza e Serviço Social: </w:t>
      </w:r>
      <w:r>
        <w:rPr>
          <w:sz w:val="24"/>
          <w:szCs w:val="24"/>
        </w:rPr>
        <w:t>diferentes concepções e compromissos políticos. São Paulo: Cortez, 2013.</w:t>
      </w:r>
    </w:p>
    <w:sectPr w:rsidR="00A858CB">
      <w:headerReference w:type="default" r:id="rId20"/>
      <w:footerReference w:type="default" r:id="rId2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C5A5B" w14:textId="77777777" w:rsidR="002030B5" w:rsidRDefault="002030B5">
      <w:pPr>
        <w:spacing w:line="240" w:lineRule="auto"/>
        <w:ind w:left="0" w:hanging="2"/>
      </w:pPr>
      <w:r>
        <w:separator/>
      </w:r>
    </w:p>
  </w:endnote>
  <w:endnote w:type="continuationSeparator" w:id="0">
    <w:p w14:paraId="3D308F35" w14:textId="77777777" w:rsidR="002030B5" w:rsidRDefault="002030B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BA1C" w14:textId="77777777" w:rsidR="00235AE9" w:rsidRDefault="00235AE9">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42EA9" w14:textId="77777777" w:rsidR="002030B5" w:rsidRDefault="002030B5">
      <w:pPr>
        <w:spacing w:line="240" w:lineRule="auto"/>
        <w:ind w:left="0" w:hanging="2"/>
      </w:pPr>
      <w:r>
        <w:separator/>
      </w:r>
    </w:p>
  </w:footnote>
  <w:footnote w:type="continuationSeparator" w:id="0">
    <w:p w14:paraId="0E4C2761" w14:textId="77777777" w:rsidR="002030B5" w:rsidRDefault="002030B5">
      <w:pPr>
        <w:spacing w:line="240" w:lineRule="auto"/>
        <w:ind w:left="0" w:hanging="2"/>
      </w:pPr>
      <w:r>
        <w:continuationSeparator/>
      </w:r>
    </w:p>
  </w:footnote>
  <w:footnote w:id="1">
    <w:p w14:paraId="1B2033E0" w14:textId="77777777" w:rsidR="00235AE9" w:rsidRPr="006448FA" w:rsidRDefault="009026B5">
      <w:pPr>
        <w:spacing w:line="240" w:lineRule="auto"/>
        <w:ind w:left="0" w:hanging="2"/>
        <w:jc w:val="both"/>
        <w:rPr>
          <w:sz w:val="20"/>
          <w:szCs w:val="20"/>
        </w:rPr>
      </w:pPr>
      <w:r w:rsidRPr="006448FA">
        <w:rPr>
          <w:sz w:val="20"/>
          <w:szCs w:val="20"/>
          <w:vertAlign w:val="superscript"/>
        </w:rPr>
        <w:footnoteRef/>
      </w:r>
      <w:r w:rsidRPr="006448FA">
        <w:rPr>
          <w:sz w:val="20"/>
          <w:szCs w:val="20"/>
        </w:rPr>
        <w:t xml:space="preserve">Doutora em Serviço Social (PUCRS). Professora na Universidade Federal do Pampa, São Borja-RS (Unipampa). Coordenadora e Docente do Mestrado em Serviço Social e Proteção Social – PPG/SSPS (Unipampa). Líder do Grupo de Pesquisa Trabalho, Formação Profissional em Serviço Social e Política Social na América Latina (GTFOPPS) da Universidade Federal do Pampa. E-mail: </w:t>
      </w:r>
      <w:hyperlink r:id="rId1">
        <w:r w:rsidR="00235AE9" w:rsidRPr="006448FA">
          <w:rPr>
            <w:color w:val="1155CC"/>
            <w:sz w:val="20"/>
            <w:szCs w:val="20"/>
            <w:u w:val="single"/>
          </w:rPr>
          <w:t>rosilaineguilherme@unipampa.edu.br</w:t>
        </w:r>
      </w:hyperlink>
      <w:r w:rsidRPr="006448FA">
        <w:rPr>
          <w:sz w:val="20"/>
          <w:szCs w:val="20"/>
        </w:rPr>
        <w:t xml:space="preserve">. </w:t>
      </w:r>
    </w:p>
  </w:footnote>
  <w:footnote w:id="2">
    <w:p w14:paraId="3D72D418" w14:textId="77777777" w:rsidR="00235AE9" w:rsidRPr="006448FA" w:rsidRDefault="009026B5">
      <w:pPr>
        <w:spacing w:line="240" w:lineRule="auto"/>
        <w:ind w:left="0" w:hanging="2"/>
        <w:jc w:val="both"/>
        <w:rPr>
          <w:sz w:val="20"/>
          <w:szCs w:val="20"/>
        </w:rPr>
      </w:pPr>
      <w:r w:rsidRPr="006448FA">
        <w:rPr>
          <w:sz w:val="20"/>
          <w:szCs w:val="20"/>
          <w:vertAlign w:val="superscript"/>
        </w:rPr>
        <w:footnoteRef/>
      </w:r>
      <w:r w:rsidRPr="006448FA">
        <w:rPr>
          <w:sz w:val="20"/>
          <w:szCs w:val="20"/>
        </w:rPr>
        <w:t xml:space="preserve">Graduando em Serviço Social pela Universidade Federal do Pampa, São Borja-RS (Unipampa). Bolsista PROBIC/FAPERGS. Membro do Grupo de Pesquisa Trabalho, Formação Profissional em Serviço Social e Política Social na América Latina (GTFOPPS) e em Política Social, Questão Social e Relações de Exploração/Opressão (GPEXO). E-mail: </w:t>
      </w:r>
      <w:hyperlink r:id="rId2">
        <w:r w:rsidR="00235AE9" w:rsidRPr="006448FA">
          <w:rPr>
            <w:color w:val="1155CC"/>
            <w:sz w:val="20"/>
            <w:szCs w:val="20"/>
            <w:u w:val="single"/>
          </w:rPr>
          <w:t>eduardocechin.aluno@unipampa.edu.br</w:t>
        </w:r>
      </w:hyperlink>
      <w:r w:rsidRPr="006448FA">
        <w:rPr>
          <w:sz w:val="20"/>
          <w:szCs w:val="20"/>
        </w:rPr>
        <w:t>.</w:t>
      </w:r>
    </w:p>
  </w:footnote>
  <w:footnote w:id="3">
    <w:p w14:paraId="793F6DA3" w14:textId="77777777" w:rsidR="00235AE9" w:rsidRPr="006448FA" w:rsidRDefault="009026B5">
      <w:pPr>
        <w:spacing w:line="240" w:lineRule="auto"/>
        <w:ind w:left="0" w:hanging="2"/>
        <w:jc w:val="both"/>
        <w:rPr>
          <w:sz w:val="20"/>
          <w:szCs w:val="20"/>
        </w:rPr>
      </w:pPr>
      <w:r w:rsidRPr="006448FA">
        <w:rPr>
          <w:sz w:val="20"/>
          <w:szCs w:val="20"/>
          <w:vertAlign w:val="superscript"/>
        </w:rPr>
        <w:footnoteRef/>
      </w:r>
      <w:r w:rsidRPr="006448FA">
        <w:rPr>
          <w:sz w:val="20"/>
          <w:szCs w:val="20"/>
        </w:rPr>
        <w:t xml:space="preserve">Graduando em Serviço Social pela Universidade Federal do Pampa, São Borja-RS (Unipampa). Bolsista PRO-IC/Unipampa. Representante discente do Curso de Serviço Social (Unipampa). Membro do Grupo de Pesquisa Trabalho, Formação Profissional em Serviço Social e Política Social na América Latina (GTFOPPS). E-mail: </w:t>
      </w:r>
      <w:hyperlink r:id="rId3">
        <w:r w:rsidR="00235AE9" w:rsidRPr="006448FA">
          <w:rPr>
            <w:color w:val="1155CC"/>
            <w:sz w:val="20"/>
            <w:szCs w:val="20"/>
            <w:u w:val="single"/>
          </w:rPr>
          <w:t>joaopgdoj.aluno@unipampa.edu.br</w:t>
        </w:r>
      </w:hyperlink>
    </w:p>
  </w:footnote>
  <w:footnote w:id="4">
    <w:p w14:paraId="115E0D04" w14:textId="77777777" w:rsidR="00235AE9" w:rsidRPr="006448FA" w:rsidRDefault="009026B5">
      <w:pPr>
        <w:spacing w:line="240" w:lineRule="auto"/>
        <w:ind w:left="0" w:hanging="2"/>
        <w:jc w:val="both"/>
        <w:rPr>
          <w:sz w:val="20"/>
          <w:szCs w:val="20"/>
        </w:rPr>
      </w:pPr>
      <w:r w:rsidRPr="006448FA">
        <w:rPr>
          <w:sz w:val="20"/>
          <w:szCs w:val="20"/>
          <w:vertAlign w:val="superscript"/>
        </w:rPr>
        <w:footnoteRef/>
      </w:r>
      <w:r w:rsidRPr="006448FA">
        <w:rPr>
          <w:sz w:val="20"/>
          <w:szCs w:val="20"/>
        </w:rPr>
        <w:t xml:space="preserve">Graduanda em Serviço Social pela Universidade Federal do Pampa, São Borja-RS (Unipampa). Bolsista CNPQ/AF. E-mail: </w:t>
      </w:r>
      <w:hyperlink r:id="rId4">
        <w:r w:rsidR="00235AE9" w:rsidRPr="006448FA">
          <w:rPr>
            <w:color w:val="1155CC"/>
            <w:sz w:val="20"/>
            <w:szCs w:val="20"/>
            <w:u w:val="single"/>
          </w:rPr>
          <w:t>mellanysilva.aluno@unipampa.edu.br</w:t>
        </w:r>
      </w:hyperlink>
      <w:r w:rsidRPr="006448FA">
        <w:rPr>
          <w:sz w:val="20"/>
          <w:szCs w:val="20"/>
        </w:rPr>
        <w:t xml:space="preserve">. </w:t>
      </w:r>
    </w:p>
  </w:footnote>
  <w:footnote w:id="5">
    <w:p w14:paraId="6025FD3C" w14:textId="77777777" w:rsidR="00235AE9" w:rsidRDefault="009026B5">
      <w:pPr>
        <w:spacing w:line="240" w:lineRule="auto"/>
        <w:ind w:left="0" w:hanging="2"/>
        <w:jc w:val="both"/>
        <w:rPr>
          <w:sz w:val="20"/>
          <w:szCs w:val="20"/>
        </w:rPr>
      </w:pPr>
      <w:r w:rsidRPr="006448FA">
        <w:rPr>
          <w:sz w:val="20"/>
          <w:szCs w:val="20"/>
          <w:vertAlign w:val="superscript"/>
        </w:rPr>
        <w:footnoteRef/>
      </w:r>
      <w:r w:rsidRPr="006448FA">
        <w:rPr>
          <w:sz w:val="20"/>
          <w:szCs w:val="20"/>
        </w:rPr>
        <w:t xml:space="preserve">Doutora em Serviço Social (PUCRS). Docente do Curso de Serviço Social e do Mestrado em Serviço Social e Proteção Social da Universidade Federal do Pampa, RS, Brasil. Vice-líder do Grupo de Pesquisa em Política Social, Questão Social e Relações de Exploração/Opressão. E-mail: </w:t>
      </w:r>
      <w:hyperlink r:id="rId5">
        <w:r w:rsidR="00235AE9" w:rsidRPr="006448FA">
          <w:rPr>
            <w:color w:val="1155CC"/>
            <w:sz w:val="20"/>
            <w:szCs w:val="20"/>
            <w:u w:val="single"/>
          </w:rPr>
          <w:t>elisangelapessoa@unipampa.edu.br</w:t>
        </w:r>
      </w:hyperlink>
      <w:r w:rsidRPr="006448FA">
        <w:rPr>
          <w:sz w:val="20"/>
          <w:szCs w:val="20"/>
        </w:rPr>
        <w:t>.</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25CD" w14:textId="77777777" w:rsidR="00235AE9" w:rsidRDefault="009026B5">
    <w:pPr>
      <w:ind w:left="0" w:hanging="2"/>
    </w:pPr>
    <w:r>
      <w:rPr>
        <w:noProof/>
      </w:rPr>
      <w:drawing>
        <wp:anchor distT="0" distB="0" distL="0" distR="0" simplePos="0" relativeHeight="251658240" behindDoc="1" locked="0" layoutInCell="1" hidden="0" allowOverlap="1" wp14:anchorId="5444E475" wp14:editId="71FD3D29">
          <wp:simplePos x="0" y="0"/>
          <wp:positionH relativeFrom="page">
            <wp:posOffset>0</wp:posOffset>
          </wp:positionH>
          <wp:positionV relativeFrom="page">
            <wp:posOffset>6985</wp:posOffset>
          </wp:positionV>
          <wp:extent cx="7562850" cy="10942002"/>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94200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AE9"/>
    <w:rsid w:val="00127546"/>
    <w:rsid w:val="002030B5"/>
    <w:rsid w:val="00235AE9"/>
    <w:rsid w:val="003F2F5E"/>
    <w:rsid w:val="005D1260"/>
    <w:rsid w:val="006448FA"/>
    <w:rsid w:val="009026B5"/>
    <w:rsid w:val="00A858CB"/>
    <w:rsid w:val="00F26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F1B9"/>
  <w15:docId w15:val="{B76BDB92-9ED4-49A1-9560-6AEFC57A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lo.br/j/rk/a/jsbkNBYyhytyPmc4fjkZhfB/" TargetMode="External"/><Relationship Id="rId13" Type="http://schemas.openxmlformats.org/officeDocument/2006/relationships/hyperlink" Target="https://repositorio.pucrs.br/dspace/handle/10923/8378" TargetMode="External"/><Relationship Id="rId18" Type="http://schemas.openxmlformats.org/officeDocument/2006/relationships/hyperlink" Target="https://www.scielo.br/j/dilemas/a/qSpdrnH5wMMk9SxMR4455Q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cielo.br/j/tes/a/jGSb8jWJPtWKnTjcHw8B7Cn/?format=pdf&amp;lang=pt" TargetMode="External"/><Relationship Id="rId12" Type="http://schemas.openxmlformats.org/officeDocument/2006/relationships/hyperlink" Target="https://www.scielo.br/j/rdp/a/yJChvrSNhJfK4mxmSPsCWLx/?lang=pt" TargetMode="External"/><Relationship Id="rId17" Type="http://schemas.openxmlformats.org/officeDocument/2006/relationships/hyperlink" Target="https://periodicos.ufsc.br/index.php/perspectiva/article/view/2175-795X.2019.e52345" TargetMode="External"/><Relationship Id="rId2" Type="http://schemas.openxmlformats.org/officeDocument/2006/relationships/styles" Target="styles.xml"/><Relationship Id="rId16" Type="http://schemas.openxmlformats.org/officeDocument/2006/relationships/hyperlink" Target="https://periodicoseletronicos.ufma.br/index.php/reducacaoemancipacao/article/view/6758/43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lo.br/j/rk/a/3Nwh9VZrWNfzRdBsfGd7LPH/?lang=pt" TargetMode="External"/><Relationship Id="rId5" Type="http://schemas.openxmlformats.org/officeDocument/2006/relationships/footnotes" Target="footnotes.xml"/><Relationship Id="rId15" Type="http://schemas.openxmlformats.org/officeDocument/2006/relationships/hyperlink" Target="https://www.scielo.pt/scielo.php?script=sci_arttext&amp;pid=S2182-74352021000100131&amp;lang=pt" TargetMode="External"/><Relationship Id="rId23" Type="http://schemas.openxmlformats.org/officeDocument/2006/relationships/theme" Target="theme/theme1.xml"/><Relationship Id="rId10" Type="http://schemas.openxmlformats.org/officeDocument/2006/relationships/hyperlink" Target="https://repositorio.cepal.org/server/api/core/bitstreams/950fc6d4-2795-4db9-9d98-b2cf3b4646ad/content" TargetMode="External"/><Relationship Id="rId19" Type="http://schemas.openxmlformats.org/officeDocument/2006/relationships/hyperlink" Target="https://repositorio.ipea.gov.br/bitstream/11058/10284/1/BPS_27_nps_politicas_de_inclusao.pdf" TargetMode="External"/><Relationship Id="rId4" Type="http://schemas.openxmlformats.org/officeDocument/2006/relationships/webSettings" Target="webSettings.xml"/><Relationship Id="rId9" Type="http://schemas.openxmlformats.org/officeDocument/2006/relationships/hyperlink" Target="https://revistas.marilia.unesp.br/index.php/aurora/article/view/1226/1093" TargetMode="External"/><Relationship Id="rId14" Type="http://schemas.openxmlformats.org/officeDocument/2006/relationships/hyperlink" Target="https://www.scielo.br/j/cgpc/a/WfVmNMXC5ppwK4qk7hbhMwv/"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joaopgdoj.aluno@unipampa.edu.br" TargetMode="External"/><Relationship Id="rId2" Type="http://schemas.openxmlformats.org/officeDocument/2006/relationships/hyperlink" Target="mailto:eduardocechin.aluno@unipampa.edu.br" TargetMode="External"/><Relationship Id="rId1" Type="http://schemas.openxmlformats.org/officeDocument/2006/relationships/hyperlink" Target="mailto:rosilaineguilherme@unipampa.edu.br" TargetMode="External"/><Relationship Id="rId5" Type="http://schemas.openxmlformats.org/officeDocument/2006/relationships/hyperlink" Target="mailto:elisangelapessoa@unipampa.edu.br" TargetMode="External"/><Relationship Id="rId4" Type="http://schemas.openxmlformats.org/officeDocument/2006/relationships/hyperlink" Target="mailto:mellanysilva.aluno@unipamp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DoHgPy2kwQN2u0E2dJLl19zNg==">CgMxLjA4AHIhMU9UUk5GWnVYeE9HNGd1cXZnMGpldkU5SldZUHQ1R2ha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4103</Words>
  <Characters>22160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Eduardo Cechin</cp:lastModifiedBy>
  <cp:revision>5</cp:revision>
  <dcterms:created xsi:type="dcterms:W3CDTF">2025-06-06T19:52:00Z</dcterms:created>
  <dcterms:modified xsi:type="dcterms:W3CDTF">2025-06-10T13:53:00Z</dcterms:modified>
</cp:coreProperties>
</file>