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51BC0" w14:textId="30C0B9CB" w:rsidR="00210A64" w:rsidRDefault="00A26CD4" w:rsidP="00992516">
      <w:pPr>
        <w:spacing w:line="360" w:lineRule="auto"/>
        <w:jc w:val="center"/>
        <w:rPr>
          <w:sz w:val="24"/>
          <w:szCs w:val="24"/>
        </w:rPr>
      </w:pPr>
      <w:r w:rsidRPr="00A26CD4">
        <w:rPr>
          <w:b/>
          <w:sz w:val="24"/>
          <w:szCs w:val="24"/>
        </w:rPr>
        <w:t>EDUCAÇÃO ESPECIAL NA PERSPECTIVA INCLUSIVA</w:t>
      </w:r>
      <w:r>
        <w:rPr>
          <w:b/>
          <w:sz w:val="24"/>
          <w:szCs w:val="24"/>
        </w:rPr>
        <w:t>:</w:t>
      </w:r>
      <w:r>
        <w:rPr>
          <w:sz w:val="24"/>
          <w:szCs w:val="24"/>
        </w:rPr>
        <w:t xml:space="preserve"> </w:t>
      </w:r>
      <w:r w:rsidR="00210A64">
        <w:rPr>
          <w:sz w:val="24"/>
          <w:szCs w:val="24"/>
        </w:rPr>
        <w:t xml:space="preserve">uma análise </w:t>
      </w:r>
      <w:r w:rsidR="0030704A">
        <w:rPr>
          <w:sz w:val="24"/>
          <w:szCs w:val="24"/>
        </w:rPr>
        <w:t>comparativa entre o</w:t>
      </w:r>
      <w:r w:rsidR="00210A64">
        <w:rPr>
          <w:sz w:val="24"/>
          <w:szCs w:val="24"/>
        </w:rPr>
        <w:t xml:space="preserve"> Brasil, Nordeste e Maranhão</w:t>
      </w:r>
      <w:r w:rsidR="0030704A">
        <w:rPr>
          <w:sz w:val="24"/>
          <w:szCs w:val="24"/>
        </w:rPr>
        <w:t xml:space="preserve"> no período de </w:t>
      </w:r>
      <w:r w:rsidR="00210A64">
        <w:rPr>
          <w:sz w:val="24"/>
          <w:szCs w:val="24"/>
        </w:rPr>
        <w:t>201</w:t>
      </w:r>
      <w:r w:rsidR="000F0530">
        <w:rPr>
          <w:sz w:val="24"/>
          <w:szCs w:val="24"/>
        </w:rPr>
        <w:t>3</w:t>
      </w:r>
      <w:r w:rsidR="00210A64">
        <w:rPr>
          <w:sz w:val="24"/>
          <w:szCs w:val="24"/>
        </w:rPr>
        <w:t xml:space="preserve"> </w:t>
      </w:r>
      <w:r w:rsidR="0030704A">
        <w:rPr>
          <w:sz w:val="24"/>
          <w:szCs w:val="24"/>
        </w:rPr>
        <w:t xml:space="preserve">a </w:t>
      </w:r>
      <w:r w:rsidR="00992516">
        <w:rPr>
          <w:sz w:val="24"/>
          <w:szCs w:val="24"/>
        </w:rPr>
        <w:t>2023</w:t>
      </w:r>
      <w:r w:rsidR="00E62442">
        <w:rPr>
          <w:rStyle w:val="Refdenotaderodap"/>
          <w:sz w:val="24"/>
          <w:szCs w:val="24"/>
        </w:rPr>
        <w:footnoteReference w:id="1"/>
      </w:r>
    </w:p>
    <w:p w14:paraId="13067230" w14:textId="77777777" w:rsidR="00210A64" w:rsidRDefault="00210A64" w:rsidP="00210A64">
      <w:pPr>
        <w:spacing w:line="360" w:lineRule="auto"/>
        <w:jc w:val="center"/>
        <w:rPr>
          <w:sz w:val="24"/>
          <w:szCs w:val="24"/>
        </w:rPr>
      </w:pPr>
    </w:p>
    <w:p w14:paraId="79576251" w14:textId="6CA46587" w:rsidR="00210A64" w:rsidRDefault="00210A64" w:rsidP="00210A64">
      <w:pPr>
        <w:spacing w:line="360" w:lineRule="auto"/>
        <w:jc w:val="right"/>
        <w:rPr>
          <w:sz w:val="24"/>
          <w:szCs w:val="24"/>
        </w:rPr>
      </w:pPr>
      <w:r>
        <w:rPr>
          <w:sz w:val="24"/>
          <w:szCs w:val="24"/>
        </w:rPr>
        <w:t>Carla Vanessa Santos Cutrim</w:t>
      </w:r>
      <w:r w:rsidR="00E62442">
        <w:rPr>
          <w:rStyle w:val="Refdenotaderodap"/>
          <w:sz w:val="24"/>
          <w:szCs w:val="24"/>
        </w:rPr>
        <w:footnoteReference w:id="2"/>
      </w:r>
    </w:p>
    <w:p w14:paraId="2863B730" w14:textId="05745BA7" w:rsidR="00210A64" w:rsidRDefault="00210A64" w:rsidP="00210A64">
      <w:pPr>
        <w:spacing w:line="360" w:lineRule="auto"/>
        <w:jc w:val="right"/>
        <w:rPr>
          <w:sz w:val="24"/>
          <w:szCs w:val="24"/>
        </w:rPr>
      </w:pPr>
      <w:r>
        <w:rPr>
          <w:sz w:val="24"/>
          <w:szCs w:val="24"/>
        </w:rPr>
        <w:t>Marlana Portilho Rodrigues Santos</w:t>
      </w:r>
      <w:r w:rsidR="00E62442">
        <w:rPr>
          <w:rStyle w:val="Refdenotaderodap"/>
          <w:sz w:val="24"/>
          <w:szCs w:val="24"/>
        </w:rPr>
        <w:footnoteReference w:id="3"/>
      </w:r>
    </w:p>
    <w:p w14:paraId="1477665C" w14:textId="62BED2CC" w:rsidR="00210A64" w:rsidRDefault="00210A64" w:rsidP="00210A64">
      <w:pPr>
        <w:spacing w:line="360" w:lineRule="auto"/>
        <w:jc w:val="right"/>
        <w:rPr>
          <w:sz w:val="24"/>
          <w:szCs w:val="24"/>
        </w:rPr>
      </w:pPr>
      <w:r>
        <w:rPr>
          <w:sz w:val="24"/>
          <w:szCs w:val="24"/>
        </w:rPr>
        <w:t>Maysa Eduarda Silva Miranda</w:t>
      </w:r>
      <w:r w:rsidR="00E62442">
        <w:rPr>
          <w:rStyle w:val="Refdenotaderodap"/>
          <w:sz w:val="24"/>
          <w:szCs w:val="24"/>
        </w:rPr>
        <w:footnoteReference w:id="4"/>
      </w:r>
    </w:p>
    <w:p w14:paraId="439E9A8F" w14:textId="576C9F2B" w:rsidR="00210A64" w:rsidRDefault="00210A64" w:rsidP="00210A64">
      <w:pPr>
        <w:spacing w:line="360" w:lineRule="auto"/>
        <w:jc w:val="right"/>
        <w:rPr>
          <w:sz w:val="24"/>
          <w:szCs w:val="24"/>
        </w:rPr>
      </w:pPr>
      <w:r>
        <w:rPr>
          <w:sz w:val="24"/>
          <w:szCs w:val="24"/>
        </w:rPr>
        <w:t>Maysa Thaís Póvoas de Albuquerque</w:t>
      </w:r>
      <w:r w:rsidR="00E62442">
        <w:rPr>
          <w:rStyle w:val="Refdenotaderodap"/>
          <w:sz w:val="24"/>
          <w:szCs w:val="24"/>
        </w:rPr>
        <w:footnoteReference w:id="5"/>
      </w:r>
    </w:p>
    <w:p w14:paraId="369C3033" w14:textId="19B07C6B" w:rsidR="00210A64" w:rsidRDefault="00210A64" w:rsidP="00210A64">
      <w:pPr>
        <w:spacing w:line="360" w:lineRule="auto"/>
        <w:jc w:val="right"/>
        <w:rPr>
          <w:sz w:val="24"/>
          <w:szCs w:val="24"/>
        </w:rPr>
      </w:pPr>
      <w:r>
        <w:rPr>
          <w:sz w:val="24"/>
          <w:szCs w:val="24"/>
        </w:rPr>
        <w:t>Sanndy Dayse Fonseca Ribeiro</w:t>
      </w:r>
      <w:r w:rsidR="00E62442">
        <w:rPr>
          <w:rStyle w:val="Refdenotaderodap"/>
          <w:sz w:val="24"/>
          <w:szCs w:val="24"/>
        </w:rPr>
        <w:footnoteReference w:id="6"/>
      </w:r>
    </w:p>
    <w:p w14:paraId="20F1DC9C" w14:textId="77777777" w:rsidR="00210A64" w:rsidRDefault="00210A64" w:rsidP="00210A64">
      <w:pPr>
        <w:spacing w:line="240" w:lineRule="auto"/>
        <w:ind w:left="2835"/>
        <w:jc w:val="both"/>
        <w:rPr>
          <w:b/>
          <w:sz w:val="20"/>
          <w:szCs w:val="20"/>
        </w:rPr>
      </w:pPr>
    </w:p>
    <w:p w14:paraId="79A91C78" w14:textId="77777777" w:rsidR="00210A64" w:rsidRDefault="00210A64" w:rsidP="00210A64">
      <w:pPr>
        <w:spacing w:line="240" w:lineRule="auto"/>
        <w:ind w:left="2835"/>
        <w:jc w:val="both"/>
        <w:rPr>
          <w:b/>
          <w:sz w:val="20"/>
          <w:szCs w:val="20"/>
        </w:rPr>
      </w:pPr>
    </w:p>
    <w:p w14:paraId="67B61297" w14:textId="77777777" w:rsidR="00210A64" w:rsidRPr="001963D9" w:rsidRDefault="00210A64" w:rsidP="00210A64">
      <w:pPr>
        <w:spacing w:line="240" w:lineRule="auto"/>
        <w:ind w:left="2835"/>
        <w:jc w:val="both"/>
        <w:rPr>
          <w:b/>
          <w:sz w:val="20"/>
          <w:szCs w:val="20"/>
        </w:rPr>
      </w:pPr>
      <w:r w:rsidRPr="001963D9">
        <w:rPr>
          <w:b/>
          <w:sz w:val="20"/>
          <w:szCs w:val="20"/>
        </w:rPr>
        <w:t>Resumo</w:t>
      </w:r>
    </w:p>
    <w:p w14:paraId="4EF41361" w14:textId="50FD2839" w:rsidR="004D38F8" w:rsidRPr="001963D9" w:rsidRDefault="004D38F8" w:rsidP="00210A64">
      <w:pPr>
        <w:spacing w:line="240" w:lineRule="auto"/>
        <w:ind w:left="2835"/>
        <w:jc w:val="both"/>
        <w:rPr>
          <w:sz w:val="20"/>
          <w:szCs w:val="20"/>
        </w:rPr>
      </w:pPr>
      <w:r w:rsidRPr="001963D9">
        <w:rPr>
          <w:sz w:val="20"/>
          <w:szCs w:val="20"/>
        </w:rPr>
        <w:t xml:space="preserve">O presente artigo teve como objetivo </w:t>
      </w:r>
      <w:r w:rsidR="0059088D" w:rsidRPr="001963D9">
        <w:rPr>
          <w:sz w:val="20"/>
          <w:szCs w:val="20"/>
        </w:rPr>
        <w:t xml:space="preserve">analisar a evolução da educação especial inclusiva no Maranhão, comparando seus </w:t>
      </w:r>
      <w:r w:rsidR="009A53B5" w:rsidRPr="001963D9">
        <w:rPr>
          <w:sz w:val="20"/>
          <w:szCs w:val="20"/>
        </w:rPr>
        <w:t>resultados</w:t>
      </w:r>
      <w:r w:rsidR="0059088D" w:rsidRPr="001963D9">
        <w:rPr>
          <w:sz w:val="20"/>
          <w:szCs w:val="20"/>
        </w:rPr>
        <w:t xml:space="preserve"> com os do Nordeste e do Brasil. A pesquisa é fundamentada em dados do Censo Escolar</w:t>
      </w:r>
      <w:r w:rsidR="00986C9D" w:rsidRPr="001963D9">
        <w:rPr>
          <w:sz w:val="20"/>
          <w:szCs w:val="20"/>
        </w:rPr>
        <w:t xml:space="preserve"> do Ministério da Educaçã</w:t>
      </w:r>
      <w:r w:rsidR="000F6878" w:rsidRPr="001963D9">
        <w:rPr>
          <w:sz w:val="20"/>
          <w:szCs w:val="20"/>
        </w:rPr>
        <w:t>o,</w:t>
      </w:r>
      <w:r w:rsidR="0022658B" w:rsidRPr="001963D9">
        <w:rPr>
          <w:sz w:val="20"/>
          <w:szCs w:val="20"/>
        </w:rPr>
        <w:t xml:space="preserve"> </w:t>
      </w:r>
      <w:r w:rsidR="0059088D" w:rsidRPr="001963D9">
        <w:rPr>
          <w:sz w:val="20"/>
          <w:szCs w:val="20"/>
        </w:rPr>
        <w:t>destac</w:t>
      </w:r>
      <w:r w:rsidR="000F6878" w:rsidRPr="001963D9">
        <w:rPr>
          <w:sz w:val="20"/>
          <w:szCs w:val="20"/>
        </w:rPr>
        <w:t>ando a</w:t>
      </w:r>
      <w:r w:rsidR="0059088D" w:rsidRPr="001963D9">
        <w:rPr>
          <w:sz w:val="20"/>
          <w:szCs w:val="20"/>
        </w:rPr>
        <w:t xml:space="preserve"> trajetória e os avanços legais na garantia dos direitos das pessoas com deficiência</w:t>
      </w:r>
      <w:r w:rsidR="0022658B" w:rsidRPr="001963D9">
        <w:rPr>
          <w:sz w:val="20"/>
          <w:szCs w:val="20"/>
        </w:rPr>
        <w:t xml:space="preserve"> no país</w:t>
      </w:r>
      <w:r w:rsidR="0059088D" w:rsidRPr="001963D9">
        <w:rPr>
          <w:sz w:val="20"/>
          <w:szCs w:val="20"/>
        </w:rPr>
        <w:t>.</w:t>
      </w:r>
    </w:p>
    <w:p w14:paraId="6F87716D" w14:textId="77777777" w:rsidR="0059088D" w:rsidRPr="001963D9" w:rsidRDefault="0059088D" w:rsidP="00210A64">
      <w:pPr>
        <w:spacing w:line="240" w:lineRule="auto"/>
        <w:ind w:left="2835"/>
        <w:jc w:val="both"/>
        <w:rPr>
          <w:color w:val="FF0000"/>
          <w:sz w:val="20"/>
          <w:szCs w:val="20"/>
        </w:rPr>
      </w:pPr>
    </w:p>
    <w:p w14:paraId="049858FE" w14:textId="12D649D4" w:rsidR="00210A64" w:rsidRPr="001963D9" w:rsidRDefault="00210A64" w:rsidP="00210A64">
      <w:pPr>
        <w:spacing w:line="240" w:lineRule="auto"/>
        <w:ind w:left="2835"/>
        <w:jc w:val="both"/>
        <w:rPr>
          <w:color w:val="FF0000"/>
          <w:sz w:val="20"/>
          <w:szCs w:val="20"/>
          <w:lang w:val="en-US"/>
        </w:rPr>
      </w:pPr>
      <w:r w:rsidRPr="001963D9">
        <w:rPr>
          <w:b/>
          <w:sz w:val="20"/>
          <w:szCs w:val="20"/>
        </w:rPr>
        <w:t>Palavras-chave</w:t>
      </w:r>
      <w:r w:rsidRPr="001963D9">
        <w:rPr>
          <w:sz w:val="20"/>
          <w:szCs w:val="20"/>
        </w:rPr>
        <w:t xml:space="preserve">: </w:t>
      </w:r>
      <w:r w:rsidR="00BE3735" w:rsidRPr="00BE3735">
        <w:rPr>
          <w:sz w:val="20"/>
          <w:szCs w:val="20"/>
        </w:rPr>
        <w:t>Educação Especial. Educação inclusiva. Legislação</w:t>
      </w:r>
      <w:r w:rsidR="00BE3735" w:rsidRPr="00BE3735" w:rsidDel="00BE3735">
        <w:rPr>
          <w:sz w:val="20"/>
          <w:szCs w:val="20"/>
        </w:rPr>
        <w:t>.</w:t>
      </w:r>
      <w:r w:rsidR="0059088D" w:rsidRPr="001963D9">
        <w:rPr>
          <w:sz w:val="20"/>
          <w:szCs w:val="20"/>
        </w:rPr>
        <w:t xml:space="preserve"> </w:t>
      </w:r>
    </w:p>
    <w:p w14:paraId="639AB933" w14:textId="77777777" w:rsidR="00210A64" w:rsidRPr="001963D9" w:rsidRDefault="00210A64" w:rsidP="00210A64">
      <w:pPr>
        <w:spacing w:line="240" w:lineRule="auto"/>
        <w:ind w:left="2835"/>
        <w:jc w:val="both"/>
        <w:rPr>
          <w:color w:val="FF0000"/>
          <w:sz w:val="20"/>
          <w:szCs w:val="20"/>
          <w:lang w:val="en-US"/>
        </w:rPr>
      </w:pPr>
    </w:p>
    <w:p w14:paraId="41BFCAD2" w14:textId="77777777" w:rsidR="00210A64" w:rsidRPr="001963D9" w:rsidRDefault="00210A64" w:rsidP="00210A64">
      <w:pPr>
        <w:spacing w:line="240" w:lineRule="auto"/>
        <w:ind w:left="2835"/>
        <w:jc w:val="both"/>
        <w:rPr>
          <w:b/>
          <w:sz w:val="20"/>
          <w:szCs w:val="20"/>
        </w:rPr>
      </w:pPr>
      <w:r w:rsidRPr="001963D9">
        <w:rPr>
          <w:b/>
          <w:sz w:val="20"/>
          <w:szCs w:val="20"/>
        </w:rPr>
        <w:t>Abstract</w:t>
      </w:r>
    </w:p>
    <w:p w14:paraId="2EDE011C" w14:textId="1505403C" w:rsidR="00986C9D" w:rsidRPr="001963D9" w:rsidRDefault="001663A8" w:rsidP="00210A64">
      <w:pPr>
        <w:spacing w:line="240" w:lineRule="auto"/>
        <w:ind w:left="2835"/>
        <w:jc w:val="both"/>
        <w:rPr>
          <w:sz w:val="20"/>
          <w:szCs w:val="20"/>
        </w:rPr>
      </w:pPr>
      <w:r w:rsidRPr="001963D9">
        <w:rPr>
          <w:sz w:val="20"/>
          <w:szCs w:val="20"/>
        </w:rPr>
        <w:t>This article aimed to analyze the evolution of inclusive special education in the state of Maranhão, comparing its outcomes with those of the Northeast region and Brazil as a whole. The research is based on data from the School Census conducted by the Ministry of Education, highlighting the trajectory and legal advancements in securing the rights of persons with disabilities in the country</w:t>
      </w:r>
      <w:r w:rsidR="00986C9D" w:rsidRPr="001963D9">
        <w:rPr>
          <w:sz w:val="20"/>
          <w:szCs w:val="20"/>
        </w:rPr>
        <w:t>.</w:t>
      </w:r>
    </w:p>
    <w:p w14:paraId="51B068E5" w14:textId="5583783D" w:rsidR="0059088D" w:rsidRPr="001963D9" w:rsidRDefault="0059088D" w:rsidP="00210A64">
      <w:pPr>
        <w:spacing w:line="240" w:lineRule="auto"/>
        <w:ind w:left="2835"/>
        <w:jc w:val="both"/>
        <w:rPr>
          <w:b/>
          <w:bCs/>
          <w:color w:val="FF0000"/>
          <w:sz w:val="20"/>
          <w:szCs w:val="20"/>
          <w:highlight w:val="yellow"/>
        </w:rPr>
      </w:pPr>
    </w:p>
    <w:p w14:paraId="79FE3F74" w14:textId="49077567" w:rsidR="00210A64" w:rsidRPr="00986C9D" w:rsidRDefault="004D38F8" w:rsidP="00BE3735">
      <w:pPr>
        <w:spacing w:line="240" w:lineRule="auto"/>
        <w:ind w:left="2835"/>
        <w:jc w:val="both"/>
        <w:rPr>
          <w:bCs/>
          <w:sz w:val="24"/>
          <w:szCs w:val="24"/>
        </w:rPr>
      </w:pPr>
      <w:r w:rsidRPr="001963D9">
        <w:rPr>
          <w:b/>
          <w:sz w:val="20"/>
          <w:szCs w:val="20"/>
        </w:rPr>
        <w:t xml:space="preserve">Keywords: </w:t>
      </w:r>
      <w:r w:rsidR="00BE3735" w:rsidRPr="00BE3735">
        <w:rPr>
          <w:sz w:val="20"/>
          <w:szCs w:val="20"/>
        </w:rPr>
        <w:t>Special Education; Inclusive Education. Legislation.</w:t>
      </w:r>
    </w:p>
    <w:p w14:paraId="746DA2C0" w14:textId="77777777" w:rsidR="00210A64" w:rsidRDefault="00210A64" w:rsidP="00210A64">
      <w:pPr>
        <w:spacing w:line="360" w:lineRule="auto"/>
        <w:jc w:val="both"/>
        <w:rPr>
          <w:sz w:val="24"/>
          <w:szCs w:val="24"/>
        </w:rPr>
      </w:pPr>
    </w:p>
    <w:p w14:paraId="2D098C66" w14:textId="77777777" w:rsidR="00210A64" w:rsidRDefault="00210A64" w:rsidP="00210A64">
      <w:pPr>
        <w:spacing w:line="360" w:lineRule="auto"/>
        <w:rPr>
          <w:b/>
          <w:sz w:val="24"/>
          <w:szCs w:val="24"/>
        </w:rPr>
      </w:pPr>
      <w:r>
        <w:rPr>
          <w:b/>
          <w:sz w:val="24"/>
          <w:szCs w:val="24"/>
        </w:rPr>
        <w:br w:type="page"/>
      </w:r>
      <w:r>
        <w:rPr>
          <w:b/>
          <w:sz w:val="24"/>
          <w:szCs w:val="24"/>
        </w:rPr>
        <w:lastRenderedPageBreak/>
        <w:t>1</w:t>
      </w:r>
      <w:r>
        <w:rPr>
          <w:b/>
          <w:sz w:val="24"/>
          <w:szCs w:val="24"/>
        </w:rPr>
        <w:tab/>
        <w:t>INTRODUÇÃO</w:t>
      </w:r>
    </w:p>
    <w:p w14:paraId="625BE737" w14:textId="77777777" w:rsidR="00210A64" w:rsidRDefault="00210A64" w:rsidP="00210A64">
      <w:pPr>
        <w:spacing w:line="360" w:lineRule="auto"/>
        <w:jc w:val="both"/>
        <w:rPr>
          <w:sz w:val="24"/>
          <w:szCs w:val="24"/>
        </w:rPr>
      </w:pPr>
    </w:p>
    <w:p w14:paraId="51A73AA6" w14:textId="1D4AF777" w:rsidR="00054B0E" w:rsidRPr="00AE3651" w:rsidRDefault="00481F35" w:rsidP="00EB312B">
      <w:pPr>
        <w:spacing w:line="360" w:lineRule="auto"/>
        <w:ind w:firstLine="709"/>
        <w:jc w:val="both"/>
        <w:rPr>
          <w:sz w:val="24"/>
          <w:szCs w:val="24"/>
        </w:rPr>
      </w:pPr>
      <w:bookmarkStart w:id="0" w:name="_Hlk198798162"/>
      <w:r w:rsidRPr="00AE3651">
        <w:rPr>
          <w:sz w:val="24"/>
          <w:szCs w:val="24"/>
        </w:rPr>
        <w:t>O Brasil dispõe de uma ampla gama de instrumentos legais que promovem a inclusão escolar, assegurando direitos e estabelecendo diretrizes para a educação inclusiva em todos os níveis e modalidades.</w:t>
      </w:r>
      <w:bookmarkEnd w:id="0"/>
      <w:r w:rsidR="004507A2" w:rsidRPr="00AE3651">
        <w:rPr>
          <w:sz w:val="24"/>
          <w:szCs w:val="24"/>
        </w:rPr>
        <w:t xml:space="preserve"> </w:t>
      </w:r>
      <w:r w:rsidR="00054B0E">
        <w:rPr>
          <w:sz w:val="24"/>
          <w:szCs w:val="24"/>
        </w:rPr>
        <w:t xml:space="preserve">Tem como marco, </w:t>
      </w:r>
      <w:r w:rsidR="000253E9">
        <w:rPr>
          <w:sz w:val="24"/>
          <w:szCs w:val="24"/>
        </w:rPr>
        <w:t xml:space="preserve">a </w:t>
      </w:r>
      <w:r w:rsidR="00054B0E" w:rsidRPr="00AE3651">
        <w:rPr>
          <w:sz w:val="24"/>
          <w:szCs w:val="24"/>
        </w:rPr>
        <w:t xml:space="preserve">Constituição Federal em 1988, </w:t>
      </w:r>
      <w:r w:rsidR="000253E9">
        <w:rPr>
          <w:sz w:val="24"/>
          <w:szCs w:val="24"/>
        </w:rPr>
        <w:t>a qual alicerçou materialmente</w:t>
      </w:r>
      <w:r w:rsidR="000253E9" w:rsidRPr="000253E9">
        <w:t xml:space="preserve"> </w:t>
      </w:r>
      <w:r w:rsidR="000253E9">
        <w:t xml:space="preserve">o </w:t>
      </w:r>
      <w:r w:rsidR="000253E9" w:rsidRPr="000253E9">
        <w:rPr>
          <w:sz w:val="24"/>
          <w:szCs w:val="24"/>
        </w:rPr>
        <w:t>conjunto de normas que estabelecem os fundamentos do Estado</w:t>
      </w:r>
      <w:r w:rsidR="000A7A2A">
        <w:rPr>
          <w:sz w:val="24"/>
          <w:szCs w:val="24"/>
        </w:rPr>
        <w:t xml:space="preserve">, ao garantir que todos os cidadãos tenham acesso à educação e que a inclusão seja um princípio fundamental no sistema educacional, especialmente, para as pessoas com deficiência. </w:t>
      </w:r>
    </w:p>
    <w:p w14:paraId="3A8AB8C3" w14:textId="7B9DCACC" w:rsidR="00054B0E" w:rsidRDefault="00054B0E">
      <w:pPr>
        <w:spacing w:line="360" w:lineRule="auto"/>
        <w:ind w:firstLine="709"/>
        <w:jc w:val="both"/>
        <w:rPr>
          <w:sz w:val="24"/>
          <w:szCs w:val="24"/>
        </w:rPr>
      </w:pPr>
      <w:r w:rsidRPr="00AE3651">
        <w:rPr>
          <w:sz w:val="24"/>
          <w:szCs w:val="24"/>
        </w:rPr>
        <w:t>A inclusão escolar é o processo de assegurar que todos os estudantes, independentemente de suas habilidades, origens ou necessidades particulares, tenham acesso justo e efetivo à educação</w:t>
      </w:r>
      <w:r w:rsidR="000A7A2A">
        <w:rPr>
          <w:sz w:val="24"/>
          <w:szCs w:val="24"/>
        </w:rPr>
        <w:t xml:space="preserve"> </w:t>
      </w:r>
      <w:r w:rsidRPr="00AE3651">
        <w:rPr>
          <w:sz w:val="24"/>
          <w:szCs w:val="24"/>
        </w:rPr>
        <w:t xml:space="preserve">(Narciso </w:t>
      </w:r>
      <w:r w:rsidRPr="00F35895">
        <w:rPr>
          <w:i/>
          <w:sz w:val="24"/>
          <w:szCs w:val="24"/>
        </w:rPr>
        <w:t>et al</w:t>
      </w:r>
      <w:r w:rsidRPr="00AE3651">
        <w:rPr>
          <w:sz w:val="24"/>
          <w:szCs w:val="24"/>
        </w:rPr>
        <w:t>., 2024)</w:t>
      </w:r>
      <w:r w:rsidR="00EB312B">
        <w:rPr>
          <w:sz w:val="24"/>
          <w:szCs w:val="24"/>
        </w:rPr>
        <w:t xml:space="preserve">. </w:t>
      </w:r>
      <w:r w:rsidR="00951D89">
        <w:rPr>
          <w:sz w:val="24"/>
          <w:szCs w:val="24"/>
        </w:rPr>
        <w:t>Em conformidade, d</w:t>
      </w:r>
      <w:r w:rsidR="00EA62CE">
        <w:rPr>
          <w:sz w:val="24"/>
          <w:szCs w:val="24"/>
        </w:rPr>
        <w:t xml:space="preserve">esde 2008, o Brasil possui a </w:t>
      </w:r>
      <w:r w:rsidR="00EA62CE" w:rsidRPr="008A763D">
        <w:rPr>
          <w:sz w:val="24"/>
          <w:szCs w:val="24"/>
        </w:rPr>
        <w:t>Política Nacional de Educação Especial na Perspectiva da Educação Inclusiva (PNEEPI</w:t>
      </w:r>
      <w:r w:rsidR="00951D89">
        <w:rPr>
          <w:sz w:val="24"/>
          <w:szCs w:val="24"/>
        </w:rPr>
        <w:t>), que possui princípios fundamentais</w:t>
      </w:r>
      <w:r w:rsidR="00C31DB5">
        <w:rPr>
          <w:sz w:val="24"/>
          <w:szCs w:val="24"/>
        </w:rPr>
        <w:t>, tais</w:t>
      </w:r>
      <w:r w:rsidR="00951D89">
        <w:rPr>
          <w:sz w:val="24"/>
          <w:szCs w:val="24"/>
        </w:rPr>
        <w:t xml:space="preserve"> como e</w:t>
      </w:r>
      <w:r w:rsidR="00951D89" w:rsidRPr="00951D89">
        <w:rPr>
          <w:sz w:val="24"/>
          <w:szCs w:val="24"/>
        </w:rPr>
        <w:t>ducação inclusiva como direito humano</w:t>
      </w:r>
      <w:r w:rsidR="00951D89">
        <w:rPr>
          <w:sz w:val="24"/>
          <w:szCs w:val="24"/>
        </w:rPr>
        <w:t>, m</w:t>
      </w:r>
      <w:r w:rsidR="00951D89" w:rsidRPr="00951D89">
        <w:rPr>
          <w:sz w:val="24"/>
          <w:szCs w:val="24"/>
        </w:rPr>
        <w:t>atrícula preferencial na escola regular</w:t>
      </w:r>
      <w:r w:rsidR="00C31DB5">
        <w:rPr>
          <w:sz w:val="24"/>
          <w:szCs w:val="24"/>
        </w:rPr>
        <w:t>, f</w:t>
      </w:r>
      <w:r w:rsidR="00C31DB5" w:rsidRPr="00C31DB5">
        <w:rPr>
          <w:sz w:val="24"/>
          <w:szCs w:val="24"/>
        </w:rPr>
        <w:t>ormação de professores</w:t>
      </w:r>
      <w:r w:rsidR="00C31DB5">
        <w:rPr>
          <w:sz w:val="24"/>
          <w:szCs w:val="24"/>
        </w:rPr>
        <w:t xml:space="preserve"> e acessibilidade. </w:t>
      </w:r>
    </w:p>
    <w:p w14:paraId="1B87D0E9" w14:textId="17C80B47" w:rsidR="001F5AD3" w:rsidRDefault="004507A2" w:rsidP="00F8608D">
      <w:pPr>
        <w:spacing w:line="360" w:lineRule="auto"/>
        <w:ind w:firstLine="709"/>
        <w:jc w:val="both"/>
        <w:rPr>
          <w:sz w:val="24"/>
          <w:szCs w:val="24"/>
        </w:rPr>
      </w:pPr>
      <w:r w:rsidRPr="00AE3651">
        <w:rPr>
          <w:sz w:val="24"/>
          <w:szCs w:val="24"/>
        </w:rPr>
        <w:t xml:space="preserve">É diante desse contexto, que o presente artigo tem por finalidade </w:t>
      </w:r>
      <w:r w:rsidR="006E6902" w:rsidRPr="00AE3651">
        <w:rPr>
          <w:sz w:val="24"/>
          <w:szCs w:val="24"/>
        </w:rPr>
        <w:t xml:space="preserve">revisitar </w:t>
      </w:r>
      <w:r w:rsidR="009B16D4" w:rsidRPr="00AE3651">
        <w:rPr>
          <w:sz w:val="24"/>
          <w:szCs w:val="24"/>
        </w:rPr>
        <w:t>algun</w:t>
      </w:r>
      <w:r w:rsidR="006E6902" w:rsidRPr="00AE3651">
        <w:rPr>
          <w:sz w:val="24"/>
          <w:szCs w:val="24"/>
        </w:rPr>
        <w:t>s instrumentos legais que fundamenta</w:t>
      </w:r>
      <w:r w:rsidR="007A31B9" w:rsidRPr="00AE3651">
        <w:rPr>
          <w:sz w:val="24"/>
          <w:szCs w:val="24"/>
        </w:rPr>
        <w:t>ra</w:t>
      </w:r>
      <w:r w:rsidR="006E6902" w:rsidRPr="00AE3651">
        <w:rPr>
          <w:sz w:val="24"/>
          <w:szCs w:val="24"/>
        </w:rPr>
        <w:t xml:space="preserve">m a trajetória da educação especial </w:t>
      </w:r>
      <w:r w:rsidR="009B16D4" w:rsidRPr="00AE3651">
        <w:rPr>
          <w:sz w:val="24"/>
          <w:szCs w:val="24"/>
        </w:rPr>
        <w:t>no Brasil</w:t>
      </w:r>
      <w:r w:rsidR="00562C41">
        <w:rPr>
          <w:sz w:val="24"/>
          <w:szCs w:val="24"/>
        </w:rPr>
        <w:t xml:space="preserve"> e</w:t>
      </w:r>
      <w:r w:rsidR="006E6902" w:rsidRPr="00AE3651">
        <w:rPr>
          <w:sz w:val="24"/>
          <w:szCs w:val="24"/>
        </w:rPr>
        <w:t xml:space="preserve"> refletir </w:t>
      </w:r>
      <w:r w:rsidR="00C819DA" w:rsidRPr="00AE3651">
        <w:rPr>
          <w:sz w:val="24"/>
          <w:szCs w:val="24"/>
        </w:rPr>
        <w:t xml:space="preserve">sobre </w:t>
      </w:r>
      <w:r w:rsidR="009A4730">
        <w:rPr>
          <w:sz w:val="24"/>
          <w:szCs w:val="24"/>
        </w:rPr>
        <w:t xml:space="preserve">a </w:t>
      </w:r>
      <w:r w:rsidR="00562C41">
        <w:rPr>
          <w:sz w:val="24"/>
          <w:szCs w:val="24"/>
        </w:rPr>
        <w:t xml:space="preserve">evolução </w:t>
      </w:r>
      <w:r w:rsidR="009A4730">
        <w:rPr>
          <w:sz w:val="24"/>
          <w:szCs w:val="24"/>
        </w:rPr>
        <w:t>de</w:t>
      </w:r>
      <w:r w:rsidR="001F5AD3">
        <w:rPr>
          <w:sz w:val="24"/>
          <w:szCs w:val="24"/>
        </w:rPr>
        <w:t xml:space="preserve"> indicadores educacionais</w:t>
      </w:r>
      <w:r w:rsidR="009A4730">
        <w:rPr>
          <w:sz w:val="24"/>
          <w:szCs w:val="24"/>
        </w:rPr>
        <w:t>, na perspectiva inclusiva, n</w:t>
      </w:r>
      <w:r w:rsidR="001F5AD3">
        <w:rPr>
          <w:sz w:val="24"/>
          <w:szCs w:val="24"/>
        </w:rPr>
        <w:t>o Brasil, Nordeste e Maranhão.</w:t>
      </w:r>
    </w:p>
    <w:p w14:paraId="70690577" w14:textId="180339A6" w:rsidR="00210A64" w:rsidRPr="00AE3651" w:rsidRDefault="001F5AD3">
      <w:pPr>
        <w:spacing w:line="360" w:lineRule="auto"/>
        <w:ind w:firstLine="709"/>
        <w:jc w:val="both"/>
        <w:rPr>
          <w:sz w:val="24"/>
          <w:szCs w:val="24"/>
        </w:rPr>
      </w:pPr>
      <w:r>
        <w:rPr>
          <w:sz w:val="24"/>
          <w:szCs w:val="24"/>
        </w:rPr>
        <w:t>Neste trabalho</w:t>
      </w:r>
      <w:r w:rsidR="00562C41">
        <w:rPr>
          <w:sz w:val="24"/>
          <w:szCs w:val="24"/>
        </w:rPr>
        <w:t>, serão analisados</w:t>
      </w:r>
      <w:r w:rsidR="00F8608D" w:rsidRPr="00AE3651">
        <w:rPr>
          <w:sz w:val="24"/>
          <w:szCs w:val="24"/>
        </w:rPr>
        <w:t xml:space="preserve"> </w:t>
      </w:r>
      <w:r w:rsidR="00562C41">
        <w:rPr>
          <w:sz w:val="24"/>
          <w:szCs w:val="24"/>
        </w:rPr>
        <w:t xml:space="preserve">dados de </w:t>
      </w:r>
      <w:r w:rsidR="00F8608D" w:rsidRPr="00AE3651">
        <w:rPr>
          <w:sz w:val="24"/>
          <w:szCs w:val="24"/>
        </w:rPr>
        <w:t xml:space="preserve">matrículas da </w:t>
      </w:r>
      <w:r w:rsidR="00562C41">
        <w:rPr>
          <w:sz w:val="24"/>
          <w:szCs w:val="24"/>
        </w:rPr>
        <w:t>e</w:t>
      </w:r>
      <w:r w:rsidR="00F8608D" w:rsidRPr="00AE3651">
        <w:rPr>
          <w:sz w:val="24"/>
          <w:szCs w:val="24"/>
        </w:rPr>
        <w:t xml:space="preserve">ducação </w:t>
      </w:r>
      <w:r w:rsidR="00562C41">
        <w:rPr>
          <w:sz w:val="24"/>
          <w:szCs w:val="24"/>
        </w:rPr>
        <w:t>e</w:t>
      </w:r>
      <w:r w:rsidR="00F8608D" w:rsidRPr="00AE3651">
        <w:rPr>
          <w:sz w:val="24"/>
          <w:szCs w:val="24"/>
        </w:rPr>
        <w:t xml:space="preserve">special, </w:t>
      </w:r>
      <w:r w:rsidR="00562C41">
        <w:rPr>
          <w:sz w:val="24"/>
          <w:szCs w:val="24"/>
        </w:rPr>
        <w:t>de</w:t>
      </w:r>
      <w:r w:rsidR="00F8608D" w:rsidRPr="00AE3651">
        <w:rPr>
          <w:sz w:val="24"/>
          <w:szCs w:val="24"/>
        </w:rPr>
        <w:t xml:space="preserve"> escolas com atendimento educacional </w:t>
      </w:r>
      <w:r w:rsidR="00262B58" w:rsidRPr="00AE3651">
        <w:rPr>
          <w:sz w:val="24"/>
          <w:szCs w:val="24"/>
        </w:rPr>
        <w:t>especializado e</w:t>
      </w:r>
      <w:r w:rsidR="0080471B" w:rsidRPr="00AE3651">
        <w:rPr>
          <w:sz w:val="24"/>
          <w:szCs w:val="24"/>
        </w:rPr>
        <w:t xml:space="preserve"> de</w:t>
      </w:r>
      <w:r w:rsidR="00087D83" w:rsidRPr="00AE3651">
        <w:rPr>
          <w:sz w:val="24"/>
          <w:szCs w:val="24"/>
        </w:rPr>
        <w:t xml:space="preserve"> </w:t>
      </w:r>
      <w:r w:rsidR="008A763D" w:rsidRPr="00AE3651">
        <w:rPr>
          <w:sz w:val="24"/>
          <w:szCs w:val="24"/>
        </w:rPr>
        <w:t>acessibilidade</w:t>
      </w:r>
      <w:r w:rsidR="008A763D">
        <w:rPr>
          <w:sz w:val="24"/>
          <w:szCs w:val="24"/>
        </w:rPr>
        <w:t>, oriundos</w:t>
      </w:r>
      <w:r w:rsidR="00B31B54" w:rsidRPr="00AE3651">
        <w:rPr>
          <w:sz w:val="24"/>
          <w:szCs w:val="24"/>
        </w:rPr>
        <w:t xml:space="preserve"> do Censo Escolar, </w:t>
      </w:r>
      <w:r w:rsidR="005E34CF">
        <w:rPr>
          <w:sz w:val="24"/>
          <w:szCs w:val="24"/>
        </w:rPr>
        <w:t>para o</w:t>
      </w:r>
      <w:r w:rsidR="005E34CF" w:rsidRPr="00AE3651">
        <w:rPr>
          <w:sz w:val="24"/>
          <w:szCs w:val="24"/>
        </w:rPr>
        <w:t xml:space="preserve"> </w:t>
      </w:r>
      <w:r w:rsidR="00B31B54" w:rsidRPr="00AE3651">
        <w:rPr>
          <w:sz w:val="24"/>
          <w:szCs w:val="24"/>
        </w:rPr>
        <w:t>período de 201</w:t>
      </w:r>
      <w:r w:rsidR="000F0530" w:rsidRPr="00AE3651">
        <w:rPr>
          <w:sz w:val="24"/>
          <w:szCs w:val="24"/>
        </w:rPr>
        <w:t>3</w:t>
      </w:r>
      <w:r w:rsidR="00B31B54" w:rsidRPr="00AE3651">
        <w:rPr>
          <w:sz w:val="24"/>
          <w:szCs w:val="24"/>
        </w:rPr>
        <w:t xml:space="preserve"> a 2023, disponibilizados pelo </w:t>
      </w:r>
      <w:r w:rsidR="005E34CF" w:rsidRPr="00CC4F17">
        <w:rPr>
          <w:bCs/>
          <w:sz w:val="24"/>
          <w:szCs w:val="24"/>
        </w:rPr>
        <w:t>Instituto Nacional de Estudos e Pesquisas Educacionais Anísio Teixeira</w:t>
      </w:r>
      <w:r w:rsidR="005E34CF" w:rsidRPr="00AE3651" w:rsidDel="005E34CF">
        <w:rPr>
          <w:sz w:val="24"/>
          <w:szCs w:val="24"/>
        </w:rPr>
        <w:t xml:space="preserve"> </w:t>
      </w:r>
      <w:r w:rsidR="005E34CF">
        <w:rPr>
          <w:sz w:val="24"/>
          <w:szCs w:val="24"/>
        </w:rPr>
        <w:t xml:space="preserve">(INEP), vinculado ao Ministério da Educação. </w:t>
      </w:r>
      <w:r w:rsidR="00B31B54" w:rsidRPr="00AE3651">
        <w:rPr>
          <w:sz w:val="24"/>
          <w:szCs w:val="24"/>
        </w:rPr>
        <w:t xml:space="preserve"> </w:t>
      </w:r>
    </w:p>
    <w:p w14:paraId="1DDC15FC" w14:textId="77777777" w:rsidR="00812695" w:rsidRPr="00AE3651" w:rsidRDefault="00812695" w:rsidP="00B31B54">
      <w:pPr>
        <w:spacing w:line="360" w:lineRule="auto"/>
        <w:ind w:firstLine="709"/>
        <w:jc w:val="both"/>
        <w:rPr>
          <w:sz w:val="24"/>
          <w:szCs w:val="24"/>
        </w:rPr>
      </w:pPr>
    </w:p>
    <w:p w14:paraId="09B7F25B" w14:textId="13D258A3" w:rsidR="00733631" w:rsidRPr="00AE3651" w:rsidRDefault="00210A64" w:rsidP="00AA1372">
      <w:pPr>
        <w:spacing w:line="360" w:lineRule="auto"/>
        <w:jc w:val="both"/>
        <w:rPr>
          <w:b/>
          <w:sz w:val="24"/>
          <w:szCs w:val="24"/>
        </w:rPr>
      </w:pPr>
      <w:r w:rsidRPr="00AE3651">
        <w:rPr>
          <w:b/>
          <w:sz w:val="24"/>
          <w:szCs w:val="24"/>
        </w:rPr>
        <w:t>2</w:t>
      </w:r>
      <w:r w:rsidRPr="00AE3651">
        <w:rPr>
          <w:b/>
          <w:sz w:val="24"/>
          <w:szCs w:val="24"/>
        </w:rPr>
        <w:tab/>
        <w:t>REFERENCIAL TEÓRICO</w:t>
      </w:r>
    </w:p>
    <w:p w14:paraId="5B62D616" w14:textId="40B4F910" w:rsidR="00AA1372" w:rsidRPr="00AE3651" w:rsidRDefault="00574014" w:rsidP="00574014">
      <w:pPr>
        <w:spacing w:line="360" w:lineRule="auto"/>
        <w:ind w:firstLine="708"/>
        <w:jc w:val="both"/>
        <w:rPr>
          <w:sz w:val="24"/>
          <w:szCs w:val="24"/>
        </w:rPr>
      </w:pPr>
      <w:r w:rsidRPr="00AE3651">
        <w:rPr>
          <w:sz w:val="24"/>
          <w:szCs w:val="24"/>
        </w:rPr>
        <w:lastRenderedPageBreak/>
        <w:t xml:space="preserve">Ao revisitar </w:t>
      </w:r>
      <w:r w:rsidR="00D7135F" w:rsidRPr="00AE3651">
        <w:rPr>
          <w:sz w:val="24"/>
          <w:szCs w:val="24"/>
        </w:rPr>
        <w:t xml:space="preserve">de forma breve </w:t>
      </w:r>
      <w:r w:rsidRPr="00AE3651">
        <w:rPr>
          <w:sz w:val="24"/>
          <w:szCs w:val="24"/>
        </w:rPr>
        <w:t>os instrumentos legais que fundamentam a trajetória da educação especial na perspectiva inclusiva, é possível refletir</w:t>
      </w:r>
      <w:r w:rsidR="00D7135F" w:rsidRPr="00AE3651">
        <w:rPr>
          <w:sz w:val="24"/>
          <w:szCs w:val="24"/>
        </w:rPr>
        <w:t xml:space="preserve"> sobre alguns pressupostos</w:t>
      </w:r>
      <w:r w:rsidRPr="00AE3651">
        <w:rPr>
          <w:sz w:val="24"/>
          <w:szCs w:val="24"/>
        </w:rPr>
        <w:t xml:space="preserve"> teóricos que orientam as práticas educacionais inclusivas. Nesse contexto, a Constituição Federal</w:t>
      </w:r>
      <w:r w:rsidR="00B304AA">
        <w:rPr>
          <w:sz w:val="24"/>
          <w:szCs w:val="24"/>
        </w:rPr>
        <w:t xml:space="preserve"> </w:t>
      </w:r>
      <w:r w:rsidR="00B304AA" w:rsidRPr="00AE3651">
        <w:rPr>
          <w:sz w:val="24"/>
          <w:szCs w:val="24"/>
        </w:rPr>
        <w:t>(CRFB) de</w:t>
      </w:r>
      <w:r w:rsidRPr="00AE3651">
        <w:rPr>
          <w:sz w:val="24"/>
          <w:szCs w:val="24"/>
        </w:rPr>
        <w:t xml:space="preserve"> 1988 </w:t>
      </w:r>
      <w:r w:rsidR="00184040" w:rsidRPr="00AE3651">
        <w:rPr>
          <w:sz w:val="24"/>
          <w:szCs w:val="24"/>
        </w:rPr>
        <w:t>surge</w:t>
      </w:r>
      <w:r w:rsidRPr="00AE3651">
        <w:rPr>
          <w:sz w:val="24"/>
          <w:szCs w:val="24"/>
        </w:rPr>
        <w:t xml:space="preserve"> como um marco fundamental</w:t>
      </w:r>
      <w:r w:rsidR="00D7135F" w:rsidRPr="00AE3651">
        <w:rPr>
          <w:sz w:val="24"/>
          <w:szCs w:val="24"/>
        </w:rPr>
        <w:t xml:space="preserve"> em nosso país. </w:t>
      </w:r>
    </w:p>
    <w:p w14:paraId="26181619" w14:textId="329F6EA1" w:rsidR="008A763D" w:rsidRDefault="00AA1372" w:rsidP="008A763D">
      <w:pPr>
        <w:spacing w:line="360" w:lineRule="auto"/>
        <w:ind w:firstLine="709"/>
        <w:jc w:val="both"/>
        <w:rPr>
          <w:sz w:val="24"/>
          <w:szCs w:val="24"/>
        </w:rPr>
      </w:pPr>
      <w:r w:rsidRPr="00AE3651">
        <w:rPr>
          <w:sz w:val="24"/>
          <w:szCs w:val="24"/>
        </w:rPr>
        <w:t>A Constituição da República Federativa do Brasil (CRFB) de 1988 formalizou a educação como um direito de todo cidadão brasileiro em desenvolvimento e um dever</w:t>
      </w:r>
      <w:r w:rsidR="008A763D">
        <w:rPr>
          <w:sz w:val="24"/>
          <w:szCs w:val="24"/>
        </w:rPr>
        <w:t xml:space="preserve"> do Estado (</w:t>
      </w:r>
      <w:r w:rsidR="008A763D" w:rsidRPr="00AE3651">
        <w:rPr>
          <w:sz w:val="24"/>
          <w:szCs w:val="24"/>
        </w:rPr>
        <w:t>Brasil, 1988, art.6º</w:t>
      </w:r>
      <w:r w:rsidR="008A763D">
        <w:rPr>
          <w:sz w:val="24"/>
          <w:szCs w:val="24"/>
        </w:rPr>
        <w:t xml:space="preserve">; </w:t>
      </w:r>
      <w:r w:rsidR="008A763D" w:rsidRPr="00AE3651">
        <w:rPr>
          <w:sz w:val="24"/>
          <w:szCs w:val="24"/>
        </w:rPr>
        <w:t>art.205º</w:t>
      </w:r>
      <w:r w:rsidR="008A763D">
        <w:rPr>
          <w:sz w:val="24"/>
          <w:szCs w:val="24"/>
        </w:rPr>
        <w:t xml:space="preserve">). Garantido </w:t>
      </w:r>
      <w:r w:rsidRPr="00AE3651">
        <w:rPr>
          <w:sz w:val="24"/>
          <w:szCs w:val="24"/>
        </w:rPr>
        <w:t xml:space="preserve">aparato legal para que </w:t>
      </w:r>
      <w:r w:rsidR="008A763D">
        <w:rPr>
          <w:sz w:val="24"/>
          <w:szCs w:val="24"/>
        </w:rPr>
        <w:t>todo</w:t>
      </w:r>
      <w:r w:rsidRPr="00AE3651">
        <w:rPr>
          <w:sz w:val="24"/>
          <w:szCs w:val="24"/>
        </w:rPr>
        <w:t xml:space="preserve"> aluno, incluindo aquele que necessite de um atendimento especializado, seja inserido e mantido </w:t>
      </w:r>
      <w:r w:rsidR="008A763D">
        <w:rPr>
          <w:sz w:val="24"/>
          <w:szCs w:val="24"/>
        </w:rPr>
        <w:t>nos espaços escolares</w:t>
      </w:r>
      <w:r w:rsidRPr="00AE3651">
        <w:rPr>
          <w:sz w:val="24"/>
          <w:szCs w:val="24"/>
        </w:rPr>
        <w:t xml:space="preserve">, não como um privilégio, mas </w:t>
      </w:r>
      <w:r w:rsidR="00A37FB9">
        <w:rPr>
          <w:sz w:val="24"/>
          <w:szCs w:val="24"/>
        </w:rPr>
        <w:t xml:space="preserve">como uma </w:t>
      </w:r>
      <w:r w:rsidR="00F26104">
        <w:rPr>
          <w:sz w:val="24"/>
          <w:szCs w:val="24"/>
        </w:rPr>
        <w:t>condição obrigatória</w:t>
      </w:r>
      <w:r w:rsidR="008A763D">
        <w:rPr>
          <w:sz w:val="24"/>
          <w:szCs w:val="24"/>
        </w:rPr>
        <w:t>:</w:t>
      </w:r>
      <w:r w:rsidRPr="00AE3651">
        <w:rPr>
          <w:sz w:val="24"/>
          <w:szCs w:val="24"/>
        </w:rPr>
        <w:t xml:space="preserve"> “atendimento educacional especializado aos portadores de deficiência, preferencialmente na rede regular de ensino” (B</w:t>
      </w:r>
      <w:r w:rsidR="0051513F" w:rsidRPr="00AE3651">
        <w:rPr>
          <w:sz w:val="24"/>
          <w:szCs w:val="24"/>
        </w:rPr>
        <w:t xml:space="preserve">rasil, </w:t>
      </w:r>
      <w:r w:rsidRPr="00AE3651">
        <w:rPr>
          <w:sz w:val="24"/>
          <w:szCs w:val="24"/>
        </w:rPr>
        <w:t xml:space="preserve">1988, </w:t>
      </w:r>
      <w:r w:rsidR="008028F8" w:rsidRPr="00AE3651">
        <w:rPr>
          <w:sz w:val="24"/>
          <w:szCs w:val="24"/>
        </w:rPr>
        <w:t>art. 208º</w:t>
      </w:r>
      <w:r w:rsidRPr="00AE3651">
        <w:rPr>
          <w:sz w:val="24"/>
          <w:szCs w:val="24"/>
        </w:rPr>
        <w:t xml:space="preserve">). </w:t>
      </w:r>
    </w:p>
    <w:p w14:paraId="65C3634C" w14:textId="17B48E05" w:rsidR="00AA1372" w:rsidRPr="00AE3651" w:rsidRDefault="00AA1372" w:rsidP="008A763D">
      <w:pPr>
        <w:spacing w:line="360" w:lineRule="auto"/>
        <w:ind w:firstLine="709"/>
        <w:jc w:val="both"/>
        <w:rPr>
          <w:sz w:val="24"/>
          <w:szCs w:val="24"/>
        </w:rPr>
      </w:pPr>
      <w:r w:rsidRPr="00AE3651">
        <w:rPr>
          <w:sz w:val="24"/>
          <w:szCs w:val="24"/>
        </w:rPr>
        <w:t>Em 1990, o Estatuto da Criança e do Adolescente (Lei 8.069</w:t>
      </w:r>
      <w:r w:rsidR="009C24A4">
        <w:rPr>
          <w:sz w:val="24"/>
          <w:szCs w:val="24"/>
        </w:rPr>
        <w:t xml:space="preserve">, de </w:t>
      </w:r>
      <w:r w:rsidR="00F26104">
        <w:rPr>
          <w:sz w:val="24"/>
          <w:szCs w:val="24"/>
        </w:rPr>
        <w:t xml:space="preserve">13 </w:t>
      </w:r>
      <w:r w:rsidR="009C24A4">
        <w:rPr>
          <w:sz w:val="24"/>
          <w:szCs w:val="24"/>
        </w:rPr>
        <w:t xml:space="preserve">de </w:t>
      </w:r>
      <w:r w:rsidR="00F26104">
        <w:rPr>
          <w:sz w:val="24"/>
          <w:szCs w:val="24"/>
        </w:rPr>
        <w:t xml:space="preserve">julho </w:t>
      </w:r>
      <w:r w:rsidR="009C24A4">
        <w:rPr>
          <w:sz w:val="24"/>
          <w:szCs w:val="24"/>
        </w:rPr>
        <w:t xml:space="preserve">de </w:t>
      </w:r>
      <w:r w:rsidR="00F26104">
        <w:rPr>
          <w:sz w:val="24"/>
          <w:szCs w:val="24"/>
        </w:rPr>
        <w:t>1990</w:t>
      </w:r>
      <w:r w:rsidRPr="00AE3651">
        <w:rPr>
          <w:sz w:val="24"/>
          <w:szCs w:val="24"/>
        </w:rPr>
        <w:t>) reforçou os dispositivos da CRFB (1988), ao afirmar “é dever do Estado assegurar à criança e ao adolescente atendimento educacional especializado aos portadores de deficiência, preferencialmente na rede regular de ensino” (B</w:t>
      </w:r>
      <w:r w:rsidR="0051513F" w:rsidRPr="00AE3651">
        <w:rPr>
          <w:sz w:val="24"/>
          <w:szCs w:val="24"/>
        </w:rPr>
        <w:t>rasil</w:t>
      </w:r>
      <w:r w:rsidRPr="00AE3651">
        <w:rPr>
          <w:sz w:val="24"/>
          <w:szCs w:val="24"/>
        </w:rPr>
        <w:t xml:space="preserve">, 1990, </w:t>
      </w:r>
      <w:r w:rsidR="00AA643B" w:rsidRPr="00AE3651">
        <w:rPr>
          <w:sz w:val="24"/>
          <w:szCs w:val="24"/>
        </w:rPr>
        <w:t>art.54º</w:t>
      </w:r>
      <w:r w:rsidRPr="00AE3651">
        <w:rPr>
          <w:sz w:val="24"/>
          <w:szCs w:val="24"/>
        </w:rPr>
        <w:t xml:space="preserve">.). </w:t>
      </w:r>
    </w:p>
    <w:p w14:paraId="13C55904" w14:textId="28E59091" w:rsidR="00AA1372" w:rsidRPr="00AE3651" w:rsidRDefault="00AA1372" w:rsidP="00AA1372">
      <w:pPr>
        <w:spacing w:line="360" w:lineRule="auto"/>
        <w:ind w:firstLine="709"/>
        <w:jc w:val="both"/>
        <w:rPr>
          <w:sz w:val="24"/>
          <w:szCs w:val="24"/>
        </w:rPr>
      </w:pPr>
      <w:r w:rsidRPr="00AE3651">
        <w:rPr>
          <w:sz w:val="24"/>
          <w:szCs w:val="24"/>
        </w:rPr>
        <w:t xml:space="preserve">Nesta mesma década, tratados com temáticas relacionadas a educação na perspectiva inclusiva ganharam maior notoriedade no cenário internacional, a exemplo </w:t>
      </w:r>
      <w:r w:rsidR="002F73C9">
        <w:rPr>
          <w:sz w:val="24"/>
          <w:szCs w:val="24"/>
        </w:rPr>
        <w:t>da</w:t>
      </w:r>
      <w:r w:rsidRPr="00AE3651">
        <w:rPr>
          <w:sz w:val="24"/>
          <w:szCs w:val="24"/>
        </w:rPr>
        <w:t xml:space="preserve"> Declaração de Educação Para todos</w:t>
      </w:r>
      <w:r w:rsidR="00BA722E">
        <w:rPr>
          <w:sz w:val="24"/>
          <w:szCs w:val="24"/>
        </w:rPr>
        <w:t xml:space="preserve"> (1990) </w:t>
      </w:r>
      <w:r w:rsidRPr="00AE3651">
        <w:rPr>
          <w:sz w:val="24"/>
          <w:szCs w:val="24"/>
        </w:rPr>
        <w:t>e da Declaração de Salamanca</w:t>
      </w:r>
      <w:r w:rsidR="00BA722E">
        <w:rPr>
          <w:sz w:val="24"/>
          <w:szCs w:val="24"/>
        </w:rPr>
        <w:t xml:space="preserve"> (1994).</w:t>
      </w:r>
      <w:r w:rsidR="00BA722E" w:rsidRPr="00AE3651">
        <w:rPr>
          <w:sz w:val="24"/>
          <w:szCs w:val="24"/>
        </w:rPr>
        <w:t xml:space="preserve"> De</w:t>
      </w:r>
      <w:r w:rsidRPr="00AE3651">
        <w:rPr>
          <w:sz w:val="24"/>
          <w:szCs w:val="24"/>
        </w:rPr>
        <w:t xml:space="preserve"> acordo com Gabriel e Drago (2021), o Brasil não participou da elaboração destes documentos, entretanto comprometeu-se em construir um sistema escolar acolhedor e estabeleceu o termo “inclusão” nos discursos oficiais da pasta educação.  </w:t>
      </w:r>
    </w:p>
    <w:p w14:paraId="14F4B257" w14:textId="7A8EBEA8" w:rsidR="00AA1372" w:rsidRPr="00AE3651" w:rsidRDefault="00AA1372" w:rsidP="00AA1372">
      <w:pPr>
        <w:spacing w:line="360" w:lineRule="auto"/>
        <w:ind w:firstLine="709"/>
        <w:jc w:val="both"/>
        <w:rPr>
          <w:sz w:val="24"/>
          <w:szCs w:val="24"/>
        </w:rPr>
      </w:pPr>
      <w:r w:rsidRPr="00AE3651">
        <w:rPr>
          <w:sz w:val="24"/>
          <w:szCs w:val="24"/>
        </w:rPr>
        <w:t>Uma das legislações mais importantes a surgir após esses tratados foi a promulgação da Lei de Diretrizes e Bases da Educação Nacional (Lei 9.394/1996), que regulamenta a educação pública e privada no país. Logo em seu Título III, Do Direito à Educação e do Dever de Educar, Artigo 4º, Inciso III, garante “atendimento educacional especializado gratuito aos educandos com necessidades especiais, preferencialmente na rede regular de ensino” (B</w:t>
      </w:r>
      <w:r w:rsidR="006A26FE" w:rsidRPr="00AE3651">
        <w:rPr>
          <w:sz w:val="24"/>
          <w:szCs w:val="24"/>
        </w:rPr>
        <w:t>rasil</w:t>
      </w:r>
      <w:r w:rsidRPr="00AE3651">
        <w:rPr>
          <w:sz w:val="24"/>
          <w:szCs w:val="24"/>
        </w:rPr>
        <w:t xml:space="preserve">, 1996, p.8).  </w:t>
      </w:r>
    </w:p>
    <w:p w14:paraId="0A6A7CD0" w14:textId="7B14739B" w:rsidR="00AA1372" w:rsidRPr="00AE3651" w:rsidRDefault="00AA1372" w:rsidP="00AA1372">
      <w:pPr>
        <w:spacing w:line="360" w:lineRule="auto"/>
        <w:ind w:firstLine="709"/>
        <w:jc w:val="both"/>
        <w:rPr>
          <w:sz w:val="24"/>
          <w:szCs w:val="24"/>
        </w:rPr>
      </w:pPr>
      <w:r w:rsidRPr="00AE3651">
        <w:rPr>
          <w:sz w:val="24"/>
          <w:szCs w:val="24"/>
        </w:rPr>
        <w:lastRenderedPageBreak/>
        <w:t>A</w:t>
      </w:r>
      <w:r w:rsidR="009C24A4">
        <w:rPr>
          <w:sz w:val="24"/>
          <w:szCs w:val="24"/>
        </w:rPr>
        <w:t xml:space="preserve"> </w:t>
      </w:r>
      <w:r w:rsidRPr="00AE3651">
        <w:rPr>
          <w:sz w:val="24"/>
          <w:szCs w:val="24"/>
        </w:rPr>
        <w:t>fim de normatizar os serviços previstos neste capítulo V, as Diretrizes Nacionais para Educação Especial na Educação Básica (Resolução CNE/CEB nº 2</w:t>
      </w:r>
      <w:r w:rsidR="002E7C36" w:rsidRPr="00AE3651">
        <w:rPr>
          <w:sz w:val="24"/>
          <w:szCs w:val="24"/>
        </w:rPr>
        <w:t>/2001</w:t>
      </w:r>
      <w:r w:rsidRPr="00AE3651">
        <w:rPr>
          <w:sz w:val="24"/>
          <w:szCs w:val="24"/>
        </w:rPr>
        <w:t>) passam a garantir atendimento a todos os alunos que apresentem necessidades educacionais especiais em todas as etapas (educação infantil, ensino fundamental, ensino médio e superior) e modalidades (educação indígena, educação de jovens e adultos, educação profissional etc.), além de prover adequações, tanto em termos de infraestrutura como em curriculares e pedagógicas (B</w:t>
      </w:r>
      <w:r w:rsidR="006A26FE" w:rsidRPr="00AE3651">
        <w:rPr>
          <w:sz w:val="24"/>
          <w:szCs w:val="24"/>
        </w:rPr>
        <w:t>rasil</w:t>
      </w:r>
      <w:r w:rsidRPr="00AE3651">
        <w:rPr>
          <w:sz w:val="24"/>
          <w:szCs w:val="24"/>
        </w:rPr>
        <w:t>, 2001).</w:t>
      </w:r>
    </w:p>
    <w:p w14:paraId="72A5A1CD" w14:textId="023B6B52" w:rsidR="002B1445" w:rsidRPr="00AE3651" w:rsidRDefault="00AA1372" w:rsidP="00EF7B2B">
      <w:pPr>
        <w:spacing w:line="360" w:lineRule="auto"/>
        <w:ind w:firstLine="709"/>
        <w:jc w:val="both"/>
        <w:rPr>
          <w:sz w:val="24"/>
          <w:szCs w:val="24"/>
        </w:rPr>
      </w:pPr>
      <w:r w:rsidRPr="00AE3651">
        <w:rPr>
          <w:sz w:val="24"/>
          <w:szCs w:val="24"/>
        </w:rPr>
        <w:t>Em 2008</w:t>
      </w:r>
      <w:r w:rsidR="00C31DB5">
        <w:rPr>
          <w:sz w:val="24"/>
          <w:szCs w:val="24"/>
        </w:rPr>
        <w:t>,</w:t>
      </w:r>
      <w:r w:rsidRPr="00AE3651">
        <w:rPr>
          <w:sz w:val="24"/>
          <w:szCs w:val="24"/>
        </w:rPr>
        <w:t xml:space="preserve"> surge a Política Nacional de Educação Especial na Perspectiva da Educação Inclusiva (PNEEPEI), cuja importância passa a reconduzir a Educação Especial a patamares elevados no país (V</w:t>
      </w:r>
      <w:r w:rsidR="006A26FE" w:rsidRPr="00AE3651">
        <w:rPr>
          <w:sz w:val="24"/>
          <w:szCs w:val="24"/>
        </w:rPr>
        <w:t>az</w:t>
      </w:r>
      <w:r w:rsidRPr="00AE3651">
        <w:rPr>
          <w:sz w:val="24"/>
          <w:szCs w:val="24"/>
        </w:rPr>
        <w:t>; E</w:t>
      </w:r>
      <w:r w:rsidR="006A26FE" w:rsidRPr="00AE3651">
        <w:rPr>
          <w:sz w:val="24"/>
          <w:szCs w:val="24"/>
        </w:rPr>
        <w:t>stabel</w:t>
      </w:r>
      <w:r w:rsidRPr="00AE3651">
        <w:rPr>
          <w:sz w:val="24"/>
          <w:szCs w:val="24"/>
        </w:rPr>
        <w:t>, 2023).</w:t>
      </w:r>
    </w:p>
    <w:p w14:paraId="16B930FB" w14:textId="77777777" w:rsidR="0023378A" w:rsidRPr="00AE3651" w:rsidRDefault="0023378A" w:rsidP="0058703E">
      <w:pPr>
        <w:spacing w:line="360" w:lineRule="auto"/>
        <w:ind w:left="2268"/>
        <w:jc w:val="both"/>
        <w:rPr>
          <w:sz w:val="20"/>
          <w:szCs w:val="20"/>
        </w:rPr>
      </w:pPr>
    </w:p>
    <w:p w14:paraId="65A8D58D" w14:textId="1A7D4D24" w:rsidR="00AA1372" w:rsidRPr="00AE3651" w:rsidRDefault="00EF7B2B" w:rsidP="00210A64">
      <w:pPr>
        <w:spacing w:line="240" w:lineRule="auto"/>
        <w:ind w:left="2268"/>
        <w:jc w:val="both"/>
        <w:rPr>
          <w:sz w:val="20"/>
          <w:szCs w:val="20"/>
        </w:rPr>
      </w:pPr>
      <w:r w:rsidRPr="00AE3651">
        <w:rPr>
          <w:sz w:val="20"/>
          <w:szCs w:val="20"/>
        </w:rPr>
        <w:t>A PNEEPEI pressupõe a garantia não somente do acesso ao ensino regular, mas também a permanência e a aprendizagem em todos os níveis de ensino; assegura a educação especial como modalidade inserida desde a educação básica ao ensino superior; oferece o Atendimento Educacional Especializado (AEE) como atendimento complementar e/ou suplementar, não sendo um serviço substitutivo ao ensino; oferece, também, a formação de professores para inclusão e a participação da família e da comunidade e, por fim, garante a acessibilidade (arquitetônica, de transporte, de mobiliário, de comunicação e de informação) e serviços articulados, garantindo a efetivação das políticas públicas (V</w:t>
      </w:r>
      <w:r w:rsidR="00252384" w:rsidRPr="00AE3651">
        <w:rPr>
          <w:sz w:val="20"/>
          <w:szCs w:val="20"/>
        </w:rPr>
        <w:t>az</w:t>
      </w:r>
      <w:r w:rsidRPr="00AE3651">
        <w:rPr>
          <w:sz w:val="20"/>
          <w:szCs w:val="20"/>
        </w:rPr>
        <w:t>; E</w:t>
      </w:r>
      <w:r w:rsidR="00252384" w:rsidRPr="00AE3651">
        <w:rPr>
          <w:sz w:val="20"/>
          <w:szCs w:val="20"/>
        </w:rPr>
        <w:t>stabel</w:t>
      </w:r>
      <w:r w:rsidRPr="00AE3651">
        <w:rPr>
          <w:sz w:val="20"/>
          <w:szCs w:val="20"/>
        </w:rPr>
        <w:t>, 2023,p.8).</w:t>
      </w:r>
    </w:p>
    <w:p w14:paraId="4EF2D59E" w14:textId="77777777" w:rsidR="00210A64" w:rsidRPr="00AE3651" w:rsidRDefault="00210A64" w:rsidP="0058703E">
      <w:pPr>
        <w:spacing w:line="360" w:lineRule="auto"/>
        <w:jc w:val="both"/>
        <w:rPr>
          <w:sz w:val="24"/>
          <w:szCs w:val="24"/>
        </w:rPr>
      </w:pPr>
    </w:p>
    <w:p w14:paraId="223BA383" w14:textId="77777777" w:rsidR="00700EF7" w:rsidRPr="00AE3651" w:rsidRDefault="00700EF7" w:rsidP="00700EF7">
      <w:pPr>
        <w:spacing w:line="360" w:lineRule="auto"/>
        <w:ind w:firstLine="709"/>
        <w:jc w:val="both"/>
        <w:rPr>
          <w:sz w:val="24"/>
          <w:szCs w:val="24"/>
        </w:rPr>
      </w:pPr>
      <w:r w:rsidRPr="00AE3651">
        <w:rPr>
          <w:sz w:val="24"/>
          <w:szCs w:val="24"/>
        </w:rPr>
        <w:t xml:space="preserve">De acordo com Duarte e Silva (2023), um marco significativo na história da inclusão escolar da pessoa com deficiência no Brasil foi a foi a promulgação da Lei Brasileira de Inclusão da Pessoa com Deficiência (Lei nº 13.146/2015). Essa legislação estabeleceu a responsabilidade do poder público em garantir um sistema educacional inclusivo em todos os níveis e modalidades. Complementando esse avanço, destacam-se também a Portaria nº 2.678/2002, que promove a disseminação do uso da Grafia Braille em todo o território nacional, e a Lei nº 10.436/2002, que reconhece a Língua Brasileira de Sinais (Libras) como meio legal de comunicação e expressão, determinando sua inclusão nos currículos de formação de professores e fonoaudiólogos. </w:t>
      </w:r>
    </w:p>
    <w:p w14:paraId="16BD3CC8" w14:textId="142097F2" w:rsidR="00815210" w:rsidRDefault="00700EF7" w:rsidP="00700EF7">
      <w:pPr>
        <w:spacing w:line="360" w:lineRule="auto"/>
        <w:ind w:firstLine="709"/>
        <w:jc w:val="both"/>
        <w:rPr>
          <w:sz w:val="24"/>
          <w:szCs w:val="24"/>
        </w:rPr>
      </w:pPr>
      <w:r w:rsidRPr="00AE3651">
        <w:rPr>
          <w:sz w:val="24"/>
          <w:szCs w:val="24"/>
        </w:rPr>
        <w:lastRenderedPageBreak/>
        <w:t>Em 2023, visando fortalecer a PNEEPEI</w:t>
      </w:r>
      <w:r w:rsidR="00461238">
        <w:rPr>
          <w:sz w:val="24"/>
          <w:szCs w:val="24"/>
        </w:rPr>
        <w:t xml:space="preserve"> (</w:t>
      </w:r>
      <w:r w:rsidRPr="00AE3651">
        <w:rPr>
          <w:sz w:val="24"/>
          <w:szCs w:val="24"/>
        </w:rPr>
        <w:t>2008</w:t>
      </w:r>
      <w:r w:rsidR="00461238">
        <w:rPr>
          <w:sz w:val="24"/>
          <w:szCs w:val="24"/>
        </w:rPr>
        <w:t>)</w:t>
      </w:r>
      <w:r w:rsidRPr="00AE3651">
        <w:rPr>
          <w:sz w:val="24"/>
          <w:szCs w:val="24"/>
        </w:rPr>
        <w:t>, o Governo Federal lançou o Plano de Afirmação e Fortalecimento</w:t>
      </w:r>
      <w:r w:rsidR="00461238">
        <w:rPr>
          <w:sz w:val="24"/>
          <w:szCs w:val="24"/>
        </w:rPr>
        <w:t xml:space="preserve">, </w:t>
      </w:r>
      <w:r w:rsidR="00461238" w:rsidRPr="00AE3651">
        <w:rPr>
          <w:sz w:val="24"/>
          <w:szCs w:val="24"/>
        </w:rPr>
        <w:t>um pacto nacional junto a estados e municípios</w:t>
      </w:r>
      <w:r w:rsidR="003D4812">
        <w:rPr>
          <w:sz w:val="24"/>
          <w:szCs w:val="24"/>
        </w:rPr>
        <w:t xml:space="preserve">, </w:t>
      </w:r>
      <w:r w:rsidR="00E92D99">
        <w:rPr>
          <w:sz w:val="24"/>
          <w:szCs w:val="24"/>
        </w:rPr>
        <w:t xml:space="preserve">e </w:t>
      </w:r>
      <w:r w:rsidR="00E92D99" w:rsidRPr="00AE3651">
        <w:rPr>
          <w:sz w:val="24"/>
          <w:szCs w:val="24"/>
        </w:rPr>
        <w:t>que</w:t>
      </w:r>
      <w:r w:rsidR="00461238">
        <w:rPr>
          <w:sz w:val="24"/>
          <w:szCs w:val="24"/>
        </w:rPr>
        <w:t xml:space="preserve"> </w:t>
      </w:r>
      <w:r w:rsidR="00461238" w:rsidRPr="00AE3651">
        <w:rPr>
          <w:sz w:val="24"/>
          <w:szCs w:val="24"/>
        </w:rPr>
        <w:t>prevê</w:t>
      </w:r>
      <w:r w:rsidRPr="00AE3651">
        <w:rPr>
          <w:sz w:val="24"/>
          <w:szCs w:val="24"/>
        </w:rPr>
        <w:t xml:space="preserve"> investimentos</w:t>
      </w:r>
      <w:r w:rsidR="00371C2A">
        <w:rPr>
          <w:sz w:val="24"/>
          <w:szCs w:val="24"/>
        </w:rPr>
        <w:t xml:space="preserve"> </w:t>
      </w:r>
      <w:r w:rsidRPr="00AE3651">
        <w:rPr>
          <w:sz w:val="24"/>
          <w:szCs w:val="24"/>
        </w:rPr>
        <w:t>com foco na expansão do acesso, qualidade e permanência dos estudantes, produção de conhecimento e formação de docentes na área da Educação Especial. Dessa forma, o Plano reafirma a política de 2008, fortalecendo as ações por um pacto nacional junto a estados e municípios (Brasil, 2023)</w:t>
      </w:r>
      <w:r w:rsidR="002C3784" w:rsidRPr="00AE3651">
        <w:rPr>
          <w:sz w:val="24"/>
          <w:szCs w:val="24"/>
        </w:rPr>
        <w:t>.</w:t>
      </w:r>
    </w:p>
    <w:p w14:paraId="379E3A7C" w14:textId="0729CC46" w:rsidR="00F664B0" w:rsidRDefault="00461238" w:rsidP="00F664B0">
      <w:pPr>
        <w:spacing w:line="360" w:lineRule="auto"/>
        <w:ind w:firstLine="709"/>
        <w:jc w:val="both"/>
        <w:rPr>
          <w:sz w:val="24"/>
          <w:szCs w:val="24"/>
        </w:rPr>
      </w:pPr>
      <w:r w:rsidRPr="000A13E9">
        <w:rPr>
          <w:sz w:val="24"/>
          <w:szCs w:val="24"/>
        </w:rPr>
        <w:t xml:space="preserve">O Governo do Maranhão, em consonância com </w:t>
      </w:r>
      <w:r w:rsidR="007966FB" w:rsidRPr="000A13E9">
        <w:rPr>
          <w:sz w:val="24"/>
          <w:szCs w:val="24"/>
        </w:rPr>
        <w:t xml:space="preserve">essas </w:t>
      </w:r>
      <w:r w:rsidRPr="000A13E9">
        <w:rPr>
          <w:sz w:val="24"/>
          <w:szCs w:val="24"/>
        </w:rPr>
        <w:t xml:space="preserve">diretrizes, instituiu </w:t>
      </w:r>
      <w:r w:rsidR="007966FB" w:rsidRPr="000A13E9">
        <w:rPr>
          <w:sz w:val="24"/>
          <w:szCs w:val="24"/>
        </w:rPr>
        <w:t xml:space="preserve">em 2023, </w:t>
      </w:r>
      <w:r w:rsidRPr="000A13E9">
        <w:rPr>
          <w:sz w:val="24"/>
          <w:szCs w:val="24"/>
        </w:rPr>
        <w:t xml:space="preserve">o Plano Estadual de Políticas de Inclusão da Pessoa com Deficiência, por meio do Decreto Estadual nº </w:t>
      </w:r>
      <w:r w:rsidR="00E92D99" w:rsidRPr="000A13E9">
        <w:rPr>
          <w:sz w:val="24"/>
          <w:szCs w:val="24"/>
        </w:rPr>
        <w:t>38.758.</w:t>
      </w:r>
      <w:r w:rsidR="00E92D99">
        <w:rPr>
          <w:sz w:val="24"/>
          <w:szCs w:val="24"/>
        </w:rPr>
        <w:t xml:space="preserve"> </w:t>
      </w:r>
      <w:r w:rsidR="00E92D99" w:rsidRPr="000A13E9">
        <w:rPr>
          <w:sz w:val="24"/>
          <w:szCs w:val="24"/>
        </w:rPr>
        <w:t>Entre</w:t>
      </w:r>
      <w:r w:rsidRPr="000A13E9">
        <w:rPr>
          <w:sz w:val="24"/>
          <w:szCs w:val="24"/>
        </w:rPr>
        <w:t xml:space="preserve"> suas diretrizes, destaca-se a promoção de um sistema educacional inclusivo, por meio da implementação de programas, ações e políticas públicas que assegurem às pessoas com deficiência o pleno e equitativo exercício de seus direitos no estado (MARANHÃO, 2023).</w:t>
      </w:r>
    </w:p>
    <w:p w14:paraId="6833C589" w14:textId="67629B61" w:rsidR="00F664B0" w:rsidRPr="00F664B0" w:rsidRDefault="00F664B0" w:rsidP="00F664B0">
      <w:pPr>
        <w:spacing w:line="360" w:lineRule="auto"/>
        <w:ind w:firstLine="709"/>
        <w:jc w:val="both"/>
        <w:rPr>
          <w:sz w:val="24"/>
          <w:szCs w:val="24"/>
        </w:rPr>
      </w:pPr>
      <w:r>
        <w:rPr>
          <w:sz w:val="24"/>
          <w:szCs w:val="24"/>
        </w:rPr>
        <w:t xml:space="preserve"> </w:t>
      </w:r>
      <w:r w:rsidRPr="00F664B0">
        <w:rPr>
          <w:sz w:val="24"/>
          <w:szCs w:val="24"/>
        </w:rPr>
        <w:t xml:space="preserve">Por fim, percebe-se que a construção de um sistema educacional inclusivo tem avançado de forma significativa no Brasil, por meio de instrumentos legais que asseguram os direitos das pessoas com deficiência. Desde a promulgação da Constituição Federal (1988) até a consolidação </w:t>
      </w:r>
      <w:r w:rsidRPr="008A763D">
        <w:rPr>
          <w:sz w:val="24"/>
          <w:szCs w:val="24"/>
        </w:rPr>
        <w:t>PNEEPI</w:t>
      </w:r>
      <w:r w:rsidRPr="00F664B0">
        <w:rPr>
          <w:sz w:val="24"/>
          <w:szCs w:val="24"/>
        </w:rPr>
        <w:t xml:space="preserve"> (2008), somada </w:t>
      </w:r>
      <w:r w:rsidR="002F73C9">
        <w:rPr>
          <w:sz w:val="24"/>
          <w:szCs w:val="24"/>
        </w:rPr>
        <w:t xml:space="preserve">a </w:t>
      </w:r>
      <w:r w:rsidRPr="00F664B0">
        <w:rPr>
          <w:sz w:val="24"/>
          <w:szCs w:val="24"/>
        </w:rPr>
        <w:t xml:space="preserve">outros feitos </w:t>
      </w:r>
      <w:r w:rsidR="00E92D99" w:rsidRPr="00F664B0">
        <w:rPr>
          <w:sz w:val="24"/>
          <w:szCs w:val="24"/>
        </w:rPr>
        <w:t>imp</w:t>
      </w:r>
      <w:r w:rsidR="00E92D99">
        <w:rPr>
          <w:sz w:val="24"/>
          <w:szCs w:val="24"/>
        </w:rPr>
        <w:t xml:space="preserve">ortantes </w:t>
      </w:r>
      <w:r w:rsidR="00E92D99" w:rsidRPr="00F664B0">
        <w:rPr>
          <w:sz w:val="24"/>
          <w:szCs w:val="24"/>
        </w:rPr>
        <w:t>como</w:t>
      </w:r>
      <w:r w:rsidRPr="00F664B0">
        <w:rPr>
          <w:sz w:val="24"/>
          <w:szCs w:val="24"/>
        </w:rPr>
        <w:t xml:space="preserve"> </w:t>
      </w:r>
      <w:r w:rsidR="00E92D99" w:rsidRPr="00F664B0">
        <w:rPr>
          <w:sz w:val="24"/>
          <w:szCs w:val="24"/>
        </w:rPr>
        <w:t>o Plano</w:t>
      </w:r>
      <w:r w:rsidRPr="00F664B0">
        <w:rPr>
          <w:sz w:val="24"/>
          <w:szCs w:val="24"/>
        </w:rPr>
        <w:t xml:space="preserve"> Estadual de Políticas de Inclusão da Pessoa com Deficiência no Maranhão (2023), reafirmam esse compromisso, destacando a responsabilidade dos entes federais e estaduais na promoção de políticas públicas que garantam o acesso, a permanência e a aprendizagem de estudantes com deficiência em todos os níveis e modalidades educacionais.</w:t>
      </w:r>
    </w:p>
    <w:p w14:paraId="3163C3EF" w14:textId="77777777" w:rsidR="00461238" w:rsidRDefault="00461238" w:rsidP="00F664B0">
      <w:pPr>
        <w:spacing w:line="360" w:lineRule="auto"/>
        <w:jc w:val="both"/>
        <w:rPr>
          <w:sz w:val="24"/>
          <w:szCs w:val="24"/>
        </w:rPr>
      </w:pPr>
    </w:p>
    <w:p w14:paraId="44CFE246" w14:textId="66874302" w:rsidR="008B6C29" w:rsidRDefault="00210A64" w:rsidP="005436CA">
      <w:pPr>
        <w:spacing w:line="360" w:lineRule="auto"/>
        <w:jc w:val="both"/>
        <w:rPr>
          <w:b/>
          <w:sz w:val="24"/>
          <w:szCs w:val="24"/>
        </w:rPr>
      </w:pPr>
      <w:r>
        <w:rPr>
          <w:b/>
          <w:sz w:val="24"/>
          <w:szCs w:val="24"/>
        </w:rPr>
        <w:t>3</w:t>
      </w:r>
      <w:r>
        <w:rPr>
          <w:b/>
          <w:sz w:val="24"/>
          <w:szCs w:val="24"/>
        </w:rPr>
        <w:tab/>
      </w:r>
      <w:r w:rsidR="00A22080" w:rsidRPr="00A22080">
        <w:rPr>
          <w:b/>
          <w:sz w:val="24"/>
          <w:szCs w:val="24"/>
        </w:rPr>
        <w:t>ANÁLISE DOS INDICADORES DA EDUCAÇÃO ESPECIAL INCLUSIVA</w:t>
      </w:r>
    </w:p>
    <w:p w14:paraId="40512625" w14:textId="77777777" w:rsidR="00104E8F" w:rsidRPr="00104E8F" w:rsidRDefault="00104E8F" w:rsidP="00153303">
      <w:pPr>
        <w:pStyle w:val="SemEspaamento"/>
        <w:spacing w:line="360" w:lineRule="auto"/>
      </w:pPr>
    </w:p>
    <w:p w14:paraId="3BEBFCF7" w14:textId="5C98D4A7" w:rsidR="00FF7DE5" w:rsidRDefault="00FF7DE5">
      <w:pPr>
        <w:shd w:val="clear" w:color="auto" w:fill="FFFFFF"/>
        <w:spacing w:line="360" w:lineRule="auto"/>
        <w:ind w:right="-285" w:firstLine="708"/>
        <w:jc w:val="both"/>
        <w:rPr>
          <w:rFonts w:eastAsia="Times New Roman"/>
          <w:sz w:val="24"/>
          <w:szCs w:val="24"/>
        </w:rPr>
      </w:pPr>
      <w:r>
        <w:rPr>
          <w:rFonts w:eastAsia="Times New Roman"/>
          <w:sz w:val="24"/>
          <w:szCs w:val="24"/>
        </w:rPr>
        <w:t>No Brasil, a</w:t>
      </w:r>
      <w:r w:rsidRPr="004D0CB3">
        <w:rPr>
          <w:rFonts w:eastAsia="Times New Roman"/>
          <w:sz w:val="24"/>
          <w:szCs w:val="24"/>
        </w:rPr>
        <w:t xml:space="preserve"> educação inc</w:t>
      </w:r>
      <w:r>
        <w:rPr>
          <w:rFonts w:eastAsia="Times New Roman"/>
          <w:sz w:val="24"/>
          <w:szCs w:val="24"/>
        </w:rPr>
        <w:t xml:space="preserve">lusiva </w:t>
      </w:r>
      <w:r w:rsidRPr="004D0CB3">
        <w:rPr>
          <w:rFonts w:eastAsia="Times New Roman"/>
          <w:sz w:val="24"/>
          <w:szCs w:val="24"/>
        </w:rPr>
        <w:t xml:space="preserve">visa garantir a integração de alunos com deficiência e outras necessidades educacionais específicas nas classes comuns do ensino regular, promovendo a igualdade de oportunidades e acesso à educação para todos (Brasil, 2007). </w:t>
      </w:r>
      <w:r>
        <w:rPr>
          <w:rFonts w:eastAsia="Times New Roman"/>
          <w:sz w:val="24"/>
          <w:szCs w:val="24"/>
        </w:rPr>
        <w:t xml:space="preserve">Neste sentido, é notório </w:t>
      </w:r>
      <w:r w:rsidR="00BE3031">
        <w:rPr>
          <w:rFonts w:eastAsia="Times New Roman"/>
          <w:sz w:val="24"/>
          <w:szCs w:val="24"/>
        </w:rPr>
        <w:t xml:space="preserve">que houve maior inclusão desses alunos ao ensino </w:t>
      </w:r>
      <w:r w:rsidR="00BE3031">
        <w:rPr>
          <w:rFonts w:eastAsia="Times New Roman"/>
          <w:sz w:val="24"/>
          <w:szCs w:val="24"/>
        </w:rPr>
        <w:lastRenderedPageBreak/>
        <w:t xml:space="preserve">regular em classes comuns. </w:t>
      </w:r>
      <w:r w:rsidRPr="004D0CB3">
        <w:rPr>
          <w:rFonts w:eastAsia="Times New Roman"/>
          <w:sz w:val="24"/>
          <w:szCs w:val="24"/>
        </w:rPr>
        <w:t>No Brasil</w:t>
      </w:r>
      <w:r w:rsidR="00BE3031">
        <w:rPr>
          <w:rFonts w:eastAsia="Times New Roman"/>
          <w:sz w:val="24"/>
          <w:szCs w:val="24"/>
        </w:rPr>
        <w:t>, 76,9% desses estudantes estavam em salas comuns em 2013, passando para 91,3% em 2023</w:t>
      </w:r>
      <w:r w:rsidR="00812A4B">
        <w:rPr>
          <w:rFonts w:eastAsia="Times New Roman"/>
          <w:sz w:val="24"/>
          <w:szCs w:val="24"/>
        </w:rPr>
        <w:t xml:space="preserve"> </w:t>
      </w:r>
      <w:r w:rsidR="00812A4B" w:rsidRPr="00E92D99">
        <w:rPr>
          <w:rFonts w:eastAsia="Times New Roman"/>
          <w:bCs/>
          <w:sz w:val="24"/>
          <w:szCs w:val="24"/>
        </w:rPr>
        <w:t>(</w:t>
      </w:r>
      <w:r w:rsidR="00812A4B" w:rsidRPr="006C02FE">
        <w:rPr>
          <w:rFonts w:eastAsia="Times New Roman"/>
          <w:b/>
          <w:sz w:val="24"/>
          <w:szCs w:val="24"/>
        </w:rPr>
        <w:t>Tabela 1</w:t>
      </w:r>
      <w:r w:rsidR="00812A4B" w:rsidRPr="00E92D99">
        <w:rPr>
          <w:rFonts w:eastAsia="Times New Roman"/>
          <w:bCs/>
          <w:sz w:val="24"/>
          <w:szCs w:val="24"/>
        </w:rPr>
        <w:t>)</w:t>
      </w:r>
      <w:r w:rsidRPr="00E92D99">
        <w:rPr>
          <w:rFonts w:eastAsia="Times New Roman"/>
          <w:bCs/>
          <w:sz w:val="24"/>
          <w:szCs w:val="24"/>
        </w:rPr>
        <w:t>.</w:t>
      </w:r>
      <w:r w:rsidR="00BE3031">
        <w:rPr>
          <w:rFonts w:eastAsia="Times New Roman"/>
          <w:sz w:val="24"/>
          <w:szCs w:val="24"/>
        </w:rPr>
        <w:t xml:space="preserve"> O Maranhão e o</w:t>
      </w:r>
      <w:r w:rsidRPr="004D0CB3">
        <w:rPr>
          <w:rFonts w:eastAsia="Times New Roman"/>
          <w:sz w:val="24"/>
          <w:szCs w:val="24"/>
        </w:rPr>
        <w:t xml:space="preserve"> Nordeste</w:t>
      </w:r>
      <w:r w:rsidR="00BE3031">
        <w:rPr>
          <w:rFonts w:eastAsia="Times New Roman"/>
          <w:sz w:val="24"/>
          <w:szCs w:val="24"/>
        </w:rPr>
        <w:t xml:space="preserve">, seguiram essa tendência, totalizando 97,2% e </w:t>
      </w:r>
      <w:r w:rsidRPr="004D0CB3">
        <w:rPr>
          <w:rFonts w:eastAsia="Times New Roman"/>
          <w:sz w:val="24"/>
          <w:szCs w:val="24"/>
        </w:rPr>
        <w:t xml:space="preserve">98,6%, </w:t>
      </w:r>
      <w:r w:rsidR="00BE3031">
        <w:rPr>
          <w:rFonts w:eastAsia="Times New Roman"/>
          <w:sz w:val="24"/>
          <w:szCs w:val="24"/>
        </w:rPr>
        <w:t>respectivamente, em 2023.</w:t>
      </w:r>
    </w:p>
    <w:p w14:paraId="1ACC1511" w14:textId="77777777" w:rsidR="002C1086" w:rsidRPr="004D0CB3" w:rsidRDefault="002C1086" w:rsidP="00084364">
      <w:pPr>
        <w:shd w:val="clear" w:color="auto" w:fill="FFFFFF"/>
        <w:spacing w:line="240" w:lineRule="auto"/>
        <w:ind w:right="-285" w:firstLine="708"/>
        <w:jc w:val="both"/>
        <w:rPr>
          <w:rFonts w:eastAsia="Times New Roman"/>
          <w:sz w:val="24"/>
          <w:szCs w:val="24"/>
        </w:rPr>
      </w:pPr>
    </w:p>
    <w:p w14:paraId="0FC250F2" w14:textId="05A7F14A" w:rsidR="00933E68" w:rsidRPr="002F73C9" w:rsidRDefault="00933E68" w:rsidP="002F73C9">
      <w:pPr>
        <w:spacing w:line="360" w:lineRule="auto"/>
        <w:jc w:val="center"/>
        <w:rPr>
          <w:sz w:val="24"/>
          <w:szCs w:val="24"/>
        </w:rPr>
      </w:pPr>
      <w:r w:rsidRPr="002F73C9">
        <w:rPr>
          <w:b/>
          <w:sz w:val="24"/>
          <w:szCs w:val="24"/>
        </w:rPr>
        <w:t xml:space="preserve">Tabela </w:t>
      </w:r>
      <w:r w:rsidRPr="002F73C9">
        <w:rPr>
          <w:b/>
          <w:sz w:val="24"/>
          <w:szCs w:val="24"/>
        </w:rPr>
        <w:fldChar w:fldCharType="begin"/>
      </w:r>
      <w:r w:rsidRPr="002F73C9">
        <w:rPr>
          <w:b/>
          <w:sz w:val="24"/>
          <w:szCs w:val="24"/>
        </w:rPr>
        <w:instrText xml:space="preserve"> SEQ Tabela \* ARABIC </w:instrText>
      </w:r>
      <w:r w:rsidRPr="002F73C9">
        <w:rPr>
          <w:b/>
          <w:sz w:val="24"/>
          <w:szCs w:val="24"/>
        </w:rPr>
        <w:fldChar w:fldCharType="separate"/>
      </w:r>
      <w:r w:rsidR="00DA0A50">
        <w:rPr>
          <w:b/>
          <w:noProof/>
          <w:sz w:val="24"/>
          <w:szCs w:val="24"/>
        </w:rPr>
        <w:t>1</w:t>
      </w:r>
      <w:r w:rsidRPr="002F73C9">
        <w:rPr>
          <w:b/>
          <w:sz w:val="24"/>
          <w:szCs w:val="24"/>
        </w:rPr>
        <w:fldChar w:fldCharType="end"/>
      </w:r>
      <w:r w:rsidRPr="002F73C9">
        <w:rPr>
          <w:b/>
          <w:sz w:val="24"/>
          <w:szCs w:val="24"/>
        </w:rPr>
        <w:t>-</w:t>
      </w:r>
      <w:r w:rsidRPr="002F73C9">
        <w:rPr>
          <w:sz w:val="24"/>
          <w:szCs w:val="24"/>
        </w:rPr>
        <w:t xml:space="preserve"> Quantidade total de matrículas e distribuição de matrículas (%), por classes comum e exclusiva na Educação </w:t>
      </w:r>
      <w:r w:rsidR="004D0CB3" w:rsidRPr="002F73C9">
        <w:rPr>
          <w:sz w:val="24"/>
          <w:szCs w:val="24"/>
        </w:rPr>
        <w:t>Especial, no</w:t>
      </w:r>
      <w:r w:rsidRPr="002F73C9">
        <w:rPr>
          <w:sz w:val="24"/>
          <w:szCs w:val="24"/>
        </w:rPr>
        <w:t xml:space="preserve"> Brasil, Nordeste e Maranhão – 2013 e 2023</w:t>
      </w:r>
    </w:p>
    <w:tbl>
      <w:tblPr>
        <w:tblpPr w:leftFromText="141" w:rightFromText="141" w:vertAnchor="text" w:horzAnchor="margin" w:tblpY="39"/>
        <w:tblW w:w="9338" w:type="dxa"/>
        <w:tblCellMar>
          <w:left w:w="70" w:type="dxa"/>
          <w:right w:w="70" w:type="dxa"/>
        </w:tblCellMar>
        <w:tblLook w:val="04A0" w:firstRow="1" w:lastRow="0" w:firstColumn="1" w:lastColumn="0" w:noHBand="0" w:noVBand="1"/>
      </w:tblPr>
      <w:tblGrid>
        <w:gridCol w:w="1000"/>
        <w:gridCol w:w="952"/>
        <w:gridCol w:w="1411"/>
        <w:gridCol w:w="1801"/>
        <w:gridCol w:w="1073"/>
        <w:gridCol w:w="1581"/>
        <w:gridCol w:w="1520"/>
      </w:tblGrid>
      <w:tr w:rsidR="00933E68" w:rsidRPr="0082668D" w14:paraId="6E9CCA57" w14:textId="77777777" w:rsidTr="002F73C9">
        <w:trPr>
          <w:trHeight w:val="248"/>
        </w:trPr>
        <w:tc>
          <w:tcPr>
            <w:tcW w:w="1000" w:type="dxa"/>
            <w:vMerge w:val="restart"/>
            <w:tcBorders>
              <w:top w:val="single" w:sz="12" w:space="0" w:color="5AA2AE"/>
              <w:left w:val="single" w:sz="4" w:space="0" w:color="A5A5A5"/>
              <w:bottom w:val="nil"/>
              <w:right w:val="dashSmallGap" w:sz="4" w:space="0" w:color="FFFFFF" w:themeColor="background1"/>
            </w:tcBorders>
            <w:shd w:val="clear" w:color="ED7D31" w:fill="4A66AC"/>
            <w:noWrap/>
            <w:vAlign w:val="center"/>
            <w:hideMark/>
          </w:tcPr>
          <w:p w14:paraId="2CA81CBF" w14:textId="77777777" w:rsidR="00933E68" w:rsidRPr="00677549" w:rsidRDefault="00933E68" w:rsidP="005138EF">
            <w:pPr>
              <w:spacing w:line="240" w:lineRule="auto"/>
              <w:jc w:val="center"/>
              <w:rPr>
                <w:rFonts w:eastAsia="Times New Roman"/>
                <w:b/>
                <w:bCs/>
                <w:color w:val="FFFFFF"/>
                <w:sz w:val="20"/>
                <w:szCs w:val="20"/>
              </w:rPr>
            </w:pPr>
            <w:r w:rsidRPr="00677549">
              <w:rPr>
                <w:rFonts w:eastAsia="Times New Roman"/>
                <w:b/>
                <w:bCs/>
                <w:color w:val="FFFFFF"/>
                <w:sz w:val="20"/>
                <w:szCs w:val="20"/>
              </w:rPr>
              <w:t>TERR.</w:t>
            </w:r>
          </w:p>
        </w:tc>
        <w:tc>
          <w:tcPr>
            <w:tcW w:w="4164" w:type="dxa"/>
            <w:gridSpan w:val="3"/>
            <w:tcBorders>
              <w:top w:val="single" w:sz="12" w:space="0" w:color="5AA2AE"/>
              <w:left w:val="dashSmallGap" w:sz="4" w:space="0" w:color="FFFFFF" w:themeColor="background1"/>
              <w:bottom w:val="nil"/>
              <w:right w:val="dashSmallGap" w:sz="4" w:space="0" w:color="FFFFFF" w:themeColor="background1"/>
            </w:tcBorders>
            <w:shd w:val="clear" w:color="000000" w:fill="4A66AC"/>
            <w:noWrap/>
            <w:vAlign w:val="center"/>
            <w:hideMark/>
          </w:tcPr>
          <w:p w14:paraId="48639424" w14:textId="77777777" w:rsidR="00933E68" w:rsidRPr="00677549" w:rsidRDefault="00933E68" w:rsidP="005138EF">
            <w:pPr>
              <w:spacing w:line="240" w:lineRule="auto"/>
              <w:jc w:val="center"/>
              <w:rPr>
                <w:rFonts w:eastAsia="Times New Roman"/>
                <w:b/>
                <w:bCs/>
                <w:color w:val="FFFFFF"/>
                <w:sz w:val="20"/>
                <w:szCs w:val="20"/>
              </w:rPr>
            </w:pPr>
            <w:r w:rsidRPr="00677549">
              <w:rPr>
                <w:rFonts w:eastAsia="Times New Roman"/>
                <w:b/>
                <w:bCs/>
                <w:color w:val="FFFFFF"/>
                <w:sz w:val="20"/>
                <w:szCs w:val="20"/>
              </w:rPr>
              <w:t>2013</w:t>
            </w:r>
          </w:p>
        </w:tc>
        <w:tc>
          <w:tcPr>
            <w:tcW w:w="4174" w:type="dxa"/>
            <w:gridSpan w:val="3"/>
            <w:tcBorders>
              <w:top w:val="single" w:sz="12" w:space="0" w:color="5AA2AE"/>
              <w:left w:val="dashSmallGap" w:sz="4" w:space="0" w:color="FFFFFF" w:themeColor="background1"/>
              <w:bottom w:val="nil"/>
            </w:tcBorders>
            <w:shd w:val="clear" w:color="000000" w:fill="4A66AC"/>
            <w:noWrap/>
            <w:vAlign w:val="center"/>
            <w:hideMark/>
          </w:tcPr>
          <w:p w14:paraId="2F37113B" w14:textId="77777777" w:rsidR="00933E68" w:rsidRPr="00677549" w:rsidRDefault="00933E68" w:rsidP="005138EF">
            <w:pPr>
              <w:spacing w:line="240" w:lineRule="auto"/>
              <w:jc w:val="center"/>
              <w:rPr>
                <w:rFonts w:eastAsia="Times New Roman"/>
                <w:b/>
                <w:bCs/>
                <w:color w:val="FFFFFF"/>
                <w:sz w:val="20"/>
                <w:szCs w:val="20"/>
              </w:rPr>
            </w:pPr>
            <w:r w:rsidRPr="00677549">
              <w:rPr>
                <w:rFonts w:eastAsia="Times New Roman"/>
                <w:b/>
                <w:bCs/>
                <w:color w:val="FFFFFF"/>
                <w:sz w:val="20"/>
                <w:szCs w:val="20"/>
              </w:rPr>
              <w:t>2023</w:t>
            </w:r>
          </w:p>
        </w:tc>
      </w:tr>
      <w:tr w:rsidR="00933E68" w:rsidRPr="0082668D" w14:paraId="4A0CD83A" w14:textId="77777777" w:rsidTr="00722735">
        <w:trPr>
          <w:trHeight w:val="472"/>
        </w:trPr>
        <w:tc>
          <w:tcPr>
            <w:tcW w:w="1000" w:type="dxa"/>
            <w:vMerge/>
            <w:tcBorders>
              <w:top w:val="single" w:sz="8" w:space="0" w:color="5AA2AE"/>
              <w:left w:val="single" w:sz="4" w:space="0" w:color="A5A5A5"/>
              <w:right w:val="dashSmallGap" w:sz="4" w:space="0" w:color="FFFFFF" w:themeColor="background1"/>
            </w:tcBorders>
            <w:vAlign w:val="center"/>
            <w:hideMark/>
          </w:tcPr>
          <w:p w14:paraId="100B5781" w14:textId="77777777" w:rsidR="00933E68" w:rsidRPr="00677549" w:rsidRDefault="00933E68" w:rsidP="005138EF">
            <w:pPr>
              <w:spacing w:line="240" w:lineRule="auto"/>
              <w:rPr>
                <w:rFonts w:eastAsia="Times New Roman"/>
                <w:b/>
                <w:bCs/>
                <w:color w:val="FFFFFF"/>
                <w:sz w:val="20"/>
                <w:szCs w:val="20"/>
              </w:rPr>
            </w:pPr>
          </w:p>
        </w:tc>
        <w:tc>
          <w:tcPr>
            <w:tcW w:w="952" w:type="dxa"/>
            <w:tcBorders>
              <w:top w:val="nil"/>
              <w:left w:val="dashSmallGap" w:sz="4" w:space="0" w:color="FFFFFF" w:themeColor="background1"/>
              <w:right w:val="dashSmallGap" w:sz="4" w:space="0" w:color="FFFFFF" w:themeColor="background1"/>
            </w:tcBorders>
            <w:shd w:val="clear" w:color="auto" w:fill="629DD1"/>
            <w:noWrap/>
            <w:vAlign w:val="center"/>
            <w:hideMark/>
          </w:tcPr>
          <w:p w14:paraId="1E28B8EC" w14:textId="77777777" w:rsidR="00933E68" w:rsidRPr="00677549" w:rsidRDefault="00933E68" w:rsidP="005138EF">
            <w:pPr>
              <w:spacing w:line="240" w:lineRule="auto"/>
              <w:jc w:val="center"/>
              <w:rPr>
                <w:rFonts w:eastAsia="Times New Roman"/>
                <w:b/>
                <w:bCs/>
                <w:color w:val="FFFFFF"/>
                <w:sz w:val="20"/>
                <w:szCs w:val="20"/>
              </w:rPr>
            </w:pPr>
            <w:r w:rsidRPr="00677549">
              <w:rPr>
                <w:rFonts w:eastAsia="Times New Roman"/>
                <w:b/>
                <w:bCs/>
                <w:color w:val="FFFFFF"/>
                <w:sz w:val="20"/>
                <w:szCs w:val="20"/>
              </w:rPr>
              <w:t>Total</w:t>
            </w:r>
          </w:p>
        </w:tc>
        <w:tc>
          <w:tcPr>
            <w:tcW w:w="1411" w:type="dxa"/>
            <w:tcBorders>
              <w:top w:val="nil"/>
              <w:left w:val="dashSmallGap" w:sz="4" w:space="0" w:color="FFFFFF" w:themeColor="background1"/>
              <w:right w:val="dashSmallGap" w:sz="4" w:space="0" w:color="FFFFFF" w:themeColor="background1"/>
            </w:tcBorders>
            <w:shd w:val="clear" w:color="auto" w:fill="629DD1"/>
            <w:vAlign w:val="center"/>
            <w:hideMark/>
          </w:tcPr>
          <w:p w14:paraId="1B4AED09" w14:textId="77777777" w:rsidR="00933E68" w:rsidRPr="00677549" w:rsidRDefault="00933E68" w:rsidP="005138EF">
            <w:pPr>
              <w:spacing w:line="240" w:lineRule="auto"/>
              <w:jc w:val="center"/>
              <w:rPr>
                <w:rFonts w:eastAsia="Times New Roman"/>
                <w:b/>
                <w:bCs/>
                <w:color w:val="FFFFFF"/>
                <w:sz w:val="20"/>
                <w:szCs w:val="20"/>
              </w:rPr>
            </w:pPr>
            <w:r w:rsidRPr="00677549">
              <w:rPr>
                <w:rFonts w:eastAsia="Times New Roman"/>
                <w:b/>
                <w:bCs/>
                <w:color w:val="FFFFFF"/>
                <w:sz w:val="20"/>
                <w:szCs w:val="20"/>
              </w:rPr>
              <w:t>Classe Comum (%)</w:t>
            </w:r>
          </w:p>
        </w:tc>
        <w:tc>
          <w:tcPr>
            <w:tcW w:w="1800" w:type="dxa"/>
            <w:tcBorders>
              <w:top w:val="nil"/>
              <w:left w:val="dashSmallGap" w:sz="4" w:space="0" w:color="FFFFFF" w:themeColor="background1"/>
              <w:right w:val="dashSmallGap" w:sz="4" w:space="0" w:color="FFFFFF" w:themeColor="background1"/>
            </w:tcBorders>
            <w:shd w:val="clear" w:color="auto" w:fill="629DD1"/>
            <w:vAlign w:val="center"/>
            <w:hideMark/>
          </w:tcPr>
          <w:p w14:paraId="247427B2" w14:textId="47B7F488" w:rsidR="00933E68" w:rsidRPr="00677549" w:rsidRDefault="00933E68" w:rsidP="005138EF">
            <w:pPr>
              <w:spacing w:line="240" w:lineRule="auto"/>
              <w:jc w:val="center"/>
              <w:rPr>
                <w:rFonts w:eastAsia="Times New Roman"/>
                <w:b/>
                <w:bCs/>
                <w:color w:val="FFFFFF"/>
                <w:sz w:val="20"/>
                <w:szCs w:val="20"/>
              </w:rPr>
            </w:pPr>
            <w:r w:rsidRPr="00677549">
              <w:rPr>
                <w:rFonts w:eastAsia="Times New Roman"/>
                <w:b/>
                <w:bCs/>
                <w:color w:val="FFFFFF"/>
                <w:sz w:val="20"/>
                <w:szCs w:val="20"/>
              </w:rPr>
              <w:t xml:space="preserve">Classe </w:t>
            </w:r>
            <w:r w:rsidR="0029125B" w:rsidRPr="00677549">
              <w:rPr>
                <w:rFonts w:eastAsia="Times New Roman"/>
                <w:b/>
                <w:bCs/>
                <w:color w:val="FFFFFF"/>
                <w:sz w:val="20"/>
                <w:szCs w:val="20"/>
              </w:rPr>
              <w:t>Exclusiva (</w:t>
            </w:r>
            <w:r w:rsidRPr="00677549">
              <w:rPr>
                <w:rFonts w:eastAsia="Times New Roman"/>
                <w:b/>
                <w:bCs/>
                <w:color w:val="FFFFFF"/>
                <w:sz w:val="20"/>
                <w:szCs w:val="20"/>
              </w:rPr>
              <w:t>%)</w:t>
            </w:r>
          </w:p>
        </w:tc>
        <w:tc>
          <w:tcPr>
            <w:tcW w:w="1073" w:type="dxa"/>
            <w:tcBorders>
              <w:top w:val="nil"/>
              <w:left w:val="dashSmallGap" w:sz="4" w:space="0" w:color="FFFFFF" w:themeColor="background1"/>
              <w:right w:val="dashSmallGap" w:sz="4" w:space="0" w:color="FFFFFF" w:themeColor="background1"/>
            </w:tcBorders>
            <w:shd w:val="clear" w:color="auto" w:fill="629DD1"/>
            <w:noWrap/>
            <w:vAlign w:val="center"/>
            <w:hideMark/>
          </w:tcPr>
          <w:p w14:paraId="17239EB3" w14:textId="77777777" w:rsidR="00933E68" w:rsidRPr="00677549" w:rsidRDefault="00933E68" w:rsidP="005138EF">
            <w:pPr>
              <w:spacing w:line="240" w:lineRule="auto"/>
              <w:jc w:val="center"/>
              <w:rPr>
                <w:rFonts w:eastAsia="Times New Roman"/>
                <w:b/>
                <w:bCs/>
                <w:color w:val="FFFFFF"/>
                <w:sz w:val="20"/>
                <w:szCs w:val="20"/>
              </w:rPr>
            </w:pPr>
            <w:r w:rsidRPr="00677549">
              <w:rPr>
                <w:rFonts w:eastAsia="Times New Roman"/>
                <w:b/>
                <w:bCs/>
                <w:color w:val="FFFFFF"/>
                <w:sz w:val="20"/>
                <w:szCs w:val="20"/>
              </w:rPr>
              <w:t>Total</w:t>
            </w:r>
          </w:p>
        </w:tc>
        <w:tc>
          <w:tcPr>
            <w:tcW w:w="1581" w:type="dxa"/>
            <w:tcBorders>
              <w:top w:val="nil"/>
              <w:left w:val="dashSmallGap" w:sz="4" w:space="0" w:color="FFFFFF" w:themeColor="background1"/>
              <w:right w:val="dashSmallGap" w:sz="4" w:space="0" w:color="FFFFFF" w:themeColor="background1"/>
            </w:tcBorders>
            <w:shd w:val="clear" w:color="auto" w:fill="629DD1"/>
            <w:vAlign w:val="center"/>
            <w:hideMark/>
          </w:tcPr>
          <w:p w14:paraId="4C8BF3FF" w14:textId="77777777" w:rsidR="00933E68" w:rsidRPr="00677549" w:rsidRDefault="00933E68" w:rsidP="005138EF">
            <w:pPr>
              <w:spacing w:line="240" w:lineRule="auto"/>
              <w:jc w:val="center"/>
              <w:rPr>
                <w:rFonts w:eastAsia="Times New Roman"/>
                <w:b/>
                <w:bCs/>
                <w:color w:val="FFFFFF"/>
                <w:sz w:val="20"/>
                <w:szCs w:val="20"/>
              </w:rPr>
            </w:pPr>
            <w:r w:rsidRPr="00677549">
              <w:rPr>
                <w:rFonts w:eastAsia="Times New Roman"/>
                <w:b/>
                <w:bCs/>
                <w:color w:val="FFFFFF"/>
                <w:sz w:val="20"/>
                <w:szCs w:val="20"/>
              </w:rPr>
              <w:t>Classe Comum (%)</w:t>
            </w:r>
          </w:p>
        </w:tc>
        <w:tc>
          <w:tcPr>
            <w:tcW w:w="1519" w:type="dxa"/>
            <w:tcBorders>
              <w:top w:val="nil"/>
              <w:left w:val="dashSmallGap" w:sz="4" w:space="0" w:color="FFFFFF" w:themeColor="background1"/>
              <w:right w:val="nil"/>
            </w:tcBorders>
            <w:shd w:val="clear" w:color="auto" w:fill="629DD1"/>
            <w:vAlign w:val="center"/>
            <w:hideMark/>
          </w:tcPr>
          <w:p w14:paraId="301C559B" w14:textId="442EC38D" w:rsidR="00933E68" w:rsidRPr="00677549" w:rsidRDefault="00933E68" w:rsidP="005138EF">
            <w:pPr>
              <w:spacing w:line="240" w:lineRule="auto"/>
              <w:jc w:val="center"/>
              <w:rPr>
                <w:rFonts w:eastAsia="Times New Roman"/>
                <w:b/>
                <w:bCs/>
                <w:color w:val="FFFFFF"/>
                <w:sz w:val="20"/>
                <w:szCs w:val="20"/>
              </w:rPr>
            </w:pPr>
            <w:r w:rsidRPr="00677549">
              <w:rPr>
                <w:rFonts w:eastAsia="Times New Roman"/>
                <w:b/>
                <w:bCs/>
                <w:color w:val="FFFFFF"/>
                <w:sz w:val="20"/>
                <w:szCs w:val="20"/>
              </w:rPr>
              <w:t xml:space="preserve">Classe </w:t>
            </w:r>
            <w:r w:rsidR="0029125B" w:rsidRPr="00677549">
              <w:rPr>
                <w:rFonts w:eastAsia="Times New Roman"/>
                <w:b/>
                <w:bCs/>
                <w:color w:val="FFFFFF"/>
                <w:sz w:val="20"/>
                <w:szCs w:val="20"/>
              </w:rPr>
              <w:t>Exclusiva (</w:t>
            </w:r>
            <w:r w:rsidRPr="00677549">
              <w:rPr>
                <w:rFonts w:eastAsia="Times New Roman"/>
                <w:b/>
                <w:bCs/>
                <w:color w:val="FFFFFF"/>
                <w:sz w:val="20"/>
                <w:szCs w:val="20"/>
              </w:rPr>
              <w:t>%)</w:t>
            </w:r>
          </w:p>
        </w:tc>
      </w:tr>
      <w:tr w:rsidR="00933E68" w:rsidRPr="0082668D" w14:paraId="072C8384" w14:textId="77777777" w:rsidTr="002F73C9">
        <w:trPr>
          <w:trHeight w:val="248"/>
        </w:trPr>
        <w:tc>
          <w:tcPr>
            <w:tcW w:w="1000" w:type="dxa"/>
            <w:tcBorders>
              <w:top w:val="nil"/>
              <w:left w:val="nil"/>
              <w:bottom w:val="nil"/>
            </w:tcBorders>
            <w:shd w:val="clear" w:color="auto" w:fill="auto"/>
            <w:noWrap/>
            <w:vAlign w:val="center"/>
            <w:hideMark/>
          </w:tcPr>
          <w:p w14:paraId="69CFF665" w14:textId="77777777" w:rsidR="00933E68" w:rsidRPr="00677549" w:rsidRDefault="00933E68" w:rsidP="005138EF">
            <w:pPr>
              <w:spacing w:line="240" w:lineRule="auto"/>
              <w:jc w:val="center"/>
              <w:rPr>
                <w:rFonts w:eastAsia="Times New Roman"/>
                <w:b/>
                <w:bCs/>
                <w:color w:val="000000"/>
                <w:sz w:val="20"/>
                <w:szCs w:val="20"/>
              </w:rPr>
            </w:pPr>
            <w:r w:rsidRPr="00677549">
              <w:rPr>
                <w:rFonts w:eastAsia="Times New Roman"/>
                <w:b/>
                <w:bCs/>
                <w:color w:val="000000"/>
                <w:sz w:val="20"/>
                <w:szCs w:val="20"/>
              </w:rPr>
              <w:t>BR</w:t>
            </w:r>
          </w:p>
        </w:tc>
        <w:tc>
          <w:tcPr>
            <w:tcW w:w="952" w:type="dxa"/>
            <w:tcBorders>
              <w:top w:val="nil"/>
              <w:bottom w:val="nil"/>
            </w:tcBorders>
            <w:shd w:val="clear" w:color="auto" w:fill="auto"/>
            <w:noWrap/>
            <w:vAlign w:val="center"/>
            <w:hideMark/>
          </w:tcPr>
          <w:p w14:paraId="6A2C6BE9" w14:textId="77777777" w:rsidR="00933E68" w:rsidRPr="00677549" w:rsidRDefault="00933E68" w:rsidP="005138EF">
            <w:pPr>
              <w:spacing w:line="240" w:lineRule="auto"/>
              <w:jc w:val="center"/>
              <w:rPr>
                <w:rFonts w:eastAsia="Times New Roman"/>
                <w:color w:val="000000"/>
                <w:sz w:val="20"/>
                <w:szCs w:val="20"/>
              </w:rPr>
            </w:pPr>
            <w:r w:rsidRPr="00677549">
              <w:rPr>
                <w:rFonts w:eastAsia="Times New Roman"/>
                <w:color w:val="000000"/>
                <w:sz w:val="20"/>
                <w:szCs w:val="20"/>
              </w:rPr>
              <w:t>843.342</w:t>
            </w:r>
          </w:p>
        </w:tc>
        <w:tc>
          <w:tcPr>
            <w:tcW w:w="1411" w:type="dxa"/>
            <w:tcBorders>
              <w:top w:val="nil"/>
              <w:bottom w:val="nil"/>
            </w:tcBorders>
            <w:shd w:val="clear" w:color="auto" w:fill="auto"/>
            <w:noWrap/>
            <w:vAlign w:val="center"/>
            <w:hideMark/>
          </w:tcPr>
          <w:p w14:paraId="4534C713" w14:textId="77777777" w:rsidR="00933E68" w:rsidRPr="00677549" w:rsidRDefault="00933E68" w:rsidP="005138EF">
            <w:pPr>
              <w:spacing w:line="240" w:lineRule="auto"/>
              <w:jc w:val="center"/>
              <w:rPr>
                <w:rFonts w:eastAsia="Times New Roman"/>
                <w:color w:val="000000"/>
                <w:sz w:val="20"/>
                <w:szCs w:val="20"/>
              </w:rPr>
            </w:pPr>
            <w:r w:rsidRPr="00677549">
              <w:rPr>
                <w:rFonts w:eastAsia="Times New Roman"/>
                <w:color w:val="000000"/>
                <w:sz w:val="20"/>
                <w:szCs w:val="20"/>
              </w:rPr>
              <w:t>76,9%</w:t>
            </w:r>
          </w:p>
        </w:tc>
        <w:tc>
          <w:tcPr>
            <w:tcW w:w="1800" w:type="dxa"/>
            <w:tcBorders>
              <w:top w:val="nil"/>
              <w:bottom w:val="nil"/>
              <w:right w:val="dashSmallGap" w:sz="4" w:space="0" w:color="FFFFFF" w:themeColor="background1"/>
            </w:tcBorders>
            <w:shd w:val="clear" w:color="auto" w:fill="auto"/>
            <w:noWrap/>
            <w:vAlign w:val="center"/>
            <w:hideMark/>
          </w:tcPr>
          <w:p w14:paraId="14C6004B" w14:textId="77777777" w:rsidR="00933E68" w:rsidRPr="00677549" w:rsidRDefault="00933E68" w:rsidP="005138EF">
            <w:pPr>
              <w:spacing w:line="240" w:lineRule="auto"/>
              <w:jc w:val="center"/>
              <w:rPr>
                <w:rFonts w:eastAsia="Times New Roman"/>
                <w:color w:val="000000"/>
                <w:sz w:val="20"/>
                <w:szCs w:val="20"/>
              </w:rPr>
            </w:pPr>
            <w:r w:rsidRPr="00677549">
              <w:rPr>
                <w:rFonts w:eastAsia="Times New Roman"/>
                <w:color w:val="000000"/>
                <w:sz w:val="20"/>
                <w:szCs w:val="20"/>
              </w:rPr>
              <w:t>23,1%</w:t>
            </w:r>
          </w:p>
        </w:tc>
        <w:tc>
          <w:tcPr>
            <w:tcW w:w="1073" w:type="dxa"/>
            <w:tcBorders>
              <w:top w:val="nil"/>
              <w:left w:val="dashSmallGap" w:sz="4" w:space="0" w:color="FFFFFF" w:themeColor="background1"/>
              <w:bottom w:val="nil"/>
            </w:tcBorders>
            <w:shd w:val="clear" w:color="auto" w:fill="auto"/>
            <w:noWrap/>
            <w:vAlign w:val="center"/>
            <w:hideMark/>
          </w:tcPr>
          <w:p w14:paraId="0B05EF4D" w14:textId="77777777" w:rsidR="00933E68" w:rsidRPr="00677549" w:rsidRDefault="00933E68" w:rsidP="005138EF">
            <w:pPr>
              <w:spacing w:line="240" w:lineRule="auto"/>
              <w:jc w:val="center"/>
              <w:rPr>
                <w:rFonts w:eastAsia="Times New Roman"/>
                <w:color w:val="000000"/>
                <w:sz w:val="20"/>
                <w:szCs w:val="20"/>
              </w:rPr>
            </w:pPr>
            <w:r w:rsidRPr="00677549">
              <w:rPr>
                <w:rFonts w:eastAsia="Times New Roman"/>
                <w:color w:val="000000"/>
                <w:sz w:val="20"/>
                <w:szCs w:val="20"/>
              </w:rPr>
              <w:t>1.771.430</w:t>
            </w:r>
          </w:p>
        </w:tc>
        <w:tc>
          <w:tcPr>
            <w:tcW w:w="1581" w:type="dxa"/>
            <w:tcBorders>
              <w:top w:val="nil"/>
              <w:bottom w:val="nil"/>
            </w:tcBorders>
            <w:shd w:val="clear" w:color="auto" w:fill="auto"/>
            <w:noWrap/>
            <w:vAlign w:val="center"/>
            <w:hideMark/>
          </w:tcPr>
          <w:p w14:paraId="7DBA1D55" w14:textId="77777777" w:rsidR="00933E68" w:rsidRPr="00677549" w:rsidRDefault="00933E68" w:rsidP="005138EF">
            <w:pPr>
              <w:spacing w:line="240" w:lineRule="auto"/>
              <w:jc w:val="center"/>
              <w:rPr>
                <w:rFonts w:eastAsia="Times New Roman"/>
                <w:color w:val="000000"/>
                <w:sz w:val="20"/>
                <w:szCs w:val="20"/>
              </w:rPr>
            </w:pPr>
            <w:r w:rsidRPr="00677549">
              <w:rPr>
                <w:rFonts w:eastAsia="Times New Roman"/>
                <w:color w:val="000000"/>
                <w:sz w:val="20"/>
                <w:szCs w:val="20"/>
              </w:rPr>
              <w:t>91,3%</w:t>
            </w:r>
          </w:p>
        </w:tc>
        <w:tc>
          <w:tcPr>
            <w:tcW w:w="1519" w:type="dxa"/>
            <w:tcBorders>
              <w:top w:val="nil"/>
              <w:bottom w:val="nil"/>
            </w:tcBorders>
            <w:shd w:val="clear" w:color="auto" w:fill="auto"/>
            <w:noWrap/>
            <w:vAlign w:val="center"/>
            <w:hideMark/>
          </w:tcPr>
          <w:p w14:paraId="68044734" w14:textId="77777777" w:rsidR="00933E68" w:rsidRPr="00677549" w:rsidRDefault="00933E68" w:rsidP="005138EF">
            <w:pPr>
              <w:spacing w:line="240" w:lineRule="auto"/>
              <w:jc w:val="center"/>
              <w:rPr>
                <w:rFonts w:eastAsia="Times New Roman"/>
                <w:color w:val="000000"/>
                <w:sz w:val="20"/>
                <w:szCs w:val="20"/>
              </w:rPr>
            </w:pPr>
            <w:r w:rsidRPr="00677549">
              <w:rPr>
                <w:rFonts w:eastAsia="Times New Roman"/>
                <w:color w:val="000000"/>
                <w:sz w:val="20"/>
                <w:szCs w:val="20"/>
              </w:rPr>
              <w:t>8,7%</w:t>
            </w:r>
          </w:p>
        </w:tc>
      </w:tr>
      <w:tr w:rsidR="00933E68" w:rsidRPr="0082668D" w14:paraId="0096F9FC" w14:textId="77777777" w:rsidTr="002F73C9">
        <w:trPr>
          <w:trHeight w:val="248"/>
        </w:trPr>
        <w:tc>
          <w:tcPr>
            <w:tcW w:w="1000" w:type="dxa"/>
            <w:tcBorders>
              <w:top w:val="nil"/>
              <w:left w:val="nil"/>
              <w:bottom w:val="nil"/>
            </w:tcBorders>
            <w:shd w:val="clear" w:color="auto" w:fill="auto"/>
            <w:noWrap/>
            <w:vAlign w:val="center"/>
            <w:hideMark/>
          </w:tcPr>
          <w:p w14:paraId="51BE0876" w14:textId="77777777" w:rsidR="00933E68" w:rsidRPr="00677549" w:rsidRDefault="00933E68" w:rsidP="005138EF">
            <w:pPr>
              <w:spacing w:line="240" w:lineRule="auto"/>
              <w:jc w:val="center"/>
              <w:rPr>
                <w:rFonts w:eastAsia="Times New Roman"/>
                <w:b/>
                <w:bCs/>
                <w:color w:val="000000"/>
                <w:sz w:val="20"/>
                <w:szCs w:val="20"/>
              </w:rPr>
            </w:pPr>
            <w:r w:rsidRPr="00677549">
              <w:rPr>
                <w:rFonts w:eastAsia="Times New Roman"/>
                <w:b/>
                <w:bCs/>
                <w:color w:val="000000"/>
                <w:sz w:val="20"/>
                <w:szCs w:val="20"/>
              </w:rPr>
              <w:t>NE</w:t>
            </w:r>
          </w:p>
        </w:tc>
        <w:tc>
          <w:tcPr>
            <w:tcW w:w="952" w:type="dxa"/>
            <w:tcBorders>
              <w:top w:val="nil"/>
              <w:bottom w:val="nil"/>
            </w:tcBorders>
            <w:shd w:val="clear" w:color="auto" w:fill="auto"/>
            <w:noWrap/>
            <w:vAlign w:val="center"/>
            <w:hideMark/>
          </w:tcPr>
          <w:p w14:paraId="025788D6" w14:textId="77777777" w:rsidR="00933E68" w:rsidRPr="00677549" w:rsidRDefault="00933E68" w:rsidP="005138EF">
            <w:pPr>
              <w:spacing w:line="240" w:lineRule="auto"/>
              <w:jc w:val="center"/>
              <w:rPr>
                <w:rFonts w:eastAsia="Times New Roman"/>
                <w:color w:val="000000"/>
                <w:sz w:val="20"/>
                <w:szCs w:val="20"/>
              </w:rPr>
            </w:pPr>
            <w:r w:rsidRPr="00677549">
              <w:rPr>
                <w:rFonts w:eastAsia="Times New Roman"/>
                <w:color w:val="000000"/>
                <w:sz w:val="20"/>
                <w:szCs w:val="20"/>
              </w:rPr>
              <w:t>199.200</w:t>
            </w:r>
          </w:p>
        </w:tc>
        <w:tc>
          <w:tcPr>
            <w:tcW w:w="1411" w:type="dxa"/>
            <w:tcBorders>
              <w:top w:val="nil"/>
              <w:bottom w:val="nil"/>
            </w:tcBorders>
            <w:shd w:val="clear" w:color="auto" w:fill="auto"/>
            <w:noWrap/>
            <w:vAlign w:val="center"/>
            <w:hideMark/>
          </w:tcPr>
          <w:p w14:paraId="732937C8" w14:textId="77777777" w:rsidR="00933E68" w:rsidRPr="00677549" w:rsidRDefault="00933E68" w:rsidP="005138EF">
            <w:pPr>
              <w:spacing w:line="240" w:lineRule="auto"/>
              <w:jc w:val="center"/>
              <w:rPr>
                <w:rFonts w:eastAsia="Times New Roman"/>
                <w:color w:val="000000"/>
                <w:sz w:val="20"/>
                <w:szCs w:val="20"/>
              </w:rPr>
            </w:pPr>
            <w:r w:rsidRPr="00677549">
              <w:rPr>
                <w:rFonts w:eastAsia="Times New Roman"/>
                <w:color w:val="000000"/>
                <w:sz w:val="20"/>
                <w:szCs w:val="20"/>
              </w:rPr>
              <w:t>90,4%</w:t>
            </w:r>
          </w:p>
        </w:tc>
        <w:tc>
          <w:tcPr>
            <w:tcW w:w="1800" w:type="dxa"/>
            <w:tcBorders>
              <w:top w:val="nil"/>
              <w:bottom w:val="nil"/>
              <w:right w:val="dashSmallGap" w:sz="4" w:space="0" w:color="FFFFFF" w:themeColor="background1"/>
            </w:tcBorders>
            <w:shd w:val="clear" w:color="auto" w:fill="auto"/>
            <w:noWrap/>
            <w:vAlign w:val="center"/>
            <w:hideMark/>
          </w:tcPr>
          <w:p w14:paraId="0F4DDCC9" w14:textId="77777777" w:rsidR="00933E68" w:rsidRPr="00677549" w:rsidRDefault="00933E68" w:rsidP="005138EF">
            <w:pPr>
              <w:spacing w:line="240" w:lineRule="auto"/>
              <w:jc w:val="center"/>
              <w:rPr>
                <w:rFonts w:eastAsia="Times New Roman"/>
                <w:color w:val="000000"/>
                <w:sz w:val="20"/>
                <w:szCs w:val="20"/>
              </w:rPr>
            </w:pPr>
            <w:r w:rsidRPr="00677549">
              <w:rPr>
                <w:rFonts w:eastAsia="Times New Roman"/>
                <w:color w:val="000000"/>
                <w:sz w:val="20"/>
                <w:szCs w:val="20"/>
              </w:rPr>
              <w:t>9,6%</w:t>
            </w:r>
          </w:p>
        </w:tc>
        <w:tc>
          <w:tcPr>
            <w:tcW w:w="1073" w:type="dxa"/>
            <w:tcBorders>
              <w:top w:val="nil"/>
              <w:left w:val="dashSmallGap" w:sz="4" w:space="0" w:color="FFFFFF" w:themeColor="background1"/>
              <w:bottom w:val="nil"/>
            </w:tcBorders>
            <w:shd w:val="clear" w:color="auto" w:fill="auto"/>
            <w:noWrap/>
            <w:vAlign w:val="center"/>
            <w:hideMark/>
          </w:tcPr>
          <w:p w14:paraId="391BCF6E" w14:textId="77777777" w:rsidR="00933E68" w:rsidRPr="00677549" w:rsidRDefault="00933E68" w:rsidP="005138EF">
            <w:pPr>
              <w:spacing w:line="240" w:lineRule="auto"/>
              <w:jc w:val="center"/>
              <w:rPr>
                <w:rFonts w:eastAsia="Times New Roman"/>
                <w:color w:val="000000"/>
                <w:sz w:val="20"/>
                <w:szCs w:val="20"/>
              </w:rPr>
            </w:pPr>
            <w:r w:rsidRPr="00677549">
              <w:rPr>
                <w:rFonts w:eastAsia="Times New Roman"/>
                <w:color w:val="000000"/>
                <w:sz w:val="20"/>
                <w:szCs w:val="20"/>
              </w:rPr>
              <w:t>545.414</w:t>
            </w:r>
          </w:p>
        </w:tc>
        <w:tc>
          <w:tcPr>
            <w:tcW w:w="1581" w:type="dxa"/>
            <w:tcBorders>
              <w:top w:val="nil"/>
              <w:bottom w:val="nil"/>
            </w:tcBorders>
            <w:shd w:val="clear" w:color="auto" w:fill="auto"/>
            <w:noWrap/>
            <w:vAlign w:val="center"/>
            <w:hideMark/>
          </w:tcPr>
          <w:p w14:paraId="7AF18294" w14:textId="77777777" w:rsidR="00933E68" w:rsidRPr="00677549" w:rsidRDefault="00933E68" w:rsidP="005138EF">
            <w:pPr>
              <w:spacing w:line="240" w:lineRule="auto"/>
              <w:jc w:val="center"/>
              <w:rPr>
                <w:rFonts w:eastAsia="Times New Roman"/>
                <w:color w:val="000000"/>
                <w:sz w:val="20"/>
                <w:szCs w:val="20"/>
              </w:rPr>
            </w:pPr>
            <w:r w:rsidRPr="00677549">
              <w:rPr>
                <w:rFonts w:eastAsia="Times New Roman"/>
                <w:color w:val="000000"/>
                <w:sz w:val="20"/>
                <w:szCs w:val="20"/>
              </w:rPr>
              <w:t>98,6%</w:t>
            </w:r>
          </w:p>
        </w:tc>
        <w:tc>
          <w:tcPr>
            <w:tcW w:w="1519" w:type="dxa"/>
            <w:tcBorders>
              <w:top w:val="nil"/>
              <w:bottom w:val="nil"/>
            </w:tcBorders>
            <w:shd w:val="clear" w:color="auto" w:fill="auto"/>
            <w:noWrap/>
            <w:vAlign w:val="center"/>
            <w:hideMark/>
          </w:tcPr>
          <w:p w14:paraId="1E2B5CE2" w14:textId="77777777" w:rsidR="00933E68" w:rsidRPr="00677549" w:rsidRDefault="00933E68" w:rsidP="005138EF">
            <w:pPr>
              <w:spacing w:line="240" w:lineRule="auto"/>
              <w:jc w:val="center"/>
              <w:rPr>
                <w:rFonts w:eastAsia="Times New Roman"/>
                <w:color w:val="000000"/>
                <w:sz w:val="20"/>
                <w:szCs w:val="20"/>
              </w:rPr>
            </w:pPr>
            <w:r w:rsidRPr="00677549">
              <w:rPr>
                <w:rFonts w:eastAsia="Times New Roman"/>
                <w:color w:val="000000"/>
                <w:sz w:val="20"/>
                <w:szCs w:val="20"/>
              </w:rPr>
              <w:t>1,4%</w:t>
            </w:r>
          </w:p>
        </w:tc>
      </w:tr>
      <w:tr w:rsidR="00933E68" w:rsidRPr="0082668D" w14:paraId="69626EEE" w14:textId="77777777" w:rsidTr="002F73C9">
        <w:trPr>
          <w:trHeight w:val="261"/>
        </w:trPr>
        <w:tc>
          <w:tcPr>
            <w:tcW w:w="1000" w:type="dxa"/>
            <w:tcBorders>
              <w:top w:val="nil"/>
              <w:left w:val="nil"/>
              <w:bottom w:val="single" w:sz="12" w:space="0" w:color="5AA2AE"/>
            </w:tcBorders>
            <w:shd w:val="clear" w:color="auto" w:fill="auto"/>
            <w:noWrap/>
            <w:vAlign w:val="center"/>
            <w:hideMark/>
          </w:tcPr>
          <w:p w14:paraId="3B00EEA5" w14:textId="77777777" w:rsidR="00933E68" w:rsidRPr="00677549" w:rsidRDefault="00933E68" w:rsidP="005138EF">
            <w:pPr>
              <w:spacing w:line="240" w:lineRule="auto"/>
              <w:jc w:val="center"/>
              <w:rPr>
                <w:rFonts w:eastAsia="Times New Roman"/>
                <w:b/>
                <w:bCs/>
                <w:color w:val="000000"/>
                <w:sz w:val="20"/>
                <w:szCs w:val="20"/>
              </w:rPr>
            </w:pPr>
            <w:r w:rsidRPr="00677549">
              <w:rPr>
                <w:rFonts w:eastAsia="Times New Roman"/>
                <w:b/>
                <w:bCs/>
                <w:color w:val="000000"/>
                <w:sz w:val="20"/>
                <w:szCs w:val="20"/>
              </w:rPr>
              <w:t>MA</w:t>
            </w:r>
          </w:p>
        </w:tc>
        <w:tc>
          <w:tcPr>
            <w:tcW w:w="952" w:type="dxa"/>
            <w:tcBorders>
              <w:top w:val="nil"/>
              <w:bottom w:val="single" w:sz="12" w:space="0" w:color="5AA2AE"/>
            </w:tcBorders>
            <w:shd w:val="clear" w:color="auto" w:fill="auto"/>
            <w:noWrap/>
            <w:vAlign w:val="center"/>
            <w:hideMark/>
          </w:tcPr>
          <w:p w14:paraId="2DD00F54" w14:textId="77777777" w:rsidR="00933E68" w:rsidRPr="00677549" w:rsidRDefault="00933E68" w:rsidP="005138EF">
            <w:pPr>
              <w:spacing w:line="240" w:lineRule="auto"/>
              <w:jc w:val="center"/>
              <w:rPr>
                <w:rFonts w:eastAsia="Times New Roman"/>
                <w:color w:val="000000"/>
                <w:sz w:val="20"/>
                <w:szCs w:val="20"/>
              </w:rPr>
            </w:pPr>
            <w:r w:rsidRPr="00677549">
              <w:rPr>
                <w:rFonts w:eastAsia="Times New Roman"/>
                <w:color w:val="000000"/>
                <w:sz w:val="20"/>
                <w:szCs w:val="20"/>
              </w:rPr>
              <w:t>26.934</w:t>
            </w:r>
          </w:p>
        </w:tc>
        <w:tc>
          <w:tcPr>
            <w:tcW w:w="1411" w:type="dxa"/>
            <w:tcBorders>
              <w:top w:val="nil"/>
              <w:bottom w:val="single" w:sz="12" w:space="0" w:color="5AA2AE"/>
            </w:tcBorders>
            <w:shd w:val="clear" w:color="auto" w:fill="auto"/>
            <w:noWrap/>
            <w:vAlign w:val="center"/>
            <w:hideMark/>
          </w:tcPr>
          <w:p w14:paraId="21E8D139" w14:textId="77777777" w:rsidR="00933E68" w:rsidRPr="00677549" w:rsidRDefault="00933E68" w:rsidP="005138EF">
            <w:pPr>
              <w:spacing w:line="240" w:lineRule="auto"/>
              <w:jc w:val="center"/>
              <w:rPr>
                <w:rFonts w:eastAsia="Times New Roman"/>
                <w:color w:val="000000"/>
                <w:sz w:val="20"/>
                <w:szCs w:val="20"/>
              </w:rPr>
            </w:pPr>
            <w:r w:rsidRPr="00677549">
              <w:rPr>
                <w:rFonts w:eastAsia="Times New Roman"/>
                <w:color w:val="000000"/>
                <w:sz w:val="20"/>
                <w:szCs w:val="20"/>
              </w:rPr>
              <w:t>84,5%</w:t>
            </w:r>
          </w:p>
        </w:tc>
        <w:tc>
          <w:tcPr>
            <w:tcW w:w="1800" w:type="dxa"/>
            <w:tcBorders>
              <w:top w:val="nil"/>
              <w:bottom w:val="single" w:sz="12" w:space="0" w:color="5AA2AE"/>
              <w:right w:val="dashSmallGap" w:sz="4" w:space="0" w:color="FFFFFF" w:themeColor="background1"/>
            </w:tcBorders>
            <w:shd w:val="clear" w:color="auto" w:fill="auto"/>
            <w:noWrap/>
            <w:vAlign w:val="center"/>
            <w:hideMark/>
          </w:tcPr>
          <w:p w14:paraId="7BAF4B06" w14:textId="77777777" w:rsidR="00933E68" w:rsidRPr="00677549" w:rsidRDefault="00933E68" w:rsidP="005138EF">
            <w:pPr>
              <w:spacing w:line="240" w:lineRule="auto"/>
              <w:jc w:val="center"/>
              <w:rPr>
                <w:rFonts w:eastAsia="Times New Roman"/>
                <w:color w:val="000000"/>
                <w:sz w:val="20"/>
                <w:szCs w:val="20"/>
              </w:rPr>
            </w:pPr>
            <w:r w:rsidRPr="00677549">
              <w:rPr>
                <w:rFonts w:eastAsia="Times New Roman"/>
                <w:color w:val="000000"/>
                <w:sz w:val="20"/>
                <w:szCs w:val="20"/>
              </w:rPr>
              <w:t>15,5%</w:t>
            </w:r>
          </w:p>
        </w:tc>
        <w:tc>
          <w:tcPr>
            <w:tcW w:w="1073" w:type="dxa"/>
            <w:tcBorders>
              <w:top w:val="nil"/>
              <w:left w:val="dashSmallGap" w:sz="4" w:space="0" w:color="FFFFFF" w:themeColor="background1"/>
              <w:bottom w:val="single" w:sz="12" w:space="0" w:color="5AA2AE"/>
            </w:tcBorders>
            <w:shd w:val="clear" w:color="auto" w:fill="auto"/>
            <w:noWrap/>
            <w:vAlign w:val="center"/>
            <w:hideMark/>
          </w:tcPr>
          <w:p w14:paraId="0EDE24C9" w14:textId="77777777" w:rsidR="00933E68" w:rsidRPr="00677549" w:rsidRDefault="00933E68" w:rsidP="005138EF">
            <w:pPr>
              <w:spacing w:line="240" w:lineRule="auto"/>
              <w:jc w:val="center"/>
              <w:rPr>
                <w:rFonts w:eastAsia="Times New Roman"/>
                <w:color w:val="000000"/>
                <w:sz w:val="20"/>
                <w:szCs w:val="20"/>
              </w:rPr>
            </w:pPr>
            <w:r w:rsidRPr="00677549">
              <w:rPr>
                <w:rFonts w:eastAsia="Times New Roman"/>
                <w:color w:val="000000"/>
                <w:sz w:val="20"/>
                <w:szCs w:val="20"/>
              </w:rPr>
              <w:t>62.482</w:t>
            </w:r>
          </w:p>
        </w:tc>
        <w:tc>
          <w:tcPr>
            <w:tcW w:w="1581" w:type="dxa"/>
            <w:tcBorders>
              <w:top w:val="nil"/>
              <w:bottom w:val="single" w:sz="12" w:space="0" w:color="5AA2AE"/>
            </w:tcBorders>
            <w:shd w:val="clear" w:color="auto" w:fill="auto"/>
            <w:noWrap/>
            <w:vAlign w:val="center"/>
            <w:hideMark/>
          </w:tcPr>
          <w:p w14:paraId="7B35F361" w14:textId="77777777" w:rsidR="00933E68" w:rsidRPr="00677549" w:rsidRDefault="00933E68" w:rsidP="005138EF">
            <w:pPr>
              <w:spacing w:line="240" w:lineRule="auto"/>
              <w:jc w:val="center"/>
              <w:rPr>
                <w:rFonts w:eastAsia="Times New Roman"/>
                <w:color w:val="000000"/>
                <w:sz w:val="20"/>
                <w:szCs w:val="20"/>
              </w:rPr>
            </w:pPr>
            <w:r w:rsidRPr="00677549">
              <w:rPr>
                <w:rFonts w:eastAsia="Times New Roman"/>
                <w:color w:val="000000"/>
                <w:sz w:val="20"/>
                <w:szCs w:val="20"/>
              </w:rPr>
              <w:t>97,2%</w:t>
            </w:r>
          </w:p>
        </w:tc>
        <w:tc>
          <w:tcPr>
            <w:tcW w:w="1519" w:type="dxa"/>
            <w:tcBorders>
              <w:top w:val="nil"/>
              <w:bottom w:val="single" w:sz="12" w:space="0" w:color="5AA2AE"/>
            </w:tcBorders>
            <w:shd w:val="clear" w:color="auto" w:fill="auto"/>
            <w:noWrap/>
            <w:vAlign w:val="center"/>
            <w:hideMark/>
          </w:tcPr>
          <w:p w14:paraId="5FC6D190" w14:textId="77777777" w:rsidR="00933E68" w:rsidRPr="00677549" w:rsidRDefault="00933E68" w:rsidP="005138EF">
            <w:pPr>
              <w:spacing w:line="240" w:lineRule="auto"/>
              <w:jc w:val="center"/>
              <w:rPr>
                <w:rFonts w:eastAsia="Times New Roman"/>
                <w:color w:val="000000"/>
                <w:sz w:val="20"/>
                <w:szCs w:val="20"/>
              </w:rPr>
            </w:pPr>
            <w:r w:rsidRPr="00677549">
              <w:rPr>
                <w:rFonts w:eastAsia="Times New Roman"/>
                <w:color w:val="000000"/>
                <w:sz w:val="20"/>
                <w:szCs w:val="20"/>
              </w:rPr>
              <w:t>2,8%</w:t>
            </w:r>
          </w:p>
        </w:tc>
      </w:tr>
    </w:tbl>
    <w:p w14:paraId="004696B4" w14:textId="77777777" w:rsidR="00933E68" w:rsidRPr="004D0CB3" w:rsidRDefault="00933E68" w:rsidP="00677549">
      <w:pPr>
        <w:spacing w:line="240" w:lineRule="auto"/>
        <w:jc w:val="center"/>
        <w:rPr>
          <w:sz w:val="20"/>
          <w:szCs w:val="20"/>
        </w:rPr>
      </w:pPr>
      <w:r w:rsidRPr="004D0CB3">
        <w:rPr>
          <w:sz w:val="20"/>
          <w:szCs w:val="20"/>
        </w:rPr>
        <w:t>Fonte: Elaboração das autoras, conforme dados do MEC (Brasil, 2024).</w:t>
      </w:r>
    </w:p>
    <w:p w14:paraId="60882D53" w14:textId="78B98A19" w:rsidR="00554B1E" w:rsidRDefault="00554B1E" w:rsidP="009B4843">
      <w:pPr>
        <w:spacing w:line="240" w:lineRule="auto"/>
        <w:ind w:right="-285"/>
        <w:jc w:val="both"/>
        <w:rPr>
          <w:rFonts w:eastAsia="Times New Roman"/>
          <w:sz w:val="24"/>
          <w:szCs w:val="24"/>
        </w:rPr>
      </w:pPr>
    </w:p>
    <w:p w14:paraId="665684AA" w14:textId="0D92D86A" w:rsidR="00104E8F" w:rsidRDefault="00C8789E" w:rsidP="002F73C9">
      <w:pPr>
        <w:spacing w:line="360" w:lineRule="auto"/>
        <w:ind w:right="-285"/>
        <w:jc w:val="both"/>
        <w:rPr>
          <w:rFonts w:eastAsia="Times New Roman"/>
          <w:sz w:val="24"/>
          <w:szCs w:val="24"/>
        </w:rPr>
      </w:pPr>
      <w:r>
        <w:rPr>
          <w:rFonts w:eastAsia="Times New Roman"/>
          <w:sz w:val="24"/>
          <w:szCs w:val="24"/>
        </w:rPr>
        <w:tab/>
      </w:r>
      <w:r w:rsidR="00933E68" w:rsidRPr="00677549">
        <w:rPr>
          <w:rFonts w:eastAsia="Times New Roman"/>
          <w:sz w:val="24"/>
          <w:szCs w:val="24"/>
        </w:rPr>
        <w:t xml:space="preserve">De acordo com a </w:t>
      </w:r>
      <w:r w:rsidR="004664E6" w:rsidRPr="00D41182">
        <w:rPr>
          <w:rFonts w:eastAsia="Times New Roman"/>
          <w:sz w:val="24"/>
          <w:szCs w:val="24"/>
        </w:rPr>
        <w:t>PNEEPEI</w:t>
      </w:r>
      <w:r w:rsidR="00933E68" w:rsidRPr="00D41182">
        <w:rPr>
          <w:rFonts w:eastAsia="Times New Roman"/>
          <w:sz w:val="24"/>
          <w:szCs w:val="24"/>
        </w:rPr>
        <w:t xml:space="preserve"> (2008) e com o Decreto Federal nº 7611/2011</w:t>
      </w:r>
      <w:r w:rsidR="00933E68" w:rsidRPr="00677549">
        <w:rPr>
          <w:rFonts w:eastAsia="Times New Roman"/>
          <w:sz w:val="24"/>
          <w:szCs w:val="24"/>
        </w:rPr>
        <w:t>, os alunos com deficiência, TEA</w:t>
      </w:r>
      <w:r w:rsidR="005138EF">
        <w:rPr>
          <w:rFonts w:eastAsia="Times New Roman"/>
          <w:sz w:val="24"/>
          <w:szCs w:val="24"/>
        </w:rPr>
        <w:t xml:space="preserve"> (</w:t>
      </w:r>
      <w:r w:rsidR="005138EF" w:rsidRPr="005138EF">
        <w:rPr>
          <w:rFonts w:eastAsia="Times New Roman"/>
          <w:sz w:val="24"/>
          <w:szCs w:val="24"/>
        </w:rPr>
        <w:t>Transtorno do Espectro Autista</w:t>
      </w:r>
      <w:r w:rsidR="005138EF">
        <w:rPr>
          <w:rFonts w:eastAsia="Times New Roman"/>
          <w:sz w:val="24"/>
          <w:szCs w:val="24"/>
        </w:rPr>
        <w:t>)</w:t>
      </w:r>
      <w:r w:rsidR="00933E68" w:rsidRPr="00677549">
        <w:rPr>
          <w:rFonts w:eastAsia="Times New Roman"/>
          <w:sz w:val="24"/>
          <w:szCs w:val="24"/>
        </w:rPr>
        <w:t xml:space="preserve"> e altas habilidades ou superdotação são público-alvo da educação especial sendo que um mesmo aluno pode apresentar mais de um tipo de deficiência </w:t>
      </w:r>
      <w:r w:rsidR="00933E68" w:rsidRPr="00AE3651">
        <w:rPr>
          <w:rFonts w:eastAsia="Times New Roman"/>
          <w:sz w:val="24"/>
          <w:szCs w:val="24"/>
        </w:rPr>
        <w:t>(Brasil, 2024).</w:t>
      </w:r>
      <w:r w:rsidR="00554B1E">
        <w:rPr>
          <w:rFonts w:eastAsia="Times New Roman"/>
          <w:sz w:val="24"/>
          <w:szCs w:val="24"/>
        </w:rPr>
        <w:t xml:space="preserve"> </w:t>
      </w:r>
      <w:r w:rsidR="00933E68" w:rsidRPr="003A2473">
        <w:rPr>
          <w:rFonts w:eastAsia="Times New Roman"/>
          <w:sz w:val="24"/>
          <w:szCs w:val="24"/>
        </w:rPr>
        <w:t xml:space="preserve">Os alunos com deficiência intelectual, autismo e deficiência física são maioria </w:t>
      </w:r>
      <w:r w:rsidR="00554B1E">
        <w:rPr>
          <w:rFonts w:eastAsia="Times New Roman"/>
          <w:sz w:val="24"/>
          <w:szCs w:val="24"/>
        </w:rPr>
        <w:t xml:space="preserve">no número de </w:t>
      </w:r>
      <w:r w:rsidR="00933E68" w:rsidRPr="003A2473">
        <w:rPr>
          <w:rFonts w:eastAsia="Times New Roman"/>
          <w:sz w:val="24"/>
          <w:szCs w:val="24"/>
        </w:rPr>
        <w:t>matrículas</w:t>
      </w:r>
      <w:r w:rsidR="003A2473" w:rsidRPr="003A2473">
        <w:rPr>
          <w:rFonts w:eastAsia="Times New Roman"/>
          <w:sz w:val="24"/>
          <w:szCs w:val="24"/>
        </w:rPr>
        <w:t xml:space="preserve"> </w:t>
      </w:r>
      <w:r w:rsidR="00933E68" w:rsidRPr="003A2473">
        <w:rPr>
          <w:rFonts w:eastAsia="Times New Roman"/>
          <w:sz w:val="24"/>
          <w:szCs w:val="24"/>
        </w:rPr>
        <w:t>da Educação Especial</w:t>
      </w:r>
      <w:r w:rsidR="00554B1E">
        <w:rPr>
          <w:rFonts w:eastAsia="Times New Roman"/>
          <w:sz w:val="24"/>
          <w:szCs w:val="24"/>
        </w:rPr>
        <w:t xml:space="preserve">, totalizando </w:t>
      </w:r>
      <w:r w:rsidR="00D41182">
        <w:rPr>
          <w:rFonts w:eastAsia="Times New Roman"/>
          <w:sz w:val="24"/>
          <w:szCs w:val="24"/>
        </w:rPr>
        <w:t>1,7 mi</w:t>
      </w:r>
      <w:r w:rsidR="00F125A1">
        <w:rPr>
          <w:rFonts w:eastAsia="Times New Roman"/>
          <w:sz w:val="24"/>
          <w:szCs w:val="24"/>
        </w:rPr>
        <w:t>lhão</w:t>
      </w:r>
      <w:r w:rsidR="00554B1E">
        <w:rPr>
          <w:rFonts w:eastAsia="Times New Roman"/>
          <w:sz w:val="24"/>
          <w:szCs w:val="24"/>
        </w:rPr>
        <w:t xml:space="preserve"> no Brasil, </w:t>
      </w:r>
      <w:r w:rsidR="00D41182">
        <w:rPr>
          <w:rFonts w:eastAsia="Times New Roman"/>
          <w:sz w:val="24"/>
          <w:szCs w:val="24"/>
        </w:rPr>
        <w:t>537,3 mil</w:t>
      </w:r>
      <w:r w:rsidR="00554B1E">
        <w:rPr>
          <w:rFonts w:eastAsia="Times New Roman"/>
          <w:sz w:val="24"/>
          <w:szCs w:val="24"/>
        </w:rPr>
        <w:t xml:space="preserve"> no Nordeste e </w:t>
      </w:r>
      <w:r w:rsidR="00D41182">
        <w:rPr>
          <w:rFonts w:eastAsia="Times New Roman"/>
          <w:sz w:val="24"/>
          <w:szCs w:val="24"/>
        </w:rPr>
        <w:t>59,3 mil</w:t>
      </w:r>
      <w:r w:rsidR="00554B1E">
        <w:rPr>
          <w:rFonts w:eastAsia="Times New Roman"/>
          <w:sz w:val="24"/>
          <w:szCs w:val="24"/>
        </w:rPr>
        <w:t xml:space="preserve"> no Maranhão. </w:t>
      </w:r>
      <w:r w:rsidR="005D4EF1">
        <w:rPr>
          <w:rFonts w:eastAsia="Times New Roman"/>
          <w:sz w:val="24"/>
          <w:szCs w:val="24"/>
        </w:rPr>
        <w:t>(</w:t>
      </w:r>
      <w:r w:rsidR="005D4EF1" w:rsidRPr="006C02FE">
        <w:rPr>
          <w:rFonts w:eastAsia="Times New Roman"/>
          <w:b/>
          <w:bCs/>
          <w:sz w:val="24"/>
          <w:szCs w:val="24"/>
        </w:rPr>
        <w:t>Tabela 2</w:t>
      </w:r>
      <w:r w:rsidR="005D4EF1">
        <w:rPr>
          <w:rFonts w:eastAsia="Times New Roman"/>
          <w:sz w:val="24"/>
          <w:szCs w:val="24"/>
        </w:rPr>
        <w:t>)</w:t>
      </w:r>
    </w:p>
    <w:p w14:paraId="478E0A43" w14:textId="3B7F0191" w:rsidR="00933E68" w:rsidRDefault="00933E68" w:rsidP="00084364">
      <w:pPr>
        <w:shd w:val="clear" w:color="auto" w:fill="FFFFFF"/>
        <w:spacing w:line="240" w:lineRule="auto"/>
        <w:jc w:val="both"/>
      </w:pPr>
      <w:r>
        <w:fldChar w:fldCharType="begin"/>
      </w:r>
      <w:r>
        <w:instrText xml:space="preserve"> LINK </w:instrText>
      </w:r>
      <w:r w:rsidR="0075714A">
        <w:instrText xml:space="preserve">Excel.Sheet.12 "C:\\Users\\NE030\\Desktop\\artigo EME\\Pasta1.xlsx" Planilha2!L3C2:L14C8 </w:instrText>
      </w:r>
      <w:r>
        <w:instrText xml:space="preserve">\a \f 4 \h  \* MERGEFORMAT </w:instrText>
      </w:r>
      <w:r>
        <w:fldChar w:fldCharType="separate"/>
      </w:r>
    </w:p>
    <w:p w14:paraId="2F2C9A1C" w14:textId="792D03DE" w:rsidR="00933E68" w:rsidRPr="00677549" w:rsidRDefault="00933E68" w:rsidP="004122C8">
      <w:pPr>
        <w:pStyle w:val="Legenda"/>
        <w:keepNext/>
        <w:spacing w:after="0" w:line="360" w:lineRule="auto"/>
        <w:jc w:val="center"/>
        <w:rPr>
          <w:rFonts w:ascii="Arial" w:hAnsi="Arial" w:cs="Arial"/>
          <w:i w:val="0"/>
          <w:color w:val="auto"/>
          <w:sz w:val="24"/>
        </w:rPr>
      </w:pPr>
      <w:r w:rsidRPr="00677549">
        <w:rPr>
          <w:rFonts w:ascii="Arial" w:hAnsi="Arial" w:cs="Arial"/>
          <w:b/>
          <w:i w:val="0"/>
          <w:color w:val="auto"/>
          <w:sz w:val="24"/>
        </w:rPr>
        <w:t xml:space="preserve">Tabela </w:t>
      </w:r>
      <w:r w:rsidRPr="00677549">
        <w:rPr>
          <w:rFonts w:ascii="Arial" w:hAnsi="Arial" w:cs="Arial"/>
          <w:b/>
          <w:i w:val="0"/>
          <w:color w:val="auto"/>
          <w:sz w:val="24"/>
        </w:rPr>
        <w:fldChar w:fldCharType="begin"/>
      </w:r>
      <w:r w:rsidRPr="00677549">
        <w:rPr>
          <w:rFonts w:ascii="Arial" w:hAnsi="Arial" w:cs="Arial"/>
          <w:b/>
          <w:i w:val="0"/>
          <w:color w:val="auto"/>
          <w:sz w:val="24"/>
        </w:rPr>
        <w:instrText xml:space="preserve"> SEQ Tabela \* ARABIC </w:instrText>
      </w:r>
      <w:r w:rsidRPr="00677549">
        <w:rPr>
          <w:rFonts w:ascii="Arial" w:hAnsi="Arial" w:cs="Arial"/>
          <w:b/>
          <w:i w:val="0"/>
          <w:color w:val="auto"/>
          <w:sz w:val="24"/>
        </w:rPr>
        <w:fldChar w:fldCharType="separate"/>
      </w:r>
      <w:r w:rsidR="00DA0A50">
        <w:rPr>
          <w:rFonts w:ascii="Arial" w:hAnsi="Arial" w:cs="Arial"/>
          <w:b/>
          <w:i w:val="0"/>
          <w:noProof/>
          <w:color w:val="auto"/>
          <w:sz w:val="24"/>
        </w:rPr>
        <w:t>2</w:t>
      </w:r>
      <w:r w:rsidRPr="00677549">
        <w:rPr>
          <w:rFonts w:ascii="Arial" w:hAnsi="Arial" w:cs="Arial"/>
          <w:b/>
          <w:i w:val="0"/>
          <w:color w:val="auto"/>
          <w:sz w:val="24"/>
        </w:rPr>
        <w:fldChar w:fldCharType="end"/>
      </w:r>
      <w:r w:rsidRPr="00677549">
        <w:rPr>
          <w:rFonts w:ascii="Arial" w:hAnsi="Arial" w:cs="Arial"/>
          <w:i w:val="0"/>
          <w:color w:val="auto"/>
          <w:sz w:val="24"/>
        </w:rPr>
        <w:t xml:space="preserve"> - Quantidade de matrículas na Educação </w:t>
      </w:r>
      <w:r w:rsidR="004D0CB3" w:rsidRPr="00677549">
        <w:rPr>
          <w:rFonts w:ascii="Arial" w:hAnsi="Arial" w:cs="Arial"/>
          <w:i w:val="0"/>
          <w:color w:val="auto"/>
          <w:sz w:val="24"/>
        </w:rPr>
        <w:t>Especial por</w:t>
      </w:r>
      <w:r w:rsidRPr="00677549">
        <w:rPr>
          <w:rFonts w:ascii="Arial" w:hAnsi="Arial" w:cs="Arial"/>
          <w:i w:val="0"/>
          <w:color w:val="auto"/>
          <w:sz w:val="24"/>
        </w:rPr>
        <w:t xml:space="preserve"> tipo de deficiência, TEA ou altas habilidades/superdotação, no Brasil, Nordeste e Maranhão – 2013 e 2023</w:t>
      </w:r>
    </w:p>
    <w:tbl>
      <w:tblPr>
        <w:tblW w:w="9297" w:type="dxa"/>
        <w:tblCellMar>
          <w:left w:w="70" w:type="dxa"/>
          <w:right w:w="70" w:type="dxa"/>
        </w:tblCellMar>
        <w:tblLook w:val="04A0" w:firstRow="1" w:lastRow="0" w:firstColumn="1" w:lastColumn="0" w:noHBand="0" w:noVBand="1"/>
      </w:tblPr>
      <w:tblGrid>
        <w:gridCol w:w="2912"/>
        <w:gridCol w:w="1041"/>
        <w:gridCol w:w="1074"/>
        <w:gridCol w:w="1073"/>
        <w:gridCol w:w="1074"/>
        <w:gridCol w:w="1061"/>
        <w:gridCol w:w="1062"/>
      </w:tblGrid>
      <w:tr w:rsidR="00933E68" w:rsidRPr="00844557" w14:paraId="57A37AB4" w14:textId="77777777" w:rsidTr="005138EF">
        <w:trPr>
          <w:trHeight w:val="260"/>
        </w:trPr>
        <w:tc>
          <w:tcPr>
            <w:tcW w:w="2912" w:type="dxa"/>
            <w:vMerge w:val="restart"/>
            <w:tcBorders>
              <w:top w:val="single" w:sz="12" w:space="0" w:color="5AA2AE"/>
              <w:left w:val="nil"/>
              <w:bottom w:val="nil"/>
              <w:right w:val="dotted" w:sz="4" w:space="0" w:color="BFBFBF"/>
            </w:tcBorders>
            <w:shd w:val="clear" w:color="000000" w:fill="4A66AC"/>
            <w:vAlign w:val="center"/>
            <w:hideMark/>
          </w:tcPr>
          <w:p w14:paraId="5D2101FB" w14:textId="77777777" w:rsidR="00933E68" w:rsidRPr="00677549" w:rsidRDefault="00933E68" w:rsidP="00677549">
            <w:pPr>
              <w:spacing w:line="240" w:lineRule="auto"/>
              <w:jc w:val="center"/>
              <w:rPr>
                <w:rFonts w:eastAsia="Times New Roman"/>
                <w:b/>
                <w:bCs/>
                <w:color w:val="FFFFFF"/>
                <w:sz w:val="20"/>
                <w:szCs w:val="20"/>
              </w:rPr>
            </w:pPr>
            <w:r w:rsidRPr="00677549">
              <w:rPr>
                <w:rFonts w:eastAsia="Times New Roman"/>
                <w:b/>
                <w:bCs/>
                <w:color w:val="FFFFFF"/>
                <w:sz w:val="20"/>
                <w:szCs w:val="20"/>
              </w:rPr>
              <w:t>DEFICIÊNCIA</w:t>
            </w:r>
          </w:p>
        </w:tc>
        <w:tc>
          <w:tcPr>
            <w:tcW w:w="2115" w:type="dxa"/>
            <w:gridSpan w:val="2"/>
            <w:tcBorders>
              <w:top w:val="single" w:sz="12" w:space="0" w:color="5AA2AE"/>
              <w:left w:val="nil"/>
              <w:bottom w:val="dotted" w:sz="4" w:space="0" w:color="BFBFBF"/>
              <w:right w:val="dotted" w:sz="4" w:space="0" w:color="BFBFBF"/>
            </w:tcBorders>
            <w:shd w:val="clear" w:color="000000" w:fill="4A66AC"/>
            <w:noWrap/>
            <w:vAlign w:val="center"/>
            <w:hideMark/>
          </w:tcPr>
          <w:p w14:paraId="5655E3E8" w14:textId="77777777" w:rsidR="00933E68" w:rsidRPr="00677549" w:rsidRDefault="00933E68" w:rsidP="00677549">
            <w:pPr>
              <w:spacing w:line="240" w:lineRule="auto"/>
              <w:jc w:val="center"/>
              <w:rPr>
                <w:rFonts w:eastAsia="Times New Roman"/>
                <w:b/>
                <w:bCs/>
                <w:color w:val="FFFFFF"/>
                <w:sz w:val="20"/>
                <w:szCs w:val="20"/>
              </w:rPr>
            </w:pPr>
            <w:r w:rsidRPr="00677549">
              <w:rPr>
                <w:rFonts w:eastAsia="Times New Roman"/>
                <w:b/>
                <w:bCs/>
                <w:color w:val="FFFFFF"/>
                <w:sz w:val="20"/>
                <w:szCs w:val="20"/>
              </w:rPr>
              <w:t>BRASIL</w:t>
            </w:r>
          </w:p>
        </w:tc>
        <w:tc>
          <w:tcPr>
            <w:tcW w:w="2147" w:type="dxa"/>
            <w:gridSpan w:val="2"/>
            <w:tcBorders>
              <w:top w:val="single" w:sz="12" w:space="0" w:color="5AA2AE"/>
              <w:left w:val="nil"/>
              <w:bottom w:val="dotted" w:sz="4" w:space="0" w:color="BFBFBF"/>
              <w:right w:val="nil"/>
            </w:tcBorders>
            <w:shd w:val="clear" w:color="000000" w:fill="4A66AC"/>
            <w:noWrap/>
            <w:vAlign w:val="center"/>
            <w:hideMark/>
          </w:tcPr>
          <w:p w14:paraId="3815206F" w14:textId="77777777" w:rsidR="00933E68" w:rsidRPr="00677549" w:rsidRDefault="00933E68" w:rsidP="00677549">
            <w:pPr>
              <w:spacing w:line="240" w:lineRule="auto"/>
              <w:jc w:val="center"/>
              <w:rPr>
                <w:rFonts w:eastAsia="Times New Roman"/>
                <w:b/>
                <w:bCs/>
                <w:color w:val="FFFFFF"/>
                <w:sz w:val="20"/>
                <w:szCs w:val="20"/>
              </w:rPr>
            </w:pPr>
            <w:r w:rsidRPr="00677549">
              <w:rPr>
                <w:rFonts w:eastAsia="Times New Roman"/>
                <w:b/>
                <w:bCs/>
                <w:color w:val="FFFFFF"/>
                <w:sz w:val="20"/>
                <w:szCs w:val="20"/>
              </w:rPr>
              <w:t>NORDESTE</w:t>
            </w:r>
          </w:p>
        </w:tc>
        <w:tc>
          <w:tcPr>
            <w:tcW w:w="2123" w:type="dxa"/>
            <w:gridSpan w:val="2"/>
            <w:tcBorders>
              <w:top w:val="single" w:sz="12" w:space="0" w:color="5AA2AE"/>
              <w:left w:val="dotted" w:sz="4" w:space="0" w:color="BFBFBF"/>
              <w:bottom w:val="dotted" w:sz="4" w:space="0" w:color="BFBFBF"/>
              <w:right w:val="nil"/>
            </w:tcBorders>
            <w:shd w:val="clear" w:color="000000" w:fill="4A66AC"/>
            <w:noWrap/>
            <w:vAlign w:val="center"/>
            <w:hideMark/>
          </w:tcPr>
          <w:p w14:paraId="1D8A2468" w14:textId="77777777" w:rsidR="00933E68" w:rsidRPr="00677549" w:rsidRDefault="00933E68" w:rsidP="00677549">
            <w:pPr>
              <w:spacing w:line="240" w:lineRule="auto"/>
              <w:jc w:val="center"/>
              <w:rPr>
                <w:rFonts w:eastAsia="Times New Roman"/>
                <w:b/>
                <w:bCs/>
                <w:color w:val="FFFFFF"/>
                <w:sz w:val="20"/>
                <w:szCs w:val="20"/>
              </w:rPr>
            </w:pPr>
            <w:r w:rsidRPr="00677549">
              <w:rPr>
                <w:rFonts w:eastAsia="Times New Roman"/>
                <w:b/>
                <w:bCs/>
                <w:color w:val="FFFFFF"/>
                <w:sz w:val="20"/>
                <w:szCs w:val="20"/>
              </w:rPr>
              <w:t>MARANHÃO</w:t>
            </w:r>
          </w:p>
        </w:tc>
      </w:tr>
      <w:tr w:rsidR="00933E68" w:rsidRPr="00602684" w14:paraId="3306E18E" w14:textId="77777777" w:rsidTr="005138EF">
        <w:trPr>
          <w:trHeight w:val="248"/>
        </w:trPr>
        <w:tc>
          <w:tcPr>
            <w:tcW w:w="2912" w:type="dxa"/>
            <w:vMerge/>
            <w:tcBorders>
              <w:top w:val="single" w:sz="12" w:space="0" w:color="5AA2AE"/>
              <w:left w:val="nil"/>
              <w:bottom w:val="nil"/>
              <w:right w:val="dotted" w:sz="4" w:space="0" w:color="BFBFBF"/>
            </w:tcBorders>
            <w:vAlign w:val="center"/>
            <w:hideMark/>
          </w:tcPr>
          <w:p w14:paraId="35A72BD3" w14:textId="77777777" w:rsidR="00933E68" w:rsidRPr="00677549" w:rsidRDefault="00933E68" w:rsidP="00677549">
            <w:pPr>
              <w:spacing w:line="240" w:lineRule="auto"/>
              <w:jc w:val="center"/>
              <w:rPr>
                <w:rFonts w:eastAsia="Times New Roman"/>
                <w:b/>
                <w:bCs/>
                <w:color w:val="FFFFFF"/>
                <w:sz w:val="20"/>
                <w:szCs w:val="20"/>
              </w:rPr>
            </w:pPr>
          </w:p>
        </w:tc>
        <w:tc>
          <w:tcPr>
            <w:tcW w:w="1041" w:type="dxa"/>
            <w:tcBorders>
              <w:top w:val="nil"/>
              <w:left w:val="nil"/>
              <w:bottom w:val="nil"/>
              <w:right w:val="nil"/>
            </w:tcBorders>
            <w:shd w:val="clear" w:color="000000" w:fill="629DD1"/>
            <w:noWrap/>
            <w:vAlign w:val="center"/>
            <w:hideMark/>
          </w:tcPr>
          <w:p w14:paraId="69490EB9" w14:textId="77777777" w:rsidR="00933E68" w:rsidRPr="00677549" w:rsidRDefault="00933E68" w:rsidP="00677549">
            <w:pPr>
              <w:spacing w:line="240" w:lineRule="auto"/>
              <w:jc w:val="center"/>
              <w:rPr>
                <w:rFonts w:eastAsia="Times New Roman"/>
                <w:color w:val="FFFFFF"/>
                <w:sz w:val="20"/>
                <w:szCs w:val="20"/>
              </w:rPr>
            </w:pPr>
            <w:r w:rsidRPr="00677549">
              <w:rPr>
                <w:rFonts w:eastAsia="Times New Roman"/>
                <w:color w:val="FFFFFF"/>
                <w:sz w:val="20"/>
                <w:szCs w:val="20"/>
              </w:rPr>
              <w:t>2013</w:t>
            </w:r>
          </w:p>
        </w:tc>
        <w:tc>
          <w:tcPr>
            <w:tcW w:w="1074" w:type="dxa"/>
            <w:tcBorders>
              <w:top w:val="nil"/>
              <w:left w:val="nil"/>
              <w:bottom w:val="nil"/>
              <w:right w:val="nil"/>
            </w:tcBorders>
            <w:shd w:val="clear" w:color="000000" w:fill="629DD1"/>
            <w:noWrap/>
            <w:vAlign w:val="center"/>
            <w:hideMark/>
          </w:tcPr>
          <w:p w14:paraId="32C6BD94" w14:textId="77777777" w:rsidR="00933E68" w:rsidRPr="00677549" w:rsidRDefault="00933E68" w:rsidP="00677549">
            <w:pPr>
              <w:spacing w:line="240" w:lineRule="auto"/>
              <w:jc w:val="center"/>
              <w:rPr>
                <w:rFonts w:eastAsia="Times New Roman"/>
                <w:color w:val="FFFFFF"/>
                <w:sz w:val="20"/>
                <w:szCs w:val="20"/>
              </w:rPr>
            </w:pPr>
            <w:r w:rsidRPr="00677549">
              <w:rPr>
                <w:rFonts w:eastAsia="Times New Roman"/>
                <w:color w:val="FFFFFF"/>
                <w:sz w:val="20"/>
                <w:szCs w:val="20"/>
              </w:rPr>
              <w:t>2023</w:t>
            </w:r>
          </w:p>
        </w:tc>
        <w:tc>
          <w:tcPr>
            <w:tcW w:w="1073" w:type="dxa"/>
            <w:tcBorders>
              <w:top w:val="nil"/>
              <w:left w:val="nil"/>
              <w:bottom w:val="nil"/>
              <w:right w:val="nil"/>
            </w:tcBorders>
            <w:shd w:val="clear" w:color="000000" w:fill="629DD1"/>
            <w:noWrap/>
            <w:vAlign w:val="center"/>
            <w:hideMark/>
          </w:tcPr>
          <w:p w14:paraId="0D639F99" w14:textId="77777777" w:rsidR="00933E68" w:rsidRPr="00677549" w:rsidRDefault="00933E68" w:rsidP="00677549">
            <w:pPr>
              <w:spacing w:line="240" w:lineRule="auto"/>
              <w:jc w:val="center"/>
              <w:rPr>
                <w:rFonts w:eastAsia="Times New Roman"/>
                <w:color w:val="FFFFFF"/>
                <w:sz w:val="20"/>
                <w:szCs w:val="20"/>
              </w:rPr>
            </w:pPr>
            <w:r w:rsidRPr="00677549">
              <w:rPr>
                <w:rFonts w:eastAsia="Times New Roman"/>
                <w:color w:val="FFFFFF"/>
                <w:sz w:val="20"/>
                <w:szCs w:val="20"/>
              </w:rPr>
              <w:t>2013</w:t>
            </w:r>
          </w:p>
        </w:tc>
        <w:tc>
          <w:tcPr>
            <w:tcW w:w="1074" w:type="dxa"/>
            <w:tcBorders>
              <w:top w:val="nil"/>
              <w:left w:val="nil"/>
              <w:bottom w:val="nil"/>
              <w:right w:val="nil"/>
            </w:tcBorders>
            <w:shd w:val="clear" w:color="000000" w:fill="629DD1"/>
            <w:noWrap/>
            <w:vAlign w:val="center"/>
            <w:hideMark/>
          </w:tcPr>
          <w:p w14:paraId="41EE7956" w14:textId="77777777" w:rsidR="00933E68" w:rsidRPr="00677549" w:rsidRDefault="00933E68" w:rsidP="00677549">
            <w:pPr>
              <w:spacing w:line="240" w:lineRule="auto"/>
              <w:jc w:val="center"/>
              <w:rPr>
                <w:rFonts w:eastAsia="Times New Roman"/>
                <w:color w:val="FFFFFF"/>
                <w:sz w:val="20"/>
                <w:szCs w:val="20"/>
              </w:rPr>
            </w:pPr>
            <w:r w:rsidRPr="00677549">
              <w:rPr>
                <w:rFonts w:eastAsia="Times New Roman"/>
                <w:color w:val="FFFFFF"/>
                <w:sz w:val="20"/>
                <w:szCs w:val="20"/>
              </w:rPr>
              <w:t>2023</w:t>
            </w:r>
          </w:p>
        </w:tc>
        <w:tc>
          <w:tcPr>
            <w:tcW w:w="1061" w:type="dxa"/>
            <w:tcBorders>
              <w:top w:val="nil"/>
              <w:left w:val="nil"/>
              <w:bottom w:val="nil"/>
              <w:right w:val="nil"/>
            </w:tcBorders>
            <w:shd w:val="clear" w:color="000000" w:fill="629DD1"/>
            <w:noWrap/>
            <w:vAlign w:val="center"/>
            <w:hideMark/>
          </w:tcPr>
          <w:p w14:paraId="74B1C064" w14:textId="77777777" w:rsidR="00933E68" w:rsidRPr="00677549" w:rsidRDefault="00933E68" w:rsidP="00677549">
            <w:pPr>
              <w:spacing w:line="240" w:lineRule="auto"/>
              <w:jc w:val="center"/>
              <w:rPr>
                <w:rFonts w:eastAsia="Times New Roman"/>
                <w:color w:val="FFFFFF"/>
                <w:sz w:val="20"/>
                <w:szCs w:val="20"/>
              </w:rPr>
            </w:pPr>
            <w:r w:rsidRPr="00677549">
              <w:rPr>
                <w:rFonts w:eastAsia="Times New Roman"/>
                <w:color w:val="FFFFFF"/>
                <w:sz w:val="20"/>
                <w:szCs w:val="20"/>
              </w:rPr>
              <w:t>2013</w:t>
            </w:r>
          </w:p>
        </w:tc>
        <w:tc>
          <w:tcPr>
            <w:tcW w:w="1062" w:type="dxa"/>
            <w:tcBorders>
              <w:top w:val="nil"/>
              <w:left w:val="nil"/>
              <w:bottom w:val="nil"/>
              <w:right w:val="nil"/>
            </w:tcBorders>
            <w:shd w:val="clear" w:color="000000" w:fill="629DD1"/>
            <w:noWrap/>
            <w:vAlign w:val="center"/>
            <w:hideMark/>
          </w:tcPr>
          <w:p w14:paraId="622EA899" w14:textId="77777777" w:rsidR="00933E68" w:rsidRPr="00677549" w:rsidRDefault="00933E68" w:rsidP="00677549">
            <w:pPr>
              <w:spacing w:line="240" w:lineRule="auto"/>
              <w:jc w:val="center"/>
              <w:rPr>
                <w:rFonts w:eastAsia="Times New Roman"/>
                <w:color w:val="FFFFFF"/>
                <w:sz w:val="20"/>
                <w:szCs w:val="20"/>
              </w:rPr>
            </w:pPr>
            <w:r w:rsidRPr="00677549">
              <w:rPr>
                <w:rFonts w:eastAsia="Times New Roman"/>
                <w:color w:val="FFFFFF"/>
                <w:sz w:val="20"/>
                <w:szCs w:val="20"/>
              </w:rPr>
              <w:t>2023</w:t>
            </w:r>
          </w:p>
        </w:tc>
      </w:tr>
      <w:tr w:rsidR="00933E68" w:rsidRPr="00844557" w14:paraId="7CB6724A" w14:textId="77777777" w:rsidTr="005138EF">
        <w:trPr>
          <w:trHeight w:val="248"/>
        </w:trPr>
        <w:tc>
          <w:tcPr>
            <w:tcW w:w="2912" w:type="dxa"/>
            <w:tcBorders>
              <w:top w:val="nil"/>
              <w:left w:val="nil"/>
              <w:bottom w:val="nil"/>
              <w:right w:val="dotted" w:sz="4" w:space="0" w:color="BFBFBF"/>
            </w:tcBorders>
            <w:shd w:val="clear" w:color="auto" w:fill="auto"/>
            <w:vAlign w:val="center"/>
            <w:hideMark/>
          </w:tcPr>
          <w:p w14:paraId="2A07D49C" w14:textId="77777777" w:rsidR="00933E68" w:rsidRPr="00677549" w:rsidRDefault="00933E68" w:rsidP="00677549">
            <w:pPr>
              <w:spacing w:line="240" w:lineRule="auto"/>
              <w:rPr>
                <w:rFonts w:eastAsia="Times New Roman"/>
                <w:color w:val="000000"/>
                <w:sz w:val="20"/>
                <w:szCs w:val="20"/>
              </w:rPr>
            </w:pPr>
            <w:r w:rsidRPr="00677549">
              <w:rPr>
                <w:rFonts w:eastAsia="Times New Roman"/>
                <w:color w:val="000000"/>
                <w:sz w:val="20"/>
                <w:szCs w:val="20"/>
              </w:rPr>
              <w:t>Cegueira</w:t>
            </w:r>
          </w:p>
        </w:tc>
        <w:tc>
          <w:tcPr>
            <w:tcW w:w="1041" w:type="dxa"/>
            <w:tcBorders>
              <w:top w:val="nil"/>
              <w:left w:val="nil"/>
              <w:bottom w:val="nil"/>
              <w:right w:val="nil"/>
            </w:tcBorders>
            <w:shd w:val="clear" w:color="auto" w:fill="auto"/>
            <w:noWrap/>
            <w:vAlign w:val="center"/>
            <w:hideMark/>
          </w:tcPr>
          <w:p w14:paraId="09743E37"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8.000</w:t>
            </w:r>
          </w:p>
        </w:tc>
        <w:tc>
          <w:tcPr>
            <w:tcW w:w="1074" w:type="dxa"/>
            <w:tcBorders>
              <w:top w:val="nil"/>
              <w:left w:val="nil"/>
              <w:bottom w:val="nil"/>
              <w:right w:val="nil"/>
            </w:tcBorders>
            <w:shd w:val="clear" w:color="auto" w:fill="auto"/>
            <w:noWrap/>
            <w:vAlign w:val="center"/>
            <w:hideMark/>
          </w:tcPr>
          <w:p w14:paraId="4B8379C7"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7.321</w:t>
            </w:r>
          </w:p>
        </w:tc>
        <w:tc>
          <w:tcPr>
            <w:tcW w:w="1073" w:type="dxa"/>
            <w:tcBorders>
              <w:top w:val="nil"/>
              <w:left w:val="nil"/>
              <w:bottom w:val="nil"/>
              <w:right w:val="nil"/>
            </w:tcBorders>
            <w:shd w:val="clear" w:color="auto" w:fill="auto"/>
            <w:noWrap/>
            <w:vAlign w:val="center"/>
            <w:hideMark/>
          </w:tcPr>
          <w:p w14:paraId="0DE3B12C"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1.995</w:t>
            </w:r>
          </w:p>
        </w:tc>
        <w:tc>
          <w:tcPr>
            <w:tcW w:w="1074" w:type="dxa"/>
            <w:tcBorders>
              <w:top w:val="nil"/>
              <w:left w:val="nil"/>
              <w:bottom w:val="nil"/>
              <w:right w:val="nil"/>
            </w:tcBorders>
            <w:shd w:val="clear" w:color="auto" w:fill="auto"/>
            <w:noWrap/>
            <w:vAlign w:val="center"/>
            <w:hideMark/>
          </w:tcPr>
          <w:p w14:paraId="73108B58"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2.008</w:t>
            </w:r>
          </w:p>
        </w:tc>
        <w:tc>
          <w:tcPr>
            <w:tcW w:w="1061" w:type="dxa"/>
            <w:tcBorders>
              <w:top w:val="nil"/>
              <w:left w:val="nil"/>
              <w:bottom w:val="nil"/>
              <w:right w:val="nil"/>
            </w:tcBorders>
            <w:shd w:val="clear" w:color="auto" w:fill="auto"/>
            <w:noWrap/>
            <w:vAlign w:val="center"/>
            <w:hideMark/>
          </w:tcPr>
          <w:p w14:paraId="5CBEAF2B"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330</w:t>
            </w:r>
          </w:p>
        </w:tc>
        <w:tc>
          <w:tcPr>
            <w:tcW w:w="1062" w:type="dxa"/>
            <w:tcBorders>
              <w:top w:val="nil"/>
              <w:left w:val="nil"/>
              <w:bottom w:val="nil"/>
              <w:right w:val="nil"/>
            </w:tcBorders>
            <w:shd w:val="clear" w:color="auto" w:fill="auto"/>
            <w:noWrap/>
            <w:vAlign w:val="center"/>
            <w:hideMark/>
          </w:tcPr>
          <w:p w14:paraId="1A52FCBC"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295</w:t>
            </w:r>
          </w:p>
        </w:tc>
      </w:tr>
      <w:tr w:rsidR="00933E68" w:rsidRPr="00602684" w14:paraId="32DD2150" w14:textId="77777777" w:rsidTr="005138EF">
        <w:trPr>
          <w:trHeight w:val="248"/>
        </w:trPr>
        <w:tc>
          <w:tcPr>
            <w:tcW w:w="2912" w:type="dxa"/>
            <w:tcBorders>
              <w:top w:val="nil"/>
              <w:left w:val="nil"/>
              <w:bottom w:val="nil"/>
              <w:right w:val="dotted" w:sz="4" w:space="0" w:color="BFBFBF"/>
            </w:tcBorders>
            <w:shd w:val="clear" w:color="000000" w:fill="F2F2F2"/>
            <w:vAlign w:val="center"/>
            <w:hideMark/>
          </w:tcPr>
          <w:p w14:paraId="7E4B7159" w14:textId="77777777" w:rsidR="00933E68" w:rsidRPr="00677549" w:rsidRDefault="00933E68" w:rsidP="00677549">
            <w:pPr>
              <w:spacing w:line="240" w:lineRule="auto"/>
              <w:rPr>
                <w:rFonts w:eastAsia="Times New Roman"/>
                <w:color w:val="000000"/>
                <w:sz w:val="20"/>
                <w:szCs w:val="20"/>
              </w:rPr>
            </w:pPr>
            <w:r w:rsidRPr="00677549">
              <w:rPr>
                <w:rFonts w:eastAsia="Times New Roman"/>
                <w:color w:val="000000"/>
                <w:sz w:val="20"/>
                <w:szCs w:val="20"/>
              </w:rPr>
              <w:t>Baixa Visão</w:t>
            </w:r>
          </w:p>
        </w:tc>
        <w:tc>
          <w:tcPr>
            <w:tcW w:w="1041" w:type="dxa"/>
            <w:tcBorders>
              <w:top w:val="nil"/>
              <w:left w:val="nil"/>
              <w:bottom w:val="nil"/>
              <w:right w:val="nil"/>
            </w:tcBorders>
            <w:shd w:val="clear" w:color="000000" w:fill="F2F2F2"/>
            <w:noWrap/>
            <w:vAlign w:val="center"/>
            <w:hideMark/>
          </w:tcPr>
          <w:p w14:paraId="2F4855E6"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72.415</w:t>
            </w:r>
          </w:p>
        </w:tc>
        <w:tc>
          <w:tcPr>
            <w:tcW w:w="1074" w:type="dxa"/>
            <w:tcBorders>
              <w:top w:val="nil"/>
              <w:left w:val="nil"/>
              <w:bottom w:val="nil"/>
              <w:right w:val="nil"/>
            </w:tcBorders>
            <w:shd w:val="clear" w:color="000000" w:fill="F2F2F2"/>
            <w:noWrap/>
            <w:vAlign w:val="center"/>
            <w:hideMark/>
          </w:tcPr>
          <w:p w14:paraId="0514280F"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86.867</w:t>
            </w:r>
          </w:p>
        </w:tc>
        <w:tc>
          <w:tcPr>
            <w:tcW w:w="1073" w:type="dxa"/>
            <w:tcBorders>
              <w:top w:val="nil"/>
              <w:left w:val="nil"/>
              <w:bottom w:val="nil"/>
              <w:right w:val="nil"/>
            </w:tcBorders>
            <w:shd w:val="clear" w:color="000000" w:fill="F2F2F2"/>
            <w:noWrap/>
            <w:vAlign w:val="center"/>
            <w:hideMark/>
          </w:tcPr>
          <w:p w14:paraId="71517035"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28.638</w:t>
            </w:r>
          </w:p>
        </w:tc>
        <w:tc>
          <w:tcPr>
            <w:tcW w:w="1074" w:type="dxa"/>
            <w:tcBorders>
              <w:top w:val="nil"/>
              <w:left w:val="nil"/>
              <w:bottom w:val="nil"/>
              <w:right w:val="nil"/>
            </w:tcBorders>
            <w:shd w:val="clear" w:color="000000" w:fill="F2F2F2"/>
            <w:noWrap/>
            <w:vAlign w:val="center"/>
            <w:hideMark/>
          </w:tcPr>
          <w:p w14:paraId="5C4A9A43"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35.258</w:t>
            </w:r>
          </w:p>
        </w:tc>
        <w:tc>
          <w:tcPr>
            <w:tcW w:w="1061" w:type="dxa"/>
            <w:tcBorders>
              <w:top w:val="nil"/>
              <w:left w:val="nil"/>
              <w:bottom w:val="nil"/>
              <w:right w:val="nil"/>
            </w:tcBorders>
            <w:shd w:val="clear" w:color="000000" w:fill="F2F2F2"/>
            <w:noWrap/>
            <w:vAlign w:val="center"/>
            <w:hideMark/>
          </w:tcPr>
          <w:p w14:paraId="350CE3AB"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4.529</w:t>
            </w:r>
          </w:p>
        </w:tc>
        <w:tc>
          <w:tcPr>
            <w:tcW w:w="1062" w:type="dxa"/>
            <w:tcBorders>
              <w:top w:val="nil"/>
              <w:left w:val="nil"/>
              <w:bottom w:val="nil"/>
              <w:right w:val="nil"/>
            </w:tcBorders>
            <w:shd w:val="clear" w:color="000000" w:fill="F2F2F2"/>
            <w:noWrap/>
            <w:vAlign w:val="center"/>
            <w:hideMark/>
          </w:tcPr>
          <w:p w14:paraId="4A86DD1B"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5.552</w:t>
            </w:r>
          </w:p>
        </w:tc>
      </w:tr>
      <w:tr w:rsidR="00933E68" w:rsidRPr="00844557" w14:paraId="78E1118B" w14:textId="77777777" w:rsidTr="005138EF">
        <w:trPr>
          <w:trHeight w:val="248"/>
        </w:trPr>
        <w:tc>
          <w:tcPr>
            <w:tcW w:w="2912" w:type="dxa"/>
            <w:tcBorders>
              <w:top w:val="nil"/>
              <w:left w:val="nil"/>
              <w:bottom w:val="nil"/>
              <w:right w:val="dotted" w:sz="4" w:space="0" w:color="BFBFBF"/>
            </w:tcBorders>
            <w:shd w:val="clear" w:color="auto" w:fill="auto"/>
            <w:vAlign w:val="center"/>
            <w:hideMark/>
          </w:tcPr>
          <w:p w14:paraId="6853BEFF" w14:textId="77777777" w:rsidR="00933E68" w:rsidRPr="00677549" w:rsidRDefault="00933E68" w:rsidP="00677549">
            <w:pPr>
              <w:spacing w:line="240" w:lineRule="auto"/>
              <w:rPr>
                <w:rFonts w:eastAsia="Times New Roman"/>
                <w:color w:val="000000"/>
                <w:sz w:val="20"/>
                <w:szCs w:val="20"/>
              </w:rPr>
            </w:pPr>
            <w:r w:rsidRPr="00677549">
              <w:rPr>
                <w:rFonts w:eastAsia="Times New Roman"/>
                <w:color w:val="000000"/>
                <w:sz w:val="20"/>
                <w:szCs w:val="20"/>
              </w:rPr>
              <w:t>Surdez</w:t>
            </w:r>
          </w:p>
        </w:tc>
        <w:tc>
          <w:tcPr>
            <w:tcW w:w="1041" w:type="dxa"/>
            <w:tcBorders>
              <w:top w:val="nil"/>
              <w:left w:val="nil"/>
              <w:bottom w:val="nil"/>
              <w:right w:val="nil"/>
            </w:tcBorders>
            <w:shd w:val="clear" w:color="auto" w:fill="auto"/>
            <w:noWrap/>
            <w:vAlign w:val="center"/>
            <w:hideMark/>
          </w:tcPr>
          <w:p w14:paraId="6FD31AAB"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33.369</w:t>
            </w:r>
          </w:p>
        </w:tc>
        <w:tc>
          <w:tcPr>
            <w:tcW w:w="1074" w:type="dxa"/>
            <w:tcBorders>
              <w:top w:val="nil"/>
              <w:left w:val="nil"/>
              <w:bottom w:val="nil"/>
              <w:right w:val="nil"/>
            </w:tcBorders>
            <w:shd w:val="clear" w:color="auto" w:fill="auto"/>
            <w:noWrap/>
            <w:vAlign w:val="center"/>
            <w:hideMark/>
          </w:tcPr>
          <w:p w14:paraId="10B310C1"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20.008</w:t>
            </w:r>
          </w:p>
        </w:tc>
        <w:tc>
          <w:tcPr>
            <w:tcW w:w="1073" w:type="dxa"/>
            <w:tcBorders>
              <w:top w:val="nil"/>
              <w:left w:val="nil"/>
              <w:bottom w:val="nil"/>
              <w:right w:val="nil"/>
            </w:tcBorders>
            <w:shd w:val="clear" w:color="auto" w:fill="auto"/>
            <w:noWrap/>
            <w:vAlign w:val="center"/>
            <w:hideMark/>
          </w:tcPr>
          <w:p w14:paraId="40966EB1"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10.674</w:t>
            </w:r>
          </w:p>
        </w:tc>
        <w:tc>
          <w:tcPr>
            <w:tcW w:w="1074" w:type="dxa"/>
            <w:tcBorders>
              <w:top w:val="nil"/>
              <w:left w:val="nil"/>
              <w:bottom w:val="nil"/>
              <w:right w:val="nil"/>
            </w:tcBorders>
            <w:shd w:val="clear" w:color="auto" w:fill="auto"/>
            <w:noWrap/>
            <w:vAlign w:val="center"/>
            <w:hideMark/>
          </w:tcPr>
          <w:p w14:paraId="66214714"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6.042</w:t>
            </w:r>
          </w:p>
        </w:tc>
        <w:tc>
          <w:tcPr>
            <w:tcW w:w="1061" w:type="dxa"/>
            <w:tcBorders>
              <w:top w:val="nil"/>
              <w:left w:val="nil"/>
              <w:bottom w:val="nil"/>
              <w:right w:val="nil"/>
            </w:tcBorders>
            <w:shd w:val="clear" w:color="auto" w:fill="auto"/>
            <w:noWrap/>
            <w:vAlign w:val="center"/>
            <w:hideMark/>
          </w:tcPr>
          <w:p w14:paraId="25B0AEBF"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1.280</w:t>
            </w:r>
          </w:p>
        </w:tc>
        <w:tc>
          <w:tcPr>
            <w:tcW w:w="1062" w:type="dxa"/>
            <w:tcBorders>
              <w:top w:val="nil"/>
              <w:left w:val="nil"/>
              <w:bottom w:val="nil"/>
              <w:right w:val="nil"/>
            </w:tcBorders>
            <w:shd w:val="clear" w:color="auto" w:fill="auto"/>
            <w:noWrap/>
            <w:vAlign w:val="center"/>
            <w:hideMark/>
          </w:tcPr>
          <w:p w14:paraId="062C9F1F"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862</w:t>
            </w:r>
          </w:p>
        </w:tc>
      </w:tr>
      <w:tr w:rsidR="00933E68" w:rsidRPr="00602684" w14:paraId="37EF5D00" w14:textId="77777777" w:rsidTr="005138EF">
        <w:trPr>
          <w:trHeight w:val="248"/>
        </w:trPr>
        <w:tc>
          <w:tcPr>
            <w:tcW w:w="2912" w:type="dxa"/>
            <w:tcBorders>
              <w:top w:val="nil"/>
              <w:left w:val="nil"/>
              <w:bottom w:val="nil"/>
              <w:right w:val="dotted" w:sz="4" w:space="0" w:color="BFBFBF"/>
            </w:tcBorders>
            <w:shd w:val="clear" w:color="000000" w:fill="F2F2F2"/>
            <w:vAlign w:val="center"/>
            <w:hideMark/>
          </w:tcPr>
          <w:p w14:paraId="6D6B04EB" w14:textId="77777777" w:rsidR="00933E68" w:rsidRPr="00677549" w:rsidRDefault="00933E68" w:rsidP="00677549">
            <w:pPr>
              <w:spacing w:line="240" w:lineRule="auto"/>
              <w:rPr>
                <w:rFonts w:eastAsia="Times New Roman"/>
                <w:color w:val="000000"/>
                <w:sz w:val="20"/>
                <w:szCs w:val="20"/>
              </w:rPr>
            </w:pPr>
            <w:r w:rsidRPr="00677549">
              <w:rPr>
                <w:rFonts w:eastAsia="Times New Roman"/>
                <w:color w:val="000000"/>
                <w:sz w:val="20"/>
                <w:szCs w:val="20"/>
              </w:rPr>
              <w:t>Deficiência Auditiva</w:t>
            </w:r>
          </w:p>
        </w:tc>
        <w:tc>
          <w:tcPr>
            <w:tcW w:w="1041" w:type="dxa"/>
            <w:tcBorders>
              <w:top w:val="nil"/>
              <w:left w:val="nil"/>
              <w:bottom w:val="nil"/>
              <w:right w:val="nil"/>
            </w:tcBorders>
            <w:shd w:val="clear" w:color="000000" w:fill="F2F2F2"/>
            <w:noWrap/>
            <w:vAlign w:val="center"/>
            <w:hideMark/>
          </w:tcPr>
          <w:p w14:paraId="3DA89C4A"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36.138</w:t>
            </w:r>
          </w:p>
        </w:tc>
        <w:tc>
          <w:tcPr>
            <w:tcW w:w="1074" w:type="dxa"/>
            <w:tcBorders>
              <w:top w:val="nil"/>
              <w:left w:val="nil"/>
              <w:bottom w:val="nil"/>
              <w:right w:val="nil"/>
            </w:tcBorders>
            <w:shd w:val="clear" w:color="000000" w:fill="F2F2F2"/>
            <w:noWrap/>
            <w:vAlign w:val="center"/>
            <w:hideMark/>
          </w:tcPr>
          <w:p w14:paraId="08809289"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41.491</w:t>
            </w:r>
          </w:p>
        </w:tc>
        <w:tc>
          <w:tcPr>
            <w:tcW w:w="1073" w:type="dxa"/>
            <w:tcBorders>
              <w:top w:val="nil"/>
              <w:left w:val="nil"/>
              <w:bottom w:val="nil"/>
              <w:right w:val="nil"/>
            </w:tcBorders>
            <w:shd w:val="clear" w:color="000000" w:fill="F2F2F2"/>
            <w:noWrap/>
            <w:vAlign w:val="center"/>
            <w:hideMark/>
          </w:tcPr>
          <w:p w14:paraId="47824878"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10.032</w:t>
            </w:r>
          </w:p>
        </w:tc>
        <w:tc>
          <w:tcPr>
            <w:tcW w:w="1074" w:type="dxa"/>
            <w:tcBorders>
              <w:top w:val="nil"/>
              <w:left w:val="nil"/>
              <w:bottom w:val="nil"/>
              <w:right w:val="nil"/>
            </w:tcBorders>
            <w:shd w:val="clear" w:color="000000" w:fill="F2F2F2"/>
            <w:noWrap/>
            <w:vAlign w:val="center"/>
            <w:hideMark/>
          </w:tcPr>
          <w:p w14:paraId="6C22EDFF"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11.851</w:t>
            </w:r>
          </w:p>
        </w:tc>
        <w:tc>
          <w:tcPr>
            <w:tcW w:w="1061" w:type="dxa"/>
            <w:tcBorders>
              <w:top w:val="nil"/>
              <w:left w:val="nil"/>
              <w:bottom w:val="nil"/>
              <w:right w:val="nil"/>
            </w:tcBorders>
            <w:shd w:val="clear" w:color="000000" w:fill="F2F2F2"/>
            <w:noWrap/>
            <w:vAlign w:val="center"/>
            <w:hideMark/>
          </w:tcPr>
          <w:p w14:paraId="131137A4"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1.355</w:t>
            </w:r>
          </w:p>
        </w:tc>
        <w:tc>
          <w:tcPr>
            <w:tcW w:w="1062" w:type="dxa"/>
            <w:tcBorders>
              <w:top w:val="nil"/>
              <w:left w:val="nil"/>
              <w:bottom w:val="nil"/>
              <w:right w:val="nil"/>
            </w:tcBorders>
            <w:shd w:val="clear" w:color="000000" w:fill="F2F2F2"/>
            <w:noWrap/>
            <w:vAlign w:val="center"/>
            <w:hideMark/>
          </w:tcPr>
          <w:p w14:paraId="1690468D"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1.415</w:t>
            </w:r>
          </w:p>
        </w:tc>
      </w:tr>
      <w:tr w:rsidR="00933E68" w:rsidRPr="00844557" w14:paraId="4064D209" w14:textId="77777777" w:rsidTr="005138EF">
        <w:trPr>
          <w:trHeight w:val="248"/>
        </w:trPr>
        <w:tc>
          <w:tcPr>
            <w:tcW w:w="2912" w:type="dxa"/>
            <w:tcBorders>
              <w:top w:val="nil"/>
              <w:left w:val="nil"/>
              <w:bottom w:val="nil"/>
              <w:right w:val="dotted" w:sz="4" w:space="0" w:color="BFBFBF"/>
            </w:tcBorders>
            <w:shd w:val="clear" w:color="auto" w:fill="auto"/>
            <w:vAlign w:val="center"/>
            <w:hideMark/>
          </w:tcPr>
          <w:p w14:paraId="74CF914E" w14:textId="77777777" w:rsidR="00933E68" w:rsidRPr="00677549" w:rsidRDefault="00933E68" w:rsidP="00677549">
            <w:pPr>
              <w:spacing w:line="240" w:lineRule="auto"/>
              <w:rPr>
                <w:rFonts w:eastAsia="Times New Roman"/>
                <w:color w:val="000000"/>
                <w:sz w:val="20"/>
                <w:szCs w:val="20"/>
              </w:rPr>
            </w:pPr>
            <w:proofErr w:type="spellStart"/>
            <w:r w:rsidRPr="00677549">
              <w:rPr>
                <w:rFonts w:eastAsia="Times New Roman"/>
                <w:color w:val="000000"/>
                <w:sz w:val="20"/>
                <w:szCs w:val="20"/>
              </w:rPr>
              <w:t>Surdocegueira</w:t>
            </w:r>
            <w:proofErr w:type="spellEnd"/>
          </w:p>
        </w:tc>
        <w:tc>
          <w:tcPr>
            <w:tcW w:w="1041" w:type="dxa"/>
            <w:tcBorders>
              <w:top w:val="nil"/>
              <w:left w:val="nil"/>
              <w:bottom w:val="nil"/>
              <w:right w:val="nil"/>
            </w:tcBorders>
            <w:shd w:val="clear" w:color="auto" w:fill="auto"/>
            <w:noWrap/>
            <w:vAlign w:val="center"/>
            <w:hideMark/>
          </w:tcPr>
          <w:p w14:paraId="5A06420A"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596</w:t>
            </w:r>
          </w:p>
        </w:tc>
        <w:tc>
          <w:tcPr>
            <w:tcW w:w="1074" w:type="dxa"/>
            <w:tcBorders>
              <w:top w:val="nil"/>
              <w:left w:val="nil"/>
              <w:bottom w:val="nil"/>
              <w:right w:val="nil"/>
            </w:tcBorders>
            <w:shd w:val="clear" w:color="auto" w:fill="auto"/>
            <w:noWrap/>
            <w:vAlign w:val="center"/>
            <w:hideMark/>
          </w:tcPr>
          <w:p w14:paraId="3D205845"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693</w:t>
            </w:r>
          </w:p>
        </w:tc>
        <w:tc>
          <w:tcPr>
            <w:tcW w:w="1073" w:type="dxa"/>
            <w:tcBorders>
              <w:top w:val="nil"/>
              <w:left w:val="nil"/>
              <w:bottom w:val="nil"/>
              <w:right w:val="nil"/>
            </w:tcBorders>
            <w:shd w:val="clear" w:color="auto" w:fill="auto"/>
            <w:noWrap/>
            <w:vAlign w:val="center"/>
            <w:hideMark/>
          </w:tcPr>
          <w:p w14:paraId="1CE7125B"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180</w:t>
            </w:r>
          </w:p>
        </w:tc>
        <w:tc>
          <w:tcPr>
            <w:tcW w:w="1074" w:type="dxa"/>
            <w:tcBorders>
              <w:top w:val="nil"/>
              <w:left w:val="nil"/>
              <w:bottom w:val="nil"/>
              <w:right w:val="nil"/>
            </w:tcBorders>
            <w:shd w:val="clear" w:color="auto" w:fill="auto"/>
            <w:noWrap/>
            <w:vAlign w:val="center"/>
            <w:hideMark/>
          </w:tcPr>
          <w:p w14:paraId="67B7E4E1"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240</w:t>
            </w:r>
          </w:p>
        </w:tc>
        <w:tc>
          <w:tcPr>
            <w:tcW w:w="1061" w:type="dxa"/>
            <w:tcBorders>
              <w:top w:val="nil"/>
              <w:left w:val="nil"/>
              <w:bottom w:val="nil"/>
              <w:right w:val="nil"/>
            </w:tcBorders>
            <w:shd w:val="clear" w:color="auto" w:fill="auto"/>
            <w:noWrap/>
            <w:vAlign w:val="center"/>
            <w:hideMark/>
          </w:tcPr>
          <w:p w14:paraId="14D471F2"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35</w:t>
            </w:r>
          </w:p>
        </w:tc>
        <w:tc>
          <w:tcPr>
            <w:tcW w:w="1062" w:type="dxa"/>
            <w:tcBorders>
              <w:top w:val="nil"/>
              <w:left w:val="nil"/>
              <w:bottom w:val="nil"/>
              <w:right w:val="nil"/>
            </w:tcBorders>
            <w:shd w:val="clear" w:color="auto" w:fill="auto"/>
            <w:noWrap/>
            <w:vAlign w:val="center"/>
            <w:hideMark/>
          </w:tcPr>
          <w:p w14:paraId="3523FB1A"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47</w:t>
            </w:r>
          </w:p>
        </w:tc>
      </w:tr>
      <w:tr w:rsidR="00933E68" w:rsidRPr="00602684" w14:paraId="6424CE8D" w14:textId="77777777" w:rsidTr="005138EF">
        <w:trPr>
          <w:trHeight w:val="248"/>
        </w:trPr>
        <w:tc>
          <w:tcPr>
            <w:tcW w:w="2912" w:type="dxa"/>
            <w:tcBorders>
              <w:top w:val="nil"/>
              <w:left w:val="nil"/>
              <w:bottom w:val="nil"/>
              <w:right w:val="dotted" w:sz="4" w:space="0" w:color="BFBFBF"/>
            </w:tcBorders>
            <w:shd w:val="clear" w:color="000000" w:fill="F2F2F2"/>
            <w:vAlign w:val="center"/>
            <w:hideMark/>
          </w:tcPr>
          <w:p w14:paraId="76DA88F2" w14:textId="77777777" w:rsidR="00933E68" w:rsidRPr="00677549" w:rsidRDefault="00933E68" w:rsidP="00677549">
            <w:pPr>
              <w:spacing w:line="240" w:lineRule="auto"/>
              <w:rPr>
                <w:rFonts w:eastAsia="Times New Roman"/>
                <w:color w:val="000000"/>
                <w:sz w:val="20"/>
                <w:szCs w:val="20"/>
              </w:rPr>
            </w:pPr>
            <w:r w:rsidRPr="00677549">
              <w:rPr>
                <w:rFonts w:eastAsia="Times New Roman"/>
                <w:color w:val="000000"/>
                <w:sz w:val="20"/>
                <w:szCs w:val="20"/>
              </w:rPr>
              <w:t>Deficiência Física</w:t>
            </w:r>
          </w:p>
        </w:tc>
        <w:tc>
          <w:tcPr>
            <w:tcW w:w="1041" w:type="dxa"/>
            <w:tcBorders>
              <w:top w:val="nil"/>
              <w:left w:val="nil"/>
              <w:bottom w:val="nil"/>
              <w:right w:val="nil"/>
            </w:tcBorders>
            <w:shd w:val="clear" w:color="000000" w:fill="F2F2F2"/>
            <w:noWrap/>
            <w:vAlign w:val="center"/>
            <w:hideMark/>
          </w:tcPr>
          <w:p w14:paraId="38C49869"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121.909</w:t>
            </w:r>
          </w:p>
        </w:tc>
        <w:tc>
          <w:tcPr>
            <w:tcW w:w="1074" w:type="dxa"/>
            <w:tcBorders>
              <w:top w:val="nil"/>
              <w:left w:val="nil"/>
              <w:bottom w:val="nil"/>
              <w:right w:val="nil"/>
            </w:tcBorders>
            <w:shd w:val="clear" w:color="000000" w:fill="F2F2F2"/>
            <w:noWrap/>
            <w:vAlign w:val="center"/>
            <w:hideMark/>
          </w:tcPr>
          <w:p w14:paraId="6917CE95"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163.790</w:t>
            </w:r>
          </w:p>
        </w:tc>
        <w:tc>
          <w:tcPr>
            <w:tcW w:w="1073" w:type="dxa"/>
            <w:tcBorders>
              <w:top w:val="nil"/>
              <w:left w:val="nil"/>
              <w:bottom w:val="nil"/>
              <w:right w:val="nil"/>
            </w:tcBorders>
            <w:shd w:val="clear" w:color="000000" w:fill="F2F2F2"/>
            <w:noWrap/>
            <w:vAlign w:val="center"/>
            <w:hideMark/>
          </w:tcPr>
          <w:p w14:paraId="515D0D2F"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25.551</w:t>
            </w:r>
          </w:p>
        </w:tc>
        <w:tc>
          <w:tcPr>
            <w:tcW w:w="1074" w:type="dxa"/>
            <w:tcBorders>
              <w:top w:val="nil"/>
              <w:left w:val="nil"/>
              <w:bottom w:val="nil"/>
              <w:right w:val="nil"/>
            </w:tcBorders>
            <w:shd w:val="clear" w:color="000000" w:fill="F2F2F2"/>
            <w:noWrap/>
            <w:vAlign w:val="center"/>
            <w:hideMark/>
          </w:tcPr>
          <w:p w14:paraId="79CFA2DB"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42.182</w:t>
            </w:r>
          </w:p>
        </w:tc>
        <w:tc>
          <w:tcPr>
            <w:tcW w:w="1061" w:type="dxa"/>
            <w:tcBorders>
              <w:top w:val="nil"/>
              <w:left w:val="nil"/>
              <w:bottom w:val="nil"/>
              <w:right w:val="nil"/>
            </w:tcBorders>
            <w:shd w:val="clear" w:color="000000" w:fill="F2F2F2"/>
            <w:noWrap/>
            <w:vAlign w:val="center"/>
            <w:hideMark/>
          </w:tcPr>
          <w:p w14:paraId="2DA7A325"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3.938</w:t>
            </w:r>
          </w:p>
        </w:tc>
        <w:tc>
          <w:tcPr>
            <w:tcW w:w="1062" w:type="dxa"/>
            <w:tcBorders>
              <w:top w:val="nil"/>
              <w:left w:val="nil"/>
              <w:bottom w:val="nil"/>
              <w:right w:val="nil"/>
            </w:tcBorders>
            <w:shd w:val="clear" w:color="000000" w:fill="F2F2F2"/>
            <w:noWrap/>
            <w:vAlign w:val="center"/>
            <w:hideMark/>
          </w:tcPr>
          <w:p w14:paraId="132A9863"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6.199</w:t>
            </w:r>
          </w:p>
        </w:tc>
      </w:tr>
      <w:tr w:rsidR="00933E68" w:rsidRPr="00844557" w14:paraId="09C27B98" w14:textId="77777777" w:rsidTr="005138EF">
        <w:trPr>
          <w:trHeight w:val="248"/>
        </w:trPr>
        <w:tc>
          <w:tcPr>
            <w:tcW w:w="2912" w:type="dxa"/>
            <w:tcBorders>
              <w:top w:val="nil"/>
              <w:left w:val="nil"/>
              <w:bottom w:val="nil"/>
              <w:right w:val="dotted" w:sz="4" w:space="0" w:color="BFBFBF"/>
            </w:tcBorders>
            <w:shd w:val="clear" w:color="auto" w:fill="auto"/>
            <w:vAlign w:val="center"/>
            <w:hideMark/>
          </w:tcPr>
          <w:p w14:paraId="7314E716" w14:textId="77777777" w:rsidR="00933E68" w:rsidRPr="00677549" w:rsidRDefault="00933E68" w:rsidP="00677549">
            <w:pPr>
              <w:spacing w:line="240" w:lineRule="auto"/>
              <w:rPr>
                <w:rFonts w:eastAsia="Times New Roman"/>
                <w:color w:val="000000"/>
                <w:sz w:val="20"/>
                <w:szCs w:val="20"/>
              </w:rPr>
            </w:pPr>
            <w:r w:rsidRPr="00677549">
              <w:rPr>
                <w:rFonts w:eastAsia="Times New Roman"/>
                <w:color w:val="000000"/>
                <w:sz w:val="20"/>
                <w:szCs w:val="20"/>
              </w:rPr>
              <w:t>Deficiência Intelectual</w:t>
            </w:r>
          </w:p>
        </w:tc>
        <w:tc>
          <w:tcPr>
            <w:tcW w:w="1041" w:type="dxa"/>
            <w:tcBorders>
              <w:top w:val="nil"/>
              <w:left w:val="nil"/>
              <w:bottom w:val="nil"/>
              <w:right w:val="nil"/>
            </w:tcBorders>
            <w:shd w:val="clear" w:color="auto" w:fill="auto"/>
            <w:noWrap/>
            <w:vAlign w:val="center"/>
            <w:hideMark/>
          </w:tcPr>
          <w:p w14:paraId="03F23E77"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569.731</w:t>
            </w:r>
          </w:p>
        </w:tc>
        <w:tc>
          <w:tcPr>
            <w:tcW w:w="1074" w:type="dxa"/>
            <w:tcBorders>
              <w:top w:val="nil"/>
              <w:left w:val="nil"/>
              <w:bottom w:val="nil"/>
              <w:right w:val="nil"/>
            </w:tcBorders>
            <w:shd w:val="clear" w:color="auto" w:fill="auto"/>
            <w:noWrap/>
            <w:vAlign w:val="center"/>
            <w:hideMark/>
          </w:tcPr>
          <w:p w14:paraId="7F531E4A"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952.904</w:t>
            </w:r>
          </w:p>
        </w:tc>
        <w:tc>
          <w:tcPr>
            <w:tcW w:w="1073" w:type="dxa"/>
            <w:tcBorders>
              <w:top w:val="nil"/>
              <w:left w:val="nil"/>
              <w:bottom w:val="nil"/>
              <w:right w:val="nil"/>
            </w:tcBorders>
            <w:shd w:val="clear" w:color="auto" w:fill="auto"/>
            <w:noWrap/>
            <w:vAlign w:val="center"/>
            <w:hideMark/>
          </w:tcPr>
          <w:p w14:paraId="32BDEC87"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117.331</w:t>
            </w:r>
          </w:p>
        </w:tc>
        <w:tc>
          <w:tcPr>
            <w:tcW w:w="1074" w:type="dxa"/>
            <w:tcBorders>
              <w:top w:val="nil"/>
              <w:left w:val="nil"/>
              <w:bottom w:val="nil"/>
              <w:right w:val="nil"/>
            </w:tcBorders>
            <w:shd w:val="clear" w:color="auto" w:fill="auto"/>
            <w:noWrap/>
            <w:vAlign w:val="center"/>
            <w:hideMark/>
          </w:tcPr>
          <w:p w14:paraId="3B27C365"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306.602</w:t>
            </w:r>
          </w:p>
        </w:tc>
        <w:tc>
          <w:tcPr>
            <w:tcW w:w="1061" w:type="dxa"/>
            <w:tcBorders>
              <w:top w:val="nil"/>
              <w:left w:val="nil"/>
              <w:bottom w:val="nil"/>
              <w:right w:val="nil"/>
            </w:tcBorders>
            <w:shd w:val="clear" w:color="auto" w:fill="auto"/>
            <w:noWrap/>
            <w:vAlign w:val="center"/>
            <w:hideMark/>
          </w:tcPr>
          <w:p w14:paraId="7F7FD70C"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15.460</w:t>
            </w:r>
          </w:p>
        </w:tc>
        <w:tc>
          <w:tcPr>
            <w:tcW w:w="1062" w:type="dxa"/>
            <w:tcBorders>
              <w:top w:val="nil"/>
              <w:left w:val="nil"/>
              <w:bottom w:val="nil"/>
              <w:right w:val="nil"/>
            </w:tcBorders>
            <w:shd w:val="clear" w:color="auto" w:fill="auto"/>
            <w:noWrap/>
            <w:vAlign w:val="center"/>
            <w:hideMark/>
          </w:tcPr>
          <w:p w14:paraId="6669F3FF"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32.751</w:t>
            </w:r>
          </w:p>
        </w:tc>
      </w:tr>
      <w:tr w:rsidR="00933E68" w:rsidRPr="00602684" w14:paraId="196562DB" w14:textId="77777777" w:rsidTr="005138EF">
        <w:trPr>
          <w:trHeight w:val="248"/>
        </w:trPr>
        <w:tc>
          <w:tcPr>
            <w:tcW w:w="2912" w:type="dxa"/>
            <w:tcBorders>
              <w:top w:val="nil"/>
              <w:left w:val="nil"/>
              <w:bottom w:val="nil"/>
              <w:right w:val="dotted" w:sz="4" w:space="0" w:color="BFBFBF"/>
            </w:tcBorders>
            <w:shd w:val="clear" w:color="000000" w:fill="F2F2F2"/>
            <w:vAlign w:val="center"/>
            <w:hideMark/>
          </w:tcPr>
          <w:p w14:paraId="050C36A9" w14:textId="77777777" w:rsidR="00933E68" w:rsidRPr="00677549" w:rsidRDefault="00933E68" w:rsidP="00677549">
            <w:pPr>
              <w:spacing w:line="240" w:lineRule="auto"/>
              <w:rPr>
                <w:rFonts w:eastAsia="Times New Roman"/>
                <w:color w:val="000000"/>
                <w:sz w:val="20"/>
                <w:szCs w:val="20"/>
              </w:rPr>
            </w:pPr>
            <w:r w:rsidRPr="00677549">
              <w:rPr>
                <w:rFonts w:eastAsia="Times New Roman"/>
                <w:color w:val="000000"/>
                <w:sz w:val="20"/>
                <w:szCs w:val="20"/>
              </w:rPr>
              <w:t>Deficiência Múltipla</w:t>
            </w:r>
          </w:p>
        </w:tc>
        <w:tc>
          <w:tcPr>
            <w:tcW w:w="1041" w:type="dxa"/>
            <w:tcBorders>
              <w:top w:val="nil"/>
              <w:left w:val="nil"/>
              <w:bottom w:val="nil"/>
              <w:right w:val="nil"/>
            </w:tcBorders>
            <w:shd w:val="clear" w:color="000000" w:fill="F2F2F2"/>
            <w:noWrap/>
            <w:vAlign w:val="center"/>
            <w:hideMark/>
          </w:tcPr>
          <w:p w14:paraId="4099ACF6"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64.835</w:t>
            </w:r>
          </w:p>
        </w:tc>
        <w:tc>
          <w:tcPr>
            <w:tcW w:w="1074" w:type="dxa"/>
            <w:tcBorders>
              <w:top w:val="nil"/>
              <w:left w:val="nil"/>
              <w:bottom w:val="nil"/>
              <w:right w:val="nil"/>
            </w:tcBorders>
            <w:shd w:val="clear" w:color="000000" w:fill="F2F2F2"/>
            <w:noWrap/>
            <w:vAlign w:val="center"/>
            <w:hideMark/>
          </w:tcPr>
          <w:p w14:paraId="628D42B7"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88.885</w:t>
            </w:r>
          </w:p>
        </w:tc>
        <w:tc>
          <w:tcPr>
            <w:tcW w:w="1073" w:type="dxa"/>
            <w:tcBorders>
              <w:top w:val="nil"/>
              <w:left w:val="nil"/>
              <w:bottom w:val="nil"/>
              <w:right w:val="nil"/>
            </w:tcBorders>
            <w:shd w:val="clear" w:color="000000" w:fill="F2F2F2"/>
            <w:noWrap/>
            <w:vAlign w:val="center"/>
            <w:hideMark/>
          </w:tcPr>
          <w:p w14:paraId="60454F27"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10.456</w:t>
            </w:r>
          </w:p>
        </w:tc>
        <w:tc>
          <w:tcPr>
            <w:tcW w:w="1074" w:type="dxa"/>
            <w:tcBorders>
              <w:top w:val="nil"/>
              <w:left w:val="nil"/>
              <w:bottom w:val="nil"/>
              <w:right w:val="nil"/>
            </w:tcBorders>
            <w:shd w:val="clear" w:color="000000" w:fill="F2F2F2"/>
            <w:noWrap/>
            <w:vAlign w:val="center"/>
            <w:hideMark/>
          </w:tcPr>
          <w:p w14:paraId="5DFA81DA"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24.007</w:t>
            </w:r>
          </w:p>
        </w:tc>
        <w:tc>
          <w:tcPr>
            <w:tcW w:w="1061" w:type="dxa"/>
            <w:tcBorders>
              <w:top w:val="nil"/>
              <w:left w:val="nil"/>
              <w:bottom w:val="nil"/>
              <w:right w:val="nil"/>
            </w:tcBorders>
            <w:shd w:val="clear" w:color="000000" w:fill="F2F2F2"/>
            <w:noWrap/>
            <w:vAlign w:val="center"/>
            <w:hideMark/>
          </w:tcPr>
          <w:p w14:paraId="6E547D9B"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1.584</w:t>
            </w:r>
          </w:p>
        </w:tc>
        <w:tc>
          <w:tcPr>
            <w:tcW w:w="1062" w:type="dxa"/>
            <w:tcBorders>
              <w:top w:val="nil"/>
              <w:left w:val="nil"/>
              <w:bottom w:val="nil"/>
              <w:right w:val="nil"/>
            </w:tcBorders>
            <w:shd w:val="clear" w:color="000000" w:fill="F2F2F2"/>
            <w:noWrap/>
            <w:vAlign w:val="center"/>
            <w:hideMark/>
          </w:tcPr>
          <w:p w14:paraId="3A63955A"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3.206</w:t>
            </w:r>
          </w:p>
        </w:tc>
      </w:tr>
      <w:tr w:rsidR="00933E68" w:rsidRPr="00844557" w14:paraId="687C1996" w14:textId="77777777" w:rsidTr="005138EF">
        <w:trPr>
          <w:trHeight w:val="248"/>
        </w:trPr>
        <w:tc>
          <w:tcPr>
            <w:tcW w:w="2912" w:type="dxa"/>
            <w:tcBorders>
              <w:top w:val="nil"/>
              <w:left w:val="nil"/>
              <w:bottom w:val="nil"/>
              <w:right w:val="dotted" w:sz="4" w:space="0" w:color="BFBFBF"/>
            </w:tcBorders>
            <w:shd w:val="clear" w:color="auto" w:fill="auto"/>
            <w:vAlign w:val="center"/>
            <w:hideMark/>
          </w:tcPr>
          <w:p w14:paraId="618E3822" w14:textId="77777777" w:rsidR="00933E68" w:rsidRPr="00677549" w:rsidRDefault="00933E68" w:rsidP="00677549">
            <w:pPr>
              <w:spacing w:line="240" w:lineRule="auto"/>
              <w:rPr>
                <w:rFonts w:eastAsia="Times New Roman"/>
                <w:color w:val="000000"/>
                <w:sz w:val="20"/>
                <w:szCs w:val="20"/>
              </w:rPr>
            </w:pPr>
            <w:r w:rsidRPr="00677549">
              <w:rPr>
                <w:rFonts w:eastAsia="Times New Roman"/>
                <w:color w:val="000000"/>
                <w:sz w:val="20"/>
                <w:szCs w:val="20"/>
              </w:rPr>
              <w:lastRenderedPageBreak/>
              <w:t>Autismo</w:t>
            </w:r>
          </w:p>
        </w:tc>
        <w:tc>
          <w:tcPr>
            <w:tcW w:w="1041" w:type="dxa"/>
            <w:tcBorders>
              <w:top w:val="nil"/>
              <w:left w:val="nil"/>
              <w:bottom w:val="nil"/>
              <w:right w:val="nil"/>
            </w:tcBorders>
            <w:shd w:val="clear" w:color="auto" w:fill="auto"/>
            <w:noWrap/>
            <w:vAlign w:val="center"/>
            <w:hideMark/>
          </w:tcPr>
          <w:p w14:paraId="280C629E"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72.408</w:t>
            </w:r>
          </w:p>
        </w:tc>
        <w:tc>
          <w:tcPr>
            <w:tcW w:w="1074" w:type="dxa"/>
            <w:tcBorders>
              <w:top w:val="nil"/>
              <w:left w:val="nil"/>
              <w:bottom w:val="nil"/>
              <w:right w:val="nil"/>
            </w:tcBorders>
            <w:shd w:val="clear" w:color="auto" w:fill="auto"/>
            <w:noWrap/>
            <w:vAlign w:val="center"/>
            <w:hideMark/>
          </w:tcPr>
          <w:p w14:paraId="7E30214F"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636.202</w:t>
            </w:r>
          </w:p>
        </w:tc>
        <w:tc>
          <w:tcPr>
            <w:tcW w:w="1073" w:type="dxa"/>
            <w:tcBorders>
              <w:top w:val="nil"/>
              <w:left w:val="nil"/>
              <w:bottom w:val="nil"/>
              <w:right w:val="nil"/>
            </w:tcBorders>
            <w:shd w:val="clear" w:color="auto" w:fill="auto"/>
            <w:noWrap/>
            <w:vAlign w:val="center"/>
            <w:hideMark/>
          </w:tcPr>
          <w:p w14:paraId="177AD2B5"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18.885</w:t>
            </w:r>
          </w:p>
        </w:tc>
        <w:tc>
          <w:tcPr>
            <w:tcW w:w="1074" w:type="dxa"/>
            <w:tcBorders>
              <w:top w:val="nil"/>
              <w:left w:val="nil"/>
              <w:bottom w:val="nil"/>
              <w:right w:val="nil"/>
            </w:tcBorders>
            <w:shd w:val="clear" w:color="auto" w:fill="auto"/>
            <w:noWrap/>
            <w:vAlign w:val="center"/>
            <w:hideMark/>
          </w:tcPr>
          <w:p w14:paraId="5DF218BC"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188.569</w:t>
            </w:r>
          </w:p>
        </w:tc>
        <w:tc>
          <w:tcPr>
            <w:tcW w:w="1061" w:type="dxa"/>
            <w:tcBorders>
              <w:top w:val="nil"/>
              <w:left w:val="nil"/>
              <w:bottom w:val="nil"/>
              <w:right w:val="nil"/>
            </w:tcBorders>
            <w:shd w:val="clear" w:color="auto" w:fill="auto"/>
            <w:noWrap/>
            <w:vAlign w:val="center"/>
            <w:hideMark/>
          </w:tcPr>
          <w:p w14:paraId="2BABB9DE"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1.883</w:t>
            </w:r>
          </w:p>
        </w:tc>
        <w:tc>
          <w:tcPr>
            <w:tcW w:w="1062" w:type="dxa"/>
            <w:tcBorders>
              <w:top w:val="nil"/>
              <w:left w:val="nil"/>
              <w:bottom w:val="nil"/>
              <w:right w:val="nil"/>
            </w:tcBorders>
            <w:shd w:val="clear" w:color="auto" w:fill="auto"/>
            <w:noWrap/>
            <w:vAlign w:val="center"/>
            <w:hideMark/>
          </w:tcPr>
          <w:p w14:paraId="76063DC1"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20.369</w:t>
            </w:r>
          </w:p>
        </w:tc>
      </w:tr>
      <w:tr w:rsidR="00933E68" w:rsidRPr="00602684" w14:paraId="124DD510" w14:textId="77777777" w:rsidTr="00270124">
        <w:trPr>
          <w:trHeight w:val="272"/>
        </w:trPr>
        <w:tc>
          <w:tcPr>
            <w:tcW w:w="2912" w:type="dxa"/>
            <w:tcBorders>
              <w:top w:val="nil"/>
              <w:left w:val="nil"/>
              <w:bottom w:val="single" w:sz="12" w:space="0" w:color="5AA2AE"/>
              <w:right w:val="dotted" w:sz="4" w:space="0" w:color="BFBFBF"/>
            </w:tcBorders>
            <w:shd w:val="clear" w:color="000000" w:fill="F2F2F2"/>
            <w:vAlign w:val="center"/>
            <w:hideMark/>
          </w:tcPr>
          <w:p w14:paraId="7BEE6EB9" w14:textId="77777777" w:rsidR="00933E68" w:rsidRPr="00677549" w:rsidRDefault="00933E68" w:rsidP="00677549">
            <w:pPr>
              <w:spacing w:line="240" w:lineRule="auto"/>
              <w:rPr>
                <w:rFonts w:eastAsia="Times New Roman"/>
                <w:color w:val="000000"/>
                <w:sz w:val="20"/>
                <w:szCs w:val="20"/>
              </w:rPr>
            </w:pPr>
            <w:r w:rsidRPr="00677549">
              <w:rPr>
                <w:rFonts w:eastAsia="Times New Roman"/>
                <w:color w:val="000000"/>
                <w:sz w:val="20"/>
                <w:szCs w:val="20"/>
              </w:rPr>
              <w:t>Altas Habilidade/Superdotação</w:t>
            </w:r>
          </w:p>
        </w:tc>
        <w:tc>
          <w:tcPr>
            <w:tcW w:w="1041" w:type="dxa"/>
            <w:tcBorders>
              <w:top w:val="nil"/>
              <w:left w:val="nil"/>
              <w:bottom w:val="single" w:sz="12" w:space="0" w:color="5AA2AE"/>
              <w:right w:val="nil"/>
            </w:tcBorders>
            <w:shd w:val="clear" w:color="000000" w:fill="F2F2F2"/>
            <w:noWrap/>
            <w:vAlign w:val="center"/>
            <w:hideMark/>
          </w:tcPr>
          <w:p w14:paraId="051AAA3E"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12.357</w:t>
            </w:r>
          </w:p>
        </w:tc>
        <w:tc>
          <w:tcPr>
            <w:tcW w:w="1074" w:type="dxa"/>
            <w:tcBorders>
              <w:top w:val="nil"/>
              <w:left w:val="nil"/>
              <w:bottom w:val="single" w:sz="12" w:space="0" w:color="5AA2AE"/>
              <w:right w:val="nil"/>
            </w:tcBorders>
            <w:shd w:val="clear" w:color="000000" w:fill="F2F2F2"/>
            <w:noWrap/>
            <w:vAlign w:val="center"/>
            <w:hideMark/>
          </w:tcPr>
          <w:p w14:paraId="6B01C9E3"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38.019</w:t>
            </w:r>
          </w:p>
        </w:tc>
        <w:tc>
          <w:tcPr>
            <w:tcW w:w="1073" w:type="dxa"/>
            <w:tcBorders>
              <w:top w:val="nil"/>
              <w:left w:val="nil"/>
              <w:bottom w:val="single" w:sz="12" w:space="0" w:color="5AA2AE"/>
              <w:right w:val="nil"/>
            </w:tcBorders>
            <w:shd w:val="clear" w:color="000000" w:fill="F2F2F2"/>
            <w:noWrap/>
            <w:vAlign w:val="center"/>
            <w:hideMark/>
          </w:tcPr>
          <w:p w14:paraId="3EAB009A"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1.414</w:t>
            </w:r>
          </w:p>
        </w:tc>
        <w:tc>
          <w:tcPr>
            <w:tcW w:w="1074" w:type="dxa"/>
            <w:tcBorders>
              <w:top w:val="nil"/>
              <w:left w:val="nil"/>
              <w:bottom w:val="single" w:sz="12" w:space="0" w:color="5AA2AE"/>
              <w:right w:val="nil"/>
            </w:tcBorders>
            <w:shd w:val="clear" w:color="000000" w:fill="F2F2F2"/>
            <w:noWrap/>
            <w:vAlign w:val="center"/>
            <w:hideMark/>
          </w:tcPr>
          <w:p w14:paraId="4142E697"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5.421</w:t>
            </w:r>
          </w:p>
        </w:tc>
        <w:tc>
          <w:tcPr>
            <w:tcW w:w="1061" w:type="dxa"/>
            <w:tcBorders>
              <w:top w:val="nil"/>
              <w:left w:val="nil"/>
              <w:bottom w:val="single" w:sz="12" w:space="0" w:color="5AA2AE"/>
              <w:right w:val="nil"/>
            </w:tcBorders>
            <w:shd w:val="clear" w:color="000000" w:fill="F2F2F2"/>
            <w:noWrap/>
            <w:vAlign w:val="center"/>
            <w:hideMark/>
          </w:tcPr>
          <w:p w14:paraId="3E95161B"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339</w:t>
            </w:r>
          </w:p>
        </w:tc>
        <w:tc>
          <w:tcPr>
            <w:tcW w:w="1062" w:type="dxa"/>
            <w:tcBorders>
              <w:top w:val="nil"/>
              <w:left w:val="nil"/>
              <w:bottom w:val="single" w:sz="12" w:space="0" w:color="5AA2AE"/>
              <w:right w:val="nil"/>
            </w:tcBorders>
            <w:shd w:val="clear" w:color="000000" w:fill="F2F2F2"/>
            <w:noWrap/>
            <w:vAlign w:val="center"/>
            <w:hideMark/>
          </w:tcPr>
          <w:p w14:paraId="787DEF2F" w14:textId="77777777" w:rsidR="00933E68" w:rsidRPr="00677549" w:rsidRDefault="00933E68" w:rsidP="00677549">
            <w:pPr>
              <w:spacing w:line="240" w:lineRule="auto"/>
              <w:jc w:val="center"/>
              <w:rPr>
                <w:rFonts w:eastAsia="Times New Roman"/>
                <w:color w:val="000000"/>
                <w:sz w:val="20"/>
                <w:szCs w:val="20"/>
              </w:rPr>
            </w:pPr>
            <w:r w:rsidRPr="00677549">
              <w:rPr>
                <w:rFonts w:eastAsia="Times New Roman"/>
                <w:color w:val="000000"/>
                <w:sz w:val="20"/>
                <w:szCs w:val="20"/>
              </w:rPr>
              <w:t>1.262</w:t>
            </w:r>
          </w:p>
        </w:tc>
      </w:tr>
    </w:tbl>
    <w:p w14:paraId="4EF38B5F" w14:textId="6B851043" w:rsidR="00933E68" w:rsidRPr="004122C8" w:rsidRDefault="00933E68" w:rsidP="00677549">
      <w:pPr>
        <w:shd w:val="clear" w:color="auto" w:fill="FFFFFF"/>
        <w:spacing w:line="240" w:lineRule="auto"/>
        <w:jc w:val="center"/>
        <w:rPr>
          <w:sz w:val="20"/>
          <w:szCs w:val="20"/>
        </w:rPr>
      </w:pPr>
      <w:r>
        <w:fldChar w:fldCharType="end"/>
      </w:r>
      <w:r w:rsidRPr="004122C8">
        <w:rPr>
          <w:sz w:val="20"/>
          <w:szCs w:val="20"/>
        </w:rPr>
        <w:t>Fonte: Elaboração das autoras, conforme dados do MEC (Brasil, 2024).</w:t>
      </w:r>
      <w:r w:rsidRPr="004122C8">
        <w:rPr>
          <w:rFonts w:eastAsiaTheme="minorHAnsi"/>
          <w:sz w:val="20"/>
          <w:szCs w:val="20"/>
        </w:rPr>
        <w:fldChar w:fldCharType="begin"/>
      </w:r>
      <w:r w:rsidRPr="004122C8">
        <w:rPr>
          <w:sz w:val="20"/>
          <w:szCs w:val="20"/>
        </w:rPr>
        <w:instrText xml:space="preserve"> LINK </w:instrText>
      </w:r>
      <w:r w:rsidR="003E64E6">
        <w:rPr>
          <w:sz w:val="20"/>
          <w:szCs w:val="20"/>
        </w:rPr>
        <w:instrText xml:space="preserve">Excel.Sheet.12 "\\\\Srv-arc02\\imesc\\DEP\\PROPOSTA\\08 - Depso\\02 - Produtos\\Boletim Social\\18. EDUCAÇÃO INCLUSIVA\\DADOS\\Matrículas\\graficos.xlsx" "Matriculas por tipo de deficien!L68C9:L80C21" </w:instrText>
      </w:r>
      <w:r w:rsidRPr="004122C8">
        <w:rPr>
          <w:sz w:val="20"/>
          <w:szCs w:val="20"/>
        </w:rPr>
        <w:instrText xml:space="preserve">\a \f 4 \h  \* MERGEFORMAT </w:instrText>
      </w:r>
      <w:r w:rsidRPr="004122C8">
        <w:rPr>
          <w:rFonts w:eastAsiaTheme="minorHAnsi"/>
          <w:sz w:val="20"/>
          <w:szCs w:val="20"/>
        </w:rPr>
        <w:fldChar w:fldCharType="separate"/>
      </w:r>
    </w:p>
    <w:p w14:paraId="70369D11" w14:textId="7C1F39CA" w:rsidR="00933E68" w:rsidRPr="00677549" w:rsidRDefault="00933E68" w:rsidP="009B4843">
      <w:pPr>
        <w:shd w:val="clear" w:color="auto" w:fill="FFFFFF"/>
        <w:spacing w:line="240" w:lineRule="auto"/>
        <w:jc w:val="center"/>
      </w:pPr>
      <w:r w:rsidRPr="004122C8">
        <w:rPr>
          <w:rFonts w:eastAsia="Times New Roman"/>
          <w:sz w:val="20"/>
          <w:szCs w:val="20"/>
        </w:rPr>
        <w:fldChar w:fldCharType="end"/>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 xml:space="preserve"> LINK </w:instrText>
      </w:r>
      <w:r w:rsidR="0075714A">
        <w:rPr>
          <w:rFonts w:ascii="Times New Roman" w:eastAsia="Times New Roman" w:hAnsi="Times New Roman" w:cs="Times New Roman"/>
          <w:sz w:val="24"/>
          <w:szCs w:val="24"/>
        </w:rPr>
        <w:instrText xml:space="preserve">Excel.Sheet.12 "C:\\Users\\NE030\\Desktop\\artigo EME\\Pasta1.xlsx" Planilha2!L18C2:L29C8 </w:instrText>
      </w:r>
      <w:r>
        <w:rPr>
          <w:rFonts w:ascii="Times New Roman" w:eastAsia="Times New Roman" w:hAnsi="Times New Roman" w:cs="Times New Roman"/>
          <w:sz w:val="24"/>
          <w:szCs w:val="24"/>
        </w:rPr>
        <w:instrText xml:space="preserve">\a \f 4 \h  \* MERGEFORMAT </w:instrText>
      </w:r>
      <w:r>
        <w:rPr>
          <w:rFonts w:ascii="Times New Roman" w:eastAsia="Times New Roman" w:hAnsi="Times New Roman" w:cs="Times New Roman"/>
          <w:sz w:val="24"/>
          <w:szCs w:val="24"/>
        </w:rPr>
        <w:fldChar w:fldCharType="separate"/>
      </w:r>
    </w:p>
    <w:p w14:paraId="227FC904" w14:textId="58926D48" w:rsidR="005D4EF1" w:rsidRDefault="005D4EF1" w:rsidP="00D41182">
      <w:pPr>
        <w:shd w:val="clear" w:color="auto" w:fill="FFFFFF"/>
        <w:spacing w:line="360" w:lineRule="auto"/>
        <w:ind w:right="-285" w:firstLine="708"/>
        <w:jc w:val="both"/>
        <w:rPr>
          <w:rFonts w:eastAsia="Times New Roman"/>
          <w:sz w:val="24"/>
          <w:szCs w:val="24"/>
        </w:rPr>
      </w:pPr>
      <w:r w:rsidRPr="005D4EF1">
        <w:rPr>
          <w:rFonts w:eastAsia="Times New Roman"/>
          <w:sz w:val="24"/>
          <w:szCs w:val="24"/>
        </w:rPr>
        <w:t>Cabe destacar que em 2023, houve a inclusão de mais de 90% dos alunos maranhenses em classes comuns de ensino, sendo inseridos 100% de alunos com altas habilidades/superdotação</w:t>
      </w:r>
      <w:r w:rsidR="009B0729">
        <w:rPr>
          <w:rFonts w:eastAsia="Times New Roman"/>
          <w:sz w:val="24"/>
          <w:szCs w:val="24"/>
        </w:rPr>
        <w:t xml:space="preserve"> </w:t>
      </w:r>
      <w:r w:rsidRPr="00D41182">
        <w:rPr>
          <w:rFonts w:eastAsia="Times New Roman"/>
          <w:sz w:val="24"/>
          <w:szCs w:val="24"/>
        </w:rPr>
        <w:t>(</w:t>
      </w:r>
      <w:r w:rsidRPr="006C02FE">
        <w:rPr>
          <w:rFonts w:eastAsia="Times New Roman"/>
          <w:b/>
          <w:bCs/>
          <w:sz w:val="24"/>
          <w:szCs w:val="24"/>
        </w:rPr>
        <w:t>Tabela 3</w:t>
      </w:r>
      <w:r w:rsidRPr="00D41182">
        <w:rPr>
          <w:rFonts w:eastAsia="Times New Roman"/>
          <w:sz w:val="24"/>
          <w:szCs w:val="24"/>
        </w:rPr>
        <w:t>)</w:t>
      </w:r>
      <w:r w:rsidR="00A66224" w:rsidRPr="002F73C9">
        <w:rPr>
          <w:rFonts w:eastAsia="Times New Roman"/>
          <w:sz w:val="24"/>
          <w:szCs w:val="24"/>
        </w:rPr>
        <w:t>.</w:t>
      </w:r>
      <w:r w:rsidR="00A66224">
        <w:rPr>
          <w:rFonts w:eastAsia="Times New Roman"/>
          <w:b/>
          <w:sz w:val="24"/>
          <w:szCs w:val="24"/>
        </w:rPr>
        <w:t xml:space="preserve"> </w:t>
      </w:r>
      <w:r w:rsidR="00D41182" w:rsidRPr="00313F0B">
        <w:rPr>
          <w:rFonts w:eastAsia="Times New Roman"/>
          <w:sz w:val="24"/>
          <w:szCs w:val="24"/>
        </w:rPr>
        <w:t>Dentre as três abrangências analisadas, deficiência múltipla é a que apresenta menor percentual, o que se deve muito em função</w:t>
      </w:r>
      <w:r w:rsidR="00D41182" w:rsidRPr="00313F0B">
        <w:rPr>
          <w:rFonts w:eastAsia="Times New Roman"/>
          <w:b/>
          <w:sz w:val="24"/>
          <w:szCs w:val="24"/>
        </w:rPr>
        <w:t xml:space="preserve"> </w:t>
      </w:r>
      <w:r w:rsidR="00D41182" w:rsidRPr="00313F0B">
        <w:rPr>
          <w:rFonts w:eastAsia="Times New Roman"/>
          <w:sz w:val="24"/>
          <w:szCs w:val="24"/>
        </w:rPr>
        <w:t>de fatores como a dificuldade de identificação e diagnóstico, a necessidade de recursos especializados e a falta de infraestrutura e profissionais capacitados (Brasil,2006).</w:t>
      </w:r>
    </w:p>
    <w:p w14:paraId="0FF2D7CA" w14:textId="77777777" w:rsidR="005D4EF1" w:rsidRDefault="005D4EF1" w:rsidP="00677549">
      <w:pPr>
        <w:pStyle w:val="Legenda"/>
        <w:keepNext/>
        <w:spacing w:after="0" w:line="360" w:lineRule="auto"/>
        <w:jc w:val="center"/>
        <w:rPr>
          <w:rFonts w:ascii="Arial" w:hAnsi="Arial" w:cs="Arial"/>
          <w:b/>
          <w:i w:val="0"/>
          <w:color w:val="auto"/>
          <w:sz w:val="24"/>
        </w:rPr>
      </w:pPr>
    </w:p>
    <w:p w14:paraId="7A34820B" w14:textId="496DD10C" w:rsidR="00933E68" w:rsidRPr="00677549" w:rsidRDefault="00933E68" w:rsidP="00677549">
      <w:pPr>
        <w:pStyle w:val="Legenda"/>
        <w:keepNext/>
        <w:spacing w:after="0" w:line="360" w:lineRule="auto"/>
        <w:jc w:val="center"/>
        <w:rPr>
          <w:rFonts w:ascii="Arial" w:hAnsi="Arial" w:cs="Arial"/>
          <w:i w:val="0"/>
          <w:color w:val="auto"/>
          <w:sz w:val="24"/>
        </w:rPr>
      </w:pPr>
      <w:r w:rsidRPr="00677549">
        <w:rPr>
          <w:rFonts w:ascii="Arial" w:hAnsi="Arial" w:cs="Arial"/>
          <w:b/>
          <w:i w:val="0"/>
          <w:color w:val="auto"/>
          <w:sz w:val="24"/>
        </w:rPr>
        <w:t>Tabela</w:t>
      </w:r>
      <w:r w:rsidRPr="00677549">
        <w:rPr>
          <w:rFonts w:ascii="Arial" w:hAnsi="Arial" w:cs="Arial"/>
          <w:i w:val="0"/>
          <w:color w:val="auto"/>
          <w:sz w:val="24"/>
        </w:rPr>
        <w:t xml:space="preserve"> </w:t>
      </w:r>
      <w:r w:rsidRPr="00677549">
        <w:rPr>
          <w:rFonts w:ascii="Arial" w:hAnsi="Arial" w:cs="Arial"/>
          <w:b/>
          <w:i w:val="0"/>
          <w:color w:val="auto"/>
          <w:sz w:val="24"/>
        </w:rPr>
        <w:fldChar w:fldCharType="begin"/>
      </w:r>
      <w:r w:rsidRPr="00677549">
        <w:rPr>
          <w:rFonts w:ascii="Arial" w:hAnsi="Arial" w:cs="Arial"/>
          <w:b/>
          <w:i w:val="0"/>
          <w:color w:val="auto"/>
          <w:sz w:val="24"/>
        </w:rPr>
        <w:instrText xml:space="preserve"> SEQ Tabela \* ARABIC </w:instrText>
      </w:r>
      <w:r w:rsidRPr="00677549">
        <w:rPr>
          <w:rFonts w:ascii="Arial" w:hAnsi="Arial" w:cs="Arial"/>
          <w:b/>
          <w:i w:val="0"/>
          <w:color w:val="auto"/>
          <w:sz w:val="24"/>
        </w:rPr>
        <w:fldChar w:fldCharType="separate"/>
      </w:r>
      <w:r w:rsidR="00DA0A50">
        <w:rPr>
          <w:rFonts w:ascii="Arial" w:hAnsi="Arial" w:cs="Arial"/>
          <w:b/>
          <w:i w:val="0"/>
          <w:noProof/>
          <w:color w:val="auto"/>
          <w:sz w:val="24"/>
        </w:rPr>
        <w:t>3</w:t>
      </w:r>
      <w:r w:rsidRPr="00677549">
        <w:rPr>
          <w:rFonts w:ascii="Arial" w:hAnsi="Arial" w:cs="Arial"/>
          <w:b/>
          <w:i w:val="0"/>
          <w:color w:val="auto"/>
          <w:sz w:val="24"/>
        </w:rPr>
        <w:fldChar w:fldCharType="end"/>
      </w:r>
      <w:r w:rsidRPr="00677549">
        <w:rPr>
          <w:rFonts w:ascii="Arial" w:hAnsi="Arial" w:cs="Arial"/>
          <w:i w:val="0"/>
          <w:color w:val="auto"/>
          <w:sz w:val="24"/>
        </w:rPr>
        <w:t xml:space="preserve"> - Percentual de matrículas em classes comuns na Educação Especial, por tipo de deficiência, TEA ou altas habilidades/superdotação, no Brasil, Nordeste e Maranhão – 2013 e 2023</w:t>
      </w:r>
    </w:p>
    <w:tbl>
      <w:tblPr>
        <w:tblW w:w="9297" w:type="dxa"/>
        <w:tblCellMar>
          <w:left w:w="70" w:type="dxa"/>
          <w:right w:w="70" w:type="dxa"/>
        </w:tblCellMar>
        <w:tblLook w:val="04A0" w:firstRow="1" w:lastRow="0" w:firstColumn="1" w:lastColumn="0" w:noHBand="0" w:noVBand="1"/>
      </w:tblPr>
      <w:tblGrid>
        <w:gridCol w:w="2977"/>
        <w:gridCol w:w="1061"/>
        <w:gridCol w:w="989"/>
        <w:gridCol w:w="1158"/>
        <w:gridCol w:w="989"/>
        <w:gridCol w:w="1158"/>
        <w:gridCol w:w="965"/>
      </w:tblGrid>
      <w:tr w:rsidR="00933E68" w:rsidRPr="00602684" w14:paraId="59893584" w14:textId="77777777" w:rsidTr="005138EF">
        <w:trPr>
          <w:trHeight w:val="269"/>
        </w:trPr>
        <w:tc>
          <w:tcPr>
            <w:tcW w:w="2977" w:type="dxa"/>
            <w:vMerge w:val="restart"/>
            <w:tcBorders>
              <w:top w:val="single" w:sz="12" w:space="0" w:color="5AA2AE"/>
              <w:left w:val="nil"/>
              <w:bottom w:val="nil"/>
              <w:right w:val="dotted" w:sz="4" w:space="0" w:color="BFBFBF"/>
            </w:tcBorders>
            <w:shd w:val="clear" w:color="000000" w:fill="4A66AC"/>
            <w:vAlign w:val="center"/>
            <w:hideMark/>
          </w:tcPr>
          <w:p w14:paraId="4B6DDD5A" w14:textId="77777777" w:rsidR="00933E68" w:rsidRPr="004122C8" w:rsidRDefault="00933E68" w:rsidP="00677549">
            <w:pPr>
              <w:spacing w:line="240" w:lineRule="auto"/>
              <w:jc w:val="center"/>
              <w:rPr>
                <w:rFonts w:eastAsia="Times New Roman"/>
                <w:b/>
                <w:bCs/>
                <w:color w:val="FFFFFF"/>
                <w:sz w:val="20"/>
                <w:szCs w:val="20"/>
              </w:rPr>
            </w:pPr>
            <w:r w:rsidRPr="004122C8">
              <w:rPr>
                <w:rFonts w:eastAsia="Times New Roman"/>
                <w:b/>
                <w:bCs/>
                <w:color w:val="FFFFFF"/>
                <w:sz w:val="20"/>
                <w:szCs w:val="20"/>
              </w:rPr>
              <w:t>DEFICIÊNCIA</w:t>
            </w:r>
          </w:p>
        </w:tc>
        <w:tc>
          <w:tcPr>
            <w:tcW w:w="2050" w:type="dxa"/>
            <w:gridSpan w:val="2"/>
            <w:tcBorders>
              <w:top w:val="single" w:sz="12" w:space="0" w:color="5AA2AE"/>
              <w:left w:val="nil"/>
              <w:bottom w:val="dotted" w:sz="4" w:space="0" w:color="BFBFBF"/>
              <w:right w:val="dotted" w:sz="4" w:space="0" w:color="BFBFBF"/>
            </w:tcBorders>
            <w:shd w:val="clear" w:color="000000" w:fill="4A66AC"/>
            <w:noWrap/>
            <w:vAlign w:val="center"/>
            <w:hideMark/>
          </w:tcPr>
          <w:p w14:paraId="50D19B30" w14:textId="77777777" w:rsidR="00933E68" w:rsidRPr="004122C8" w:rsidRDefault="00933E68" w:rsidP="00677549">
            <w:pPr>
              <w:spacing w:line="240" w:lineRule="auto"/>
              <w:jc w:val="center"/>
              <w:rPr>
                <w:rFonts w:eastAsia="Times New Roman"/>
                <w:b/>
                <w:bCs/>
                <w:color w:val="FFFFFF"/>
                <w:sz w:val="20"/>
                <w:szCs w:val="20"/>
              </w:rPr>
            </w:pPr>
            <w:r w:rsidRPr="004122C8">
              <w:rPr>
                <w:rFonts w:eastAsia="Times New Roman"/>
                <w:b/>
                <w:bCs/>
                <w:color w:val="FFFFFF"/>
                <w:sz w:val="20"/>
                <w:szCs w:val="20"/>
              </w:rPr>
              <w:t>BRASIL</w:t>
            </w:r>
          </w:p>
        </w:tc>
        <w:tc>
          <w:tcPr>
            <w:tcW w:w="2147" w:type="dxa"/>
            <w:gridSpan w:val="2"/>
            <w:tcBorders>
              <w:top w:val="single" w:sz="12" w:space="0" w:color="5AA2AE"/>
              <w:left w:val="nil"/>
              <w:bottom w:val="dotted" w:sz="4" w:space="0" w:color="BFBFBF"/>
              <w:right w:val="dotted" w:sz="4" w:space="0" w:color="BFBFBF"/>
            </w:tcBorders>
            <w:shd w:val="clear" w:color="000000" w:fill="4A66AC"/>
            <w:noWrap/>
            <w:vAlign w:val="center"/>
            <w:hideMark/>
          </w:tcPr>
          <w:p w14:paraId="143B63F2" w14:textId="77777777" w:rsidR="00933E68" w:rsidRPr="004122C8" w:rsidRDefault="00933E68" w:rsidP="00677549">
            <w:pPr>
              <w:spacing w:line="240" w:lineRule="auto"/>
              <w:jc w:val="center"/>
              <w:rPr>
                <w:rFonts w:eastAsia="Times New Roman"/>
                <w:b/>
                <w:bCs/>
                <w:color w:val="FFFFFF"/>
                <w:sz w:val="20"/>
                <w:szCs w:val="20"/>
              </w:rPr>
            </w:pPr>
            <w:r w:rsidRPr="004122C8">
              <w:rPr>
                <w:rFonts w:eastAsia="Times New Roman"/>
                <w:b/>
                <w:bCs/>
                <w:color w:val="FFFFFF"/>
                <w:sz w:val="20"/>
                <w:szCs w:val="20"/>
              </w:rPr>
              <w:t>NORDESTE</w:t>
            </w:r>
          </w:p>
        </w:tc>
        <w:tc>
          <w:tcPr>
            <w:tcW w:w="2123" w:type="dxa"/>
            <w:gridSpan w:val="2"/>
            <w:tcBorders>
              <w:top w:val="single" w:sz="12" w:space="0" w:color="5AA2AE"/>
              <w:left w:val="nil"/>
              <w:bottom w:val="dotted" w:sz="4" w:space="0" w:color="BFBFBF"/>
              <w:right w:val="nil"/>
            </w:tcBorders>
            <w:shd w:val="clear" w:color="000000" w:fill="4A66AC"/>
            <w:noWrap/>
            <w:vAlign w:val="center"/>
            <w:hideMark/>
          </w:tcPr>
          <w:p w14:paraId="4575F6C8" w14:textId="77777777" w:rsidR="00933E68" w:rsidRPr="004122C8" w:rsidRDefault="00933E68" w:rsidP="00677549">
            <w:pPr>
              <w:spacing w:line="240" w:lineRule="auto"/>
              <w:jc w:val="center"/>
              <w:rPr>
                <w:rFonts w:eastAsia="Times New Roman"/>
                <w:b/>
                <w:bCs/>
                <w:color w:val="FFFFFF"/>
                <w:sz w:val="20"/>
                <w:szCs w:val="20"/>
              </w:rPr>
            </w:pPr>
            <w:r w:rsidRPr="004122C8">
              <w:rPr>
                <w:rFonts w:eastAsia="Times New Roman"/>
                <w:b/>
                <w:bCs/>
                <w:color w:val="FFFFFF"/>
                <w:sz w:val="20"/>
                <w:szCs w:val="20"/>
              </w:rPr>
              <w:t>MARANHÃO</w:t>
            </w:r>
          </w:p>
        </w:tc>
      </w:tr>
      <w:tr w:rsidR="00933E68" w:rsidRPr="00602684" w14:paraId="2255681F" w14:textId="77777777" w:rsidTr="005138EF">
        <w:trPr>
          <w:trHeight w:val="269"/>
        </w:trPr>
        <w:tc>
          <w:tcPr>
            <w:tcW w:w="2977" w:type="dxa"/>
            <w:vMerge/>
            <w:tcBorders>
              <w:top w:val="nil"/>
              <w:left w:val="nil"/>
              <w:bottom w:val="nil"/>
              <w:right w:val="dotted" w:sz="4" w:space="0" w:color="BFBFBF"/>
            </w:tcBorders>
            <w:vAlign w:val="center"/>
            <w:hideMark/>
          </w:tcPr>
          <w:p w14:paraId="7FD6E124" w14:textId="77777777" w:rsidR="00933E68" w:rsidRPr="004122C8" w:rsidRDefault="00933E68" w:rsidP="00677549">
            <w:pPr>
              <w:spacing w:line="240" w:lineRule="auto"/>
              <w:rPr>
                <w:rFonts w:eastAsia="Times New Roman"/>
                <w:b/>
                <w:bCs/>
                <w:color w:val="FFFFFF"/>
                <w:sz w:val="20"/>
                <w:szCs w:val="20"/>
              </w:rPr>
            </w:pPr>
          </w:p>
        </w:tc>
        <w:tc>
          <w:tcPr>
            <w:tcW w:w="1061" w:type="dxa"/>
            <w:tcBorders>
              <w:top w:val="nil"/>
              <w:left w:val="nil"/>
              <w:bottom w:val="nil"/>
              <w:right w:val="dotted" w:sz="4" w:space="0" w:color="BFBFBF"/>
            </w:tcBorders>
            <w:shd w:val="clear" w:color="000000" w:fill="629DD1"/>
            <w:vAlign w:val="center"/>
            <w:hideMark/>
          </w:tcPr>
          <w:p w14:paraId="71881A43" w14:textId="77777777" w:rsidR="00933E68" w:rsidRPr="004122C8" w:rsidRDefault="00933E68" w:rsidP="00677549">
            <w:pPr>
              <w:spacing w:line="240" w:lineRule="auto"/>
              <w:jc w:val="center"/>
              <w:rPr>
                <w:rFonts w:eastAsia="Times New Roman"/>
                <w:color w:val="FFFFFF"/>
                <w:sz w:val="20"/>
                <w:szCs w:val="20"/>
              </w:rPr>
            </w:pPr>
            <w:r w:rsidRPr="004122C8">
              <w:rPr>
                <w:rFonts w:eastAsia="Times New Roman"/>
                <w:color w:val="FFFFFF"/>
                <w:sz w:val="20"/>
                <w:szCs w:val="20"/>
              </w:rPr>
              <w:t>2013</w:t>
            </w:r>
          </w:p>
        </w:tc>
        <w:tc>
          <w:tcPr>
            <w:tcW w:w="989" w:type="dxa"/>
            <w:tcBorders>
              <w:top w:val="nil"/>
              <w:left w:val="nil"/>
              <w:bottom w:val="nil"/>
              <w:right w:val="dotted" w:sz="4" w:space="0" w:color="BFBFBF"/>
            </w:tcBorders>
            <w:shd w:val="clear" w:color="000000" w:fill="629DD1"/>
            <w:vAlign w:val="center"/>
            <w:hideMark/>
          </w:tcPr>
          <w:p w14:paraId="0D6463AB" w14:textId="77777777" w:rsidR="00933E68" w:rsidRPr="004122C8" w:rsidRDefault="00933E68" w:rsidP="00677549">
            <w:pPr>
              <w:spacing w:line="240" w:lineRule="auto"/>
              <w:jc w:val="center"/>
              <w:rPr>
                <w:rFonts w:eastAsia="Times New Roman"/>
                <w:color w:val="FFFFFF"/>
                <w:sz w:val="20"/>
                <w:szCs w:val="20"/>
              </w:rPr>
            </w:pPr>
            <w:r w:rsidRPr="004122C8">
              <w:rPr>
                <w:rFonts w:eastAsia="Times New Roman"/>
                <w:color w:val="FFFFFF"/>
                <w:sz w:val="20"/>
                <w:szCs w:val="20"/>
              </w:rPr>
              <w:t>2023</w:t>
            </w:r>
          </w:p>
        </w:tc>
        <w:tc>
          <w:tcPr>
            <w:tcW w:w="1158" w:type="dxa"/>
            <w:tcBorders>
              <w:top w:val="nil"/>
              <w:left w:val="nil"/>
              <w:bottom w:val="nil"/>
              <w:right w:val="dotted" w:sz="4" w:space="0" w:color="BFBFBF"/>
            </w:tcBorders>
            <w:shd w:val="clear" w:color="000000" w:fill="629DD1"/>
            <w:vAlign w:val="center"/>
            <w:hideMark/>
          </w:tcPr>
          <w:p w14:paraId="5F505D2D" w14:textId="77777777" w:rsidR="00933E68" w:rsidRPr="004122C8" w:rsidRDefault="00933E68" w:rsidP="00677549">
            <w:pPr>
              <w:spacing w:line="240" w:lineRule="auto"/>
              <w:jc w:val="center"/>
              <w:rPr>
                <w:rFonts w:eastAsia="Times New Roman"/>
                <w:color w:val="FFFFFF"/>
                <w:sz w:val="20"/>
                <w:szCs w:val="20"/>
              </w:rPr>
            </w:pPr>
            <w:r w:rsidRPr="004122C8">
              <w:rPr>
                <w:rFonts w:eastAsia="Times New Roman"/>
                <w:color w:val="FFFFFF"/>
                <w:sz w:val="20"/>
                <w:szCs w:val="20"/>
              </w:rPr>
              <w:t>2013</w:t>
            </w:r>
          </w:p>
        </w:tc>
        <w:tc>
          <w:tcPr>
            <w:tcW w:w="989" w:type="dxa"/>
            <w:tcBorders>
              <w:top w:val="nil"/>
              <w:left w:val="nil"/>
              <w:bottom w:val="nil"/>
              <w:right w:val="dotted" w:sz="4" w:space="0" w:color="BFBFBF"/>
            </w:tcBorders>
            <w:shd w:val="clear" w:color="000000" w:fill="629DD1"/>
            <w:vAlign w:val="center"/>
            <w:hideMark/>
          </w:tcPr>
          <w:p w14:paraId="2913812F" w14:textId="77777777" w:rsidR="00933E68" w:rsidRPr="004122C8" w:rsidRDefault="00933E68" w:rsidP="00677549">
            <w:pPr>
              <w:spacing w:line="240" w:lineRule="auto"/>
              <w:jc w:val="center"/>
              <w:rPr>
                <w:rFonts w:eastAsia="Times New Roman"/>
                <w:color w:val="FFFFFF"/>
                <w:sz w:val="20"/>
                <w:szCs w:val="20"/>
              </w:rPr>
            </w:pPr>
            <w:r w:rsidRPr="004122C8">
              <w:rPr>
                <w:rFonts w:eastAsia="Times New Roman"/>
                <w:color w:val="FFFFFF"/>
                <w:sz w:val="20"/>
                <w:szCs w:val="20"/>
              </w:rPr>
              <w:t>2023</w:t>
            </w:r>
          </w:p>
        </w:tc>
        <w:tc>
          <w:tcPr>
            <w:tcW w:w="1158" w:type="dxa"/>
            <w:tcBorders>
              <w:top w:val="nil"/>
              <w:left w:val="nil"/>
              <w:bottom w:val="nil"/>
              <w:right w:val="dotted" w:sz="4" w:space="0" w:color="BFBFBF"/>
            </w:tcBorders>
            <w:shd w:val="clear" w:color="000000" w:fill="629DD1"/>
            <w:vAlign w:val="center"/>
            <w:hideMark/>
          </w:tcPr>
          <w:p w14:paraId="6C4FA8E3" w14:textId="77777777" w:rsidR="00933E68" w:rsidRPr="004122C8" w:rsidRDefault="00933E68" w:rsidP="00677549">
            <w:pPr>
              <w:spacing w:line="240" w:lineRule="auto"/>
              <w:jc w:val="center"/>
              <w:rPr>
                <w:rFonts w:eastAsia="Times New Roman"/>
                <w:color w:val="FFFFFF"/>
                <w:sz w:val="20"/>
                <w:szCs w:val="20"/>
              </w:rPr>
            </w:pPr>
            <w:r w:rsidRPr="004122C8">
              <w:rPr>
                <w:rFonts w:eastAsia="Times New Roman"/>
                <w:color w:val="FFFFFF"/>
                <w:sz w:val="20"/>
                <w:szCs w:val="20"/>
              </w:rPr>
              <w:t>2013</w:t>
            </w:r>
          </w:p>
        </w:tc>
        <w:tc>
          <w:tcPr>
            <w:tcW w:w="965" w:type="dxa"/>
            <w:tcBorders>
              <w:top w:val="nil"/>
              <w:left w:val="nil"/>
              <w:bottom w:val="nil"/>
              <w:right w:val="dotted" w:sz="4" w:space="0" w:color="BFBFBF"/>
            </w:tcBorders>
            <w:shd w:val="clear" w:color="000000" w:fill="629DD1"/>
            <w:vAlign w:val="center"/>
            <w:hideMark/>
          </w:tcPr>
          <w:p w14:paraId="470EEAE0" w14:textId="77777777" w:rsidR="00933E68" w:rsidRPr="004122C8" w:rsidRDefault="00933E68" w:rsidP="00677549">
            <w:pPr>
              <w:spacing w:line="240" w:lineRule="auto"/>
              <w:jc w:val="center"/>
              <w:rPr>
                <w:rFonts w:eastAsia="Times New Roman"/>
                <w:color w:val="FFFFFF"/>
                <w:sz w:val="20"/>
                <w:szCs w:val="20"/>
              </w:rPr>
            </w:pPr>
            <w:r w:rsidRPr="004122C8">
              <w:rPr>
                <w:rFonts w:eastAsia="Times New Roman"/>
                <w:color w:val="FFFFFF"/>
                <w:sz w:val="20"/>
                <w:szCs w:val="20"/>
              </w:rPr>
              <w:t>2023</w:t>
            </w:r>
          </w:p>
        </w:tc>
      </w:tr>
      <w:tr w:rsidR="00933E68" w:rsidRPr="00602684" w14:paraId="45A921F7" w14:textId="77777777" w:rsidTr="005138EF">
        <w:trPr>
          <w:trHeight w:val="269"/>
        </w:trPr>
        <w:tc>
          <w:tcPr>
            <w:tcW w:w="2977" w:type="dxa"/>
            <w:tcBorders>
              <w:top w:val="nil"/>
              <w:left w:val="nil"/>
              <w:bottom w:val="nil"/>
              <w:right w:val="dotted" w:sz="4" w:space="0" w:color="BFBFBF"/>
            </w:tcBorders>
            <w:shd w:val="clear" w:color="auto" w:fill="auto"/>
            <w:vAlign w:val="center"/>
            <w:hideMark/>
          </w:tcPr>
          <w:p w14:paraId="41883172" w14:textId="77777777" w:rsidR="00933E68" w:rsidRPr="004122C8" w:rsidRDefault="00933E68" w:rsidP="00677549">
            <w:pPr>
              <w:spacing w:line="240" w:lineRule="auto"/>
              <w:rPr>
                <w:rFonts w:eastAsia="Times New Roman"/>
                <w:color w:val="000000"/>
                <w:sz w:val="20"/>
                <w:szCs w:val="20"/>
              </w:rPr>
            </w:pPr>
            <w:r w:rsidRPr="004122C8">
              <w:rPr>
                <w:rFonts w:eastAsia="Times New Roman"/>
                <w:color w:val="000000"/>
                <w:sz w:val="20"/>
                <w:szCs w:val="20"/>
              </w:rPr>
              <w:t>Cegueira</w:t>
            </w:r>
          </w:p>
        </w:tc>
        <w:tc>
          <w:tcPr>
            <w:tcW w:w="1061" w:type="dxa"/>
            <w:tcBorders>
              <w:top w:val="nil"/>
              <w:left w:val="nil"/>
              <w:bottom w:val="nil"/>
              <w:right w:val="dotted" w:sz="4" w:space="0" w:color="BFBFBF"/>
            </w:tcBorders>
            <w:shd w:val="clear" w:color="auto" w:fill="auto"/>
            <w:noWrap/>
            <w:vAlign w:val="center"/>
            <w:hideMark/>
          </w:tcPr>
          <w:p w14:paraId="20DDC77F"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68,0</w:t>
            </w:r>
          </w:p>
        </w:tc>
        <w:tc>
          <w:tcPr>
            <w:tcW w:w="989" w:type="dxa"/>
            <w:tcBorders>
              <w:top w:val="nil"/>
              <w:left w:val="nil"/>
              <w:bottom w:val="nil"/>
              <w:right w:val="dotted" w:sz="4" w:space="0" w:color="BFBFBF"/>
            </w:tcBorders>
            <w:shd w:val="clear" w:color="auto" w:fill="auto"/>
            <w:noWrap/>
            <w:vAlign w:val="center"/>
            <w:hideMark/>
          </w:tcPr>
          <w:p w14:paraId="773B07E2"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84,7</w:t>
            </w:r>
          </w:p>
        </w:tc>
        <w:tc>
          <w:tcPr>
            <w:tcW w:w="1158" w:type="dxa"/>
            <w:tcBorders>
              <w:top w:val="nil"/>
              <w:left w:val="nil"/>
              <w:bottom w:val="nil"/>
              <w:right w:val="dotted" w:sz="4" w:space="0" w:color="BFBFBF"/>
            </w:tcBorders>
            <w:shd w:val="clear" w:color="auto" w:fill="auto"/>
            <w:noWrap/>
            <w:vAlign w:val="center"/>
            <w:hideMark/>
          </w:tcPr>
          <w:p w14:paraId="2EAA6483"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75,6</w:t>
            </w:r>
          </w:p>
        </w:tc>
        <w:tc>
          <w:tcPr>
            <w:tcW w:w="989" w:type="dxa"/>
            <w:tcBorders>
              <w:top w:val="nil"/>
              <w:left w:val="nil"/>
              <w:bottom w:val="nil"/>
              <w:right w:val="dotted" w:sz="4" w:space="0" w:color="BFBFBF"/>
            </w:tcBorders>
            <w:shd w:val="clear" w:color="auto" w:fill="auto"/>
            <w:noWrap/>
            <w:vAlign w:val="center"/>
            <w:hideMark/>
          </w:tcPr>
          <w:p w14:paraId="59DEAF5C"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87,2</w:t>
            </w:r>
          </w:p>
        </w:tc>
        <w:tc>
          <w:tcPr>
            <w:tcW w:w="1158" w:type="dxa"/>
            <w:tcBorders>
              <w:top w:val="nil"/>
              <w:left w:val="nil"/>
              <w:bottom w:val="nil"/>
              <w:right w:val="dotted" w:sz="4" w:space="0" w:color="BFBFBF"/>
            </w:tcBorders>
            <w:shd w:val="clear" w:color="auto" w:fill="auto"/>
            <w:noWrap/>
            <w:vAlign w:val="center"/>
            <w:hideMark/>
          </w:tcPr>
          <w:p w14:paraId="4EFA37FC"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98,1</w:t>
            </w:r>
          </w:p>
        </w:tc>
        <w:tc>
          <w:tcPr>
            <w:tcW w:w="965" w:type="dxa"/>
            <w:tcBorders>
              <w:top w:val="nil"/>
              <w:left w:val="nil"/>
              <w:bottom w:val="nil"/>
              <w:right w:val="nil"/>
            </w:tcBorders>
            <w:shd w:val="clear" w:color="auto" w:fill="auto"/>
            <w:noWrap/>
            <w:vAlign w:val="center"/>
            <w:hideMark/>
          </w:tcPr>
          <w:p w14:paraId="70429709"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95,8</w:t>
            </w:r>
          </w:p>
        </w:tc>
      </w:tr>
      <w:tr w:rsidR="00933E68" w:rsidRPr="00602684" w14:paraId="652A2475" w14:textId="77777777" w:rsidTr="005138EF">
        <w:trPr>
          <w:trHeight w:val="269"/>
        </w:trPr>
        <w:tc>
          <w:tcPr>
            <w:tcW w:w="2977" w:type="dxa"/>
            <w:tcBorders>
              <w:top w:val="nil"/>
              <w:left w:val="nil"/>
              <w:bottom w:val="nil"/>
              <w:right w:val="dotted" w:sz="4" w:space="0" w:color="BFBFBF"/>
            </w:tcBorders>
            <w:shd w:val="clear" w:color="000000" w:fill="F2F2F2"/>
            <w:vAlign w:val="center"/>
            <w:hideMark/>
          </w:tcPr>
          <w:p w14:paraId="0488D794" w14:textId="77777777" w:rsidR="00933E68" w:rsidRPr="004122C8" w:rsidRDefault="00933E68" w:rsidP="00677549">
            <w:pPr>
              <w:spacing w:line="240" w:lineRule="auto"/>
              <w:rPr>
                <w:rFonts w:eastAsia="Times New Roman"/>
                <w:color w:val="000000"/>
                <w:sz w:val="20"/>
                <w:szCs w:val="20"/>
              </w:rPr>
            </w:pPr>
            <w:r w:rsidRPr="004122C8">
              <w:rPr>
                <w:rFonts w:eastAsia="Times New Roman"/>
                <w:color w:val="000000"/>
                <w:sz w:val="20"/>
                <w:szCs w:val="20"/>
              </w:rPr>
              <w:t>Baixa Visão</w:t>
            </w:r>
          </w:p>
        </w:tc>
        <w:tc>
          <w:tcPr>
            <w:tcW w:w="1061" w:type="dxa"/>
            <w:tcBorders>
              <w:top w:val="nil"/>
              <w:left w:val="nil"/>
              <w:bottom w:val="nil"/>
              <w:right w:val="dotted" w:sz="4" w:space="0" w:color="BFBFBF"/>
            </w:tcBorders>
            <w:shd w:val="clear" w:color="000000" w:fill="F2F2F2"/>
            <w:noWrap/>
            <w:vAlign w:val="center"/>
            <w:hideMark/>
          </w:tcPr>
          <w:p w14:paraId="10C2E9E3"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83,8</w:t>
            </w:r>
          </w:p>
        </w:tc>
        <w:tc>
          <w:tcPr>
            <w:tcW w:w="989" w:type="dxa"/>
            <w:tcBorders>
              <w:top w:val="nil"/>
              <w:left w:val="nil"/>
              <w:bottom w:val="nil"/>
              <w:right w:val="dotted" w:sz="4" w:space="0" w:color="BFBFBF"/>
            </w:tcBorders>
            <w:shd w:val="clear" w:color="000000" w:fill="F2F2F2"/>
            <w:noWrap/>
            <w:vAlign w:val="center"/>
            <w:hideMark/>
          </w:tcPr>
          <w:p w14:paraId="209367E2"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92,4</w:t>
            </w:r>
          </w:p>
        </w:tc>
        <w:tc>
          <w:tcPr>
            <w:tcW w:w="1158" w:type="dxa"/>
            <w:tcBorders>
              <w:top w:val="nil"/>
              <w:left w:val="nil"/>
              <w:bottom w:val="nil"/>
              <w:right w:val="dotted" w:sz="4" w:space="0" w:color="BFBFBF"/>
            </w:tcBorders>
            <w:shd w:val="clear" w:color="000000" w:fill="F2F2F2"/>
            <w:noWrap/>
            <w:vAlign w:val="center"/>
            <w:hideMark/>
          </w:tcPr>
          <w:p w14:paraId="52050857"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85,1</w:t>
            </w:r>
          </w:p>
        </w:tc>
        <w:tc>
          <w:tcPr>
            <w:tcW w:w="989" w:type="dxa"/>
            <w:tcBorders>
              <w:top w:val="nil"/>
              <w:left w:val="nil"/>
              <w:bottom w:val="nil"/>
              <w:right w:val="dotted" w:sz="4" w:space="0" w:color="BFBFBF"/>
            </w:tcBorders>
            <w:shd w:val="clear" w:color="000000" w:fill="F2F2F2"/>
            <w:noWrap/>
            <w:vAlign w:val="center"/>
            <w:hideMark/>
          </w:tcPr>
          <w:p w14:paraId="261DD723"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95,4</w:t>
            </w:r>
          </w:p>
        </w:tc>
        <w:tc>
          <w:tcPr>
            <w:tcW w:w="1158" w:type="dxa"/>
            <w:tcBorders>
              <w:top w:val="nil"/>
              <w:left w:val="nil"/>
              <w:bottom w:val="nil"/>
              <w:right w:val="dotted" w:sz="4" w:space="0" w:color="BFBFBF"/>
            </w:tcBorders>
            <w:shd w:val="clear" w:color="000000" w:fill="F2F2F2"/>
            <w:noWrap/>
            <w:vAlign w:val="center"/>
            <w:hideMark/>
          </w:tcPr>
          <w:p w14:paraId="61D311E9"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99,6</w:t>
            </w:r>
          </w:p>
        </w:tc>
        <w:tc>
          <w:tcPr>
            <w:tcW w:w="965" w:type="dxa"/>
            <w:tcBorders>
              <w:top w:val="nil"/>
              <w:left w:val="nil"/>
              <w:bottom w:val="nil"/>
              <w:right w:val="nil"/>
            </w:tcBorders>
            <w:shd w:val="clear" w:color="000000" w:fill="F2F2F2"/>
            <w:noWrap/>
            <w:vAlign w:val="center"/>
            <w:hideMark/>
          </w:tcPr>
          <w:p w14:paraId="7962FA52"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99,0</w:t>
            </w:r>
          </w:p>
        </w:tc>
      </w:tr>
      <w:tr w:rsidR="00933E68" w:rsidRPr="00602684" w14:paraId="5379DE10" w14:textId="77777777" w:rsidTr="005138EF">
        <w:trPr>
          <w:trHeight w:val="269"/>
        </w:trPr>
        <w:tc>
          <w:tcPr>
            <w:tcW w:w="2977" w:type="dxa"/>
            <w:tcBorders>
              <w:top w:val="nil"/>
              <w:left w:val="nil"/>
              <w:bottom w:val="nil"/>
              <w:right w:val="dotted" w:sz="4" w:space="0" w:color="BFBFBF"/>
            </w:tcBorders>
            <w:shd w:val="clear" w:color="auto" w:fill="auto"/>
            <w:vAlign w:val="center"/>
            <w:hideMark/>
          </w:tcPr>
          <w:p w14:paraId="1CC58255" w14:textId="77777777" w:rsidR="00933E68" w:rsidRPr="004122C8" w:rsidRDefault="00933E68" w:rsidP="00677549">
            <w:pPr>
              <w:spacing w:line="240" w:lineRule="auto"/>
              <w:rPr>
                <w:rFonts w:eastAsia="Times New Roman"/>
                <w:color w:val="000000"/>
                <w:sz w:val="20"/>
                <w:szCs w:val="20"/>
              </w:rPr>
            </w:pPr>
            <w:r w:rsidRPr="004122C8">
              <w:rPr>
                <w:rFonts w:eastAsia="Times New Roman"/>
                <w:color w:val="000000"/>
                <w:sz w:val="20"/>
                <w:szCs w:val="20"/>
              </w:rPr>
              <w:t>Surdez</w:t>
            </w:r>
          </w:p>
        </w:tc>
        <w:tc>
          <w:tcPr>
            <w:tcW w:w="1061" w:type="dxa"/>
            <w:tcBorders>
              <w:top w:val="nil"/>
              <w:left w:val="nil"/>
              <w:bottom w:val="nil"/>
              <w:right w:val="dotted" w:sz="4" w:space="0" w:color="BFBFBF"/>
            </w:tcBorders>
            <w:shd w:val="clear" w:color="auto" w:fill="auto"/>
            <w:noWrap/>
            <w:vAlign w:val="center"/>
            <w:hideMark/>
          </w:tcPr>
          <w:p w14:paraId="6025CAF2"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73,9</w:t>
            </w:r>
          </w:p>
        </w:tc>
        <w:tc>
          <w:tcPr>
            <w:tcW w:w="989" w:type="dxa"/>
            <w:tcBorders>
              <w:top w:val="nil"/>
              <w:left w:val="nil"/>
              <w:bottom w:val="nil"/>
              <w:right w:val="dotted" w:sz="4" w:space="0" w:color="BFBFBF"/>
            </w:tcBorders>
            <w:shd w:val="clear" w:color="auto" w:fill="auto"/>
            <w:noWrap/>
            <w:vAlign w:val="center"/>
            <w:hideMark/>
          </w:tcPr>
          <w:p w14:paraId="24E79E7A"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91,6</w:t>
            </w:r>
          </w:p>
        </w:tc>
        <w:tc>
          <w:tcPr>
            <w:tcW w:w="1158" w:type="dxa"/>
            <w:tcBorders>
              <w:top w:val="nil"/>
              <w:left w:val="nil"/>
              <w:bottom w:val="nil"/>
              <w:right w:val="dotted" w:sz="4" w:space="0" w:color="BFBFBF"/>
            </w:tcBorders>
            <w:shd w:val="clear" w:color="auto" w:fill="auto"/>
            <w:noWrap/>
            <w:vAlign w:val="center"/>
            <w:hideMark/>
          </w:tcPr>
          <w:p w14:paraId="64B76BC2"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86,9</w:t>
            </w:r>
          </w:p>
        </w:tc>
        <w:tc>
          <w:tcPr>
            <w:tcW w:w="989" w:type="dxa"/>
            <w:tcBorders>
              <w:top w:val="nil"/>
              <w:left w:val="nil"/>
              <w:bottom w:val="nil"/>
              <w:right w:val="dotted" w:sz="4" w:space="0" w:color="BFBFBF"/>
            </w:tcBorders>
            <w:shd w:val="clear" w:color="auto" w:fill="auto"/>
            <w:noWrap/>
            <w:vAlign w:val="center"/>
            <w:hideMark/>
          </w:tcPr>
          <w:p w14:paraId="6BADEF94"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87,3</w:t>
            </w:r>
          </w:p>
        </w:tc>
        <w:tc>
          <w:tcPr>
            <w:tcW w:w="1158" w:type="dxa"/>
            <w:tcBorders>
              <w:top w:val="nil"/>
              <w:left w:val="nil"/>
              <w:bottom w:val="nil"/>
              <w:right w:val="dotted" w:sz="4" w:space="0" w:color="BFBFBF"/>
            </w:tcBorders>
            <w:shd w:val="clear" w:color="auto" w:fill="auto"/>
            <w:noWrap/>
            <w:vAlign w:val="center"/>
            <w:hideMark/>
          </w:tcPr>
          <w:p w14:paraId="0ACCF582"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98,2</w:t>
            </w:r>
          </w:p>
        </w:tc>
        <w:tc>
          <w:tcPr>
            <w:tcW w:w="965" w:type="dxa"/>
            <w:tcBorders>
              <w:top w:val="nil"/>
              <w:left w:val="nil"/>
              <w:bottom w:val="nil"/>
              <w:right w:val="nil"/>
            </w:tcBorders>
            <w:shd w:val="clear" w:color="auto" w:fill="auto"/>
            <w:noWrap/>
            <w:vAlign w:val="center"/>
            <w:hideMark/>
          </w:tcPr>
          <w:p w14:paraId="73F32FB3"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96,9</w:t>
            </w:r>
          </w:p>
        </w:tc>
      </w:tr>
      <w:tr w:rsidR="00933E68" w:rsidRPr="00602684" w14:paraId="1C51434E" w14:textId="77777777" w:rsidTr="005138EF">
        <w:trPr>
          <w:trHeight w:val="269"/>
        </w:trPr>
        <w:tc>
          <w:tcPr>
            <w:tcW w:w="2977" w:type="dxa"/>
            <w:tcBorders>
              <w:top w:val="nil"/>
              <w:left w:val="nil"/>
              <w:bottom w:val="nil"/>
              <w:right w:val="dotted" w:sz="4" w:space="0" w:color="BFBFBF"/>
            </w:tcBorders>
            <w:shd w:val="clear" w:color="000000" w:fill="F2F2F2"/>
            <w:vAlign w:val="center"/>
            <w:hideMark/>
          </w:tcPr>
          <w:p w14:paraId="0548E55B" w14:textId="77777777" w:rsidR="00933E68" w:rsidRPr="004122C8" w:rsidRDefault="00933E68" w:rsidP="00677549">
            <w:pPr>
              <w:spacing w:line="240" w:lineRule="auto"/>
              <w:rPr>
                <w:rFonts w:eastAsia="Times New Roman"/>
                <w:color w:val="000000"/>
                <w:sz w:val="20"/>
                <w:szCs w:val="20"/>
              </w:rPr>
            </w:pPr>
            <w:r w:rsidRPr="004122C8">
              <w:rPr>
                <w:rFonts w:eastAsia="Times New Roman"/>
                <w:color w:val="000000"/>
                <w:sz w:val="20"/>
                <w:szCs w:val="20"/>
              </w:rPr>
              <w:t>Deficiência Auditiva</w:t>
            </w:r>
          </w:p>
        </w:tc>
        <w:tc>
          <w:tcPr>
            <w:tcW w:w="1061" w:type="dxa"/>
            <w:tcBorders>
              <w:top w:val="nil"/>
              <w:left w:val="nil"/>
              <w:bottom w:val="nil"/>
              <w:right w:val="dotted" w:sz="4" w:space="0" w:color="BFBFBF"/>
            </w:tcBorders>
            <w:shd w:val="clear" w:color="000000" w:fill="F2F2F2"/>
            <w:noWrap/>
            <w:vAlign w:val="center"/>
            <w:hideMark/>
          </w:tcPr>
          <w:p w14:paraId="589389DB"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93,7</w:t>
            </w:r>
          </w:p>
        </w:tc>
        <w:tc>
          <w:tcPr>
            <w:tcW w:w="989" w:type="dxa"/>
            <w:tcBorders>
              <w:top w:val="nil"/>
              <w:left w:val="nil"/>
              <w:bottom w:val="nil"/>
              <w:right w:val="dotted" w:sz="4" w:space="0" w:color="BFBFBF"/>
            </w:tcBorders>
            <w:shd w:val="clear" w:color="000000" w:fill="F2F2F2"/>
            <w:noWrap/>
            <w:vAlign w:val="center"/>
            <w:hideMark/>
          </w:tcPr>
          <w:p w14:paraId="2F1C806F"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98,6</w:t>
            </w:r>
          </w:p>
        </w:tc>
        <w:tc>
          <w:tcPr>
            <w:tcW w:w="1158" w:type="dxa"/>
            <w:tcBorders>
              <w:top w:val="nil"/>
              <w:left w:val="nil"/>
              <w:bottom w:val="nil"/>
              <w:right w:val="dotted" w:sz="4" w:space="0" w:color="BFBFBF"/>
            </w:tcBorders>
            <w:shd w:val="clear" w:color="000000" w:fill="F2F2F2"/>
            <w:noWrap/>
            <w:vAlign w:val="center"/>
            <w:hideMark/>
          </w:tcPr>
          <w:p w14:paraId="7377EF0C"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97,9</w:t>
            </w:r>
          </w:p>
        </w:tc>
        <w:tc>
          <w:tcPr>
            <w:tcW w:w="989" w:type="dxa"/>
            <w:tcBorders>
              <w:top w:val="nil"/>
              <w:left w:val="nil"/>
              <w:bottom w:val="nil"/>
              <w:right w:val="dotted" w:sz="4" w:space="0" w:color="BFBFBF"/>
            </w:tcBorders>
            <w:shd w:val="clear" w:color="000000" w:fill="F2F2F2"/>
            <w:noWrap/>
            <w:vAlign w:val="center"/>
            <w:hideMark/>
          </w:tcPr>
          <w:p w14:paraId="5B1A9F8F"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96,1</w:t>
            </w:r>
          </w:p>
        </w:tc>
        <w:tc>
          <w:tcPr>
            <w:tcW w:w="1158" w:type="dxa"/>
            <w:tcBorders>
              <w:top w:val="nil"/>
              <w:left w:val="nil"/>
              <w:bottom w:val="nil"/>
              <w:right w:val="dotted" w:sz="4" w:space="0" w:color="BFBFBF"/>
            </w:tcBorders>
            <w:shd w:val="clear" w:color="000000" w:fill="F2F2F2"/>
            <w:noWrap/>
            <w:vAlign w:val="center"/>
            <w:hideMark/>
          </w:tcPr>
          <w:p w14:paraId="27682910"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99,2</w:t>
            </w:r>
          </w:p>
        </w:tc>
        <w:tc>
          <w:tcPr>
            <w:tcW w:w="965" w:type="dxa"/>
            <w:tcBorders>
              <w:top w:val="nil"/>
              <w:left w:val="nil"/>
              <w:bottom w:val="nil"/>
              <w:right w:val="nil"/>
            </w:tcBorders>
            <w:shd w:val="clear" w:color="000000" w:fill="F2F2F2"/>
            <w:noWrap/>
            <w:vAlign w:val="center"/>
            <w:hideMark/>
          </w:tcPr>
          <w:p w14:paraId="61FC04CE"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99,0</w:t>
            </w:r>
          </w:p>
        </w:tc>
      </w:tr>
      <w:tr w:rsidR="00933E68" w:rsidRPr="00602684" w14:paraId="3BEC2F14" w14:textId="77777777" w:rsidTr="005138EF">
        <w:trPr>
          <w:trHeight w:val="269"/>
        </w:trPr>
        <w:tc>
          <w:tcPr>
            <w:tcW w:w="2977" w:type="dxa"/>
            <w:tcBorders>
              <w:top w:val="nil"/>
              <w:left w:val="nil"/>
              <w:bottom w:val="nil"/>
              <w:right w:val="dotted" w:sz="4" w:space="0" w:color="BFBFBF"/>
            </w:tcBorders>
            <w:shd w:val="clear" w:color="auto" w:fill="auto"/>
            <w:vAlign w:val="center"/>
            <w:hideMark/>
          </w:tcPr>
          <w:p w14:paraId="748FD376" w14:textId="77777777" w:rsidR="00933E68" w:rsidRPr="004122C8" w:rsidRDefault="00933E68" w:rsidP="00677549">
            <w:pPr>
              <w:spacing w:line="240" w:lineRule="auto"/>
              <w:rPr>
                <w:rFonts w:eastAsia="Times New Roman"/>
                <w:color w:val="000000"/>
                <w:sz w:val="20"/>
                <w:szCs w:val="20"/>
              </w:rPr>
            </w:pPr>
            <w:proofErr w:type="spellStart"/>
            <w:r w:rsidRPr="004122C8">
              <w:rPr>
                <w:rFonts w:eastAsia="Times New Roman"/>
                <w:color w:val="000000"/>
                <w:sz w:val="20"/>
                <w:szCs w:val="20"/>
              </w:rPr>
              <w:t>Surdocegueira</w:t>
            </w:r>
            <w:proofErr w:type="spellEnd"/>
          </w:p>
        </w:tc>
        <w:tc>
          <w:tcPr>
            <w:tcW w:w="1061" w:type="dxa"/>
            <w:tcBorders>
              <w:top w:val="nil"/>
              <w:left w:val="nil"/>
              <w:bottom w:val="nil"/>
              <w:right w:val="dotted" w:sz="4" w:space="0" w:color="BFBFBF"/>
            </w:tcBorders>
            <w:shd w:val="clear" w:color="auto" w:fill="auto"/>
            <w:noWrap/>
            <w:vAlign w:val="center"/>
            <w:hideMark/>
          </w:tcPr>
          <w:p w14:paraId="4CB044B0"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50,0</w:t>
            </w:r>
          </w:p>
        </w:tc>
        <w:tc>
          <w:tcPr>
            <w:tcW w:w="989" w:type="dxa"/>
            <w:tcBorders>
              <w:top w:val="nil"/>
              <w:left w:val="nil"/>
              <w:bottom w:val="nil"/>
              <w:right w:val="dotted" w:sz="4" w:space="0" w:color="BFBFBF"/>
            </w:tcBorders>
            <w:shd w:val="clear" w:color="auto" w:fill="auto"/>
            <w:noWrap/>
            <w:vAlign w:val="center"/>
            <w:hideMark/>
          </w:tcPr>
          <w:p w14:paraId="2147E04B"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81,8</w:t>
            </w:r>
          </w:p>
        </w:tc>
        <w:tc>
          <w:tcPr>
            <w:tcW w:w="1158" w:type="dxa"/>
            <w:tcBorders>
              <w:top w:val="nil"/>
              <w:left w:val="nil"/>
              <w:bottom w:val="nil"/>
              <w:right w:val="dotted" w:sz="4" w:space="0" w:color="BFBFBF"/>
            </w:tcBorders>
            <w:shd w:val="clear" w:color="auto" w:fill="auto"/>
            <w:noWrap/>
            <w:vAlign w:val="center"/>
            <w:hideMark/>
          </w:tcPr>
          <w:p w14:paraId="5D74543E"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72,8</w:t>
            </w:r>
          </w:p>
        </w:tc>
        <w:tc>
          <w:tcPr>
            <w:tcW w:w="989" w:type="dxa"/>
            <w:tcBorders>
              <w:top w:val="nil"/>
              <w:left w:val="nil"/>
              <w:bottom w:val="nil"/>
              <w:right w:val="dotted" w:sz="4" w:space="0" w:color="BFBFBF"/>
            </w:tcBorders>
            <w:shd w:val="clear" w:color="auto" w:fill="auto"/>
            <w:noWrap/>
            <w:vAlign w:val="center"/>
            <w:hideMark/>
          </w:tcPr>
          <w:p w14:paraId="52D0B4CD"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76,9</w:t>
            </w:r>
          </w:p>
        </w:tc>
        <w:tc>
          <w:tcPr>
            <w:tcW w:w="1158" w:type="dxa"/>
            <w:tcBorders>
              <w:top w:val="nil"/>
              <w:left w:val="nil"/>
              <w:bottom w:val="nil"/>
              <w:right w:val="dotted" w:sz="4" w:space="0" w:color="BFBFBF"/>
            </w:tcBorders>
            <w:shd w:val="clear" w:color="auto" w:fill="auto"/>
            <w:noWrap/>
            <w:vAlign w:val="center"/>
            <w:hideMark/>
          </w:tcPr>
          <w:p w14:paraId="2BB4F3FE"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96,6</w:t>
            </w:r>
          </w:p>
        </w:tc>
        <w:tc>
          <w:tcPr>
            <w:tcW w:w="965" w:type="dxa"/>
            <w:tcBorders>
              <w:top w:val="nil"/>
              <w:left w:val="nil"/>
              <w:bottom w:val="nil"/>
              <w:right w:val="nil"/>
            </w:tcBorders>
            <w:shd w:val="clear" w:color="auto" w:fill="auto"/>
            <w:noWrap/>
            <w:vAlign w:val="center"/>
            <w:hideMark/>
          </w:tcPr>
          <w:p w14:paraId="580110BE"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93,4</w:t>
            </w:r>
          </w:p>
        </w:tc>
      </w:tr>
      <w:tr w:rsidR="00933E68" w:rsidRPr="00602684" w14:paraId="3FF27A89" w14:textId="77777777" w:rsidTr="005138EF">
        <w:trPr>
          <w:trHeight w:val="269"/>
        </w:trPr>
        <w:tc>
          <w:tcPr>
            <w:tcW w:w="2977" w:type="dxa"/>
            <w:tcBorders>
              <w:top w:val="nil"/>
              <w:left w:val="nil"/>
              <w:bottom w:val="nil"/>
              <w:right w:val="dotted" w:sz="4" w:space="0" w:color="BFBFBF"/>
            </w:tcBorders>
            <w:shd w:val="clear" w:color="000000" w:fill="F2F2F2"/>
            <w:vAlign w:val="center"/>
            <w:hideMark/>
          </w:tcPr>
          <w:p w14:paraId="6ED6D4E0" w14:textId="77777777" w:rsidR="00933E68" w:rsidRPr="004122C8" w:rsidRDefault="00933E68" w:rsidP="00677549">
            <w:pPr>
              <w:spacing w:line="240" w:lineRule="auto"/>
              <w:rPr>
                <w:rFonts w:eastAsia="Times New Roman"/>
                <w:color w:val="000000"/>
                <w:sz w:val="20"/>
                <w:szCs w:val="20"/>
              </w:rPr>
            </w:pPr>
            <w:r w:rsidRPr="004122C8">
              <w:rPr>
                <w:rFonts w:eastAsia="Times New Roman"/>
                <w:color w:val="000000"/>
                <w:sz w:val="20"/>
                <w:szCs w:val="20"/>
              </w:rPr>
              <w:t>Deficiência Física</w:t>
            </w:r>
          </w:p>
        </w:tc>
        <w:tc>
          <w:tcPr>
            <w:tcW w:w="1061" w:type="dxa"/>
            <w:tcBorders>
              <w:top w:val="nil"/>
              <w:left w:val="nil"/>
              <w:bottom w:val="nil"/>
              <w:right w:val="dotted" w:sz="4" w:space="0" w:color="BFBFBF"/>
            </w:tcBorders>
            <w:shd w:val="clear" w:color="000000" w:fill="F2F2F2"/>
            <w:noWrap/>
            <w:vAlign w:val="center"/>
            <w:hideMark/>
          </w:tcPr>
          <w:p w14:paraId="42B18192"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86,0</w:t>
            </w:r>
          </w:p>
        </w:tc>
        <w:tc>
          <w:tcPr>
            <w:tcW w:w="989" w:type="dxa"/>
            <w:tcBorders>
              <w:top w:val="nil"/>
              <w:left w:val="nil"/>
              <w:bottom w:val="nil"/>
              <w:right w:val="dotted" w:sz="4" w:space="0" w:color="BFBFBF"/>
            </w:tcBorders>
            <w:shd w:val="clear" w:color="000000" w:fill="F2F2F2"/>
            <w:noWrap/>
            <w:vAlign w:val="center"/>
            <w:hideMark/>
          </w:tcPr>
          <w:p w14:paraId="2EC4A2F8"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87,3</w:t>
            </w:r>
          </w:p>
        </w:tc>
        <w:tc>
          <w:tcPr>
            <w:tcW w:w="1158" w:type="dxa"/>
            <w:tcBorders>
              <w:top w:val="nil"/>
              <w:left w:val="nil"/>
              <w:bottom w:val="nil"/>
              <w:right w:val="dotted" w:sz="4" w:space="0" w:color="BFBFBF"/>
            </w:tcBorders>
            <w:shd w:val="clear" w:color="000000" w:fill="F2F2F2"/>
            <w:noWrap/>
            <w:vAlign w:val="center"/>
            <w:hideMark/>
          </w:tcPr>
          <w:p w14:paraId="48ACD145"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77,4</w:t>
            </w:r>
          </w:p>
        </w:tc>
        <w:tc>
          <w:tcPr>
            <w:tcW w:w="989" w:type="dxa"/>
            <w:tcBorders>
              <w:top w:val="nil"/>
              <w:left w:val="nil"/>
              <w:bottom w:val="nil"/>
              <w:right w:val="dotted" w:sz="4" w:space="0" w:color="BFBFBF"/>
            </w:tcBorders>
            <w:shd w:val="clear" w:color="000000" w:fill="F2F2F2"/>
            <w:noWrap/>
            <w:vAlign w:val="center"/>
            <w:hideMark/>
          </w:tcPr>
          <w:p w14:paraId="28E5215B"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93,7</w:t>
            </w:r>
          </w:p>
        </w:tc>
        <w:tc>
          <w:tcPr>
            <w:tcW w:w="1158" w:type="dxa"/>
            <w:tcBorders>
              <w:top w:val="nil"/>
              <w:left w:val="nil"/>
              <w:bottom w:val="nil"/>
              <w:right w:val="dotted" w:sz="4" w:space="0" w:color="BFBFBF"/>
            </w:tcBorders>
            <w:shd w:val="clear" w:color="000000" w:fill="F2F2F2"/>
            <w:noWrap/>
            <w:vAlign w:val="center"/>
            <w:hideMark/>
          </w:tcPr>
          <w:p w14:paraId="793D5900"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96,5</w:t>
            </w:r>
          </w:p>
        </w:tc>
        <w:tc>
          <w:tcPr>
            <w:tcW w:w="965" w:type="dxa"/>
            <w:tcBorders>
              <w:top w:val="nil"/>
              <w:left w:val="nil"/>
              <w:bottom w:val="nil"/>
              <w:right w:val="nil"/>
            </w:tcBorders>
            <w:shd w:val="clear" w:color="000000" w:fill="F2F2F2"/>
            <w:noWrap/>
            <w:vAlign w:val="center"/>
            <w:hideMark/>
          </w:tcPr>
          <w:p w14:paraId="418C5700"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93,6</w:t>
            </w:r>
          </w:p>
        </w:tc>
      </w:tr>
      <w:tr w:rsidR="00933E68" w:rsidRPr="00602684" w14:paraId="1B6EE047" w14:textId="77777777" w:rsidTr="005138EF">
        <w:trPr>
          <w:trHeight w:val="269"/>
        </w:trPr>
        <w:tc>
          <w:tcPr>
            <w:tcW w:w="2977" w:type="dxa"/>
            <w:tcBorders>
              <w:top w:val="nil"/>
              <w:left w:val="nil"/>
              <w:bottom w:val="nil"/>
              <w:right w:val="dotted" w:sz="4" w:space="0" w:color="BFBFBF"/>
            </w:tcBorders>
            <w:shd w:val="clear" w:color="auto" w:fill="auto"/>
            <w:vAlign w:val="center"/>
            <w:hideMark/>
          </w:tcPr>
          <w:p w14:paraId="5453A3F3" w14:textId="77777777" w:rsidR="00933E68" w:rsidRPr="004122C8" w:rsidRDefault="00933E68" w:rsidP="00677549">
            <w:pPr>
              <w:spacing w:line="240" w:lineRule="auto"/>
              <w:rPr>
                <w:rFonts w:eastAsia="Times New Roman"/>
                <w:color w:val="000000"/>
                <w:sz w:val="20"/>
                <w:szCs w:val="20"/>
              </w:rPr>
            </w:pPr>
            <w:r w:rsidRPr="004122C8">
              <w:rPr>
                <w:rFonts w:eastAsia="Times New Roman"/>
                <w:color w:val="000000"/>
                <w:sz w:val="20"/>
                <w:szCs w:val="20"/>
              </w:rPr>
              <w:t>Deficiência Intelectual</w:t>
            </w:r>
          </w:p>
        </w:tc>
        <w:tc>
          <w:tcPr>
            <w:tcW w:w="1061" w:type="dxa"/>
            <w:tcBorders>
              <w:top w:val="nil"/>
              <w:left w:val="nil"/>
              <w:bottom w:val="nil"/>
              <w:right w:val="dotted" w:sz="4" w:space="0" w:color="BFBFBF"/>
            </w:tcBorders>
            <w:shd w:val="clear" w:color="auto" w:fill="auto"/>
            <w:noWrap/>
            <w:vAlign w:val="center"/>
            <w:hideMark/>
          </w:tcPr>
          <w:p w14:paraId="27C57460"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98,9</w:t>
            </w:r>
          </w:p>
        </w:tc>
        <w:tc>
          <w:tcPr>
            <w:tcW w:w="989" w:type="dxa"/>
            <w:tcBorders>
              <w:top w:val="nil"/>
              <w:left w:val="nil"/>
              <w:bottom w:val="nil"/>
              <w:right w:val="dotted" w:sz="4" w:space="0" w:color="BFBFBF"/>
            </w:tcBorders>
            <w:shd w:val="clear" w:color="auto" w:fill="auto"/>
            <w:noWrap/>
            <w:vAlign w:val="center"/>
            <w:hideMark/>
          </w:tcPr>
          <w:p w14:paraId="5D0E4B35"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97,6</w:t>
            </w:r>
          </w:p>
        </w:tc>
        <w:tc>
          <w:tcPr>
            <w:tcW w:w="1158" w:type="dxa"/>
            <w:tcBorders>
              <w:top w:val="nil"/>
              <w:left w:val="nil"/>
              <w:bottom w:val="nil"/>
              <w:right w:val="dotted" w:sz="4" w:space="0" w:color="BFBFBF"/>
            </w:tcBorders>
            <w:shd w:val="clear" w:color="auto" w:fill="auto"/>
            <w:noWrap/>
            <w:vAlign w:val="center"/>
            <w:hideMark/>
          </w:tcPr>
          <w:p w14:paraId="08682346"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97,3</w:t>
            </w:r>
          </w:p>
        </w:tc>
        <w:tc>
          <w:tcPr>
            <w:tcW w:w="989" w:type="dxa"/>
            <w:tcBorders>
              <w:top w:val="nil"/>
              <w:left w:val="nil"/>
              <w:bottom w:val="nil"/>
              <w:right w:val="dotted" w:sz="4" w:space="0" w:color="BFBFBF"/>
            </w:tcBorders>
            <w:shd w:val="clear" w:color="auto" w:fill="auto"/>
            <w:noWrap/>
            <w:vAlign w:val="center"/>
            <w:hideMark/>
          </w:tcPr>
          <w:p w14:paraId="1E1DE0F1"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99,0</w:t>
            </w:r>
          </w:p>
        </w:tc>
        <w:tc>
          <w:tcPr>
            <w:tcW w:w="1158" w:type="dxa"/>
            <w:tcBorders>
              <w:top w:val="nil"/>
              <w:left w:val="nil"/>
              <w:bottom w:val="nil"/>
              <w:right w:val="dotted" w:sz="4" w:space="0" w:color="BFBFBF"/>
            </w:tcBorders>
            <w:shd w:val="clear" w:color="auto" w:fill="auto"/>
            <w:noWrap/>
            <w:vAlign w:val="center"/>
            <w:hideMark/>
          </w:tcPr>
          <w:p w14:paraId="7B4B2CFA"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99,2</w:t>
            </w:r>
          </w:p>
        </w:tc>
        <w:tc>
          <w:tcPr>
            <w:tcW w:w="965" w:type="dxa"/>
            <w:tcBorders>
              <w:top w:val="nil"/>
              <w:left w:val="nil"/>
              <w:bottom w:val="nil"/>
              <w:right w:val="nil"/>
            </w:tcBorders>
            <w:shd w:val="clear" w:color="auto" w:fill="auto"/>
            <w:noWrap/>
            <w:vAlign w:val="center"/>
            <w:hideMark/>
          </w:tcPr>
          <w:p w14:paraId="0E097234"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98,6</w:t>
            </w:r>
          </w:p>
        </w:tc>
      </w:tr>
      <w:tr w:rsidR="00933E68" w:rsidRPr="00602684" w14:paraId="265A2540" w14:textId="77777777" w:rsidTr="005138EF">
        <w:trPr>
          <w:trHeight w:val="269"/>
        </w:trPr>
        <w:tc>
          <w:tcPr>
            <w:tcW w:w="2977" w:type="dxa"/>
            <w:tcBorders>
              <w:top w:val="nil"/>
              <w:left w:val="nil"/>
              <w:bottom w:val="nil"/>
              <w:right w:val="dotted" w:sz="4" w:space="0" w:color="BFBFBF"/>
            </w:tcBorders>
            <w:shd w:val="clear" w:color="000000" w:fill="F2F2F2"/>
            <w:vAlign w:val="center"/>
            <w:hideMark/>
          </w:tcPr>
          <w:p w14:paraId="079EBDCB" w14:textId="77777777" w:rsidR="00933E68" w:rsidRPr="004122C8" w:rsidRDefault="00933E68" w:rsidP="00677549">
            <w:pPr>
              <w:spacing w:line="240" w:lineRule="auto"/>
              <w:rPr>
                <w:rFonts w:eastAsia="Times New Roman"/>
                <w:color w:val="000000"/>
                <w:sz w:val="20"/>
                <w:szCs w:val="20"/>
              </w:rPr>
            </w:pPr>
            <w:r w:rsidRPr="004122C8">
              <w:rPr>
                <w:rFonts w:eastAsia="Times New Roman"/>
                <w:color w:val="000000"/>
                <w:sz w:val="20"/>
                <w:szCs w:val="20"/>
              </w:rPr>
              <w:t>Deficiência Múltipla</w:t>
            </w:r>
          </w:p>
        </w:tc>
        <w:tc>
          <w:tcPr>
            <w:tcW w:w="1061" w:type="dxa"/>
            <w:tcBorders>
              <w:top w:val="nil"/>
              <w:left w:val="nil"/>
              <w:bottom w:val="nil"/>
              <w:right w:val="dotted" w:sz="4" w:space="0" w:color="BFBFBF"/>
            </w:tcBorders>
            <w:shd w:val="clear" w:color="000000" w:fill="F2F2F2"/>
            <w:noWrap/>
            <w:vAlign w:val="center"/>
            <w:hideMark/>
          </w:tcPr>
          <w:p w14:paraId="6FE3B87C"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75,6</w:t>
            </w:r>
          </w:p>
        </w:tc>
        <w:tc>
          <w:tcPr>
            <w:tcW w:w="989" w:type="dxa"/>
            <w:tcBorders>
              <w:top w:val="nil"/>
              <w:left w:val="nil"/>
              <w:bottom w:val="nil"/>
              <w:right w:val="dotted" w:sz="4" w:space="0" w:color="BFBFBF"/>
            </w:tcBorders>
            <w:shd w:val="clear" w:color="000000" w:fill="F2F2F2"/>
            <w:noWrap/>
            <w:vAlign w:val="center"/>
            <w:hideMark/>
          </w:tcPr>
          <w:p w14:paraId="0E295F8A"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79,0</w:t>
            </w:r>
          </w:p>
        </w:tc>
        <w:tc>
          <w:tcPr>
            <w:tcW w:w="1158" w:type="dxa"/>
            <w:tcBorders>
              <w:top w:val="nil"/>
              <w:left w:val="nil"/>
              <w:bottom w:val="nil"/>
              <w:right w:val="dotted" w:sz="4" w:space="0" w:color="BFBFBF"/>
            </w:tcBorders>
            <w:shd w:val="clear" w:color="000000" w:fill="F2F2F2"/>
            <w:noWrap/>
            <w:vAlign w:val="center"/>
            <w:hideMark/>
          </w:tcPr>
          <w:p w14:paraId="6442F996"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80,7</w:t>
            </w:r>
          </w:p>
        </w:tc>
        <w:tc>
          <w:tcPr>
            <w:tcW w:w="989" w:type="dxa"/>
            <w:tcBorders>
              <w:top w:val="nil"/>
              <w:left w:val="nil"/>
              <w:bottom w:val="nil"/>
              <w:right w:val="dotted" w:sz="4" w:space="0" w:color="BFBFBF"/>
            </w:tcBorders>
            <w:shd w:val="clear" w:color="000000" w:fill="F2F2F2"/>
            <w:noWrap/>
            <w:vAlign w:val="center"/>
            <w:hideMark/>
          </w:tcPr>
          <w:p w14:paraId="786DE221"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82,2</w:t>
            </w:r>
          </w:p>
        </w:tc>
        <w:tc>
          <w:tcPr>
            <w:tcW w:w="1158" w:type="dxa"/>
            <w:tcBorders>
              <w:top w:val="nil"/>
              <w:left w:val="nil"/>
              <w:bottom w:val="nil"/>
              <w:right w:val="dotted" w:sz="4" w:space="0" w:color="BFBFBF"/>
            </w:tcBorders>
            <w:shd w:val="clear" w:color="000000" w:fill="F2F2F2"/>
            <w:noWrap/>
            <w:vAlign w:val="center"/>
            <w:hideMark/>
          </w:tcPr>
          <w:p w14:paraId="2A8908BF"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91,7</w:t>
            </w:r>
          </w:p>
        </w:tc>
        <w:tc>
          <w:tcPr>
            <w:tcW w:w="965" w:type="dxa"/>
            <w:tcBorders>
              <w:top w:val="nil"/>
              <w:left w:val="nil"/>
              <w:bottom w:val="nil"/>
              <w:right w:val="nil"/>
            </w:tcBorders>
            <w:shd w:val="clear" w:color="000000" w:fill="F2F2F2"/>
            <w:noWrap/>
            <w:vAlign w:val="center"/>
            <w:hideMark/>
          </w:tcPr>
          <w:p w14:paraId="66214B7F"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90,5</w:t>
            </w:r>
          </w:p>
        </w:tc>
      </w:tr>
      <w:tr w:rsidR="00933E68" w:rsidRPr="00602684" w14:paraId="52F22204" w14:textId="77777777" w:rsidTr="005138EF">
        <w:trPr>
          <w:trHeight w:val="269"/>
        </w:trPr>
        <w:tc>
          <w:tcPr>
            <w:tcW w:w="2977" w:type="dxa"/>
            <w:tcBorders>
              <w:top w:val="nil"/>
              <w:left w:val="nil"/>
              <w:bottom w:val="nil"/>
              <w:right w:val="dotted" w:sz="4" w:space="0" w:color="BFBFBF"/>
            </w:tcBorders>
            <w:shd w:val="clear" w:color="auto" w:fill="auto"/>
            <w:vAlign w:val="center"/>
            <w:hideMark/>
          </w:tcPr>
          <w:p w14:paraId="6B53C11E" w14:textId="77777777" w:rsidR="00933E68" w:rsidRPr="004122C8" w:rsidRDefault="00933E68" w:rsidP="00677549">
            <w:pPr>
              <w:spacing w:line="240" w:lineRule="auto"/>
              <w:rPr>
                <w:rFonts w:eastAsia="Times New Roman"/>
                <w:color w:val="000000"/>
                <w:sz w:val="20"/>
                <w:szCs w:val="20"/>
              </w:rPr>
            </w:pPr>
            <w:r w:rsidRPr="004122C8">
              <w:rPr>
                <w:rFonts w:eastAsia="Times New Roman"/>
                <w:color w:val="000000"/>
                <w:sz w:val="20"/>
                <w:szCs w:val="20"/>
              </w:rPr>
              <w:t>Autismo</w:t>
            </w:r>
          </w:p>
        </w:tc>
        <w:tc>
          <w:tcPr>
            <w:tcW w:w="1061" w:type="dxa"/>
            <w:tcBorders>
              <w:top w:val="nil"/>
              <w:left w:val="nil"/>
              <w:bottom w:val="nil"/>
              <w:right w:val="dotted" w:sz="4" w:space="0" w:color="BFBFBF"/>
            </w:tcBorders>
            <w:shd w:val="clear" w:color="auto" w:fill="auto"/>
            <w:noWrap/>
            <w:vAlign w:val="center"/>
            <w:hideMark/>
          </w:tcPr>
          <w:p w14:paraId="072496EF"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78,6</w:t>
            </w:r>
          </w:p>
        </w:tc>
        <w:tc>
          <w:tcPr>
            <w:tcW w:w="989" w:type="dxa"/>
            <w:tcBorders>
              <w:top w:val="nil"/>
              <w:left w:val="nil"/>
              <w:bottom w:val="nil"/>
              <w:right w:val="dotted" w:sz="4" w:space="0" w:color="BFBFBF"/>
            </w:tcBorders>
            <w:shd w:val="clear" w:color="auto" w:fill="auto"/>
            <w:noWrap/>
            <w:vAlign w:val="center"/>
            <w:hideMark/>
          </w:tcPr>
          <w:p w14:paraId="21BF0C31"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89,5</w:t>
            </w:r>
          </w:p>
        </w:tc>
        <w:tc>
          <w:tcPr>
            <w:tcW w:w="1158" w:type="dxa"/>
            <w:tcBorders>
              <w:top w:val="nil"/>
              <w:left w:val="nil"/>
              <w:bottom w:val="nil"/>
              <w:right w:val="dotted" w:sz="4" w:space="0" w:color="BFBFBF"/>
            </w:tcBorders>
            <w:shd w:val="clear" w:color="auto" w:fill="auto"/>
            <w:noWrap/>
            <w:vAlign w:val="center"/>
            <w:hideMark/>
          </w:tcPr>
          <w:p w14:paraId="39438493"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82,2</w:t>
            </w:r>
          </w:p>
        </w:tc>
        <w:tc>
          <w:tcPr>
            <w:tcW w:w="989" w:type="dxa"/>
            <w:tcBorders>
              <w:top w:val="nil"/>
              <w:left w:val="nil"/>
              <w:bottom w:val="nil"/>
              <w:right w:val="dotted" w:sz="4" w:space="0" w:color="BFBFBF"/>
            </w:tcBorders>
            <w:shd w:val="clear" w:color="auto" w:fill="auto"/>
            <w:noWrap/>
            <w:vAlign w:val="center"/>
            <w:hideMark/>
          </w:tcPr>
          <w:p w14:paraId="6E41CDE5"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83,8</w:t>
            </w:r>
          </w:p>
        </w:tc>
        <w:tc>
          <w:tcPr>
            <w:tcW w:w="1158" w:type="dxa"/>
            <w:tcBorders>
              <w:top w:val="nil"/>
              <w:left w:val="nil"/>
              <w:bottom w:val="nil"/>
              <w:right w:val="dotted" w:sz="4" w:space="0" w:color="BFBFBF"/>
            </w:tcBorders>
            <w:shd w:val="clear" w:color="auto" w:fill="auto"/>
            <w:noWrap/>
            <w:vAlign w:val="center"/>
            <w:hideMark/>
          </w:tcPr>
          <w:p w14:paraId="6D84C9DE"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95,3</w:t>
            </w:r>
          </w:p>
        </w:tc>
        <w:tc>
          <w:tcPr>
            <w:tcW w:w="965" w:type="dxa"/>
            <w:tcBorders>
              <w:top w:val="nil"/>
              <w:left w:val="nil"/>
              <w:bottom w:val="nil"/>
              <w:right w:val="nil"/>
            </w:tcBorders>
            <w:shd w:val="clear" w:color="auto" w:fill="auto"/>
            <w:noWrap/>
            <w:vAlign w:val="center"/>
            <w:hideMark/>
          </w:tcPr>
          <w:p w14:paraId="1A413745"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94,2</w:t>
            </w:r>
          </w:p>
        </w:tc>
      </w:tr>
      <w:tr w:rsidR="00933E68" w:rsidRPr="00602684" w14:paraId="3925A405" w14:textId="77777777" w:rsidTr="00270124">
        <w:trPr>
          <w:trHeight w:val="105"/>
        </w:trPr>
        <w:tc>
          <w:tcPr>
            <w:tcW w:w="2977" w:type="dxa"/>
            <w:tcBorders>
              <w:top w:val="nil"/>
              <w:left w:val="nil"/>
              <w:bottom w:val="single" w:sz="12" w:space="0" w:color="5AA2AE"/>
              <w:right w:val="dotted" w:sz="4" w:space="0" w:color="BFBFBF"/>
            </w:tcBorders>
            <w:shd w:val="clear" w:color="000000" w:fill="F2F2F2"/>
            <w:vAlign w:val="center"/>
            <w:hideMark/>
          </w:tcPr>
          <w:p w14:paraId="2E0FC607" w14:textId="77777777" w:rsidR="00933E68" w:rsidRPr="004122C8" w:rsidRDefault="00933E68" w:rsidP="00677549">
            <w:pPr>
              <w:spacing w:line="240" w:lineRule="auto"/>
              <w:rPr>
                <w:rFonts w:eastAsia="Times New Roman"/>
                <w:color w:val="000000"/>
                <w:sz w:val="20"/>
                <w:szCs w:val="20"/>
              </w:rPr>
            </w:pPr>
            <w:r w:rsidRPr="004122C8">
              <w:rPr>
                <w:rFonts w:eastAsia="Times New Roman"/>
                <w:color w:val="000000"/>
                <w:sz w:val="20"/>
                <w:szCs w:val="20"/>
              </w:rPr>
              <w:t>Altas Habilidade/Superdotação</w:t>
            </w:r>
          </w:p>
        </w:tc>
        <w:tc>
          <w:tcPr>
            <w:tcW w:w="1061" w:type="dxa"/>
            <w:tcBorders>
              <w:top w:val="nil"/>
              <w:left w:val="nil"/>
              <w:bottom w:val="single" w:sz="12" w:space="0" w:color="5AA2AE"/>
              <w:right w:val="dotted" w:sz="4" w:space="0" w:color="BFBFBF"/>
            </w:tcBorders>
            <w:shd w:val="clear" w:color="000000" w:fill="F2F2F2"/>
            <w:noWrap/>
            <w:vAlign w:val="center"/>
            <w:hideMark/>
          </w:tcPr>
          <w:p w14:paraId="2E2CB477"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67,5</w:t>
            </w:r>
          </w:p>
        </w:tc>
        <w:tc>
          <w:tcPr>
            <w:tcW w:w="989" w:type="dxa"/>
            <w:tcBorders>
              <w:top w:val="nil"/>
              <w:left w:val="nil"/>
              <w:bottom w:val="single" w:sz="12" w:space="0" w:color="5AA2AE"/>
              <w:right w:val="dotted" w:sz="4" w:space="0" w:color="BFBFBF"/>
            </w:tcBorders>
            <w:shd w:val="clear" w:color="000000" w:fill="F2F2F2"/>
            <w:noWrap/>
            <w:vAlign w:val="center"/>
            <w:hideMark/>
          </w:tcPr>
          <w:p w14:paraId="0413FC5F"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77,4</w:t>
            </w:r>
          </w:p>
        </w:tc>
        <w:tc>
          <w:tcPr>
            <w:tcW w:w="1158" w:type="dxa"/>
            <w:tcBorders>
              <w:top w:val="nil"/>
              <w:left w:val="nil"/>
              <w:bottom w:val="single" w:sz="12" w:space="0" w:color="5AA2AE"/>
              <w:right w:val="dotted" w:sz="4" w:space="0" w:color="BFBFBF"/>
            </w:tcBorders>
            <w:shd w:val="clear" w:color="000000" w:fill="F2F2F2"/>
            <w:noWrap/>
            <w:vAlign w:val="center"/>
            <w:hideMark/>
          </w:tcPr>
          <w:p w14:paraId="0DC57266"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84,2</w:t>
            </w:r>
          </w:p>
        </w:tc>
        <w:tc>
          <w:tcPr>
            <w:tcW w:w="989" w:type="dxa"/>
            <w:tcBorders>
              <w:top w:val="nil"/>
              <w:left w:val="nil"/>
              <w:bottom w:val="single" w:sz="12" w:space="0" w:color="5AA2AE"/>
              <w:right w:val="dotted" w:sz="4" w:space="0" w:color="BFBFBF"/>
            </w:tcBorders>
            <w:shd w:val="clear" w:color="000000" w:fill="F2F2F2"/>
            <w:noWrap/>
            <w:vAlign w:val="center"/>
            <w:hideMark/>
          </w:tcPr>
          <w:p w14:paraId="6AC27B22"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87,6</w:t>
            </w:r>
          </w:p>
        </w:tc>
        <w:tc>
          <w:tcPr>
            <w:tcW w:w="1158" w:type="dxa"/>
            <w:tcBorders>
              <w:top w:val="nil"/>
              <w:left w:val="nil"/>
              <w:bottom w:val="single" w:sz="12" w:space="0" w:color="5AA2AE"/>
              <w:right w:val="dotted" w:sz="4" w:space="0" w:color="BFBFBF"/>
            </w:tcBorders>
            <w:shd w:val="clear" w:color="000000" w:fill="F2F2F2"/>
            <w:noWrap/>
            <w:vAlign w:val="center"/>
            <w:hideMark/>
          </w:tcPr>
          <w:p w14:paraId="41FABD84"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96,3</w:t>
            </w:r>
          </w:p>
        </w:tc>
        <w:tc>
          <w:tcPr>
            <w:tcW w:w="965" w:type="dxa"/>
            <w:tcBorders>
              <w:top w:val="nil"/>
              <w:left w:val="nil"/>
              <w:bottom w:val="single" w:sz="12" w:space="0" w:color="5AA2AE"/>
              <w:right w:val="nil"/>
            </w:tcBorders>
            <w:shd w:val="clear" w:color="000000" w:fill="F2F2F2"/>
            <w:noWrap/>
            <w:vAlign w:val="center"/>
            <w:hideMark/>
          </w:tcPr>
          <w:p w14:paraId="4B453596" w14:textId="77777777" w:rsidR="00933E68" w:rsidRPr="004122C8" w:rsidRDefault="00933E68" w:rsidP="00677549">
            <w:pPr>
              <w:spacing w:line="240" w:lineRule="auto"/>
              <w:jc w:val="center"/>
              <w:rPr>
                <w:rFonts w:eastAsia="Times New Roman"/>
                <w:color w:val="000000"/>
                <w:sz w:val="20"/>
                <w:szCs w:val="20"/>
              </w:rPr>
            </w:pPr>
            <w:r w:rsidRPr="004122C8">
              <w:rPr>
                <w:color w:val="000000"/>
                <w:sz w:val="20"/>
                <w:szCs w:val="20"/>
              </w:rPr>
              <w:t>100,0</w:t>
            </w:r>
          </w:p>
        </w:tc>
      </w:tr>
    </w:tbl>
    <w:p w14:paraId="69CD5D6E" w14:textId="0908ED84" w:rsidR="00D41182" w:rsidRPr="004122C8" w:rsidRDefault="00933E68" w:rsidP="00E92D99">
      <w:pPr>
        <w:shd w:val="clear" w:color="auto" w:fill="FFFFFF"/>
        <w:spacing w:line="240" w:lineRule="auto"/>
        <w:jc w:val="both"/>
        <w:rPr>
          <w:sz w:val="20"/>
        </w:rPr>
      </w:pPr>
      <w:r>
        <w:rPr>
          <w:rFonts w:ascii="Times New Roman" w:eastAsia="Times New Roman" w:hAnsi="Times New Roman" w:cs="Times New Roman"/>
          <w:sz w:val="24"/>
          <w:szCs w:val="24"/>
        </w:rPr>
        <w:fldChar w:fldCharType="end"/>
      </w:r>
      <w:r w:rsidRPr="00C178C2">
        <w:rPr>
          <w:rFonts w:ascii="Times New Roman" w:hAnsi="Times New Roman" w:cs="Times New Roman"/>
          <w:sz w:val="20"/>
        </w:rPr>
        <w:t xml:space="preserve"> </w:t>
      </w:r>
      <w:r w:rsidRPr="004122C8">
        <w:rPr>
          <w:sz w:val="20"/>
        </w:rPr>
        <w:t>Fonte: Elaboração das autoras, conforme dados do MEC (Brasil, 2024).</w:t>
      </w:r>
      <w:r w:rsidR="00D41182">
        <w:rPr>
          <w:sz w:val="20"/>
        </w:rPr>
        <w:t xml:space="preserve"> Nota: </w:t>
      </w:r>
      <w:r w:rsidR="00D41182" w:rsidRPr="00326E6A">
        <w:rPr>
          <w:sz w:val="20"/>
        </w:rPr>
        <w:t xml:space="preserve">Deficiência múltipla é a condição em que uma pessoa possui, simultaneamente, duas ou mais deficiências diferentes, </w:t>
      </w:r>
      <w:r w:rsidR="0075714A">
        <w:rPr>
          <w:sz w:val="20"/>
        </w:rPr>
        <w:t>podendo ser</w:t>
      </w:r>
      <w:r w:rsidR="00D41182" w:rsidRPr="00326E6A">
        <w:rPr>
          <w:sz w:val="20"/>
        </w:rPr>
        <w:t xml:space="preserve"> de natureza física, sensorial, mental ou intelectual</w:t>
      </w:r>
      <w:r w:rsidR="00D41182">
        <w:rPr>
          <w:sz w:val="20"/>
        </w:rPr>
        <w:t>.</w:t>
      </w:r>
    </w:p>
    <w:p w14:paraId="502C241E" w14:textId="77777777" w:rsidR="00933E68" w:rsidRPr="004D0CB3" w:rsidRDefault="00933E68" w:rsidP="002F73C9">
      <w:pPr>
        <w:pStyle w:val="SemEspaamento"/>
      </w:pPr>
    </w:p>
    <w:p w14:paraId="05EBB3A3" w14:textId="77777777" w:rsidR="00153303" w:rsidRDefault="00153303" w:rsidP="009B4843">
      <w:pPr>
        <w:shd w:val="clear" w:color="auto" w:fill="FFFFFF"/>
        <w:spacing w:line="240" w:lineRule="auto"/>
        <w:ind w:firstLine="709"/>
        <w:jc w:val="both"/>
        <w:rPr>
          <w:rFonts w:eastAsia="Times New Roman"/>
          <w:sz w:val="24"/>
          <w:szCs w:val="24"/>
        </w:rPr>
      </w:pPr>
    </w:p>
    <w:p w14:paraId="487285EA" w14:textId="4415730E" w:rsidR="00933E68" w:rsidRPr="00D068A3" w:rsidRDefault="00933E68" w:rsidP="004122C8">
      <w:pPr>
        <w:shd w:val="clear" w:color="auto" w:fill="FFFFFF"/>
        <w:spacing w:line="360" w:lineRule="auto"/>
        <w:ind w:firstLine="709"/>
        <w:jc w:val="both"/>
        <w:rPr>
          <w:rFonts w:eastAsia="Times New Roman"/>
          <w:sz w:val="24"/>
          <w:szCs w:val="24"/>
        </w:rPr>
      </w:pPr>
      <w:r w:rsidRPr="00DA2867">
        <w:rPr>
          <w:rFonts w:eastAsia="Times New Roman"/>
          <w:sz w:val="24"/>
          <w:szCs w:val="24"/>
        </w:rPr>
        <w:t xml:space="preserve">A infraestrutura inclusiva vai além da exclusão das barreiras físicas. Ela compreende também tecnologias assistivas, materiais didáticos adaptados e espaços de aprendizagem que acolham a diversidade. Com o aumento no número de matrículas da </w:t>
      </w:r>
      <w:r w:rsidRPr="00D068A3">
        <w:rPr>
          <w:rFonts w:eastAsia="Times New Roman"/>
          <w:sz w:val="24"/>
          <w:szCs w:val="24"/>
        </w:rPr>
        <w:t>Educação Espec</w:t>
      </w:r>
      <w:r w:rsidR="00DA2867" w:rsidRPr="00D068A3">
        <w:rPr>
          <w:rFonts w:eastAsia="Times New Roman"/>
          <w:sz w:val="24"/>
          <w:szCs w:val="24"/>
        </w:rPr>
        <w:t xml:space="preserve">ial, as escolas devem oferecer </w:t>
      </w:r>
      <w:r w:rsidRPr="00D068A3">
        <w:rPr>
          <w:rFonts w:eastAsia="Times New Roman"/>
          <w:sz w:val="24"/>
          <w:szCs w:val="24"/>
        </w:rPr>
        <w:t>serviços de apoio aos alunos com necessidad</w:t>
      </w:r>
      <w:r w:rsidR="00DA2867" w:rsidRPr="00D068A3">
        <w:rPr>
          <w:rFonts w:eastAsia="Times New Roman"/>
          <w:sz w:val="24"/>
          <w:szCs w:val="24"/>
        </w:rPr>
        <w:t>es educacionais especiais, que envolvam</w:t>
      </w:r>
      <w:r w:rsidRPr="00D068A3">
        <w:rPr>
          <w:rFonts w:eastAsia="Times New Roman"/>
          <w:sz w:val="24"/>
          <w:szCs w:val="24"/>
        </w:rPr>
        <w:t> adaptações pedagógicas, recursos acessíveis e supo</w:t>
      </w:r>
      <w:r w:rsidR="00DA2867" w:rsidRPr="00D068A3">
        <w:rPr>
          <w:rFonts w:eastAsia="Times New Roman"/>
          <w:sz w:val="24"/>
          <w:szCs w:val="24"/>
        </w:rPr>
        <w:t>rte aos profissionais da escola (Brasil, 2024).</w:t>
      </w:r>
    </w:p>
    <w:p w14:paraId="6C8834E0" w14:textId="77777777" w:rsidR="00933E68" w:rsidRPr="004122C8" w:rsidRDefault="00933E68" w:rsidP="004122C8">
      <w:pPr>
        <w:shd w:val="clear" w:color="auto" w:fill="FFFFFF"/>
        <w:spacing w:line="360" w:lineRule="auto"/>
        <w:ind w:firstLine="709"/>
        <w:jc w:val="both"/>
        <w:rPr>
          <w:rFonts w:eastAsia="Times New Roman"/>
          <w:sz w:val="24"/>
          <w:szCs w:val="24"/>
        </w:rPr>
      </w:pPr>
      <w:r w:rsidRPr="00D068A3">
        <w:rPr>
          <w:rFonts w:eastAsia="Times New Roman"/>
          <w:sz w:val="24"/>
          <w:szCs w:val="24"/>
        </w:rPr>
        <w:lastRenderedPageBreak/>
        <w:t>O Atendimento Educacional Especializado (AEE) visa possibilitar o acesso e atendimento às necessidades educacionais específicas dos alunos com deficiência, TEA e altas habilidades/superdotação. Busca identificar, elaborar e organizar recursos pedagógicos e de acessibilidade que dissipem as barreiras para a inteira participação dos alunos. Atendimento esse que completa ou suplementa a escolarização regular, sendo realizado nas salas de recursos multifuncionais (SRM) oferecendo apoio pedagógico, recursos e materiais para potencializar o processo de escolarização desses estudantes (Brasil, 2022).</w:t>
      </w:r>
      <w:r w:rsidRPr="004122C8">
        <w:rPr>
          <w:rFonts w:eastAsia="Times New Roman"/>
          <w:sz w:val="24"/>
          <w:szCs w:val="24"/>
        </w:rPr>
        <w:t xml:space="preserve"> </w:t>
      </w:r>
    </w:p>
    <w:p w14:paraId="70964354" w14:textId="543D9810" w:rsidR="004122C8" w:rsidRPr="004122C8" w:rsidRDefault="00DA0A50" w:rsidP="004122C8">
      <w:pPr>
        <w:shd w:val="clear" w:color="auto" w:fill="FFFFFF"/>
        <w:spacing w:line="360" w:lineRule="auto"/>
        <w:ind w:firstLine="709"/>
        <w:jc w:val="both"/>
        <w:rPr>
          <w:color w:val="000000" w:themeColor="text1"/>
          <w:sz w:val="24"/>
          <w:szCs w:val="24"/>
        </w:rPr>
      </w:pPr>
      <w:r w:rsidRPr="004122C8">
        <w:rPr>
          <w:color w:val="000000" w:themeColor="text1"/>
          <w:sz w:val="24"/>
          <w:szCs w:val="24"/>
        </w:rPr>
        <w:t>Entre 2013 e 2023, o Brasil registrou um aumento significativo no número de escolas que ofertam AEE/</w:t>
      </w:r>
      <w:r w:rsidR="00F125A1">
        <w:rPr>
          <w:color w:val="000000" w:themeColor="text1"/>
          <w:sz w:val="24"/>
          <w:szCs w:val="24"/>
        </w:rPr>
        <w:t>sem (+83,5%)</w:t>
      </w:r>
      <w:r w:rsidRPr="004122C8">
        <w:rPr>
          <w:color w:val="000000" w:themeColor="text1"/>
          <w:sz w:val="24"/>
          <w:szCs w:val="24"/>
        </w:rPr>
        <w:t>, passando de 21,5 mil para 39,5 mil</w:t>
      </w:r>
      <w:r w:rsidR="00F125A1">
        <w:rPr>
          <w:color w:val="000000" w:themeColor="text1"/>
          <w:sz w:val="24"/>
          <w:szCs w:val="24"/>
        </w:rPr>
        <w:t xml:space="preserve">. </w:t>
      </w:r>
      <w:r w:rsidRPr="004122C8">
        <w:rPr>
          <w:color w:val="000000" w:themeColor="text1"/>
          <w:sz w:val="24"/>
          <w:szCs w:val="24"/>
        </w:rPr>
        <w:t xml:space="preserve">A região Nordeste registrou </w:t>
      </w:r>
      <w:r w:rsidRPr="00313F0B">
        <w:rPr>
          <w:color w:val="000000" w:themeColor="text1"/>
          <w:sz w:val="24"/>
          <w:szCs w:val="24"/>
        </w:rPr>
        <w:t>cerca de 11,0 mil escolas que ofertam AEE/</w:t>
      </w:r>
      <w:r w:rsidR="00F125A1">
        <w:rPr>
          <w:color w:val="000000" w:themeColor="text1"/>
          <w:sz w:val="24"/>
          <w:szCs w:val="24"/>
        </w:rPr>
        <w:t xml:space="preserve">sem </w:t>
      </w:r>
      <w:r w:rsidR="00F125A1" w:rsidRPr="004122C8">
        <w:rPr>
          <w:color w:val="000000" w:themeColor="text1"/>
          <w:sz w:val="24"/>
          <w:szCs w:val="24"/>
        </w:rPr>
        <w:t>em 2023</w:t>
      </w:r>
      <w:r w:rsidRPr="00313F0B">
        <w:rPr>
          <w:color w:val="000000" w:themeColor="text1"/>
          <w:sz w:val="24"/>
          <w:szCs w:val="24"/>
        </w:rPr>
        <w:t>, crescimento de 154,3% em relação a 2013. Já o Maranhão, por sua vez, registrou um crescimento de 193,5% saindo de 402 para 1.180</w:t>
      </w:r>
      <w:r w:rsidR="00F125A1">
        <w:rPr>
          <w:color w:val="000000" w:themeColor="text1"/>
          <w:sz w:val="24"/>
          <w:szCs w:val="24"/>
        </w:rPr>
        <w:t xml:space="preserve"> </w:t>
      </w:r>
      <w:r w:rsidR="00F125A1" w:rsidRPr="00313F0B">
        <w:rPr>
          <w:color w:val="000000" w:themeColor="text1"/>
          <w:sz w:val="24"/>
          <w:szCs w:val="24"/>
        </w:rPr>
        <w:t>escolas</w:t>
      </w:r>
      <w:r w:rsidR="00F125A1">
        <w:rPr>
          <w:color w:val="000000" w:themeColor="text1"/>
          <w:sz w:val="24"/>
          <w:szCs w:val="24"/>
        </w:rPr>
        <w:t>, respectivamente</w:t>
      </w:r>
      <w:r w:rsidRPr="00313F0B">
        <w:rPr>
          <w:color w:val="000000" w:themeColor="text1"/>
          <w:sz w:val="24"/>
          <w:szCs w:val="24"/>
        </w:rPr>
        <w:t xml:space="preserve">. </w:t>
      </w:r>
      <w:r w:rsidRPr="007928A4">
        <w:rPr>
          <w:color w:val="000000" w:themeColor="text1"/>
          <w:sz w:val="24"/>
          <w:szCs w:val="24"/>
        </w:rPr>
        <w:t xml:space="preserve">Observa-se também, o aumento no número de docentes com formação continuada específica para a EE entre 2013 e 2023: </w:t>
      </w:r>
      <w:r w:rsidR="00F125A1">
        <w:rPr>
          <w:color w:val="000000" w:themeColor="text1"/>
          <w:sz w:val="24"/>
          <w:szCs w:val="24"/>
        </w:rPr>
        <w:t>+</w:t>
      </w:r>
      <w:r w:rsidRPr="007928A4">
        <w:rPr>
          <w:color w:val="000000" w:themeColor="text1"/>
          <w:sz w:val="24"/>
          <w:szCs w:val="24"/>
        </w:rPr>
        <w:t xml:space="preserve">54,0% no Brasil, </w:t>
      </w:r>
      <w:r w:rsidR="00F125A1">
        <w:rPr>
          <w:color w:val="000000" w:themeColor="text1"/>
          <w:sz w:val="24"/>
          <w:szCs w:val="24"/>
        </w:rPr>
        <w:t>+</w:t>
      </w:r>
      <w:r w:rsidRPr="007928A4">
        <w:rPr>
          <w:color w:val="000000" w:themeColor="text1"/>
          <w:sz w:val="24"/>
          <w:szCs w:val="24"/>
        </w:rPr>
        <w:t xml:space="preserve">96,3% no Nordeste e </w:t>
      </w:r>
      <w:r w:rsidR="00F125A1">
        <w:rPr>
          <w:color w:val="000000" w:themeColor="text1"/>
          <w:sz w:val="24"/>
          <w:szCs w:val="24"/>
        </w:rPr>
        <w:t>+</w:t>
      </w:r>
      <w:r w:rsidRPr="007928A4">
        <w:rPr>
          <w:color w:val="000000" w:themeColor="text1"/>
          <w:sz w:val="24"/>
          <w:szCs w:val="24"/>
        </w:rPr>
        <w:t>95,7% no Maranhão</w:t>
      </w:r>
      <w:r>
        <w:rPr>
          <w:color w:val="000000" w:themeColor="text1"/>
          <w:sz w:val="24"/>
          <w:szCs w:val="24"/>
        </w:rPr>
        <w:t xml:space="preserve"> </w:t>
      </w:r>
      <w:r w:rsidRPr="00104E8F">
        <w:rPr>
          <w:color w:val="000000" w:themeColor="text1"/>
          <w:sz w:val="24"/>
          <w:szCs w:val="24"/>
        </w:rPr>
        <w:t>(</w:t>
      </w:r>
      <w:r w:rsidRPr="006C02FE">
        <w:rPr>
          <w:b/>
          <w:bCs/>
          <w:color w:val="000000" w:themeColor="text1"/>
          <w:sz w:val="24"/>
          <w:szCs w:val="24"/>
        </w:rPr>
        <w:t>Quadro 1</w:t>
      </w:r>
      <w:r w:rsidRPr="00104E8F">
        <w:rPr>
          <w:color w:val="000000" w:themeColor="text1"/>
          <w:sz w:val="24"/>
          <w:szCs w:val="24"/>
        </w:rPr>
        <w:t>).</w:t>
      </w:r>
      <w:r w:rsidRPr="004122C8">
        <w:rPr>
          <w:color w:val="000000" w:themeColor="text1"/>
          <w:sz w:val="24"/>
          <w:szCs w:val="24"/>
        </w:rPr>
        <w:t xml:space="preserve"> </w:t>
      </w:r>
    </w:p>
    <w:p w14:paraId="3A29A16B" w14:textId="2F9F54B2" w:rsidR="00DA0A50" w:rsidRDefault="00DA0A50" w:rsidP="002F73C9">
      <w:pPr>
        <w:shd w:val="clear" w:color="auto" w:fill="FFFFFF"/>
        <w:spacing w:line="330" w:lineRule="atLeast"/>
        <w:jc w:val="center"/>
        <w:rPr>
          <w:rFonts w:eastAsia="Times New Roman"/>
          <w:sz w:val="24"/>
          <w:szCs w:val="24"/>
        </w:rPr>
      </w:pPr>
    </w:p>
    <w:p w14:paraId="07E850A5" w14:textId="0E8FE1AD" w:rsidR="00DA0A50" w:rsidRDefault="00DA0A50" w:rsidP="002F73C9">
      <w:pPr>
        <w:shd w:val="clear" w:color="auto" w:fill="FFFFFF"/>
        <w:spacing w:line="360" w:lineRule="auto"/>
        <w:jc w:val="center"/>
      </w:pPr>
      <w:r w:rsidRPr="002F73C9">
        <w:rPr>
          <w:b/>
          <w:sz w:val="24"/>
        </w:rPr>
        <w:t>Quadro 1</w:t>
      </w:r>
      <w:r w:rsidRPr="002F73C9">
        <w:rPr>
          <w:sz w:val="24"/>
        </w:rPr>
        <w:t xml:space="preserve"> - Escolas que ofertam AEE/SRM e percentual em relação ao total de escolas da Educação Básica e </w:t>
      </w:r>
      <w:r w:rsidRPr="002F73C9">
        <w:rPr>
          <w:rFonts w:eastAsiaTheme="minorHAnsi"/>
          <w:sz w:val="24"/>
        </w:rPr>
        <w:t>Docentes com Formação Continuada Específica e percentual em relação ao total de docentes na EE</w:t>
      </w:r>
      <w:r w:rsidRPr="002F73C9">
        <w:rPr>
          <w:sz w:val="24"/>
        </w:rPr>
        <w:t>, no Brasil, Nordeste e Maranhão – 2013, 2018 e 2023</w:t>
      </w:r>
    </w:p>
    <w:tbl>
      <w:tblPr>
        <w:tblW w:w="9562" w:type="dxa"/>
        <w:tblCellMar>
          <w:left w:w="70" w:type="dxa"/>
          <w:right w:w="70" w:type="dxa"/>
        </w:tblCellMar>
        <w:tblLook w:val="04A0" w:firstRow="1" w:lastRow="0" w:firstColumn="1" w:lastColumn="0" w:noHBand="0" w:noVBand="1"/>
      </w:tblPr>
      <w:tblGrid>
        <w:gridCol w:w="831"/>
        <w:gridCol w:w="785"/>
        <w:gridCol w:w="553"/>
        <w:gridCol w:w="785"/>
        <w:gridCol w:w="553"/>
        <w:gridCol w:w="773"/>
        <w:gridCol w:w="555"/>
        <w:gridCol w:w="838"/>
        <w:gridCol w:w="901"/>
        <w:gridCol w:w="553"/>
        <w:gridCol w:w="785"/>
        <w:gridCol w:w="437"/>
        <w:gridCol w:w="773"/>
        <w:gridCol w:w="440"/>
      </w:tblGrid>
      <w:tr w:rsidR="00DA0A50" w:rsidRPr="00C31805" w14:paraId="6EE4D590" w14:textId="77777777" w:rsidTr="00313F0B">
        <w:trPr>
          <w:trHeight w:val="749"/>
        </w:trPr>
        <w:tc>
          <w:tcPr>
            <w:tcW w:w="4835" w:type="dxa"/>
            <w:gridSpan w:val="7"/>
            <w:tcBorders>
              <w:top w:val="single" w:sz="4" w:space="0" w:color="5AA2AE"/>
              <w:left w:val="single" w:sz="4" w:space="0" w:color="5AA2AE"/>
              <w:bottom w:val="single" w:sz="4" w:space="0" w:color="5AA2AE"/>
              <w:right w:val="single" w:sz="4" w:space="0" w:color="5AA2AE"/>
            </w:tcBorders>
            <w:shd w:val="clear" w:color="000000" w:fill="4A66AC"/>
            <w:vAlign w:val="center"/>
            <w:hideMark/>
          </w:tcPr>
          <w:p w14:paraId="542FB790" w14:textId="77777777" w:rsidR="00DA0A50" w:rsidRPr="002F73C9" w:rsidRDefault="00DA0A50" w:rsidP="00313F0B">
            <w:pPr>
              <w:spacing w:line="240" w:lineRule="auto"/>
              <w:jc w:val="center"/>
              <w:rPr>
                <w:rFonts w:eastAsia="Times New Roman"/>
                <w:b/>
                <w:bCs/>
                <w:color w:val="FFFFFF"/>
                <w:sz w:val="20"/>
                <w:szCs w:val="20"/>
              </w:rPr>
            </w:pPr>
            <w:r w:rsidRPr="002F73C9">
              <w:rPr>
                <w:rFonts w:eastAsia="Times New Roman"/>
                <w:b/>
                <w:bCs/>
                <w:color w:val="FFFFFF"/>
                <w:sz w:val="20"/>
                <w:szCs w:val="20"/>
              </w:rPr>
              <w:t>Escolas que ofertam AEE/SRM e percentual em relação ao total de escolas da EB</w:t>
            </w:r>
          </w:p>
        </w:tc>
        <w:tc>
          <w:tcPr>
            <w:tcW w:w="4727" w:type="dxa"/>
            <w:gridSpan w:val="7"/>
            <w:tcBorders>
              <w:top w:val="single" w:sz="4" w:space="0" w:color="5AA2AE"/>
              <w:left w:val="nil"/>
              <w:bottom w:val="single" w:sz="4" w:space="0" w:color="5AA2AE"/>
              <w:right w:val="single" w:sz="4" w:space="0" w:color="5AA2AE"/>
            </w:tcBorders>
            <w:shd w:val="clear" w:color="000000" w:fill="4A66AC"/>
            <w:vAlign w:val="center"/>
            <w:hideMark/>
          </w:tcPr>
          <w:p w14:paraId="45A1E541" w14:textId="77777777" w:rsidR="00DA0A50" w:rsidRPr="002F73C9" w:rsidRDefault="00DA0A50" w:rsidP="00313F0B">
            <w:pPr>
              <w:spacing w:line="240" w:lineRule="auto"/>
              <w:jc w:val="center"/>
              <w:rPr>
                <w:rFonts w:eastAsia="Times New Roman"/>
                <w:b/>
                <w:bCs/>
                <w:color w:val="FFFFFF"/>
                <w:sz w:val="20"/>
                <w:szCs w:val="20"/>
              </w:rPr>
            </w:pPr>
            <w:r w:rsidRPr="002F73C9">
              <w:rPr>
                <w:rFonts w:eastAsia="Times New Roman"/>
                <w:b/>
                <w:bCs/>
                <w:color w:val="FFFFFF"/>
                <w:sz w:val="20"/>
                <w:szCs w:val="20"/>
              </w:rPr>
              <w:t>Docentes com Formação Continuada Específica e percentual em relação ao total de docentes na EE</w:t>
            </w:r>
          </w:p>
        </w:tc>
      </w:tr>
      <w:tr w:rsidR="00DA0A50" w:rsidRPr="00C31805" w14:paraId="41258983" w14:textId="77777777" w:rsidTr="00313F0B">
        <w:trPr>
          <w:trHeight w:val="365"/>
        </w:trPr>
        <w:tc>
          <w:tcPr>
            <w:tcW w:w="831" w:type="dxa"/>
            <w:vMerge w:val="restart"/>
            <w:tcBorders>
              <w:top w:val="nil"/>
              <w:left w:val="single" w:sz="4" w:space="0" w:color="5AA2AE"/>
              <w:bottom w:val="single" w:sz="4" w:space="0" w:color="5AA2AE"/>
              <w:right w:val="single" w:sz="4" w:space="0" w:color="5AA2AE"/>
            </w:tcBorders>
            <w:shd w:val="clear" w:color="000000" w:fill="4A66AC"/>
            <w:vAlign w:val="center"/>
            <w:hideMark/>
          </w:tcPr>
          <w:p w14:paraId="5BE1E52E" w14:textId="77777777" w:rsidR="00DA0A50" w:rsidRPr="002F73C9" w:rsidRDefault="00DA0A50" w:rsidP="00313F0B">
            <w:pPr>
              <w:spacing w:line="240" w:lineRule="auto"/>
              <w:jc w:val="center"/>
              <w:rPr>
                <w:rFonts w:eastAsia="Times New Roman"/>
                <w:b/>
                <w:bCs/>
                <w:color w:val="FFFFFF"/>
                <w:sz w:val="20"/>
                <w:szCs w:val="20"/>
              </w:rPr>
            </w:pPr>
            <w:r w:rsidRPr="002F73C9">
              <w:rPr>
                <w:rFonts w:eastAsia="Times New Roman"/>
                <w:b/>
                <w:bCs/>
                <w:color w:val="FFFFFF"/>
                <w:sz w:val="20"/>
                <w:szCs w:val="20"/>
              </w:rPr>
              <w:t>Ano</w:t>
            </w:r>
          </w:p>
        </w:tc>
        <w:tc>
          <w:tcPr>
            <w:tcW w:w="1338" w:type="dxa"/>
            <w:gridSpan w:val="2"/>
            <w:tcBorders>
              <w:top w:val="single" w:sz="4" w:space="0" w:color="5AA2AE"/>
              <w:left w:val="nil"/>
              <w:bottom w:val="single" w:sz="4" w:space="0" w:color="5AA2AE"/>
              <w:right w:val="single" w:sz="4" w:space="0" w:color="5AA2AE"/>
            </w:tcBorders>
            <w:shd w:val="clear" w:color="000000" w:fill="4A66AC"/>
            <w:noWrap/>
            <w:vAlign w:val="center"/>
            <w:hideMark/>
          </w:tcPr>
          <w:p w14:paraId="0421F6E6" w14:textId="77777777" w:rsidR="00DA0A50" w:rsidRPr="002F73C9" w:rsidRDefault="00DA0A50" w:rsidP="00313F0B">
            <w:pPr>
              <w:spacing w:line="240" w:lineRule="auto"/>
              <w:jc w:val="center"/>
              <w:rPr>
                <w:rFonts w:eastAsia="Times New Roman"/>
                <w:b/>
                <w:bCs/>
                <w:color w:val="FFFFFF"/>
                <w:sz w:val="20"/>
                <w:szCs w:val="20"/>
              </w:rPr>
            </w:pPr>
            <w:r w:rsidRPr="002F73C9">
              <w:rPr>
                <w:rFonts w:eastAsia="Times New Roman"/>
                <w:b/>
                <w:bCs/>
                <w:color w:val="FFFFFF"/>
                <w:sz w:val="20"/>
                <w:szCs w:val="20"/>
              </w:rPr>
              <w:t>Brasil</w:t>
            </w:r>
          </w:p>
        </w:tc>
        <w:tc>
          <w:tcPr>
            <w:tcW w:w="1338" w:type="dxa"/>
            <w:gridSpan w:val="2"/>
            <w:tcBorders>
              <w:top w:val="single" w:sz="4" w:space="0" w:color="5AA2AE"/>
              <w:left w:val="nil"/>
              <w:bottom w:val="single" w:sz="4" w:space="0" w:color="5AA2AE"/>
              <w:right w:val="single" w:sz="4" w:space="0" w:color="5AA2AE"/>
            </w:tcBorders>
            <w:shd w:val="clear" w:color="000000" w:fill="4A66AC"/>
            <w:noWrap/>
            <w:vAlign w:val="center"/>
            <w:hideMark/>
          </w:tcPr>
          <w:p w14:paraId="26097939" w14:textId="77777777" w:rsidR="00DA0A50" w:rsidRPr="002F73C9" w:rsidRDefault="00DA0A50" w:rsidP="00313F0B">
            <w:pPr>
              <w:spacing w:line="240" w:lineRule="auto"/>
              <w:jc w:val="center"/>
              <w:rPr>
                <w:rFonts w:eastAsia="Times New Roman"/>
                <w:b/>
                <w:bCs/>
                <w:color w:val="FFFFFF"/>
                <w:sz w:val="20"/>
                <w:szCs w:val="20"/>
              </w:rPr>
            </w:pPr>
            <w:r w:rsidRPr="002F73C9">
              <w:rPr>
                <w:rFonts w:eastAsia="Times New Roman"/>
                <w:b/>
                <w:bCs/>
                <w:color w:val="FFFFFF"/>
                <w:sz w:val="20"/>
                <w:szCs w:val="20"/>
              </w:rPr>
              <w:t>Nordeste</w:t>
            </w:r>
          </w:p>
        </w:tc>
        <w:tc>
          <w:tcPr>
            <w:tcW w:w="1328" w:type="dxa"/>
            <w:gridSpan w:val="2"/>
            <w:tcBorders>
              <w:top w:val="single" w:sz="4" w:space="0" w:color="5AA2AE"/>
              <w:left w:val="nil"/>
              <w:bottom w:val="single" w:sz="4" w:space="0" w:color="5AA2AE"/>
              <w:right w:val="single" w:sz="4" w:space="0" w:color="5AA2AE"/>
            </w:tcBorders>
            <w:shd w:val="clear" w:color="000000" w:fill="4A66AC"/>
            <w:noWrap/>
            <w:vAlign w:val="center"/>
            <w:hideMark/>
          </w:tcPr>
          <w:p w14:paraId="547C44DD" w14:textId="77777777" w:rsidR="00DA0A50" w:rsidRPr="002F73C9" w:rsidRDefault="00DA0A50" w:rsidP="00313F0B">
            <w:pPr>
              <w:spacing w:line="240" w:lineRule="auto"/>
              <w:jc w:val="center"/>
              <w:rPr>
                <w:rFonts w:eastAsia="Times New Roman"/>
                <w:b/>
                <w:bCs/>
                <w:color w:val="FFFFFF"/>
                <w:sz w:val="20"/>
                <w:szCs w:val="20"/>
              </w:rPr>
            </w:pPr>
            <w:r w:rsidRPr="002F73C9">
              <w:rPr>
                <w:rFonts w:eastAsia="Times New Roman"/>
                <w:b/>
                <w:bCs/>
                <w:color w:val="FFFFFF"/>
                <w:sz w:val="20"/>
                <w:szCs w:val="20"/>
              </w:rPr>
              <w:t>Maranhão</w:t>
            </w:r>
          </w:p>
        </w:tc>
        <w:tc>
          <w:tcPr>
            <w:tcW w:w="838" w:type="dxa"/>
            <w:vMerge w:val="restart"/>
            <w:tcBorders>
              <w:top w:val="nil"/>
              <w:left w:val="single" w:sz="4" w:space="0" w:color="5AA2AE"/>
              <w:bottom w:val="single" w:sz="4" w:space="0" w:color="5AA2AE"/>
              <w:right w:val="single" w:sz="4" w:space="0" w:color="5AA2AE"/>
            </w:tcBorders>
            <w:shd w:val="clear" w:color="000000" w:fill="4A66AC"/>
            <w:vAlign w:val="center"/>
            <w:hideMark/>
          </w:tcPr>
          <w:p w14:paraId="3E6AC53A" w14:textId="77777777" w:rsidR="00DA0A50" w:rsidRPr="002F73C9" w:rsidRDefault="00DA0A50" w:rsidP="00313F0B">
            <w:pPr>
              <w:spacing w:line="240" w:lineRule="auto"/>
              <w:jc w:val="center"/>
              <w:rPr>
                <w:rFonts w:eastAsia="Times New Roman"/>
                <w:b/>
                <w:bCs/>
                <w:color w:val="FFFFFF"/>
                <w:sz w:val="20"/>
                <w:szCs w:val="20"/>
              </w:rPr>
            </w:pPr>
            <w:r w:rsidRPr="002F73C9">
              <w:rPr>
                <w:rFonts w:eastAsia="Times New Roman"/>
                <w:b/>
                <w:bCs/>
                <w:color w:val="FFFFFF"/>
                <w:sz w:val="20"/>
                <w:szCs w:val="20"/>
              </w:rPr>
              <w:t>Ano</w:t>
            </w:r>
          </w:p>
        </w:tc>
        <w:tc>
          <w:tcPr>
            <w:tcW w:w="1454" w:type="dxa"/>
            <w:gridSpan w:val="2"/>
            <w:tcBorders>
              <w:top w:val="single" w:sz="4" w:space="0" w:color="5AA2AE"/>
              <w:left w:val="nil"/>
              <w:bottom w:val="single" w:sz="4" w:space="0" w:color="5AA2AE"/>
              <w:right w:val="single" w:sz="4" w:space="0" w:color="5AA2AE"/>
            </w:tcBorders>
            <w:shd w:val="clear" w:color="000000" w:fill="4A66AC"/>
            <w:noWrap/>
            <w:vAlign w:val="center"/>
            <w:hideMark/>
          </w:tcPr>
          <w:p w14:paraId="211D0DFA" w14:textId="77777777" w:rsidR="00DA0A50" w:rsidRPr="002F73C9" w:rsidRDefault="00DA0A50" w:rsidP="00313F0B">
            <w:pPr>
              <w:spacing w:line="240" w:lineRule="auto"/>
              <w:jc w:val="center"/>
              <w:rPr>
                <w:rFonts w:eastAsia="Times New Roman"/>
                <w:b/>
                <w:bCs/>
                <w:color w:val="FFFFFF"/>
                <w:sz w:val="20"/>
                <w:szCs w:val="20"/>
              </w:rPr>
            </w:pPr>
            <w:r w:rsidRPr="002F73C9">
              <w:rPr>
                <w:rFonts w:eastAsia="Times New Roman"/>
                <w:b/>
                <w:bCs/>
                <w:color w:val="FFFFFF"/>
                <w:sz w:val="20"/>
                <w:szCs w:val="20"/>
              </w:rPr>
              <w:t>Brasil</w:t>
            </w:r>
          </w:p>
        </w:tc>
        <w:tc>
          <w:tcPr>
            <w:tcW w:w="1222" w:type="dxa"/>
            <w:gridSpan w:val="2"/>
            <w:tcBorders>
              <w:top w:val="single" w:sz="4" w:space="0" w:color="5AA2AE"/>
              <w:left w:val="nil"/>
              <w:bottom w:val="single" w:sz="4" w:space="0" w:color="5AA2AE"/>
              <w:right w:val="single" w:sz="4" w:space="0" w:color="5AA2AE"/>
            </w:tcBorders>
            <w:shd w:val="clear" w:color="000000" w:fill="4A66AC"/>
            <w:noWrap/>
            <w:vAlign w:val="center"/>
            <w:hideMark/>
          </w:tcPr>
          <w:p w14:paraId="72ADE35E" w14:textId="77777777" w:rsidR="00DA0A50" w:rsidRPr="002F73C9" w:rsidRDefault="00DA0A50" w:rsidP="00313F0B">
            <w:pPr>
              <w:spacing w:line="240" w:lineRule="auto"/>
              <w:jc w:val="center"/>
              <w:rPr>
                <w:rFonts w:eastAsia="Times New Roman"/>
                <w:b/>
                <w:bCs/>
                <w:color w:val="FFFFFF"/>
                <w:sz w:val="20"/>
                <w:szCs w:val="20"/>
              </w:rPr>
            </w:pPr>
            <w:r w:rsidRPr="002F73C9">
              <w:rPr>
                <w:rFonts w:eastAsia="Times New Roman"/>
                <w:b/>
                <w:bCs/>
                <w:color w:val="FFFFFF"/>
                <w:sz w:val="20"/>
                <w:szCs w:val="20"/>
              </w:rPr>
              <w:t>Nordeste</w:t>
            </w:r>
          </w:p>
        </w:tc>
        <w:tc>
          <w:tcPr>
            <w:tcW w:w="1213" w:type="dxa"/>
            <w:gridSpan w:val="2"/>
            <w:tcBorders>
              <w:top w:val="single" w:sz="4" w:space="0" w:color="5AA2AE"/>
              <w:left w:val="nil"/>
              <w:bottom w:val="single" w:sz="4" w:space="0" w:color="5AA2AE"/>
              <w:right w:val="single" w:sz="4" w:space="0" w:color="5AA2AE"/>
            </w:tcBorders>
            <w:shd w:val="clear" w:color="000000" w:fill="4A66AC"/>
            <w:noWrap/>
            <w:vAlign w:val="center"/>
            <w:hideMark/>
          </w:tcPr>
          <w:p w14:paraId="13F88C28" w14:textId="77777777" w:rsidR="00DA0A50" w:rsidRPr="002F73C9" w:rsidRDefault="00DA0A50" w:rsidP="00313F0B">
            <w:pPr>
              <w:spacing w:line="240" w:lineRule="auto"/>
              <w:jc w:val="center"/>
              <w:rPr>
                <w:rFonts w:eastAsia="Times New Roman"/>
                <w:b/>
                <w:bCs/>
                <w:color w:val="FFFFFF"/>
                <w:sz w:val="20"/>
                <w:szCs w:val="20"/>
              </w:rPr>
            </w:pPr>
            <w:r w:rsidRPr="002F73C9">
              <w:rPr>
                <w:rFonts w:eastAsia="Times New Roman"/>
                <w:b/>
                <w:bCs/>
                <w:color w:val="FFFFFF"/>
                <w:sz w:val="20"/>
                <w:szCs w:val="20"/>
              </w:rPr>
              <w:t>Maranhão</w:t>
            </w:r>
          </w:p>
        </w:tc>
      </w:tr>
      <w:tr w:rsidR="00DA0A50" w:rsidRPr="00C31805" w14:paraId="6FCCCCDC" w14:textId="77777777" w:rsidTr="00313F0B">
        <w:trPr>
          <w:trHeight w:val="365"/>
        </w:trPr>
        <w:tc>
          <w:tcPr>
            <w:tcW w:w="831" w:type="dxa"/>
            <w:vMerge/>
            <w:tcBorders>
              <w:top w:val="nil"/>
              <w:left w:val="single" w:sz="4" w:space="0" w:color="5AA2AE"/>
              <w:bottom w:val="single" w:sz="4" w:space="0" w:color="5AA2AE"/>
              <w:right w:val="single" w:sz="4" w:space="0" w:color="5AA2AE"/>
            </w:tcBorders>
            <w:vAlign w:val="center"/>
            <w:hideMark/>
          </w:tcPr>
          <w:p w14:paraId="58193C28" w14:textId="77777777" w:rsidR="00DA0A50" w:rsidRPr="002F73C9" w:rsidRDefault="00DA0A50" w:rsidP="00313F0B">
            <w:pPr>
              <w:spacing w:line="240" w:lineRule="auto"/>
              <w:rPr>
                <w:rFonts w:eastAsia="Times New Roman"/>
                <w:b/>
                <w:bCs/>
                <w:color w:val="FFFFFF"/>
                <w:sz w:val="20"/>
                <w:szCs w:val="20"/>
              </w:rPr>
            </w:pPr>
          </w:p>
        </w:tc>
        <w:tc>
          <w:tcPr>
            <w:tcW w:w="785" w:type="dxa"/>
            <w:tcBorders>
              <w:top w:val="nil"/>
              <w:left w:val="nil"/>
              <w:bottom w:val="single" w:sz="4" w:space="0" w:color="5AA2AE"/>
              <w:right w:val="single" w:sz="4" w:space="0" w:color="5AA2AE"/>
            </w:tcBorders>
            <w:shd w:val="clear" w:color="000000" w:fill="629DD1"/>
            <w:noWrap/>
            <w:vAlign w:val="center"/>
            <w:hideMark/>
          </w:tcPr>
          <w:p w14:paraId="5B25B501" w14:textId="77777777" w:rsidR="00DA0A50" w:rsidRPr="0075714A" w:rsidRDefault="00DA0A50" w:rsidP="00313F0B">
            <w:pPr>
              <w:spacing w:line="240" w:lineRule="auto"/>
              <w:jc w:val="center"/>
              <w:rPr>
                <w:rFonts w:eastAsia="Times New Roman"/>
                <w:color w:val="FFFFFF"/>
                <w:sz w:val="20"/>
                <w:szCs w:val="20"/>
              </w:rPr>
            </w:pPr>
            <w:r w:rsidRPr="0075714A">
              <w:rPr>
                <w:rFonts w:eastAsia="Times New Roman"/>
                <w:color w:val="FFFFFF"/>
                <w:sz w:val="20"/>
                <w:szCs w:val="20"/>
              </w:rPr>
              <w:t>Quant.</w:t>
            </w:r>
          </w:p>
        </w:tc>
        <w:tc>
          <w:tcPr>
            <w:tcW w:w="553" w:type="dxa"/>
            <w:tcBorders>
              <w:top w:val="nil"/>
              <w:left w:val="nil"/>
              <w:bottom w:val="single" w:sz="4" w:space="0" w:color="5AA2AE"/>
              <w:right w:val="single" w:sz="4" w:space="0" w:color="5AA2AE"/>
            </w:tcBorders>
            <w:shd w:val="clear" w:color="000000" w:fill="629DD1"/>
            <w:noWrap/>
            <w:vAlign w:val="center"/>
            <w:hideMark/>
          </w:tcPr>
          <w:p w14:paraId="509DC579" w14:textId="77777777" w:rsidR="00DA0A50" w:rsidRPr="0075714A" w:rsidRDefault="00DA0A50" w:rsidP="00313F0B">
            <w:pPr>
              <w:spacing w:line="240" w:lineRule="auto"/>
              <w:jc w:val="center"/>
              <w:rPr>
                <w:rFonts w:eastAsia="Times New Roman"/>
                <w:color w:val="FFFFFF"/>
                <w:sz w:val="20"/>
                <w:szCs w:val="20"/>
              </w:rPr>
            </w:pPr>
            <w:r w:rsidRPr="0075714A">
              <w:rPr>
                <w:rFonts w:eastAsia="Times New Roman"/>
                <w:color w:val="FFFFFF"/>
                <w:sz w:val="20"/>
                <w:szCs w:val="20"/>
              </w:rPr>
              <w:t>%</w:t>
            </w:r>
          </w:p>
        </w:tc>
        <w:tc>
          <w:tcPr>
            <w:tcW w:w="785" w:type="dxa"/>
            <w:tcBorders>
              <w:top w:val="nil"/>
              <w:left w:val="nil"/>
              <w:bottom w:val="single" w:sz="4" w:space="0" w:color="5AA2AE"/>
              <w:right w:val="single" w:sz="4" w:space="0" w:color="5AA2AE"/>
            </w:tcBorders>
            <w:shd w:val="clear" w:color="000000" w:fill="629DD1"/>
            <w:noWrap/>
            <w:vAlign w:val="center"/>
            <w:hideMark/>
          </w:tcPr>
          <w:p w14:paraId="4FAD9231" w14:textId="77777777" w:rsidR="00DA0A50" w:rsidRPr="0075714A" w:rsidRDefault="00DA0A50" w:rsidP="00313F0B">
            <w:pPr>
              <w:spacing w:line="240" w:lineRule="auto"/>
              <w:jc w:val="center"/>
              <w:rPr>
                <w:rFonts w:eastAsia="Times New Roman"/>
                <w:color w:val="FFFFFF"/>
                <w:sz w:val="20"/>
                <w:szCs w:val="20"/>
              </w:rPr>
            </w:pPr>
            <w:r w:rsidRPr="0075714A">
              <w:rPr>
                <w:rFonts w:eastAsia="Times New Roman"/>
                <w:color w:val="FFFFFF"/>
                <w:sz w:val="20"/>
                <w:szCs w:val="20"/>
              </w:rPr>
              <w:t>Quant.</w:t>
            </w:r>
          </w:p>
        </w:tc>
        <w:tc>
          <w:tcPr>
            <w:tcW w:w="553" w:type="dxa"/>
            <w:tcBorders>
              <w:top w:val="nil"/>
              <w:left w:val="nil"/>
              <w:bottom w:val="single" w:sz="4" w:space="0" w:color="5AA2AE"/>
              <w:right w:val="single" w:sz="4" w:space="0" w:color="5AA2AE"/>
            </w:tcBorders>
            <w:shd w:val="clear" w:color="000000" w:fill="629DD1"/>
            <w:noWrap/>
            <w:vAlign w:val="center"/>
            <w:hideMark/>
          </w:tcPr>
          <w:p w14:paraId="50CE3678" w14:textId="77777777" w:rsidR="00DA0A50" w:rsidRPr="0075714A" w:rsidRDefault="00DA0A50" w:rsidP="00313F0B">
            <w:pPr>
              <w:spacing w:line="240" w:lineRule="auto"/>
              <w:jc w:val="center"/>
              <w:rPr>
                <w:rFonts w:eastAsia="Times New Roman"/>
                <w:color w:val="FFFFFF"/>
                <w:sz w:val="20"/>
                <w:szCs w:val="20"/>
              </w:rPr>
            </w:pPr>
            <w:r w:rsidRPr="0075714A">
              <w:rPr>
                <w:rFonts w:eastAsia="Times New Roman"/>
                <w:color w:val="FFFFFF"/>
                <w:sz w:val="20"/>
                <w:szCs w:val="20"/>
              </w:rPr>
              <w:t>%</w:t>
            </w:r>
          </w:p>
        </w:tc>
        <w:tc>
          <w:tcPr>
            <w:tcW w:w="773" w:type="dxa"/>
            <w:tcBorders>
              <w:top w:val="nil"/>
              <w:left w:val="nil"/>
              <w:bottom w:val="single" w:sz="4" w:space="0" w:color="5AA2AE"/>
              <w:right w:val="single" w:sz="4" w:space="0" w:color="5AA2AE"/>
            </w:tcBorders>
            <w:shd w:val="clear" w:color="000000" w:fill="629DD1"/>
            <w:noWrap/>
            <w:vAlign w:val="center"/>
            <w:hideMark/>
          </w:tcPr>
          <w:p w14:paraId="120C7D2D" w14:textId="77777777" w:rsidR="00DA0A50" w:rsidRPr="0075714A" w:rsidRDefault="00DA0A50" w:rsidP="00313F0B">
            <w:pPr>
              <w:spacing w:line="240" w:lineRule="auto"/>
              <w:jc w:val="center"/>
              <w:rPr>
                <w:rFonts w:eastAsia="Times New Roman"/>
                <w:color w:val="FFFFFF"/>
                <w:sz w:val="20"/>
                <w:szCs w:val="20"/>
              </w:rPr>
            </w:pPr>
            <w:r w:rsidRPr="0075714A">
              <w:rPr>
                <w:rFonts w:eastAsia="Times New Roman"/>
                <w:color w:val="FFFFFF"/>
                <w:sz w:val="20"/>
                <w:szCs w:val="20"/>
              </w:rPr>
              <w:t>Quant.</w:t>
            </w:r>
          </w:p>
        </w:tc>
        <w:tc>
          <w:tcPr>
            <w:tcW w:w="555" w:type="dxa"/>
            <w:tcBorders>
              <w:top w:val="nil"/>
              <w:left w:val="nil"/>
              <w:bottom w:val="single" w:sz="4" w:space="0" w:color="5AA2AE"/>
              <w:right w:val="single" w:sz="4" w:space="0" w:color="5AA2AE"/>
            </w:tcBorders>
            <w:shd w:val="clear" w:color="000000" w:fill="629DD1"/>
            <w:noWrap/>
            <w:vAlign w:val="center"/>
            <w:hideMark/>
          </w:tcPr>
          <w:p w14:paraId="042AEA30" w14:textId="77777777" w:rsidR="00DA0A50" w:rsidRPr="0075714A" w:rsidRDefault="00DA0A50" w:rsidP="00313F0B">
            <w:pPr>
              <w:spacing w:line="240" w:lineRule="auto"/>
              <w:jc w:val="center"/>
              <w:rPr>
                <w:rFonts w:eastAsia="Times New Roman"/>
                <w:color w:val="FFFFFF"/>
                <w:sz w:val="20"/>
                <w:szCs w:val="20"/>
              </w:rPr>
            </w:pPr>
            <w:r w:rsidRPr="0075714A">
              <w:rPr>
                <w:rFonts w:eastAsia="Times New Roman"/>
                <w:color w:val="FFFFFF"/>
                <w:sz w:val="20"/>
                <w:szCs w:val="20"/>
              </w:rPr>
              <w:t>%</w:t>
            </w:r>
          </w:p>
        </w:tc>
        <w:tc>
          <w:tcPr>
            <w:tcW w:w="838" w:type="dxa"/>
            <w:vMerge/>
            <w:tcBorders>
              <w:top w:val="nil"/>
              <w:left w:val="single" w:sz="4" w:space="0" w:color="5AA2AE"/>
              <w:bottom w:val="single" w:sz="4" w:space="0" w:color="5AA2AE"/>
              <w:right w:val="single" w:sz="4" w:space="0" w:color="5AA2AE"/>
            </w:tcBorders>
            <w:vAlign w:val="center"/>
            <w:hideMark/>
          </w:tcPr>
          <w:p w14:paraId="7D66E7CF" w14:textId="77777777" w:rsidR="00DA0A50" w:rsidRPr="002F73C9" w:rsidRDefault="00DA0A50" w:rsidP="00313F0B">
            <w:pPr>
              <w:spacing w:line="240" w:lineRule="auto"/>
              <w:rPr>
                <w:rFonts w:eastAsia="Times New Roman"/>
                <w:b/>
                <w:bCs/>
                <w:color w:val="FFFFFF"/>
                <w:sz w:val="20"/>
                <w:szCs w:val="20"/>
              </w:rPr>
            </w:pPr>
          </w:p>
        </w:tc>
        <w:tc>
          <w:tcPr>
            <w:tcW w:w="901" w:type="dxa"/>
            <w:tcBorders>
              <w:top w:val="nil"/>
              <w:left w:val="nil"/>
              <w:bottom w:val="single" w:sz="4" w:space="0" w:color="5AA2AE"/>
              <w:right w:val="single" w:sz="4" w:space="0" w:color="5AA2AE"/>
            </w:tcBorders>
            <w:shd w:val="clear" w:color="000000" w:fill="629DD1"/>
            <w:noWrap/>
            <w:vAlign w:val="center"/>
            <w:hideMark/>
          </w:tcPr>
          <w:p w14:paraId="6FD7EF20" w14:textId="77777777" w:rsidR="00DA0A50" w:rsidRPr="0075714A" w:rsidRDefault="00DA0A50" w:rsidP="00313F0B">
            <w:pPr>
              <w:spacing w:line="240" w:lineRule="auto"/>
              <w:jc w:val="center"/>
              <w:rPr>
                <w:rFonts w:eastAsia="Times New Roman"/>
                <w:color w:val="FFFFFF"/>
                <w:sz w:val="20"/>
                <w:szCs w:val="20"/>
              </w:rPr>
            </w:pPr>
            <w:r w:rsidRPr="0075714A">
              <w:rPr>
                <w:rFonts w:eastAsia="Times New Roman"/>
                <w:color w:val="FFFFFF"/>
                <w:sz w:val="20"/>
                <w:szCs w:val="20"/>
              </w:rPr>
              <w:t>Quant.</w:t>
            </w:r>
          </w:p>
        </w:tc>
        <w:tc>
          <w:tcPr>
            <w:tcW w:w="553" w:type="dxa"/>
            <w:tcBorders>
              <w:top w:val="nil"/>
              <w:left w:val="nil"/>
              <w:bottom w:val="single" w:sz="4" w:space="0" w:color="5AA2AE"/>
              <w:right w:val="single" w:sz="4" w:space="0" w:color="5AA2AE"/>
            </w:tcBorders>
            <w:shd w:val="clear" w:color="000000" w:fill="629DD1"/>
            <w:noWrap/>
            <w:vAlign w:val="center"/>
            <w:hideMark/>
          </w:tcPr>
          <w:p w14:paraId="49FD9370" w14:textId="77777777" w:rsidR="00DA0A50" w:rsidRPr="0075714A" w:rsidRDefault="00DA0A50" w:rsidP="00313F0B">
            <w:pPr>
              <w:spacing w:line="240" w:lineRule="auto"/>
              <w:jc w:val="center"/>
              <w:rPr>
                <w:rFonts w:eastAsia="Times New Roman"/>
                <w:color w:val="FFFFFF"/>
                <w:sz w:val="20"/>
                <w:szCs w:val="20"/>
              </w:rPr>
            </w:pPr>
            <w:r w:rsidRPr="0075714A">
              <w:rPr>
                <w:rFonts w:eastAsia="Times New Roman"/>
                <w:color w:val="FFFFFF"/>
                <w:sz w:val="20"/>
                <w:szCs w:val="20"/>
              </w:rPr>
              <w:t>%</w:t>
            </w:r>
          </w:p>
        </w:tc>
        <w:tc>
          <w:tcPr>
            <w:tcW w:w="785" w:type="dxa"/>
            <w:tcBorders>
              <w:top w:val="nil"/>
              <w:left w:val="nil"/>
              <w:bottom w:val="single" w:sz="4" w:space="0" w:color="5AA2AE"/>
              <w:right w:val="single" w:sz="4" w:space="0" w:color="5AA2AE"/>
            </w:tcBorders>
            <w:shd w:val="clear" w:color="000000" w:fill="629DD1"/>
            <w:noWrap/>
            <w:vAlign w:val="center"/>
            <w:hideMark/>
          </w:tcPr>
          <w:p w14:paraId="200E106C" w14:textId="77777777" w:rsidR="00DA0A50" w:rsidRPr="0075714A" w:rsidRDefault="00DA0A50" w:rsidP="00313F0B">
            <w:pPr>
              <w:spacing w:line="240" w:lineRule="auto"/>
              <w:jc w:val="center"/>
              <w:rPr>
                <w:rFonts w:eastAsia="Times New Roman"/>
                <w:color w:val="FFFFFF"/>
                <w:sz w:val="20"/>
                <w:szCs w:val="20"/>
              </w:rPr>
            </w:pPr>
            <w:r w:rsidRPr="0075714A">
              <w:rPr>
                <w:rFonts w:eastAsia="Times New Roman"/>
                <w:color w:val="FFFFFF"/>
                <w:sz w:val="20"/>
                <w:szCs w:val="20"/>
              </w:rPr>
              <w:t>Quant.</w:t>
            </w:r>
          </w:p>
        </w:tc>
        <w:tc>
          <w:tcPr>
            <w:tcW w:w="437" w:type="dxa"/>
            <w:tcBorders>
              <w:top w:val="nil"/>
              <w:left w:val="nil"/>
              <w:bottom w:val="single" w:sz="4" w:space="0" w:color="5AA2AE"/>
              <w:right w:val="single" w:sz="4" w:space="0" w:color="5AA2AE"/>
            </w:tcBorders>
            <w:shd w:val="clear" w:color="000000" w:fill="629DD1"/>
            <w:noWrap/>
            <w:vAlign w:val="center"/>
            <w:hideMark/>
          </w:tcPr>
          <w:p w14:paraId="5698C5D1" w14:textId="77777777" w:rsidR="00DA0A50" w:rsidRPr="0075714A" w:rsidRDefault="00DA0A50" w:rsidP="00313F0B">
            <w:pPr>
              <w:spacing w:line="240" w:lineRule="auto"/>
              <w:jc w:val="center"/>
              <w:rPr>
                <w:rFonts w:eastAsia="Times New Roman"/>
                <w:color w:val="FFFFFF"/>
                <w:sz w:val="20"/>
                <w:szCs w:val="20"/>
              </w:rPr>
            </w:pPr>
            <w:r w:rsidRPr="0075714A">
              <w:rPr>
                <w:rFonts w:eastAsia="Times New Roman"/>
                <w:color w:val="FFFFFF"/>
                <w:sz w:val="20"/>
                <w:szCs w:val="20"/>
              </w:rPr>
              <w:t>%</w:t>
            </w:r>
          </w:p>
        </w:tc>
        <w:tc>
          <w:tcPr>
            <w:tcW w:w="773" w:type="dxa"/>
            <w:tcBorders>
              <w:top w:val="nil"/>
              <w:left w:val="nil"/>
              <w:bottom w:val="single" w:sz="4" w:space="0" w:color="5AA2AE"/>
              <w:right w:val="single" w:sz="4" w:space="0" w:color="5AA2AE"/>
            </w:tcBorders>
            <w:shd w:val="clear" w:color="000000" w:fill="629DD1"/>
            <w:noWrap/>
            <w:vAlign w:val="center"/>
            <w:hideMark/>
          </w:tcPr>
          <w:p w14:paraId="3DE9C0D0" w14:textId="77777777" w:rsidR="00DA0A50" w:rsidRPr="0075714A" w:rsidRDefault="00DA0A50" w:rsidP="00313F0B">
            <w:pPr>
              <w:spacing w:line="240" w:lineRule="auto"/>
              <w:jc w:val="center"/>
              <w:rPr>
                <w:rFonts w:eastAsia="Times New Roman"/>
                <w:color w:val="FFFFFF"/>
                <w:sz w:val="20"/>
                <w:szCs w:val="20"/>
              </w:rPr>
            </w:pPr>
            <w:r w:rsidRPr="0075714A">
              <w:rPr>
                <w:rFonts w:eastAsia="Times New Roman"/>
                <w:color w:val="FFFFFF"/>
                <w:sz w:val="20"/>
                <w:szCs w:val="20"/>
              </w:rPr>
              <w:t>Quant.</w:t>
            </w:r>
          </w:p>
        </w:tc>
        <w:tc>
          <w:tcPr>
            <w:tcW w:w="440" w:type="dxa"/>
            <w:tcBorders>
              <w:top w:val="nil"/>
              <w:left w:val="nil"/>
              <w:bottom w:val="single" w:sz="4" w:space="0" w:color="5AA2AE"/>
              <w:right w:val="single" w:sz="4" w:space="0" w:color="5AA2AE"/>
            </w:tcBorders>
            <w:shd w:val="clear" w:color="000000" w:fill="629DD1"/>
            <w:noWrap/>
            <w:vAlign w:val="center"/>
            <w:hideMark/>
          </w:tcPr>
          <w:p w14:paraId="4B96B5E4" w14:textId="77777777" w:rsidR="00DA0A50" w:rsidRPr="0075714A" w:rsidRDefault="00DA0A50" w:rsidP="00313F0B">
            <w:pPr>
              <w:spacing w:line="240" w:lineRule="auto"/>
              <w:jc w:val="center"/>
              <w:rPr>
                <w:rFonts w:eastAsia="Times New Roman"/>
                <w:color w:val="FFFFFF"/>
                <w:sz w:val="20"/>
                <w:szCs w:val="20"/>
              </w:rPr>
            </w:pPr>
            <w:r w:rsidRPr="0075714A">
              <w:rPr>
                <w:rFonts w:eastAsia="Times New Roman"/>
                <w:color w:val="FFFFFF"/>
                <w:sz w:val="20"/>
                <w:szCs w:val="20"/>
              </w:rPr>
              <w:t>%</w:t>
            </w:r>
          </w:p>
        </w:tc>
      </w:tr>
      <w:tr w:rsidR="00DA0A50" w:rsidRPr="00C31805" w14:paraId="624B3CBE" w14:textId="77777777" w:rsidTr="00313F0B">
        <w:trPr>
          <w:trHeight w:val="347"/>
        </w:trPr>
        <w:tc>
          <w:tcPr>
            <w:tcW w:w="831" w:type="dxa"/>
            <w:tcBorders>
              <w:top w:val="nil"/>
              <w:left w:val="single" w:sz="4" w:space="0" w:color="5AA2AE"/>
              <w:bottom w:val="nil"/>
              <w:right w:val="nil"/>
            </w:tcBorders>
            <w:shd w:val="clear" w:color="000000" w:fill="FFFFFF"/>
            <w:vAlign w:val="center"/>
            <w:hideMark/>
          </w:tcPr>
          <w:p w14:paraId="1EDBF661" w14:textId="77777777" w:rsidR="00DA0A50" w:rsidRPr="00C31805" w:rsidRDefault="00DA0A50" w:rsidP="00313F0B">
            <w:pPr>
              <w:spacing w:line="240" w:lineRule="auto"/>
              <w:jc w:val="center"/>
              <w:rPr>
                <w:rFonts w:eastAsia="Times New Roman"/>
                <w:color w:val="000000"/>
                <w:sz w:val="20"/>
                <w:szCs w:val="20"/>
              </w:rPr>
            </w:pPr>
            <w:r w:rsidRPr="00C31805">
              <w:rPr>
                <w:rFonts w:eastAsia="Times New Roman"/>
                <w:color w:val="000000"/>
                <w:sz w:val="20"/>
                <w:szCs w:val="20"/>
              </w:rPr>
              <w:t>2013</w:t>
            </w:r>
          </w:p>
        </w:tc>
        <w:tc>
          <w:tcPr>
            <w:tcW w:w="785" w:type="dxa"/>
            <w:tcBorders>
              <w:top w:val="nil"/>
              <w:left w:val="nil"/>
              <w:bottom w:val="nil"/>
              <w:right w:val="nil"/>
            </w:tcBorders>
            <w:shd w:val="clear" w:color="000000" w:fill="FFFFFF"/>
            <w:noWrap/>
            <w:vAlign w:val="center"/>
            <w:hideMark/>
          </w:tcPr>
          <w:p w14:paraId="7787B4C9" w14:textId="77777777" w:rsidR="00DA0A50" w:rsidRPr="00C31805" w:rsidRDefault="00DA0A50" w:rsidP="00313F0B">
            <w:pPr>
              <w:spacing w:line="240" w:lineRule="auto"/>
              <w:jc w:val="right"/>
              <w:rPr>
                <w:rFonts w:eastAsia="Times New Roman"/>
                <w:color w:val="000000"/>
                <w:sz w:val="20"/>
                <w:szCs w:val="20"/>
              </w:rPr>
            </w:pPr>
            <w:r w:rsidRPr="00C31805">
              <w:rPr>
                <w:rFonts w:eastAsia="Times New Roman"/>
                <w:color w:val="000000"/>
                <w:sz w:val="20"/>
                <w:szCs w:val="20"/>
              </w:rPr>
              <w:t>21.510</w:t>
            </w:r>
          </w:p>
        </w:tc>
        <w:tc>
          <w:tcPr>
            <w:tcW w:w="553" w:type="dxa"/>
            <w:tcBorders>
              <w:top w:val="nil"/>
              <w:left w:val="nil"/>
              <w:bottom w:val="nil"/>
              <w:right w:val="nil"/>
            </w:tcBorders>
            <w:shd w:val="clear" w:color="000000" w:fill="FFFFFF"/>
            <w:noWrap/>
            <w:vAlign w:val="center"/>
            <w:hideMark/>
          </w:tcPr>
          <w:p w14:paraId="2C2F8326" w14:textId="77777777" w:rsidR="00DA0A50" w:rsidRPr="00C31805" w:rsidRDefault="00DA0A50" w:rsidP="00313F0B">
            <w:pPr>
              <w:spacing w:line="240" w:lineRule="auto"/>
              <w:jc w:val="center"/>
              <w:rPr>
                <w:rFonts w:eastAsia="Times New Roman"/>
                <w:color w:val="000000"/>
                <w:sz w:val="20"/>
                <w:szCs w:val="20"/>
              </w:rPr>
            </w:pPr>
            <w:r w:rsidRPr="00C31805">
              <w:rPr>
                <w:rFonts w:eastAsia="Times New Roman"/>
                <w:color w:val="000000"/>
                <w:sz w:val="20"/>
                <w:szCs w:val="20"/>
              </w:rPr>
              <w:t>8,9</w:t>
            </w:r>
          </w:p>
        </w:tc>
        <w:tc>
          <w:tcPr>
            <w:tcW w:w="785" w:type="dxa"/>
            <w:tcBorders>
              <w:top w:val="nil"/>
              <w:left w:val="nil"/>
              <w:bottom w:val="nil"/>
              <w:right w:val="nil"/>
            </w:tcBorders>
            <w:shd w:val="clear" w:color="000000" w:fill="FFFFFF"/>
            <w:noWrap/>
            <w:vAlign w:val="center"/>
            <w:hideMark/>
          </w:tcPr>
          <w:p w14:paraId="35C713A9" w14:textId="77777777" w:rsidR="00DA0A50" w:rsidRPr="00C31805" w:rsidRDefault="00DA0A50" w:rsidP="00313F0B">
            <w:pPr>
              <w:spacing w:line="240" w:lineRule="auto"/>
              <w:jc w:val="center"/>
              <w:rPr>
                <w:rFonts w:eastAsia="Times New Roman"/>
                <w:color w:val="000000"/>
                <w:sz w:val="20"/>
                <w:szCs w:val="20"/>
              </w:rPr>
            </w:pPr>
            <w:r w:rsidRPr="00C31805">
              <w:rPr>
                <w:rFonts w:eastAsia="Times New Roman"/>
                <w:color w:val="000000"/>
                <w:sz w:val="20"/>
                <w:szCs w:val="20"/>
              </w:rPr>
              <w:t>4.314</w:t>
            </w:r>
          </w:p>
        </w:tc>
        <w:tc>
          <w:tcPr>
            <w:tcW w:w="553" w:type="dxa"/>
            <w:tcBorders>
              <w:top w:val="nil"/>
              <w:left w:val="nil"/>
              <w:bottom w:val="nil"/>
              <w:right w:val="nil"/>
            </w:tcBorders>
            <w:shd w:val="clear" w:color="000000" w:fill="FFFFFF"/>
            <w:noWrap/>
            <w:vAlign w:val="center"/>
            <w:hideMark/>
          </w:tcPr>
          <w:p w14:paraId="3149FF7B" w14:textId="77777777" w:rsidR="00DA0A50" w:rsidRPr="00C31805" w:rsidRDefault="00DA0A50" w:rsidP="00313F0B">
            <w:pPr>
              <w:spacing w:line="240" w:lineRule="auto"/>
              <w:jc w:val="center"/>
              <w:rPr>
                <w:rFonts w:eastAsia="Times New Roman"/>
                <w:color w:val="000000"/>
                <w:sz w:val="20"/>
                <w:szCs w:val="20"/>
              </w:rPr>
            </w:pPr>
            <w:r w:rsidRPr="00C31805">
              <w:rPr>
                <w:rFonts w:eastAsia="Times New Roman"/>
                <w:color w:val="000000"/>
                <w:sz w:val="20"/>
                <w:szCs w:val="20"/>
              </w:rPr>
              <w:t>4,5</w:t>
            </w:r>
          </w:p>
        </w:tc>
        <w:tc>
          <w:tcPr>
            <w:tcW w:w="773" w:type="dxa"/>
            <w:tcBorders>
              <w:top w:val="nil"/>
              <w:left w:val="nil"/>
              <w:bottom w:val="nil"/>
              <w:right w:val="nil"/>
            </w:tcBorders>
            <w:shd w:val="clear" w:color="000000" w:fill="FFFFFF"/>
            <w:noWrap/>
            <w:vAlign w:val="center"/>
            <w:hideMark/>
          </w:tcPr>
          <w:p w14:paraId="7EDAD74A" w14:textId="77777777" w:rsidR="00DA0A50" w:rsidRPr="00C31805" w:rsidRDefault="00DA0A50" w:rsidP="00313F0B">
            <w:pPr>
              <w:spacing w:line="240" w:lineRule="auto"/>
              <w:jc w:val="center"/>
              <w:rPr>
                <w:rFonts w:eastAsia="Times New Roman"/>
                <w:color w:val="000000"/>
                <w:sz w:val="20"/>
                <w:szCs w:val="20"/>
              </w:rPr>
            </w:pPr>
            <w:r w:rsidRPr="00C31805">
              <w:rPr>
                <w:rFonts w:eastAsia="Times New Roman"/>
                <w:color w:val="000000"/>
                <w:sz w:val="20"/>
                <w:szCs w:val="20"/>
              </w:rPr>
              <w:t>402</w:t>
            </w:r>
          </w:p>
        </w:tc>
        <w:tc>
          <w:tcPr>
            <w:tcW w:w="555" w:type="dxa"/>
            <w:tcBorders>
              <w:top w:val="nil"/>
              <w:left w:val="nil"/>
              <w:bottom w:val="nil"/>
              <w:right w:val="single" w:sz="4" w:space="0" w:color="5AA2AE"/>
            </w:tcBorders>
            <w:shd w:val="clear" w:color="000000" w:fill="FFFFFF"/>
            <w:noWrap/>
            <w:vAlign w:val="center"/>
            <w:hideMark/>
          </w:tcPr>
          <w:p w14:paraId="2C822845" w14:textId="77777777" w:rsidR="00DA0A50" w:rsidRPr="00C31805" w:rsidRDefault="00DA0A50" w:rsidP="00313F0B">
            <w:pPr>
              <w:spacing w:line="240" w:lineRule="auto"/>
              <w:jc w:val="center"/>
              <w:rPr>
                <w:rFonts w:eastAsia="Times New Roman"/>
                <w:color w:val="000000"/>
                <w:sz w:val="20"/>
                <w:szCs w:val="20"/>
              </w:rPr>
            </w:pPr>
            <w:r w:rsidRPr="00C31805">
              <w:rPr>
                <w:rFonts w:eastAsia="Times New Roman"/>
                <w:color w:val="000000"/>
                <w:sz w:val="20"/>
                <w:szCs w:val="20"/>
              </w:rPr>
              <w:t>2,6</w:t>
            </w:r>
          </w:p>
        </w:tc>
        <w:tc>
          <w:tcPr>
            <w:tcW w:w="838" w:type="dxa"/>
            <w:tcBorders>
              <w:top w:val="nil"/>
              <w:left w:val="nil"/>
              <w:bottom w:val="nil"/>
              <w:right w:val="nil"/>
            </w:tcBorders>
            <w:shd w:val="clear" w:color="000000" w:fill="FFFFFF"/>
            <w:vAlign w:val="center"/>
            <w:hideMark/>
          </w:tcPr>
          <w:p w14:paraId="184FB89C" w14:textId="77777777" w:rsidR="00DA0A50" w:rsidRPr="00C31805" w:rsidRDefault="00DA0A50" w:rsidP="00313F0B">
            <w:pPr>
              <w:spacing w:line="240" w:lineRule="auto"/>
              <w:jc w:val="center"/>
              <w:rPr>
                <w:rFonts w:eastAsia="Times New Roman"/>
                <w:color w:val="000000"/>
                <w:sz w:val="20"/>
                <w:szCs w:val="20"/>
              </w:rPr>
            </w:pPr>
            <w:r w:rsidRPr="00C31805">
              <w:rPr>
                <w:rFonts w:eastAsia="Times New Roman"/>
                <w:color w:val="000000"/>
                <w:sz w:val="20"/>
                <w:szCs w:val="20"/>
              </w:rPr>
              <w:t>2013</w:t>
            </w:r>
          </w:p>
        </w:tc>
        <w:tc>
          <w:tcPr>
            <w:tcW w:w="901" w:type="dxa"/>
            <w:tcBorders>
              <w:top w:val="nil"/>
              <w:left w:val="nil"/>
              <w:bottom w:val="nil"/>
              <w:right w:val="nil"/>
            </w:tcBorders>
            <w:shd w:val="clear" w:color="000000" w:fill="FFFFFF"/>
            <w:noWrap/>
            <w:vAlign w:val="center"/>
            <w:hideMark/>
          </w:tcPr>
          <w:p w14:paraId="4569EE78" w14:textId="77777777" w:rsidR="00DA0A50" w:rsidRPr="00C31805" w:rsidRDefault="00DA0A50" w:rsidP="00313F0B">
            <w:pPr>
              <w:spacing w:line="240" w:lineRule="auto"/>
              <w:jc w:val="right"/>
              <w:rPr>
                <w:rFonts w:eastAsia="Times New Roman"/>
                <w:color w:val="000000"/>
                <w:sz w:val="20"/>
                <w:szCs w:val="20"/>
              </w:rPr>
            </w:pPr>
            <w:r w:rsidRPr="00C31805">
              <w:rPr>
                <w:rFonts w:eastAsia="Times New Roman"/>
                <w:color w:val="000000"/>
                <w:sz w:val="20"/>
                <w:szCs w:val="20"/>
              </w:rPr>
              <w:t>93.371</w:t>
            </w:r>
          </w:p>
        </w:tc>
        <w:tc>
          <w:tcPr>
            <w:tcW w:w="553" w:type="dxa"/>
            <w:tcBorders>
              <w:top w:val="nil"/>
              <w:left w:val="nil"/>
              <w:bottom w:val="nil"/>
              <w:right w:val="nil"/>
            </w:tcBorders>
            <w:shd w:val="clear" w:color="000000" w:fill="FFFFFF"/>
            <w:noWrap/>
            <w:vAlign w:val="center"/>
            <w:hideMark/>
          </w:tcPr>
          <w:p w14:paraId="0BEE5B79" w14:textId="77777777" w:rsidR="00DA0A50" w:rsidRPr="00C31805" w:rsidRDefault="00DA0A50" w:rsidP="00313F0B">
            <w:pPr>
              <w:spacing w:line="240" w:lineRule="auto"/>
              <w:jc w:val="center"/>
              <w:rPr>
                <w:rFonts w:eastAsia="Times New Roman"/>
                <w:color w:val="000000"/>
                <w:sz w:val="20"/>
                <w:szCs w:val="20"/>
              </w:rPr>
            </w:pPr>
            <w:r w:rsidRPr="00C31805">
              <w:rPr>
                <w:rFonts w:eastAsia="Times New Roman"/>
                <w:color w:val="000000"/>
                <w:sz w:val="20"/>
                <w:szCs w:val="20"/>
              </w:rPr>
              <w:t>10,0</w:t>
            </w:r>
          </w:p>
        </w:tc>
        <w:tc>
          <w:tcPr>
            <w:tcW w:w="785" w:type="dxa"/>
            <w:tcBorders>
              <w:top w:val="nil"/>
              <w:left w:val="nil"/>
              <w:bottom w:val="nil"/>
              <w:right w:val="nil"/>
            </w:tcBorders>
            <w:shd w:val="clear" w:color="000000" w:fill="FFFFFF"/>
            <w:noWrap/>
            <w:vAlign w:val="center"/>
            <w:hideMark/>
          </w:tcPr>
          <w:p w14:paraId="5237D752" w14:textId="77777777" w:rsidR="00DA0A50" w:rsidRPr="00C31805" w:rsidRDefault="00DA0A50" w:rsidP="00313F0B">
            <w:pPr>
              <w:spacing w:line="240" w:lineRule="auto"/>
              <w:jc w:val="center"/>
              <w:rPr>
                <w:rFonts w:eastAsia="Times New Roman"/>
                <w:color w:val="000000"/>
                <w:sz w:val="20"/>
                <w:szCs w:val="20"/>
              </w:rPr>
            </w:pPr>
            <w:r w:rsidRPr="00C31805">
              <w:rPr>
                <w:rFonts w:eastAsia="Times New Roman"/>
                <w:color w:val="000000"/>
                <w:sz w:val="20"/>
                <w:szCs w:val="20"/>
              </w:rPr>
              <w:t>13.328</w:t>
            </w:r>
          </w:p>
        </w:tc>
        <w:tc>
          <w:tcPr>
            <w:tcW w:w="437" w:type="dxa"/>
            <w:tcBorders>
              <w:top w:val="nil"/>
              <w:left w:val="nil"/>
              <w:bottom w:val="nil"/>
              <w:right w:val="nil"/>
            </w:tcBorders>
            <w:shd w:val="clear" w:color="000000" w:fill="FFFFFF"/>
            <w:noWrap/>
            <w:vAlign w:val="center"/>
            <w:hideMark/>
          </w:tcPr>
          <w:p w14:paraId="434C3EA1" w14:textId="77777777" w:rsidR="00DA0A50" w:rsidRPr="00C31805" w:rsidRDefault="00DA0A50" w:rsidP="00313F0B">
            <w:pPr>
              <w:spacing w:line="240" w:lineRule="auto"/>
              <w:jc w:val="center"/>
              <w:rPr>
                <w:rFonts w:eastAsia="Times New Roman"/>
                <w:color w:val="000000"/>
                <w:sz w:val="20"/>
                <w:szCs w:val="20"/>
              </w:rPr>
            </w:pPr>
            <w:r w:rsidRPr="00C31805">
              <w:rPr>
                <w:rFonts w:eastAsia="Times New Roman"/>
                <w:color w:val="000000"/>
                <w:sz w:val="20"/>
                <w:szCs w:val="20"/>
              </w:rPr>
              <w:t>5,9</w:t>
            </w:r>
          </w:p>
        </w:tc>
        <w:tc>
          <w:tcPr>
            <w:tcW w:w="773" w:type="dxa"/>
            <w:tcBorders>
              <w:top w:val="nil"/>
              <w:left w:val="nil"/>
              <w:bottom w:val="nil"/>
              <w:right w:val="nil"/>
            </w:tcBorders>
            <w:shd w:val="clear" w:color="000000" w:fill="FFFFFF"/>
            <w:noWrap/>
            <w:vAlign w:val="center"/>
            <w:hideMark/>
          </w:tcPr>
          <w:p w14:paraId="5F0B7829" w14:textId="77777777" w:rsidR="00DA0A50" w:rsidRPr="00C31805" w:rsidRDefault="00DA0A50" w:rsidP="00313F0B">
            <w:pPr>
              <w:spacing w:line="240" w:lineRule="auto"/>
              <w:jc w:val="center"/>
              <w:rPr>
                <w:rFonts w:eastAsia="Times New Roman"/>
                <w:color w:val="000000"/>
                <w:sz w:val="20"/>
                <w:szCs w:val="20"/>
              </w:rPr>
            </w:pPr>
            <w:r w:rsidRPr="00C31805">
              <w:rPr>
                <w:rFonts w:eastAsia="Times New Roman"/>
                <w:color w:val="000000"/>
                <w:sz w:val="20"/>
                <w:szCs w:val="20"/>
              </w:rPr>
              <w:t>2560</w:t>
            </w:r>
          </w:p>
        </w:tc>
        <w:tc>
          <w:tcPr>
            <w:tcW w:w="440" w:type="dxa"/>
            <w:tcBorders>
              <w:top w:val="nil"/>
              <w:left w:val="nil"/>
              <w:bottom w:val="nil"/>
              <w:right w:val="single" w:sz="4" w:space="0" w:color="5AA2AE"/>
            </w:tcBorders>
            <w:shd w:val="clear" w:color="000000" w:fill="FFFFFF"/>
            <w:noWrap/>
            <w:vAlign w:val="center"/>
            <w:hideMark/>
          </w:tcPr>
          <w:p w14:paraId="560D9648" w14:textId="77777777" w:rsidR="00DA0A50" w:rsidRPr="00C31805" w:rsidRDefault="00DA0A50" w:rsidP="00313F0B">
            <w:pPr>
              <w:spacing w:line="240" w:lineRule="auto"/>
              <w:jc w:val="center"/>
              <w:rPr>
                <w:rFonts w:eastAsia="Times New Roman"/>
                <w:color w:val="000000"/>
                <w:sz w:val="20"/>
                <w:szCs w:val="20"/>
              </w:rPr>
            </w:pPr>
            <w:r w:rsidRPr="00C31805">
              <w:rPr>
                <w:rFonts w:eastAsia="Times New Roman"/>
                <w:color w:val="000000"/>
                <w:sz w:val="20"/>
                <w:szCs w:val="20"/>
              </w:rPr>
              <w:t>7,8</w:t>
            </w:r>
          </w:p>
        </w:tc>
      </w:tr>
      <w:tr w:rsidR="00DA0A50" w:rsidRPr="00C31805" w14:paraId="08291A5D" w14:textId="77777777" w:rsidTr="00313F0B">
        <w:trPr>
          <w:trHeight w:val="347"/>
        </w:trPr>
        <w:tc>
          <w:tcPr>
            <w:tcW w:w="831" w:type="dxa"/>
            <w:tcBorders>
              <w:top w:val="nil"/>
              <w:left w:val="single" w:sz="4" w:space="0" w:color="5AA2AE"/>
              <w:bottom w:val="nil"/>
              <w:right w:val="nil"/>
            </w:tcBorders>
            <w:shd w:val="clear" w:color="000000" w:fill="FFFFFF"/>
            <w:vAlign w:val="center"/>
            <w:hideMark/>
          </w:tcPr>
          <w:p w14:paraId="7B663723" w14:textId="77777777" w:rsidR="00DA0A50" w:rsidRPr="00C31805" w:rsidRDefault="00DA0A50" w:rsidP="00313F0B">
            <w:pPr>
              <w:spacing w:line="240" w:lineRule="auto"/>
              <w:jc w:val="center"/>
              <w:rPr>
                <w:rFonts w:eastAsia="Times New Roman"/>
                <w:color w:val="000000"/>
                <w:sz w:val="20"/>
                <w:szCs w:val="20"/>
              </w:rPr>
            </w:pPr>
            <w:r w:rsidRPr="00C31805">
              <w:rPr>
                <w:rFonts w:eastAsia="Times New Roman"/>
                <w:color w:val="000000"/>
                <w:sz w:val="20"/>
                <w:szCs w:val="20"/>
              </w:rPr>
              <w:t>2018</w:t>
            </w:r>
          </w:p>
        </w:tc>
        <w:tc>
          <w:tcPr>
            <w:tcW w:w="785" w:type="dxa"/>
            <w:tcBorders>
              <w:top w:val="nil"/>
              <w:left w:val="nil"/>
              <w:bottom w:val="nil"/>
              <w:right w:val="nil"/>
            </w:tcBorders>
            <w:shd w:val="clear" w:color="000000" w:fill="FFFFFF"/>
            <w:noWrap/>
            <w:vAlign w:val="center"/>
            <w:hideMark/>
          </w:tcPr>
          <w:p w14:paraId="1B5E2C0F" w14:textId="77777777" w:rsidR="00DA0A50" w:rsidRPr="00C31805" w:rsidRDefault="00DA0A50" w:rsidP="00313F0B">
            <w:pPr>
              <w:spacing w:line="240" w:lineRule="auto"/>
              <w:jc w:val="right"/>
              <w:rPr>
                <w:rFonts w:eastAsia="Times New Roman"/>
                <w:color w:val="000000"/>
                <w:sz w:val="20"/>
                <w:szCs w:val="20"/>
              </w:rPr>
            </w:pPr>
            <w:r w:rsidRPr="00C31805">
              <w:rPr>
                <w:rFonts w:eastAsia="Times New Roman"/>
                <w:color w:val="000000"/>
                <w:sz w:val="20"/>
                <w:szCs w:val="20"/>
              </w:rPr>
              <w:t>30.768</w:t>
            </w:r>
          </w:p>
        </w:tc>
        <w:tc>
          <w:tcPr>
            <w:tcW w:w="553" w:type="dxa"/>
            <w:tcBorders>
              <w:top w:val="nil"/>
              <w:left w:val="nil"/>
              <w:bottom w:val="nil"/>
              <w:right w:val="nil"/>
            </w:tcBorders>
            <w:shd w:val="clear" w:color="000000" w:fill="FFFFFF"/>
            <w:noWrap/>
            <w:vAlign w:val="center"/>
            <w:hideMark/>
          </w:tcPr>
          <w:p w14:paraId="06CCF61F" w14:textId="77777777" w:rsidR="00DA0A50" w:rsidRPr="00C31805" w:rsidRDefault="00DA0A50" w:rsidP="00313F0B">
            <w:pPr>
              <w:spacing w:line="240" w:lineRule="auto"/>
              <w:jc w:val="center"/>
              <w:rPr>
                <w:rFonts w:eastAsia="Times New Roman"/>
                <w:color w:val="000000"/>
                <w:sz w:val="20"/>
                <w:szCs w:val="20"/>
              </w:rPr>
            </w:pPr>
            <w:r w:rsidRPr="00C31805">
              <w:rPr>
                <w:rFonts w:eastAsia="Times New Roman"/>
                <w:color w:val="000000"/>
                <w:sz w:val="20"/>
                <w:szCs w:val="20"/>
              </w:rPr>
              <w:t>13,0</w:t>
            </w:r>
          </w:p>
        </w:tc>
        <w:tc>
          <w:tcPr>
            <w:tcW w:w="785" w:type="dxa"/>
            <w:tcBorders>
              <w:top w:val="nil"/>
              <w:left w:val="nil"/>
              <w:bottom w:val="nil"/>
              <w:right w:val="nil"/>
            </w:tcBorders>
            <w:shd w:val="clear" w:color="000000" w:fill="FFFFFF"/>
            <w:noWrap/>
            <w:vAlign w:val="center"/>
            <w:hideMark/>
          </w:tcPr>
          <w:p w14:paraId="000ABF5C" w14:textId="77777777" w:rsidR="00DA0A50" w:rsidRPr="00C31805" w:rsidRDefault="00DA0A50" w:rsidP="00313F0B">
            <w:pPr>
              <w:spacing w:line="240" w:lineRule="auto"/>
              <w:jc w:val="center"/>
              <w:rPr>
                <w:rFonts w:eastAsia="Times New Roman"/>
                <w:color w:val="000000"/>
                <w:sz w:val="20"/>
                <w:szCs w:val="20"/>
              </w:rPr>
            </w:pPr>
            <w:r w:rsidRPr="00C31805">
              <w:rPr>
                <w:rFonts w:eastAsia="Times New Roman"/>
                <w:color w:val="000000"/>
                <w:sz w:val="20"/>
                <w:szCs w:val="20"/>
              </w:rPr>
              <w:t>7.136</w:t>
            </w:r>
          </w:p>
        </w:tc>
        <w:tc>
          <w:tcPr>
            <w:tcW w:w="553" w:type="dxa"/>
            <w:tcBorders>
              <w:top w:val="nil"/>
              <w:left w:val="nil"/>
              <w:bottom w:val="nil"/>
              <w:right w:val="nil"/>
            </w:tcBorders>
            <w:shd w:val="clear" w:color="000000" w:fill="FFFFFF"/>
            <w:noWrap/>
            <w:vAlign w:val="center"/>
            <w:hideMark/>
          </w:tcPr>
          <w:p w14:paraId="375BD376" w14:textId="77777777" w:rsidR="00DA0A50" w:rsidRPr="00C31805" w:rsidRDefault="00DA0A50" w:rsidP="00313F0B">
            <w:pPr>
              <w:spacing w:line="240" w:lineRule="auto"/>
              <w:jc w:val="center"/>
              <w:rPr>
                <w:rFonts w:eastAsia="Times New Roman"/>
                <w:color w:val="000000"/>
                <w:sz w:val="20"/>
                <w:szCs w:val="20"/>
              </w:rPr>
            </w:pPr>
            <w:r w:rsidRPr="00C31805">
              <w:rPr>
                <w:rFonts w:eastAsia="Times New Roman"/>
                <w:color w:val="000000"/>
                <w:sz w:val="20"/>
                <w:szCs w:val="20"/>
              </w:rPr>
              <w:t>7,8</w:t>
            </w:r>
          </w:p>
        </w:tc>
        <w:tc>
          <w:tcPr>
            <w:tcW w:w="773" w:type="dxa"/>
            <w:tcBorders>
              <w:top w:val="nil"/>
              <w:left w:val="nil"/>
              <w:bottom w:val="nil"/>
              <w:right w:val="nil"/>
            </w:tcBorders>
            <w:shd w:val="clear" w:color="000000" w:fill="FFFFFF"/>
            <w:noWrap/>
            <w:vAlign w:val="center"/>
            <w:hideMark/>
          </w:tcPr>
          <w:p w14:paraId="58CC21B2" w14:textId="77777777" w:rsidR="00DA0A50" w:rsidRPr="00C31805" w:rsidRDefault="00DA0A50" w:rsidP="00313F0B">
            <w:pPr>
              <w:spacing w:line="240" w:lineRule="auto"/>
              <w:jc w:val="center"/>
              <w:rPr>
                <w:rFonts w:eastAsia="Times New Roman"/>
                <w:color w:val="000000"/>
                <w:sz w:val="20"/>
                <w:szCs w:val="20"/>
              </w:rPr>
            </w:pPr>
            <w:r w:rsidRPr="00C31805">
              <w:rPr>
                <w:rFonts w:eastAsia="Times New Roman"/>
                <w:color w:val="000000"/>
                <w:sz w:val="20"/>
                <w:szCs w:val="20"/>
              </w:rPr>
              <w:t>784</w:t>
            </w:r>
          </w:p>
        </w:tc>
        <w:tc>
          <w:tcPr>
            <w:tcW w:w="555" w:type="dxa"/>
            <w:tcBorders>
              <w:top w:val="nil"/>
              <w:left w:val="nil"/>
              <w:bottom w:val="nil"/>
              <w:right w:val="single" w:sz="4" w:space="0" w:color="5AA2AE"/>
            </w:tcBorders>
            <w:shd w:val="clear" w:color="000000" w:fill="FFFFFF"/>
            <w:noWrap/>
            <w:vAlign w:val="center"/>
            <w:hideMark/>
          </w:tcPr>
          <w:p w14:paraId="2A358A40" w14:textId="77777777" w:rsidR="00DA0A50" w:rsidRPr="00C31805" w:rsidRDefault="00DA0A50" w:rsidP="00313F0B">
            <w:pPr>
              <w:spacing w:line="240" w:lineRule="auto"/>
              <w:jc w:val="center"/>
              <w:rPr>
                <w:rFonts w:eastAsia="Times New Roman"/>
                <w:color w:val="000000"/>
                <w:sz w:val="20"/>
                <w:szCs w:val="20"/>
              </w:rPr>
            </w:pPr>
            <w:r w:rsidRPr="00C31805">
              <w:rPr>
                <w:rFonts w:eastAsia="Times New Roman"/>
                <w:color w:val="000000"/>
                <w:sz w:val="20"/>
                <w:szCs w:val="20"/>
              </w:rPr>
              <w:t>5,2</w:t>
            </w:r>
          </w:p>
        </w:tc>
        <w:tc>
          <w:tcPr>
            <w:tcW w:w="838" w:type="dxa"/>
            <w:tcBorders>
              <w:top w:val="nil"/>
              <w:left w:val="nil"/>
              <w:bottom w:val="nil"/>
              <w:right w:val="nil"/>
            </w:tcBorders>
            <w:shd w:val="clear" w:color="000000" w:fill="FFFFFF"/>
            <w:vAlign w:val="center"/>
            <w:hideMark/>
          </w:tcPr>
          <w:p w14:paraId="630571E5" w14:textId="77777777" w:rsidR="00DA0A50" w:rsidRPr="00C31805" w:rsidRDefault="00DA0A50" w:rsidP="00313F0B">
            <w:pPr>
              <w:spacing w:line="240" w:lineRule="auto"/>
              <w:jc w:val="center"/>
              <w:rPr>
                <w:rFonts w:eastAsia="Times New Roman"/>
                <w:color w:val="000000"/>
                <w:sz w:val="20"/>
                <w:szCs w:val="20"/>
              </w:rPr>
            </w:pPr>
            <w:r w:rsidRPr="00C31805">
              <w:rPr>
                <w:rFonts w:eastAsia="Times New Roman"/>
                <w:color w:val="000000"/>
                <w:sz w:val="20"/>
                <w:szCs w:val="20"/>
              </w:rPr>
              <w:t>2018</w:t>
            </w:r>
          </w:p>
        </w:tc>
        <w:tc>
          <w:tcPr>
            <w:tcW w:w="901" w:type="dxa"/>
            <w:tcBorders>
              <w:top w:val="nil"/>
              <w:left w:val="nil"/>
              <w:bottom w:val="nil"/>
              <w:right w:val="nil"/>
            </w:tcBorders>
            <w:shd w:val="clear" w:color="000000" w:fill="FFFFFF"/>
            <w:noWrap/>
            <w:vAlign w:val="center"/>
            <w:hideMark/>
          </w:tcPr>
          <w:p w14:paraId="62EF4451" w14:textId="77777777" w:rsidR="00DA0A50" w:rsidRPr="00C31805" w:rsidRDefault="00DA0A50" w:rsidP="00313F0B">
            <w:pPr>
              <w:spacing w:line="240" w:lineRule="auto"/>
              <w:jc w:val="right"/>
              <w:rPr>
                <w:rFonts w:eastAsia="Times New Roman"/>
                <w:color w:val="000000"/>
                <w:sz w:val="20"/>
                <w:szCs w:val="20"/>
              </w:rPr>
            </w:pPr>
            <w:r w:rsidRPr="00C31805">
              <w:rPr>
                <w:rFonts w:eastAsia="Times New Roman"/>
                <w:color w:val="000000"/>
                <w:sz w:val="20"/>
                <w:szCs w:val="20"/>
              </w:rPr>
              <w:t>111.675</w:t>
            </w:r>
          </w:p>
        </w:tc>
        <w:tc>
          <w:tcPr>
            <w:tcW w:w="553" w:type="dxa"/>
            <w:tcBorders>
              <w:top w:val="nil"/>
              <w:left w:val="nil"/>
              <w:bottom w:val="nil"/>
              <w:right w:val="nil"/>
            </w:tcBorders>
            <w:shd w:val="clear" w:color="000000" w:fill="FFFFFF"/>
            <w:noWrap/>
            <w:vAlign w:val="center"/>
            <w:hideMark/>
          </w:tcPr>
          <w:p w14:paraId="101CC75F" w14:textId="77777777" w:rsidR="00DA0A50" w:rsidRPr="00C31805" w:rsidRDefault="00DA0A50" w:rsidP="00313F0B">
            <w:pPr>
              <w:spacing w:line="240" w:lineRule="auto"/>
              <w:jc w:val="center"/>
              <w:rPr>
                <w:rFonts w:eastAsia="Times New Roman"/>
                <w:color w:val="000000"/>
                <w:sz w:val="20"/>
                <w:szCs w:val="20"/>
              </w:rPr>
            </w:pPr>
            <w:r w:rsidRPr="00C31805">
              <w:rPr>
                <w:rFonts w:eastAsia="Times New Roman"/>
                <w:color w:val="000000"/>
                <w:sz w:val="20"/>
                <w:szCs w:val="20"/>
              </w:rPr>
              <w:t>9,1</w:t>
            </w:r>
          </w:p>
        </w:tc>
        <w:tc>
          <w:tcPr>
            <w:tcW w:w="785" w:type="dxa"/>
            <w:tcBorders>
              <w:top w:val="nil"/>
              <w:left w:val="nil"/>
              <w:bottom w:val="nil"/>
              <w:right w:val="nil"/>
            </w:tcBorders>
            <w:shd w:val="clear" w:color="000000" w:fill="FFFFFF"/>
            <w:noWrap/>
            <w:vAlign w:val="center"/>
            <w:hideMark/>
          </w:tcPr>
          <w:p w14:paraId="3B194939" w14:textId="77777777" w:rsidR="00DA0A50" w:rsidRPr="00C31805" w:rsidRDefault="00DA0A50" w:rsidP="00313F0B">
            <w:pPr>
              <w:spacing w:line="240" w:lineRule="auto"/>
              <w:jc w:val="center"/>
              <w:rPr>
                <w:rFonts w:eastAsia="Times New Roman"/>
                <w:color w:val="000000"/>
                <w:sz w:val="20"/>
                <w:szCs w:val="20"/>
              </w:rPr>
            </w:pPr>
            <w:r w:rsidRPr="00C31805">
              <w:rPr>
                <w:rFonts w:eastAsia="Times New Roman"/>
                <w:color w:val="000000"/>
                <w:sz w:val="20"/>
                <w:szCs w:val="20"/>
              </w:rPr>
              <w:t>16.595</w:t>
            </w:r>
          </w:p>
        </w:tc>
        <w:tc>
          <w:tcPr>
            <w:tcW w:w="437" w:type="dxa"/>
            <w:tcBorders>
              <w:top w:val="nil"/>
              <w:left w:val="nil"/>
              <w:bottom w:val="nil"/>
              <w:right w:val="nil"/>
            </w:tcBorders>
            <w:shd w:val="clear" w:color="000000" w:fill="FFFFFF"/>
            <w:noWrap/>
            <w:vAlign w:val="center"/>
            <w:hideMark/>
          </w:tcPr>
          <w:p w14:paraId="541AF502" w14:textId="77777777" w:rsidR="00DA0A50" w:rsidRPr="00C31805" w:rsidRDefault="00DA0A50" w:rsidP="00313F0B">
            <w:pPr>
              <w:spacing w:line="240" w:lineRule="auto"/>
              <w:jc w:val="center"/>
              <w:rPr>
                <w:rFonts w:eastAsia="Times New Roman"/>
                <w:color w:val="000000"/>
                <w:sz w:val="20"/>
                <w:szCs w:val="20"/>
              </w:rPr>
            </w:pPr>
            <w:r w:rsidRPr="00C31805">
              <w:rPr>
                <w:rFonts w:eastAsia="Times New Roman"/>
                <w:color w:val="000000"/>
                <w:sz w:val="20"/>
                <w:szCs w:val="20"/>
              </w:rPr>
              <w:t>5,0</w:t>
            </w:r>
          </w:p>
        </w:tc>
        <w:tc>
          <w:tcPr>
            <w:tcW w:w="773" w:type="dxa"/>
            <w:tcBorders>
              <w:top w:val="nil"/>
              <w:left w:val="nil"/>
              <w:bottom w:val="nil"/>
              <w:right w:val="nil"/>
            </w:tcBorders>
            <w:shd w:val="clear" w:color="000000" w:fill="FFFFFF"/>
            <w:noWrap/>
            <w:vAlign w:val="center"/>
            <w:hideMark/>
          </w:tcPr>
          <w:p w14:paraId="29363DBF" w14:textId="77777777" w:rsidR="00DA0A50" w:rsidRPr="00C31805" w:rsidRDefault="00DA0A50" w:rsidP="00313F0B">
            <w:pPr>
              <w:spacing w:line="240" w:lineRule="auto"/>
              <w:jc w:val="center"/>
              <w:rPr>
                <w:rFonts w:eastAsia="Times New Roman"/>
                <w:color w:val="000000"/>
                <w:sz w:val="20"/>
                <w:szCs w:val="20"/>
              </w:rPr>
            </w:pPr>
            <w:r w:rsidRPr="00C31805">
              <w:rPr>
                <w:rFonts w:eastAsia="Times New Roman"/>
                <w:color w:val="000000"/>
                <w:sz w:val="20"/>
                <w:szCs w:val="20"/>
              </w:rPr>
              <w:t>3.440</w:t>
            </w:r>
          </w:p>
        </w:tc>
        <w:tc>
          <w:tcPr>
            <w:tcW w:w="440" w:type="dxa"/>
            <w:tcBorders>
              <w:top w:val="nil"/>
              <w:left w:val="nil"/>
              <w:bottom w:val="nil"/>
              <w:right w:val="single" w:sz="4" w:space="0" w:color="5AA2AE"/>
            </w:tcBorders>
            <w:shd w:val="clear" w:color="000000" w:fill="FFFFFF"/>
            <w:noWrap/>
            <w:vAlign w:val="center"/>
            <w:hideMark/>
          </w:tcPr>
          <w:p w14:paraId="20EB9112" w14:textId="77777777" w:rsidR="00DA0A50" w:rsidRPr="00C31805" w:rsidRDefault="00DA0A50" w:rsidP="00313F0B">
            <w:pPr>
              <w:spacing w:line="240" w:lineRule="auto"/>
              <w:jc w:val="center"/>
              <w:rPr>
                <w:rFonts w:eastAsia="Times New Roman"/>
                <w:color w:val="000000"/>
                <w:sz w:val="20"/>
                <w:szCs w:val="20"/>
              </w:rPr>
            </w:pPr>
            <w:r w:rsidRPr="00C31805">
              <w:rPr>
                <w:rFonts w:eastAsia="Times New Roman"/>
                <w:color w:val="000000"/>
                <w:sz w:val="20"/>
                <w:szCs w:val="20"/>
              </w:rPr>
              <w:t>7,1</w:t>
            </w:r>
          </w:p>
        </w:tc>
      </w:tr>
      <w:tr w:rsidR="00DA0A50" w:rsidRPr="00C31805" w14:paraId="671E45A6" w14:textId="77777777" w:rsidTr="00313F0B">
        <w:trPr>
          <w:trHeight w:val="347"/>
        </w:trPr>
        <w:tc>
          <w:tcPr>
            <w:tcW w:w="831" w:type="dxa"/>
            <w:tcBorders>
              <w:top w:val="nil"/>
              <w:left w:val="single" w:sz="4" w:space="0" w:color="5AA2AE"/>
              <w:bottom w:val="single" w:sz="4" w:space="0" w:color="5AA2AE"/>
              <w:right w:val="nil"/>
            </w:tcBorders>
            <w:shd w:val="clear" w:color="000000" w:fill="FFFFFF"/>
            <w:vAlign w:val="center"/>
            <w:hideMark/>
          </w:tcPr>
          <w:p w14:paraId="2BE50574" w14:textId="77777777" w:rsidR="00DA0A50" w:rsidRPr="00C31805" w:rsidRDefault="00DA0A50" w:rsidP="00313F0B">
            <w:pPr>
              <w:spacing w:line="240" w:lineRule="auto"/>
              <w:jc w:val="center"/>
              <w:rPr>
                <w:rFonts w:eastAsia="Times New Roman"/>
                <w:color w:val="000000"/>
                <w:sz w:val="20"/>
                <w:szCs w:val="20"/>
              </w:rPr>
            </w:pPr>
            <w:r w:rsidRPr="00C31805">
              <w:rPr>
                <w:rFonts w:eastAsia="Times New Roman"/>
                <w:color w:val="000000"/>
                <w:sz w:val="20"/>
                <w:szCs w:val="20"/>
              </w:rPr>
              <w:t>2023</w:t>
            </w:r>
          </w:p>
        </w:tc>
        <w:tc>
          <w:tcPr>
            <w:tcW w:w="785" w:type="dxa"/>
            <w:tcBorders>
              <w:top w:val="nil"/>
              <w:left w:val="nil"/>
              <w:bottom w:val="single" w:sz="4" w:space="0" w:color="5AA2AE"/>
              <w:right w:val="nil"/>
            </w:tcBorders>
            <w:shd w:val="clear" w:color="000000" w:fill="FFFFFF"/>
            <w:noWrap/>
            <w:vAlign w:val="center"/>
            <w:hideMark/>
          </w:tcPr>
          <w:p w14:paraId="0C0EF84E" w14:textId="77777777" w:rsidR="00DA0A50" w:rsidRPr="00C31805" w:rsidRDefault="00DA0A50" w:rsidP="00313F0B">
            <w:pPr>
              <w:spacing w:line="240" w:lineRule="auto"/>
              <w:jc w:val="right"/>
              <w:rPr>
                <w:rFonts w:eastAsia="Times New Roman"/>
                <w:color w:val="000000"/>
                <w:sz w:val="20"/>
                <w:szCs w:val="20"/>
              </w:rPr>
            </w:pPr>
            <w:r w:rsidRPr="00C31805">
              <w:rPr>
                <w:rFonts w:eastAsia="Times New Roman"/>
                <w:color w:val="000000"/>
                <w:sz w:val="20"/>
                <w:szCs w:val="20"/>
              </w:rPr>
              <w:t>39.471</w:t>
            </w:r>
          </w:p>
        </w:tc>
        <w:tc>
          <w:tcPr>
            <w:tcW w:w="553" w:type="dxa"/>
            <w:tcBorders>
              <w:top w:val="nil"/>
              <w:left w:val="nil"/>
              <w:bottom w:val="single" w:sz="4" w:space="0" w:color="5AA2AE"/>
              <w:right w:val="nil"/>
            </w:tcBorders>
            <w:shd w:val="clear" w:color="000000" w:fill="FFFFFF"/>
            <w:noWrap/>
            <w:vAlign w:val="center"/>
            <w:hideMark/>
          </w:tcPr>
          <w:p w14:paraId="35586E8D" w14:textId="77777777" w:rsidR="00DA0A50" w:rsidRPr="00C31805" w:rsidRDefault="00DA0A50" w:rsidP="00313F0B">
            <w:pPr>
              <w:spacing w:line="240" w:lineRule="auto"/>
              <w:jc w:val="center"/>
              <w:rPr>
                <w:rFonts w:eastAsia="Times New Roman"/>
                <w:color w:val="000000"/>
                <w:sz w:val="20"/>
                <w:szCs w:val="20"/>
              </w:rPr>
            </w:pPr>
            <w:r w:rsidRPr="00C31805">
              <w:rPr>
                <w:rFonts w:eastAsia="Times New Roman"/>
                <w:color w:val="000000"/>
                <w:sz w:val="20"/>
                <w:szCs w:val="20"/>
              </w:rPr>
              <w:t>21,9</w:t>
            </w:r>
          </w:p>
        </w:tc>
        <w:tc>
          <w:tcPr>
            <w:tcW w:w="785" w:type="dxa"/>
            <w:tcBorders>
              <w:top w:val="nil"/>
              <w:left w:val="nil"/>
              <w:bottom w:val="single" w:sz="4" w:space="0" w:color="5AA2AE"/>
              <w:right w:val="nil"/>
            </w:tcBorders>
            <w:shd w:val="clear" w:color="000000" w:fill="FFFFFF"/>
            <w:noWrap/>
            <w:vAlign w:val="center"/>
            <w:hideMark/>
          </w:tcPr>
          <w:p w14:paraId="1C95E321" w14:textId="77777777" w:rsidR="00DA0A50" w:rsidRPr="00C31805" w:rsidRDefault="00DA0A50" w:rsidP="00313F0B">
            <w:pPr>
              <w:spacing w:line="240" w:lineRule="auto"/>
              <w:jc w:val="center"/>
              <w:rPr>
                <w:rFonts w:eastAsia="Times New Roman"/>
                <w:color w:val="000000"/>
                <w:sz w:val="20"/>
                <w:szCs w:val="20"/>
              </w:rPr>
            </w:pPr>
            <w:r w:rsidRPr="00C31805">
              <w:rPr>
                <w:rFonts w:eastAsia="Times New Roman"/>
                <w:color w:val="000000"/>
                <w:sz w:val="20"/>
                <w:szCs w:val="20"/>
              </w:rPr>
              <w:t>10.971</w:t>
            </w:r>
          </w:p>
        </w:tc>
        <w:tc>
          <w:tcPr>
            <w:tcW w:w="553" w:type="dxa"/>
            <w:tcBorders>
              <w:top w:val="nil"/>
              <w:left w:val="nil"/>
              <w:bottom w:val="single" w:sz="4" w:space="0" w:color="5AA2AE"/>
              <w:right w:val="nil"/>
            </w:tcBorders>
            <w:shd w:val="clear" w:color="000000" w:fill="FFFFFF"/>
            <w:noWrap/>
            <w:vAlign w:val="center"/>
            <w:hideMark/>
          </w:tcPr>
          <w:p w14:paraId="3D371C8A" w14:textId="77777777" w:rsidR="00DA0A50" w:rsidRPr="00C31805" w:rsidRDefault="00DA0A50" w:rsidP="00313F0B">
            <w:pPr>
              <w:spacing w:line="240" w:lineRule="auto"/>
              <w:jc w:val="center"/>
              <w:rPr>
                <w:rFonts w:eastAsia="Times New Roman"/>
                <w:color w:val="000000"/>
                <w:sz w:val="20"/>
                <w:szCs w:val="20"/>
              </w:rPr>
            </w:pPr>
            <w:r w:rsidRPr="00C31805">
              <w:rPr>
                <w:rFonts w:eastAsia="Times New Roman"/>
                <w:color w:val="000000"/>
                <w:sz w:val="20"/>
                <w:szCs w:val="20"/>
              </w:rPr>
              <w:t>18,2</w:t>
            </w:r>
          </w:p>
        </w:tc>
        <w:tc>
          <w:tcPr>
            <w:tcW w:w="773" w:type="dxa"/>
            <w:tcBorders>
              <w:top w:val="nil"/>
              <w:left w:val="nil"/>
              <w:bottom w:val="single" w:sz="4" w:space="0" w:color="5AA2AE"/>
              <w:right w:val="nil"/>
            </w:tcBorders>
            <w:shd w:val="clear" w:color="000000" w:fill="FFFFFF"/>
            <w:noWrap/>
            <w:vAlign w:val="center"/>
            <w:hideMark/>
          </w:tcPr>
          <w:p w14:paraId="064EB2C7" w14:textId="77777777" w:rsidR="00DA0A50" w:rsidRPr="00C31805" w:rsidRDefault="00DA0A50" w:rsidP="00313F0B">
            <w:pPr>
              <w:spacing w:line="240" w:lineRule="auto"/>
              <w:jc w:val="center"/>
              <w:rPr>
                <w:rFonts w:eastAsia="Times New Roman"/>
                <w:color w:val="000000"/>
                <w:sz w:val="20"/>
                <w:szCs w:val="20"/>
              </w:rPr>
            </w:pPr>
            <w:r w:rsidRPr="00C31805">
              <w:rPr>
                <w:rFonts w:eastAsia="Times New Roman"/>
                <w:color w:val="000000"/>
                <w:sz w:val="20"/>
                <w:szCs w:val="20"/>
              </w:rPr>
              <w:t>1.180</w:t>
            </w:r>
          </w:p>
        </w:tc>
        <w:tc>
          <w:tcPr>
            <w:tcW w:w="555" w:type="dxa"/>
            <w:tcBorders>
              <w:top w:val="nil"/>
              <w:left w:val="nil"/>
              <w:bottom w:val="single" w:sz="4" w:space="0" w:color="5AA2AE"/>
              <w:right w:val="single" w:sz="4" w:space="0" w:color="5AA2AE"/>
            </w:tcBorders>
            <w:shd w:val="clear" w:color="000000" w:fill="FFFFFF"/>
            <w:noWrap/>
            <w:vAlign w:val="center"/>
            <w:hideMark/>
          </w:tcPr>
          <w:p w14:paraId="142D2B33" w14:textId="77777777" w:rsidR="00DA0A50" w:rsidRPr="00C31805" w:rsidRDefault="00DA0A50" w:rsidP="00313F0B">
            <w:pPr>
              <w:spacing w:line="240" w:lineRule="auto"/>
              <w:jc w:val="center"/>
              <w:rPr>
                <w:rFonts w:eastAsia="Times New Roman"/>
                <w:color w:val="000000"/>
                <w:sz w:val="20"/>
                <w:szCs w:val="20"/>
              </w:rPr>
            </w:pPr>
            <w:r w:rsidRPr="00C31805">
              <w:rPr>
                <w:rFonts w:eastAsia="Times New Roman"/>
                <w:color w:val="000000"/>
                <w:sz w:val="20"/>
                <w:szCs w:val="20"/>
              </w:rPr>
              <w:t>10,3</w:t>
            </w:r>
          </w:p>
        </w:tc>
        <w:tc>
          <w:tcPr>
            <w:tcW w:w="838" w:type="dxa"/>
            <w:tcBorders>
              <w:top w:val="nil"/>
              <w:left w:val="nil"/>
              <w:bottom w:val="single" w:sz="4" w:space="0" w:color="5AA2AE"/>
              <w:right w:val="nil"/>
            </w:tcBorders>
            <w:shd w:val="clear" w:color="000000" w:fill="FFFFFF"/>
            <w:vAlign w:val="center"/>
            <w:hideMark/>
          </w:tcPr>
          <w:p w14:paraId="23DF1221" w14:textId="77777777" w:rsidR="00DA0A50" w:rsidRPr="00C31805" w:rsidRDefault="00DA0A50" w:rsidP="00313F0B">
            <w:pPr>
              <w:spacing w:line="240" w:lineRule="auto"/>
              <w:jc w:val="center"/>
              <w:rPr>
                <w:rFonts w:eastAsia="Times New Roman"/>
                <w:color w:val="000000"/>
                <w:sz w:val="20"/>
                <w:szCs w:val="20"/>
              </w:rPr>
            </w:pPr>
            <w:r w:rsidRPr="00C31805">
              <w:rPr>
                <w:rFonts w:eastAsia="Times New Roman"/>
                <w:color w:val="000000"/>
                <w:sz w:val="20"/>
                <w:szCs w:val="20"/>
              </w:rPr>
              <w:t>2023</w:t>
            </w:r>
          </w:p>
        </w:tc>
        <w:tc>
          <w:tcPr>
            <w:tcW w:w="901" w:type="dxa"/>
            <w:tcBorders>
              <w:top w:val="nil"/>
              <w:left w:val="nil"/>
              <w:bottom w:val="single" w:sz="4" w:space="0" w:color="5AA2AE"/>
              <w:right w:val="nil"/>
            </w:tcBorders>
            <w:shd w:val="clear" w:color="000000" w:fill="FFFFFF"/>
            <w:noWrap/>
            <w:vAlign w:val="center"/>
            <w:hideMark/>
          </w:tcPr>
          <w:p w14:paraId="3FC74438" w14:textId="77777777" w:rsidR="00DA0A50" w:rsidRPr="00C31805" w:rsidRDefault="00DA0A50" w:rsidP="00313F0B">
            <w:pPr>
              <w:spacing w:line="240" w:lineRule="auto"/>
              <w:jc w:val="right"/>
              <w:rPr>
                <w:rFonts w:eastAsia="Times New Roman"/>
                <w:color w:val="000000"/>
                <w:sz w:val="20"/>
                <w:szCs w:val="20"/>
              </w:rPr>
            </w:pPr>
            <w:r w:rsidRPr="00C31805">
              <w:rPr>
                <w:rFonts w:eastAsia="Times New Roman"/>
                <w:color w:val="000000"/>
                <w:sz w:val="20"/>
                <w:szCs w:val="20"/>
              </w:rPr>
              <w:t>143.780</w:t>
            </w:r>
          </w:p>
        </w:tc>
        <w:tc>
          <w:tcPr>
            <w:tcW w:w="553" w:type="dxa"/>
            <w:tcBorders>
              <w:top w:val="nil"/>
              <w:left w:val="nil"/>
              <w:bottom w:val="single" w:sz="4" w:space="0" w:color="5AA2AE"/>
              <w:right w:val="nil"/>
            </w:tcBorders>
            <w:shd w:val="clear" w:color="000000" w:fill="FFFFFF"/>
            <w:noWrap/>
            <w:vAlign w:val="center"/>
            <w:hideMark/>
          </w:tcPr>
          <w:p w14:paraId="5A90F614" w14:textId="77777777" w:rsidR="00DA0A50" w:rsidRPr="00C31805" w:rsidRDefault="00DA0A50" w:rsidP="00313F0B">
            <w:pPr>
              <w:spacing w:line="240" w:lineRule="auto"/>
              <w:jc w:val="center"/>
              <w:rPr>
                <w:rFonts w:eastAsia="Times New Roman"/>
                <w:color w:val="000000"/>
                <w:sz w:val="20"/>
                <w:szCs w:val="20"/>
              </w:rPr>
            </w:pPr>
            <w:r w:rsidRPr="00C31805">
              <w:rPr>
                <w:rFonts w:eastAsia="Times New Roman"/>
                <w:color w:val="000000"/>
                <w:sz w:val="20"/>
                <w:szCs w:val="20"/>
              </w:rPr>
              <w:t>9,1</w:t>
            </w:r>
          </w:p>
        </w:tc>
        <w:tc>
          <w:tcPr>
            <w:tcW w:w="785" w:type="dxa"/>
            <w:tcBorders>
              <w:top w:val="nil"/>
              <w:left w:val="nil"/>
              <w:bottom w:val="single" w:sz="4" w:space="0" w:color="5AA2AE"/>
              <w:right w:val="nil"/>
            </w:tcBorders>
            <w:shd w:val="clear" w:color="000000" w:fill="FFFFFF"/>
            <w:noWrap/>
            <w:vAlign w:val="center"/>
            <w:hideMark/>
          </w:tcPr>
          <w:p w14:paraId="063D4006" w14:textId="77777777" w:rsidR="00DA0A50" w:rsidRPr="00C31805" w:rsidRDefault="00DA0A50" w:rsidP="00313F0B">
            <w:pPr>
              <w:spacing w:line="240" w:lineRule="auto"/>
              <w:jc w:val="center"/>
              <w:rPr>
                <w:rFonts w:eastAsia="Times New Roman"/>
                <w:color w:val="000000"/>
                <w:sz w:val="20"/>
                <w:szCs w:val="20"/>
              </w:rPr>
            </w:pPr>
            <w:r w:rsidRPr="00C31805">
              <w:rPr>
                <w:rFonts w:eastAsia="Times New Roman"/>
                <w:color w:val="000000"/>
                <w:sz w:val="20"/>
                <w:szCs w:val="20"/>
              </w:rPr>
              <w:t>26.161</w:t>
            </w:r>
          </w:p>
        </w:tc>
        <w:tc>
          <w:tcPr>
            <w:tcW w:w="437" w:type="dxa"/>
            <w:tcBorders>
              <w:top w:val="nil"/>
              <w:left w:val="nil"/>
              <w:bottom w:val="single" w:sz="4" w:space="0" w:color="5AA2AE"/>
              <w:right w:val="nil"/>
            </w:tcBorders>
            <w:shd w:val="clear" w:color="000000" w:fill="FFFFFF"/>
            <w:noWrap/>
            <w:vAlign w:val="center"/>
            <w:hideMark/>
          </w:tcPr>
          <w:p w14:paraId="76CDE916" w14:textId="77777777" w:rsidR="00DA0A50" w:rsidRPr="00C31805" w:rsidRDefault="00DA0A50" w:rsidP="00313F0B">
            <w:pPr>
              <w:spacing w:line="240" w:lineRule="auto"/>
              <w:jc w:val="center"/>
              <w:rPr>
                <w:rFonts w:eastAsia="Times New Roman"/>
                <w:color w:val="000000"/>
                <w:sz w:val="20"/>
                <w:szCs w:val="20"/>
              </w:rPr>
            </w:pPr>
            <w:r w:rsidRPr="00C31805">
              <w:rPr>
                <w:rFonts w:eastAsia="Times New Roman"/>
                <w:color w:val="000000"/>
                <w:sz w:val="20"/>
                <w:szCs w:val="20"/>
              </w:rPr>
              <w:t>5,9</w:t>
            </w:r>
          </w:p>
        </w:tc>
        <w:tc>
          <w:tcPr>
            <w:tcW w:w="773" w:type="dxa"/>
            <w:tcBorders>
              <w:top w:val="nil"/>
              <w:left w:val="nil"/>
              <w:bottom w:val="single" w:sz="4" w:space="0" w:color="5AA2AE"/>
              <w:right w:val="nil"/>
            </w:tcBorders>
            <w:shd w:val="clear" w:color="000000" w:fill="FFFFFF"/>
            <w:noWrap/>
            <w:vAlign w:val="center"/>
            <w:hideMark/>
          </w:tcPr>
          <w:p w14:paraId="5473F910" w14:textId="77777777" w:rsidR="00DA0A50" w:rsidRPr="00C31805" w:rsidRDefault="00DA0A50" w:rsidP="00313F0B">
            <w:pPr>
              <w:spacing w:line="240" w:lineRule="auto"/>
              <w:jc w:val="center"/>
              <w:rPr>
                <w:rFonts w:eastAsia="Times New Roman"/>
                <w:color w:val="000000"/>
                <w:sz w:val="20"/>
                <w:szCs w:val="20"/>
              </w:rPr>
            </w:pPr>
            <w:r w:rsidRPr="00C31805">
              <w:rPr>
                <w:rFonts w:eastAsia="Times New Roman"/>
                <w:color w:val="000000"/>
                <w:sz w:val="20"/>
                <w:szCs w:val="20"/>
              </w:rPr>
              <w:t>5.011</w:t>
            </w:r>
          </w:p>
        </w:tc>
        <w:tc>
          <w:tcPr>
            <w:tcW w:w="440" w:type="dxa"/>
            <w:tcBorders>
              <w:top w:val="nil"/>
              <w:left w:val="nil"/>
              <w:bottom w:val="single" w:sz="4" w:space="0" w:color="5AA2AE"/>
              <w:right w:val="single" w:sz="4" w:space="0" w:color="5AA2AE"/>
            </w:tcBorders>
            <w:shd w:val="clear" w:color="000000" w:fill="FFFFFF"/>
            <w:noWrap/>
            <w:vAlign w:val="center"/>
            <w:hideMark/>
          </w:tcPr>
          <w:p w14:paraId="0026AF43" w14:textId="77777777" w:rsidR="00DA0A50" w:rsidRPr="00C31805" w:rsidRDefault="00DA0A50" w:rsidP="00313F0B">
            <w:pPr>
              <w:spacing w:line="240" w:lineRule="auto"/>
              <w:jc w:val="center"/>
              <w:rPr>
                <w:rFonts w:eastAsia="Times New Roman"/>
                <w:color w:val="000000"/>
                <w:sz w:val="20"/>
                <w:szCs w:val="20"/>
              </w:rPr>
            </w:pPr>
            <w:r w:rsidRPr="00C31805">
              <w:rPr>
                <w:rFonts w:eastAsia="Times New Roman"/>
                <w:color w:val="000000"/>
                <w:sz w:val="20"/>
                <w:szCs w:val="20"/>
              </w:rPr>
              <w:t>7,8</w:t>
            </w:r>
          </w:p>
        </w:tc>
      </w:tr>
    </w:tbl>
    <w:p w14:paraId="6898D35C" w14:textId="3A5F57C2" w:rsidR="00933E68" w:rsidRPr="004122C8" w:rsidRDefault="00933E68" w:rsidP="00474FEC">
      <w:pPr>
        <w:shd w:val="clear" w:color="auto" w:fill="FFFFFF"/>
        <w:spacing w:line="330" w:lineRule="atLeast"/>
        <w:jc w:val="center"/>
        <w:rPr>
          <w:sz w:val="20"/>
        </w:rPr>
      </w:pPr>
      <w:r w:rsidRPr="004122C8">
        <w:rPr>
          <w:sz w:val="20"/>
        </w:rPr>
        <w:t xml:space="preserve"> Fonte: Elaboração das autoras, conforme dados do microdados do MEC (Brasil, 2024).</w:t>
      </w:r>
    </w:p>
    <w:p w14:paraId="1182C518" w14:textId="77777777" w:rsidR="004122C8" w:rsidRDefault="004122C8" w:rsidP="00933E68">
      <w:pPr>
        <w:shd w:val="clear" w:color="auto" w:fill="FFFFFF"/>
        <w:spacing w:line="360" w:lineRule="auto"/>
        <w:ind w:right="-285" w:firstLine="708"/>
        <w:jc w:val="both"/>
        <w:rPr>
          <w:rFonts w:eastAsia="Times New Roman"/>
          <w:sz w:val="24"/>
          <w:szCs w:val="24"/>
        </w:rPr>
      </w:pPr>
    </w:p>
    <w:p w14:paraId="49F16ED3" w14:textId="30D2FD06" w:rsidR="00933E68" w:rsidRPr="00474FEC" w:rsidRDefault="00933E68" w:rsidP="004122C8">
      <w:pPr>
        <w:shd w:val="clear" w:color="auto" w:fill="FFFFFF"/>
        <w:spacing w:line="360" w:lineRule="auto"/>
        <w:ind w:firstLine="709"/>
        <w:jc w:val="both"/>
        <w:rPr>
          <w:rFonts w:eastAsia="Times New Roman"/>
          <w:sz w:val="24"/>
          <w:szCs w:val="24"/>
        </w:rPr>
      </w:pPr>
      <w:r w:rsidRPr="00474FEC">
        <w:rPr>
          <w:rFonts w:eastAsia="Times New Roman"/>
          <w:sz w:val="24"/>
          <w:szCs w:val="24"/>
        </w:rPr>
        <w:lastRenderedPageBreak/>
        <w:t xml:space="preserve">De acordo com dados do Ministério da Educação, entre 2019 e 2023, constatou-se </w:t>
      </w:r>
      <w:r w:rsidR="007D1811">
        <w:rPr>
          <w:rFonts w:eastAsia="Times New Roman"/>
          <w:sz w:val="24"/>
          <w:szCs w:val="24"/>
        </w:rPr>
        <w:t>a expansão da</w:t>
      </w:r>
      <w:r w:rsidRPr="00474FEC">
        <w:rPr>
          <w:rFonts w:eastAsia="Times New Roman"/>
          <w:sz w:val="24"/>
          <w:szCs w:val="24"/>
        </w:rPr>
        <w:t xml:space="preserve"> acessibilidade nas escolas em todo território nacional, </w:t>
      </w:r>
      <w:r w:rsidR="007D1811">
        <w:rPr>
          <w:rFonts w:eastAsia="Times New Roman"/>
          <w:sz w:val="24"/>
          <w:szCs w:val="24"/>
        </w:rPr>
        <w:t xml:space="preserve">porém, os níveis de acessibilidade estão aquém para atender adequadamente os alunos. Os itens de maior acessibilidade nas escolas são </w:t>
      </w:r>
      <w:r w:rsidR="007D1811" w:rsidRPr="007D1811">
        <w:rPr>
          <w:rFonts w:eastAsia="Times New Roman"/>
          <w:sz w:val="24"/>
          <w:szCs w:val="24"/>
        </w:rPr>
        <w:t>banheiros acessíveis, rampas e portas com vão livre</w:t>
      </w:r>
      <w:r w:rsidR="005648E8">
        <w:rPr>
          <w:rFonts w:eastAsia="Times New Roman"/>
          <w:sz w:val="24"/>
          <w:szCs w:val="24"/>
        </w:rPr>
        <w:t xml:space="preserve"> nas três abrangências aqui analisadas</w:t>
      </w:r>
      <w:r w:rsidR="007D1811">
        <w:rPr>
          <w:rFonts w:eastAsia="Times New Roman"/>
          <w:sz w:val="24"/>
          <w:szCs w:val="24"/>
        </w:rPr>
        <w:t xml:space="preserve">, como pode ser visto na </w:t>
      </w:r>
      <w:r w:rsidR="007D1811" w:rsidRPr="002F73C9">
        <w:rPr>
          <w:rFonts w:eastAsia="Times New Roman"/>
          <w:b/>
          <w:sz w:val="24"/>
          <w:szCs w:val="24"/>
        </w:rPr>
        <w:t xml:space="preserve">Tabela </w:t>
      </w:r>
      <w:r w:rsidR="00DA0A50">
        <w:rPr>
          <w:rFonts w:eastAsia="Times New Roman"/>
          <w:b/>
          <w:sz w:val="24"/>
          <w:szCs w:val="24"/>
        </w:rPr>
        <w:t>4</w:t>
      </w:r>
      <w:r w:rsidR="007D1811">
        <w:rPr>
          <w:rFonts w:eastAsia="Times New Roman"/>
          <w:sz w:val="24"/>
          <w:szCs w:val="24"/>
        </w:rPr>
        <w:t xml:space="preserve">. </w:t>
      </w:r>
      <w:r w:rsidR="005648E8">
        <w:rPr>
          <w:rFonts w:eastAsia="Times New Roman"/>
          <w:sz w:val="24"/>
          <w:szCs w:val="24"/>
        </w:rPr>
        <w:t xml:space="preserve">Outro ponto que chama atenção é o percentual de escolas com nenhum recurso de acessibilidade, que é relativamente alto, principalmente, no Maranhão, atingindo 45,2% das escolas em 2023.  </w:t>
      </w:r>
    </w:p>
    <w:p w14:paraId="75522D1F" w14:textId="2A60DCA1" w:rsidR="00933E68" w:rsidRPr="004122C8" w:rsidRDefault="00933E68" w:rsidP="004122C8">
      <w:pPr>
        <w:shd w:val="clear" w:color="auto" w:fill="FFFFFF"/>
        <w:spacing w:line="330" w:lineRule="atLeast"/>
        <w:ind w:firstLine="708"/>
        <w:jc w:val="center"/>
      </w:pPr>
      <w:r w:rsidRPr="004122C8">
        <w:rPr>
          <w:rFonts w:eastAsiaTheme="minorHAnsi"/>
        </w:rPr>
        <w:fldChar w:fldCharType="begin"/>
      </w:r>
      <w:r w:rsidRPr="004122C8">
        <w:instrText xml:space="preserve"> LINK </w:instrText>
      </w:r>
      <w:r w:rsidR="0075714A">
        <w:instrText xml:space="preserve">Excel.Sheet.12 "C:\\Users\\NE030\\Desktop\\artigo EME\\Pasta1.xlsx" Planilha2!L35C2:L46C8 </w:instrText>
      </w:r>
      <w:r w:rsidRPr="004122C8">
        <w:instrText xml:space="preserve">\a \f 4 \h  \* MERGEFORMAT </w:instrText>
      </w:r>
      <w:r w:rsidRPr="004122C8">
        <w:rPr>
          <w:rFonts w:eastAsiaTheme="minorHAnsi"/>
        </w:rPr>
        <w:fldChar w:fldCharType="separate"/>
      </w:r>
    </w:p>
    <w:p w14:paraId="6C99E9DB" w14:textId="26FA2CF0" w:rsidR="00933E68" w:rsidRPr="004122C8" w:rsidRDefault="00933E68" w:rsidP="004122C8">
      <w:pPr>
        <w:pStyle w:val="Legenda"/>
        <w:keepNext/>
        <w:spacing w:after="0" w:line="360" w:lineRule="auto"/>
        <w:jc w:val="center"/>
        <w:rPr>
          <w:rFonts w:ascii="Arial" w:hAnsi="Arial" w:cs="Arial"/>
          <w:i w:val="0"/>
          <w:color w:val="auto"/>
          <w:sz w:val="24"/>
        </w:rPr>
      </w:pPr>
      <w:r w:rsidRPr="004122C8">
        <w:rPr>
          <w:rFonts w:ascii="Arial" w:hAnsi="Arial" w:cs="Arial"/>
          <w:b/>
          <w:i w:val="0"/>
          <w:color w:val="auto"/>
          <w:sz w:val="24"/>
        </w:rPr>
        <w:t xml:space="preserve">Tabela </w:t>
      </w:r>
      <w:r w:rsidR="00DA0A50">
        <w:rPr>
          <w:rFonts w:ascii="Arial" w:hAnsi="Arial" w:cs="Arial"/>
          <w:b/>
          <w:i w:val="0"/>
          <w:color w:val="auto"/>
          <w:sz w:val="24"/>
        </w:rPr>
        <w:t>4</w:t>
      </w:r>
      <w:r w:rsidR="00DA0A50" w:rsidRPr="004122C8">
        <w:rPr>
          <w:rFonts w:ascii="Arial" w:hAnsi="Arial" w:cs="Arial"/>
          <w:b/>
          <w:i w:val="0"/>
          <w:color w:val="auto"/>
          <w:sz w:val="24"/>
        </w:rPr>
        <w:t xml:space="preserve"> </w:t>
      </w:r>
      <w:r w:rsidRPr="004122C8">
        <w:rPr>
          <w:rFonts w:ascii="Arial" w:hAnsi="Arial" w:cs="Arial"/>
          <w:b/>
          <w:i w:val="0"/>
          <w:color w:val="auto"/>
          <w:sz w:val="24"/>
        </w:rPr>
        <w:t>-</w:t>
      </w:r>
      <w:r w:rsidRPr="004122C8">
        <w:rPr>
          <w:rFonts w:ascii="Arial" w:hAnsi="Arial" w:cs="Arial"/>
          <w:i w:val="0"/>
          <w:color w:val="auto"/>
          <w:sz w:val="24"/>
        </w:rPr>
        <w:t xml:space="preserve"> Percentual de escolas segundo outros itens de acessibilidade, no Brasil, Nordeste e Maranhão (%) – 2019 e 2023</w:t>
      </w:r>
    </w:p>
    <w:tbl>
      <w:tblPr>
        <w:tblW w:w="9095" w:type="dxa"/>
        <w:tblCellMar>
          <w:left w:w="70" w:type="dxa"/>
          <w:right w:w="70" w:type="dxa"/>
        </w:tblCellMar>
        <w:tblLook w:val="04A0" w:firstRow="1" w:lastRow="0" w:firstColumn="1" w:lastColumn="0" w:noHBand="0" w:noVBand="1"/>
      </w:tblPr>
      <w:tblGrid>
        <w:gridCol w:w="2712"/>
        <w:gridCol w:w="1151"/>
        <w:gridCol w:w="985"/>
        <w:gridCol w:w="1151"/>
        <w:gridCol w:w="985"/>
        <w:gridCol w:w="1151"/>
        <w:gridCol w:w="960"/>
      </w:tblGrid>
      <w:tr w:rsidR="00933E68" w:rsidRPr="004122C8" w14:paraId="68205E1A" w14:textId="77777777" w:rsidTr="002F73C9">
        <w:trPr>
          <w:trHeight w:val="281"/>
        </w:trPr>
        <w:tc>
          <w:tcPr>
            <w:tcW w:w="2712" w:type="dxa"/>
            <w:vMerge w:val="restart"/>
            <w:tcBorders>
              <w:top w:val="single" w:sz="12" w:space="0" w:color="5AA2AE"/>
              <w:left w:val="nil"/>
              <w:bottom w:val="nil"/>
              <w:right w:val="dotted" w:sz="4" w:space="0" w:color="BFBFBF"/>
            </w:tcBorders>
            <w:shd w:val="clear" w:color="000000" w:fill="4A66AC"/>
            <w:vAlign w:val="center"/>
            <w:hideMark/>
          </w:tcPr>
          <w:p w14:paraId="67AD7077" w14:textId="77777777" w:rsidR="00933E68" w:rsidRPr="004122C8" w:rsidRDefault="00933E68" w:rsidP="005138EF">
            <w:pPr>
              <w:spacing w:line="240" w:lineRule="auto"/>
              <w:jc w:val="center"/>
              <w:rPr>
                <w:rFonts w:eastAsia="Times New Roman"/>
                <w:b/>
                <w:bCs/>
                <w:color w:val="FFFFFF"/>
                <w:sz w:val="20"/>
                <w:szCs w:val="20"/>
              </w:rPr>
            </w:pPr>
            <w:r w:rsidRPr="004122C8">
              <w:rPr>
                <w:rFonts w:eastAsia="Times New Roman"/>
                <w:b/>
                <w:bCs/>
                <w:color w:val="FFFFFF"/>
                <w:sz w:val="20"/>
                <w:szCs w:val="20"/>
              </w:rPr>
              <w:t xml:space="preserve">Itens de acessibilidade </w:t>
            </w:r>
          </w:p>
        </w:tc>
        <w:tc>
          <w:tcPr>
            <w:tcW w:w="2136" w:type="dxa"/>
            <w:gridSpan w:val="2"/>
            <w:tcBorders>
              <w:top w:val="single" w:sz="12" w:space="0" w:color="5AA2AE"/>
              <w:left w:val="nil"/>
              <w:bottom w:val="dotted" w:sz="4" w:space="0" w:color="BFBFBF"/>
              <w:right w:val="dotted" w:sz="4" w:space="0" w:color="BFBFBF"/>
            </w:tcBorders>
            <w:shd w:val="clear" w:color="000000" w:fill="4A66AC"/>
            <w:noWrap/>
            <w:vAlign w:val="center"/>
            <w:hideMark/>
          </w:tcPr>
          <w:p w14:paraId="03C07374" w14:textId="77777777" w:rsidR="00933E68" w:rsidRPr="004122C8" w:rsidRDefault="00933E68" w:rsidP="005138EF">
            <w:pPr>
              <w:spacing w:line="240" w:lineRule="auto"/>
              <w:jc w:val="center"/>
              <w:rPr>
                <w:rFonts w:eastAsia="Times New Roman"/>
                <w:b/>
                <w:bCs/>
                <w:color w:val="FFFFFF"/>
                <w:sz w:val="20"/>
                <w:szCs w:val="20"/>
              </w:rPr>
            </w:pPr>
            <w:r w:rsidRPr="004122C8">
              <w:rPr>
                <w:rFonts w:eastAsia="Times New Roman"/>
                <w:b/>
                <w:bCs/>
                <w:color w:val="FFFFFF"/>
                <w:sz w:val="20"/>
                <w:szCs w:val="20"/>
              </w:rPr>
              <w:t>BRASIL</w:t>
            </w:r>
          </w:p>
        </w:tc>
        <w:tc>
          <w:tcPr>
            <w:tcW w:w="2136" w:type="dxa"/>
            <w:gridSpan w:val="2"/>
            <w:tcBorders>
              <w:top w:val="single" w:sz="12" w:space="0" w:color="5AA2AE"/>
              <w:left w:val="nil"/>
              <w:bottom w:val="dotted" w:sz="4" w:space="0" w:color="BFBFBF"/>
              <w:right w:val="dotted" w:sz="4" w:space="0" w:color="BFBFBF"/>
            </w:tcBorders>
            <w:shd w:val="clear" w:color="000000" w:fill="4A66AC"/>
            <w:noWrap/>
            <w:vAlign w:val="center"/>
            <w:hideMark/>
          </w:tcPr>
          <w:p w14:paraId="0919E40A" w14:textId="77777777" w:rsidR="00933E68" w:rsidRPr="004122C8" w:rsidRDefault="00933E68" w:rsidP="005138EF">
            <w:pPr>
              <w:spacing w:line="240" w:lineRule="auto"/>
              <w:jc w:val="center"/>
              <w:rPr>
                <w:rFonts w:eastAsia="Times New Roman"/>
                <w:b/>
                <w:bCs/>
                <w:color w:val="FFFFFF"/>
                <w:sz w:val="20"/>
                <w:szCs w:val="20"/>
              </w:rPr>
            </w:pPr>
            <w:r w:rsidRPr="004122C8">
              <w:rPr>
                <w:rFonts w:eastAsia="Times New Roman"/>
                <w:b/>
                <w:bCs/>
                <w:color w:val="FFFFFF"/>
                <w:sz w:val="20"/>
                <w:szCs w:val="20"/>
              </w:rPr>
              <w:t>NORDESTE</w:t>
            </w:r>
          </w:p>
        </w:tc>
        <w:tc>
          <w:tcPr>
            <w:tcW w:w="2111" w:type="dxa"/>
            <w:gridSpan w:val="2"/>
            <w:tcBorders>
              <w:top w:val="single" w:sz="12" w:space="0" w:color="5AA2AE"/>
              <w:left w:val="nil"/>
              <w:bottom w:val="dotted" w:sz="4" w:space="0" w:color="BFBFBF"/>
              <w:right w:val="nil"/>
            </w:tcBorders>
            <w:shd w:val="clear" w:color="000000" w:fill="4A66AC"/>
            <w:noWrap/>
            <w:vAlign w:val="center"/>
            <w:hideMark/>
          </w:tcPr>
          <w:p w14:paraId="414DFE44" w14:textId="77777777" w:rsidR="00933E68" w:rsidRPr="004122C8" w:rsidRDefault="00933E68" w:rsidP="005138EF">
            <w:pPr>
              <w:spacing w:line="240" w:lineRule="auto"/>
              <w:jc w:val="center"/>
              <w:rPr>
                <w:rFonts w:eastAsia="Times New Roman"/>
                <w:b/>
                <w:bCs/>
                <w:color w:val="FFFFFF"/>
                <w:sz w:val="20"/>
                <w:szCs w:val="20"/>
              </w:rPr>
            </w:pPr>
            <w:r w:rsidRPr="004122C8">
              <w:rPr>
                <w:rFonts w:eastAsia="Times New Roman"/>
                <w:b/>
                <w:bCs/>
                <w:color w:val="FFFFFF"/>
                <w:sz w:val="20"/>
                <w:szCs w:val="20"/>
              </w:rPr>
              <w:t>MARANHÃO</w:t>
            </w:r>
          </w:p>
        </w:tc>
      </w:tr>
      <w:tr w:rsidR="00933E68" w:rsidRPr="004122C8" w14:paraId="3D542D40" w14:textId="77777777" w:rsidTr="002F73C9">
        <w:trPr>
          <w:trHeight w:val="281"/>
        </w:trPr>
        <w:tc>
          <w:tcPr>
            <w:tcW w:w="2712" w:type="dxa"/>
            <w:vMerge/>
            <w:tcBorders>
              <w:top w:val="single" w:sz="8" w:space="0" w:color="5AA2AE"/>
              <w:left w:val="nil"/>
              <w:bottom w:val="nil"/>
              <w:right w:val="dotted" w:sz="4" w:space="0" w:color="BFBFBF"/>
            </w:tcBorders>
            <w:vAlign w:val="center"/>
            <w:hideMark/>
          </w:tcPr>
          <w:p w14:paraId="3CC6FEC3" w14:textId="77777777" w:rsidR="00933E68" w:rsidRPr="004122C8" w:rsidRDefault="00933E68" w:rsidP="005138EF">
            <w:pPr>
              <w:spacing w:line="240" w:lineRule="auto"/>
              <w:rPr>
                <w:rFonts w:eastAsia="Times New Roman"/>
                <w:b/>
                <w:bCs/>
                <w:color w:val="FFFFFF"/>
                <w:sz w:val="20"/>
                <w:szCs w:val="20"/>
              </w:rPr>
            </w:pPr>
          </w:p>
        </w:tc>
        <w:tc>
          <w:tcPr>
            <w:tcW w:w="1151" w:type="dxa"/>
            <w:tcBorders>
              <w:top w:val="nil"/>
              <w:left w:val="nil"/>
              <w:bottom w:val="nil"/>
              <w:right w:val="dotted" w:sz="4" w:space="0" w:color="BFBFBF"/>
            </w:tcBorders>
            <w:shd w:val="clear" w:color="000000" w:fill="629DD1"/>
            <w:vAlign w:val="center"/>
            <w:hideMark/>
          </w:tcPr>
          <w:p w14:paraId="39284739" w14:textId="77777777" w:rsidR="00933E68" w:rsidRPr="004122C8" w:rsidRDefault="00933E68" w:rsidP="005138EF">
            <w:pPr>
              <w:spacing w:line="240" w:lineRule="auto"/>
              <w:jc w:val="center"/>
              <w:rPr>
                <w:rFonts w:eastAsia="Times New Roman"/>
                <w:color w:val="FFFFFF"/>
                <w:sz w:val="20"/>
                <w:szCs w:val="20"/>
              </w:rPr>
            </w:pPr>
            <w:r w:rsidRPr="004122C8">
              <w:rPr>
                <w:rFonts w:eastAsia="Times New Roman"/>
                <w:color w:val="FFFFFF"/>
                <w:sz w:val="20"/>
                <w:szCs w:val="20"/>
              </w:rPr>
              <w:t>2019</w:t>
            </w:r>
          </w:p>
        </w:tc>
        <w:tc>
          <w:tcPr>
            <w:tcW w:w="985" w:type="dxa"/>
            <w:tcBorders>
              <w:top w:val="nil"/>
              <w:left w:val="nil"/>
              <w:bottom w:val="nil"/>
              <w:right w:val="dotted" w:sz="4" w:space="0" w:color="BFBFBF"/>
            </w:tcBorders>
            <w:shd w:val="clear" w:color="000000" w:fill="629DD1"/>
            <w:vAlign w:val="center"/>
            <w:hideMark/>
          </w:tcPr>
          <w:p w14:paraId="59411B04" w14:textId="77777777" w:rsidR="00933E68" w:rsidRPr="004122C8" w:rsidRDefault="00933E68" w:rsidP="005138EF">
            <w:pPr>
              <w:spacing w:line="240" w:lineRule="auto"/>
              <w:jc w:val="center"/>
              <w:rPr>
                <w:rFonts w:eastAsia="Times New Roman"/>
                <w:color w:val="FFFFFF"/>
                <w:sz w:val="20"/>
                <w:szCs w:val="20"/>
              </w:rPr>
            </w:pPr>
            <w:r w:rsidRPr="004122C8">
              <w:rPr>
                <w:rFonts w:eastAsia="Times New Roman"/>
                <w:color w:val="FFFFFF"/>
                <w:sz w:val="20"/>
                <w:szCs w:val="20"/>
              </w:rPr>
              <w:t>2023</w:t>
            </w:r>
          </w:p>
        </w:tc>
        <w:tc>
          <w:tcPr>
            <w:tcW w:w="1151" w:type="dxa"/>
            <w:tcBorders>
              <w:top w:val="nil"/>
              <w:left w:val="nil"/>
              <w:bottom w:val="nil"/>
              <w:right w:val="dotted" w:sz="4" w:space="0" w:color="BFBFBF"/>
            </w:tcBorders>
            <w:shd w:val="clear" w:color="000000" w:fill="629DD1"/>
            <w:vAlign w:val="center"/>
            <w:hideMark/>
          </w:tcPr>
          <w:p w14:paraId="31B642F8" w14:textId="77777777" w:rsidR="00933E68" w:rsidRPr="004122C8" w:rsidRDefault="00933E68" w:rsidP="005138EF">
            <w:pPr>
              <w:spacing w:line="240" w:lineRule="auto"/>
              <w:jc w:val="center"/>
              <w:rPr>
                <w:rFonts w:eastAsia="Times New Roman"/>
                <w:color w:val="FFFFFF"/>
                <w:sz w:val="20"/>
                <w:szCs w:val="20"/>
              </w:rPr>
            </w:pPr>
            <w:r w:rsidRPr="004122C8">
              <w:rPr>
                <w:rFonts w:eastAsia="Times New Roman"/>
                <w:color w:val="FFFFFF"/>
                <w:sz w:val="20"/>
                <w:szCs w:val="20"/>
              </w:rPr>
              <w:t>2019</w:t>
            </w:r>
          </w:p>
        </w:tc>
        <w:tc>
          <w:tcPr>
            <w:tcW w:w="985" w:type="dxa"/>
            <w:tcBorders>
              <w:top w:val="nil"/>
              <w:left w:val="nil"/>
              <w:bottom w:val="nil"/>
              <w:right w:val="dotted" w:sz="4" w:space="0" w:color="BFBFBF"/>
            </w:tcBorders>
            <w:shd w:val="clear" w:color="000000" w:fill="629DD1"/>
            <w:vAlign w:val="center"/>
            <w:hideMark/>
          </w:tcPr>
          <w:p w14:paraId="3833E7C1" w14:textId="77777777" w:rsidR="00933E68" w:rsidRPr="004122C8" w:rsidRDefault="00933E68" w:rsidP="005138EF">
            <w:pPr>
              <w:spacing w:line="240" w:lineRule="auto"/>
              <w:jc w:val="center"/>
              <w:rPr>
                <w:rFonts w:eastAsia="Times New Roman"/>
                <w:color w:val="FFFFFF"/>
                <w:sz w:val="20"/>
                <w:szCs w:val="20"/>
              </w:rPr>
            </w:pPr>
            <w:r w:rsidRPr="004122C8">
              <w:rPr>
                <w:rFonts w:eastAsia="Times New Roman"/>
                <w:color w:val="FFFFFF"/>
                <w:sz w:val="20"/>
                <w:szCs w:val="20"/>
              </w:rPr>
              <w:t>2023</w:t>
            </w:r>
          </w:p>
        </w:tc>
        <w:tc>
          <w:tcPr>
            <w:tcW w:w="1151" w:type="dxa"/>
            <w:tcBorders>
              <w:top w:val="nil"/>
              <w:left w:val="nil"/>
              <w:bottom w:val="nil"/>
              <w:right w:val="dotted" w:sz="4" w:space="0" w:color="BFBFBF"/>
            </w:tcBorders>
            <w:shd w:val="clear" w:color="000000" w:fill="629DD1"/>
            <w:vAlign w:val="center"/>
            <w:hideMark/>
          </w:tcPr>
          <w:p w14:paraId="3A4EB1C7" w14:textId="77777777" w:rsidR="00933E68" w:rsidRPr="004122C8" w:rsidRDefault="00933E68" w:rsidP="005138EF">
            <w:pPr>
              <w:spacing w:line="240" w:lineRule="auto"/>
              <w:jc w:val="center"/>
              <w:rPr>
                <w:rFonts w:eastAsia="Times New Roman"/>
                <w:color w:val="FFFFFF"/>
                <w:sz w:val="20"/>
                <w:szCs w:val="20"/>
              </w:rPr>
            </w:pPr>
            <w:r w:rsidRPr="004122C8">
              <w:rPr>
                <w:rFonts w:eastAsia="Times New Roman"/>
                <w:color w:val="FFFFFF"/>
                <w:sz w:val="20"/>
                <w:szCs w:val="20"/>
              </w:rPr>
              <w:t>2019</w:t>
            </w:r>
          </w:p>
        </w:tc>
        <w:tc>
          <w:tcPr>
            <w:tcW w:w="960" w:type="dxa"/>
            <w:tcBorders>
              <w:top w:val="nil"/>
              <w:left w:val="nil"/>
              <w:bottom w:val="nil"/>
              <w:right w:val="dotted" w:sz="4" w:space="0" w:color="BFBFBF"/>
            </w:tcBorders>
            <w:shd w:val="clear" w:color="000000" w:fill="629DD1"/>
            <w:vAlign w:val="center"/>
            <w:hideMark/>
          </w:tcPr>
          <w:p w14:paraId="7806F0E3" w14:textId="77777777" w:rsidR="00933E68" w:rsidRPr="004122C8" w:rsidRDefault="00933E68" w:rsidP="005138EF">
            <w:pPr>
              <w:spacing w:line="240" w:lineRule="auto"/>
              <w:jc w:val="center"/>
              <w:rPr>
                <w:rFonts w:eastAsia="Times New Roman"/>
                <w:color w:val="FFFFFF"/>
                <w:sz w:val="20"/>
                <w:szCs w:val="20"/>
              </w:rPr>
            </w:pPr>
            <w:r w:rsidRPr="004122C8">
              <w:rPr>
                <w:rFonts w:eastAsia="Times New Roman"/>
                <w:color w:val="FFFFFF"/>
                <w:sz w:val="20"/>
                <w:szCs w:val="20"/>
              </w:rPr>
              <w:t>2023</w:t>
            </w:r>
          </w:p>
        </w:tc>
      </w:tr>
      <w:tr w:rsidR="00933E68" w:rsidRPr="004122C8" w14:paraId="133CB7E0" w14:textId="77777777" w:rsidTr="002F73C9">
        <w:trPr>
          <w:trHeight w:val="281"/>
        </w:trPr>
        <w:tc>
          <w:tcPr>
            <w:tcW w:w="2712" w:type="dxa"/>
            <w:tcBorders>
              <w:top w:val="nil"/>
              <w:left w:val="nil"/>
              <w:bottom w:val="nil"/>
              <w:right w:val="nil"/>
            </w:tcBorders>
            <w:shd w:val="clear" w:color="auto" w:fill="auto"/>
            <w:noWrap/>
            <w:vAlign w:val="bottom"/>
            <w:hideMark/>
          </w:tcPr>
          <w:p w14:paraId="6158C298" w14:textId="77777777" w:rsidR="00933E68" w:rsidRPr="004122C8" w:rsidRDefault="00933E68" w:rsidP="005138EF">
            <w:pPr>
              <w:spacing w:line="240" w:lineRule="auto"/>
              <w:rPr>
                <w:rFonts w:eastAsia="Times New Roman"/>
                <w:color w:val="000000"/>
                <w:sz w:val="20"/>
                <w:szCs w:val="20"/>
              </w:rPr>
            </w:pPr>
            <w:r w:rsidRPr="004122C8">
              <w:rPr>
                <w:rFonts w:eastAsia="Times New Roman"/>
                <w:color w:val="000000"/>
                <w:sz w:val="20"/>
                <w:szCs w:val="20"/>
              </w:rPr>
              <w:t>Banheiros acessíveis</w:t>
            </w:r>
          </w:p>
        </w:tc>
        <w:tc>
          <w:tcPr>
            <w:tcW w:w="1151" w:type="dxa"/>
            <w:tcBorders>
              <w:top w:val="nil"/>
              <w:left w:val="nil"/>
              <w:bottom w:val="nil"/>
              <w:right w:val="nil"/>
            </w:tcBorders>
            <w:shd w:val="clear" w:color="auto" w:fill="auto"/>
            <w:noWrap/>
            <w:vAlign w:val="center"/>
            <w:hideMark/>
          </w:tcPr>
          <w:p w14:paraId="252E32F6"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35,7</w:t>
            </w:r>
          </w:p>
        </w:tc>
        <w:tc>
          <w:tcPr>
            <w:tcW w:w="985" w:type="dxa"/>
            <w:tcBorders>
              <w:top w:val="nil"/>
              <w:left w:val="nil"/>
              <w:bottom w:val="nil"/>
              <w:right w:val="nil"/>
            </w:tcBorders>
            <w:shd w:val="clear" w:color="auto" w:fill="auto"/>
            <w:noWrap/>
            <w:vAlign w:val="center"/>
            <w:hideMark/>
          </w:tcPr>
          <w:p w14:paraId="7865D6DD"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52,9</w:t>
            </w:r>
          </w:p>
        </w:tc>
        <w:tc>
          <w:tcPr>
            <w:tcW w:w="1151" w:type="dxa"/>
            <w:tcBorders>
              <w:top w:val="nil"/>
              <w:left w:val="nil"/>
              <w:bottom w:val="nil"/>
              <w:right w:val="nil"/>
            </w:tcBorders>
            <w:shd w:val="clear" w:color="auto" w:fill="auto"/>
            <w:noWrap/>
            <w:vAlign w:val="center"/>
            <w:hideMark/>
          </w:tcPr>
          <w:p w14:paraId="75F0D1C5"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27,2</w:t>
            </w:r>
          </w:p>
        </w:tc>
        <w:tc>
          <w:tcPr>
            <w:tcW w:w="985" w:type="dxa"/>
            <w:tcBorders>
              <w:top w:val="nil"/>
              <w:left w:val="nil"/>
              <w:bottom w:val="nil"/>
              <w:right w:val="nil"/>
            </w:tcBorders>
            <w:shd w:val="clear" w:color="auto" w:fill="auto"/>
            <w:noWrap/>
            <w:vAlign w:val="center"/>
            <w:hideMark/>
          </w:tcPr>
          <w:p w14:paraId="32AC6B94"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46,4</w:t>
            </w:r>
          </w:p>
        </w:tc>
        <w:tc>
          <w:tcPr>
            <w:tcW w:w="1151" w:type="dxa"/>
            <w:tcBorders>
              <w:top w:val="nil"/>
              <w:left w:val="nil"/>
              <w:bottom w:val="nil"/>
              <w:right w:val="nil"/>
            </w:tcBorders>
            <w:shd w:val="clear" w:color="auto" w:fill="auto"/>
            <w:noWrap/>
            <w:vAlign w:val="center"/>
            <w:hideMark/>
          </w:tcPr>
          <w:p w14:paraId="1BA7CDBB"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19,6</w:t>
            </w:r>
          </w:p>
        </w:tc>
        <w:tc>
          <w:tcPr>
            <w:tcW w:w="960" w:type="dxa"/>
            <w:tcBorders>
              <w:top w:val="nil"/>
              <w:left w:val="nil"/>
              <w:bottom w:val="nil"/>
              <w:right w:val="nil"/>
            </w:tcBorders>
            <w:shd w:val="clear" w:color="auto" w:fill="auto"/>
            <w:noWrap/>
            <w:vAlign w:val="center"/>
            <w:hideMark/>
          </w:tcPr>
          <w:p w14:paraId="0F8C44EB"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31,9</w:t>
            </w:r>
          </w:p>
        </w:tc>
      </w:tr>
      <w:tr w:rsidR="00933E68" w:rsidRPr="004122C8" w14:paraId="68694D77" w14:textId="77777777" w:rsidTr="002F73C9">
        <w:trPr>
          <w:trHeight w:val="281"/>
        </w:trPr>
        <w:tc>
          <w:tcPr>
            <w:tcW w:w="2712" w:type="dxa"/>
            <w:tcBorders>
              <w:top w:val="nil"/>
              <w:left w:val="nil"/>
              <w:bottom w:val="nil"/>
              <w:right w:val="nil"/>
            </w:tcBorders>
            <w:shd w:val="clear" w:color="000000" w:fill="F2F2F2"/>
            <w:noWrap/>
            <w:vAlign w:val="bottom"/>
            <w:hideMark/>
          </w:tcPr>
          <w:p w14:paraId="1B66D150" w14:textId="77777777" w:rsidR="00933E68" w:rsidRPr="004122C8" w:rsidRDefault="00933E68" w:rsidP="005138EF">
            <w:pPr>
              <w:spacing w:line="240" w:lineRule="auto"/>
              <w:rPr>
                <w:rFonts w:eastAsia="Times New Roman"/>
                <w:color w:val="000000"/>
                <w:sz w:val="20"/>
                <w:szCs w:val="20"/>
              </w:rPr>
            </w:pPr>
            <w:r w:rsidRPr="004122C8">
              <w:rPr>
                <w:rFonts w:eastAsia="Times New Roman"/>
                <w:color w:val="000000"/>
                <w:sz w:val="20"/>
                <w:szCs w:val="20"/>
              </w:rPr>
              <w:t>Corrimão</w:t>
            </w:r>
          </w:p>
        </w:tc>
        <w:tc>
          <w:tcPr>
            <w:tcW w:w="1151" w:type="dxa"/>
            <w:tcBorders>
              <w:top w:val="nil"/>
              <w:left w:val="nil"/>
              <w:bottom w:val="nil"/>
              <w:right w:val="nil"/>
            </w:tcBorders>
            <w:shd w:val="clear" w:color="000000" w:fill="F2F2F2"/>
            <w:noWrap/>
            <w:vAlign w:val="center"/>
            <w:hideMark/>
          </w:tcPr>
          <w:p w14:paraId="5278A1BC"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18,1</w:t>
            </w:r>
          </w:p>
        </w:tc>
        <w:tc>
          <w:tcPr>
            <w:tcW w:w="985" w:type="dxa"/>
            <w:tcBorders>
              <w:top w:val="nil"/>
              <w:left w:val="nil"/>
              <w:bottom w:val="nil"/>
              <w:right w:val="nil"/>
            </w:tcBorders>
            <w:shd w:val="clear" w:color="000000" w:fill="F2F2F2"/>
            <w:noWrap/>
            <w:vAlign w:val="center"/>
            <w:hideMark/>
          </w:tcPr>
          <w:p w14:paraId="78E1818F"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31,2</w:t>
            </w:r>
          </w:p>
        </w:tc>
        <w:tc>
          <w:tcPr>
            <w:tcW w:w="1151" w:type="dxa"/>
            <w:tcBorders>
              <w:top w:val="nil"/>
              <w:left w:val="nil"/>
              <w:bottom w:val="nil"/>
              <w:right w:val="nil"/>
            </w:tcBorders>
            <w:shd w:val="clear" w:color="000000" w:fill="F2F2F2"/>
            <w:noWrap/>
            <w:vAlign w:val="center"/>
            <w:hideMark/>
          </w:tcPr>
          <w:p w14:paraId="7E344A19"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12,3</w:t>
            </w:r>
          </w:p>
        </w:tc>
        <w:tc>
          <w:tcPr>
            <w:tcW w:w="985" w:type="dxa"/>
            <w:tcBorders>
              <w:top w:val="nil"/>
              <w:left w:val="nil"/>
              <w:bottom w:val="nil"/>
              <w:right w:val="nil"/>
            </w:tcBorders>
            <w:shd w:val="clear" w:color="000000" w:fill="F2F2F2"/>
            <w:noWrap/>
            <w:vAlign w:val="center"/>
            <w:hideMark/>
          </w:tcPr>
          <w:p w14:paraId="370BAABA"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23,3</w:t>
            </w:r>
          </w:p>
        </w:tc>
        <w:tc>
          <w:tcPr>
            <w:tcW w:w="1151" w:type="dxa"/>
            <w:tcBorders>
              <w:top w:val="nil"/>
              <w:left w:val="nil"/>
              <w:bottom w:val="nil"/>
              <w:right w:val="nil"/>
            </w:tcBorders>
            <w:shd w:val="clear" w:color="000000" w:fill="F2F2F2"/>
            <w:noWrap/>
            <w:vAlign w:val="center"/>
            <w:hideMark/>
          </w:tcPr>
          <w:p w14:paraId="55A16EF8"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6,2</w:t>
            </w:r>
          </w:p>
        </w:tc>
        <w:tc>
          <w:tcPr>
            <w:tcW w:w="960" w:type="dxa"/>
            <w:tcBorders>
              <w:top w:val="nil"/>
              <w:left w:val="nil"/>
              <w:bottom w:val="nil"/>
              <w:right w:val="nil"/>
            </w:tcBorders>
            <w:shd w:val="clear" w:color="000000" w:fill="F2F2F2"/>
            <w:noWrap/>
            <w:vAlign w:val="center"/>
            <w:hideMark/>
          </w:tcPr>
          <w:p w14:paraId="2D2B1249"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10,9</w:t>
            </w:r>
          </w:p>
        </w:tc>
      </w:tr>
      <w:tr w:rsidR="00933E68" w:rsidRPr="004122C8" w14:paraId="2E0FDCE3" w14:textId="77777777" w:rsidTr="002F73C9">
        <w:trPr>
          <w:trHeight w:val="281"/>
        </w:trPr>
        <w:tc>
          <w:tcPr>
            <w:tcW w:w="2712" w:type="dxa"/>
            <w:tcBorders>
              <w:top w:val="nil"/>
              <w:left w:val="nil"/>
              <w:bottom w:val="nil"/>
              <w:right w:val="nil"/>
            </w:tcBorders>
            <w:shd w:val="clear" w:color="auto" w:fill="auto"/>
            <w:noWrap/>
            <w:vAlign w:val="bottom"/>
            <w:hideMark/>
          </w:tcPr>
          <w:p w14:paraId="2ACDAAFE" w14:textId="77777777" w:rsidR="00933E68" w:rsidRPr="004122C8" w:rsidRDefault="00933E68" w:rsidP="005138EF">
            <w:pPr>
              <w:spacing w:line="240" w:lineRule="auto"/>
              <w:rPr>
                <w:rFonts w:eastAsia="Times New Roman"/>
                <w:color w:val="000000"/>
                <w:sz w:val="20"/>
                <w:szCs w:val="20"/>
              </w:rPr>
            </w:pPr>
            <w:r w:rsidRPr="004122C8">
              <w:rPr>
                <w:rFonts w:eastAsia="Times New Roman"/>
                <w:color w:val="000000"/>
                <w:sz w:val="20"/>
                <w:szCs w:val="20"/>
              </w:rPr>
              <w:t>Elevador</w:t>
            </w:r>
          </w:p>
        </w:tc>
        <w:tc>
          <w:tcPr>
            <w:tcW w:w="1151" w:type="dxa"/>
            <w:tcBorders>
              <w:top w:val="nil"/>
              <w:left w:val="nil"/>
              <w:bottom w:val="nil"/>
              <w:right w:val="nil"/>
            </w:tcBorders>
            <w:shd w:val="clear" w:color="auto" w:fill="auto"/>
            <w:noWrap/>
            <w:vAlign w:val="center"/>
            <w:hideMark/>
          </w:tcPr>
          <w:p w14:paraId="2F25A72B"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2,7</w:t>
            </w:r>
          </w:p>
        </w:tc>
        <w:tc>
          <w:tcPr>
            <w:tcW w:w="985" w:type="dxa"/>
            <w:tcBorders>
              <w:top w:val="nil"/>
              <w:left w:val="nil"/>
              <w:bottom w:val="nil"/>
              <w:right w:val="nil"/>
            </w:tcBorders>
            <w:shd w:val="clear" w:color="auto" w:fill="auto"/>
            <w:noWrap/>
            <w:vAlign w:val="center"/>
            <w:hideMark/>
          </w:tcPr>
          <w:p w14:paraId="528AEEBE"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4,4</w:t>
            </w:r>
          </w:p>
        </w:tc>
        <w:tc>
          <w:tcPr>
            <w:tcW w:w="1151" w:type="dxa"/>
            <w:tcBorders>
              <w:top w:val="nil"/>
              <w:left w:val="nil"/>
              <w:bottom w:val="nil"/>
              <w:right w:val="nil"/>
            </w:tcBorders>
            <w:shd w:val="clear" w:color="auto" w:fill="auto"/>
            <w:noWrap/>
            <w:vAlign w:val="center"/>
            <w:hideMark/>
          </w:tcPr>
          <w:p w14:paraId="36F5CBDC"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0,9</w:t>
            </w:r>
          </w:p>
        </w:tc>
        <w:tc>
          <w:tcPr>
            <w:tcW w:w="985" w:type="dxa"/>
            <w:tcBorders>
              <w:top w:val="nil"/>
              <w:left w:val="nil"/>
              <w:bottom w:val="nil"/>
              <w:right w:val="nil"/>
            </w:tcBorders>
            <w:shd w:val="clear" w:color="auto" w:fill="auto"/>
            <w:noWrap/>
            <w:vAlign w:val="center"/>
            <w:hideMark/>
          </w:tcPr>
          <w:p w14:paraId="0E9A92CA"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1,5</w:t>
            </w:r>
          </w:p>
        </w:tc>
        <w:tc>
          <w:tcPr>
            <w:tcW w:w="1151" w:type="dxa"/>
            <w:tcBorders>
              <w:top w:val="nil"/>
              <w:left w:val="nil"/>
              <w:bottom w:val="nil"/>
              <w:right w:val="nil"/>
            </w:tcBorders>
            <w:shd w:val="clear" w:color="auto" w:fill="auto"/>
            <w:noWrap/>
            <w:vAlign w:val="center"/>
            <w:hideMark/>
          </w:tcPr>
          <w:p w14:paraId="5AFDF705"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0,3</w:t>
            </w:r>
          </w:p>
        </w:tc>
        <w:tc>
          <w:tcPr>
            <w:tcW w:w="960" w:type="dxa"/>
            <w:tcBorders>
              <w:top w:val="nil"/>
              <w:left w:val="nil"/>
              <w:bottom w:val="nil"/>
              <w:right w:val="nil"/>
            </w:tcBorders>
            <w:shd w:val="clear" w:color="auto" w:fill="auto"/>
            <w:noWrap/>
            <w:vAlign w:val="center"/>
            <w:hideMark/>
          </w:tcPr>
          <w:p w14:paraId="5BFA5807"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0,5</w:t>
            </w:r>
          </w:p>
        </w:tc>
      </w:tr>
      <w:tr w:rsidR="00933E68" w:rsidRPr="004122C8" w14:paraId="10785C1B" w14:textId="77777777" w:rsidTr="002F73C9">
        <w:trPr>
          <w:trHeight w:val="281"/>
        </w:trPr>
        <w:tc>
          <w:tcPr>
            <w:tcW w:w="2712" w:type="dxa"/>
            <w:tcBorders>
              <w:top w:val="nil"/>
              <w:left w:val="nil"/>
              <w:bottom w:val="nil"/>
              <w:right w:val="nil"/>
            </w:tcBorders>
            <w:shd w:val="clear" w:color="000000" w:fill="F2F2F2"/>
            <w:noWrap/>
            <w:vAlign w:val="bottom"/>
            <w:hideMark/>
          </w:tcPr>
          <w:p w14:paraId="3199A9DC" w14:textId="77777777" w:rsidR="00933E68" w:rsidRPr="004122C8" w:rsidRDefault="00933E68" w:rsidP="005138EF">
            <w:pPr>
              <w:spacing w:line="240" w:lineRule="auto"/>
              <w:rPr>
                <w:rFonts w:eastAsia="Times New Roman"/>
                <w:color w:val="000000"/>
                <w:sz w:val="20"/>
                <w:szCs w:val="20"/>
              </w:rPr>
            </w:pPr>
            <w:r w:rsidRPr="004122C8">
              <w:rPr>
                <w:rFonts w:eastAsia="Times New Roman"/>
                <w:color w:val="000000"/>
                <w:sz w:val="20"/>
                <w:szCs w:val="20"/>
              </w:rPr>
              <w:t>Pisos táteis</w:t>
            </w:r>
          </w:p>
        </w:tc>
        <w:tc>
          <w:tcPr>
            <w:tcW w:w="1151" w:type="dxa"/>
            <w:tcBorders>
              <w:top w:val="nil"/>
              <w:left w:val="nil"/>
              <w:bottom w:val="nil"/>
              <w:right w:val="nil"/>
            </w:tcBorders>
            <w:shd w:val="clear" w:color="000000" w:fill="F2F2F2"/>
            <w:noWrap/>
            <w:vAlign w:val="center"/>
            <w:hideMark/>
          </w:tcPr>
          <w:p w14:paraId="6F163C01"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5,6</w:t>
            </w:r>
          </w:p>
        </w:tc>
        <w:tc>
          <w:tcPr>
            <w:tcW w:w="985" w:type="dxa"/>
            <w:tcBorders>
              <w:top w:val="nil"/>
              <w:left w:val="nil"/>
              <w:bottom w:val="nil"/>
              <w:right w:val="nil"/>
            </w:tcBorders>
            <w:shd w:val="clear" w:color="000000" w:fill="F2F2F2"/>
            <w:noWrap/>
            <w:vAlign w:val="center"/>
            <w:hideMark/>
          </w:tcPr>
          <w:p w14:paraId="4308DF76"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10,6</w:t>
            </w:r>
          </w:p>
        </w:tc>
        <w:tc>
          <w:tcPr>
            <w:tcW w:w="1151" w:type="dxa"/>
            <w:tcBorders>
              <w:top w:val="nil"/>
              <w:left w:val="nil"/>
              <w:bottom w:val="nil"/>
              <w:right w:val="nil"/>
            </w:tcBorders>
            <w:shd w:val="clear" w:color="000000" w:fill="F2F2F2"/>
            <w:noWrap/>
            <w:vAlign w:val="center"/>
            <w:hideMark/>
          </w:tcPr>
          <w:p w14:paraId="46717753"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4,2</w:t>
            </w:r>
          </w:p>
        </w:tc>
        <w:tc>
          <w:tcPr>
            <w:tcW w:w="985" w:type="dxa"/>
            <w:tcBorders>
              <w:top w:val="nil"/>
              <w:left w:val="nil"/>
              <w:bottom w:val="nil"/>
              <w:right w:val="nil"/>
            </w:tcBorders>
            <w:shd w:val="clear" w:color="000000" w:fill="F2F2F2"/>
            <w:noWrap/>
            <w:vAlign w:val="center"/>
            <w:hideMark/>
          </w:tcPr>
          <w:p w14:paraId="09FB939B"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8,8</w:t>
            </w:r>
          </w:p>
        </w:tc>
        <w:tc>
          <w:tcPr>
            <w:tcW w:w="1151" w:type="dxa"/>
            <w:tcBorders>
              <w:top w:val="nil"/>
              <w:left w:val="nil"/>
              <w:bottom w:val="nil"/>
              <w:right w:val="nil"/>
            </w:tcBorders>
            <w:shd w:val="clear" w:color="000000" w:fill="F2F2F2"/>
            <w:noWrap/>
            <w:vAlign w:val="center"/>
            <w:hideMark/>
          </w:tcPr>
          <w:p w14:paraId="135A5CBB"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1,9</w:t>
            </w:r>
          </w:p>
        </w:tc>
        <w:tc>
          <w:tcPr>
            <w:tcW w:w="960" w:type="dxa"/>
            <w:tcBorders>
              <w:top w:val="nil"/>
              <w:left w:val="nil"/>
              <w:bottom w:val="nil"/>
              <w:right w:val="nil"/>
            </w:tcBorders>
            <w:shd w:val="clear" w:color="000000" w:fill="F2F2F2"/>
            <w:noWrap/>
            <w:vAlign w:val="center"/>
            <w:hideMark/>
          </w:tcPr>
          <w:p w14:paraId="0CA426FC"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3,7</w:t>
            </w:r>
          </w:p>
        </w:tc>
      </w:tr>
      <w:tr w:rsidR="00933E68" w:rsidRPr="004122C8" w14:paraId="152BF9D7" w14:textId="77777777" w:rsidTr="002F73C9">
        <w:trPr>
          <w:trHeight w:val="281"/>
        </w:trPr>
        <w:tc>
          <w:tcPr>
            <w:tcW w:w="2712" w:type="dxa"/>
            <w:tcBorders>
              <w:top w:val="nil"/>
              <w:left w:val="nil"/>
              <w:bottom w:val="nil"/>
              <w:right w:val="nil"/>
            </w:tcBorders>
            <w:shd w:val="clear" w:color="auto" w:fill="auto"/>
            <w:noWrap/>
            <w:vAlign w:val="bottom"/>
            <w:hideMark/>
          </w:tcPr>
          <w:p w14:paraId="74722104" w14:textId="77777777" w:rsidR="00933E68" w:rsidRPr="004122C8" w:rsidRDefault="00933E68" w:rsidP="005138EF">
            <w:pPr>
              <w:spacing w:line="240" w:lineRule="auto"/>
              <w:rPr>
                <w:rFonts w:eastAsia="Times New Roman"/>
                <w:color w:val="000000"/>
                <w:sz w:val="20"/>
                <w:szCs w:val="20"/>
              </w:rPr>
            </w:pPr>
            <w:r w:rsidRPr="004122C8">
              <w:rPr>
                <w:rFonts w:eastAsia="Times New Roman"/>
                <w:color w:val="000000"/>
                <w:sz w:val="20"/>
                <w:szCs w:val="20"/>
              </w:rPr>
              <w:t>Portas com vão livre</w:t>
            </w:r>
          </w:p>
        </w:tc>
        <w:tc>
          <w:tcPr>
            <w:tcW w:w="1151" w:type="dxa"/>
            <w:tcBorders>
              <w:top w:val="nil"/>
              <w:left w:val="nil"/>
              <w:bottom w:val="nil"/>
              <w:right w:val="nil"/>
            </w:tcBorders>
            <w:shd w:val="clear" w:color="auto" w:fill="auto"/>
            <w:noWrap/>
            <w:vAlign w:val="center"/>
            <w:hideMark/>
          </w:tcPr>
          <w:p w14:paraId="596992E8"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20,9</w:t>
            </w:r>
          </w:p>
        </w:tc>
        <w:tc>
          <w:tcPr>
            <w:tcW w:w="985" w:type="dxa"/>
            <w:tcBorders>
              <w:top w:val="nil"/>
              <w:left w:val="nil"/>
              <w:bottom w:val="nil"/>
              <w:right w:val="nil"/>
            </w:tcBorders>
            <w:shd w:val="clear" w:color="auto" w:fill="auto"/>
            <w:noWrap/>
            <w:vAlign w:val="center"/>
            <w:hideMark/>
          </w:tcPr>
          <w:p w14:paraId="4235C33F"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39,6</w:t>
            </w:r>
          </w:p>
        </w:tc>
        <w:tc>
          <w:tcPr>
            <w:tcW w:w="1151" w:type="dxa"/>
            <w:tcBorders>
              <w:top w:val="nil"/>
              <w:left w:val="nil"/>
              <w:bottom w:val="nil"/>
              <w:right w:val="nil"/>
            </w:tcBorders>
            <w:shd w:val="clear" w:color="auto" w:fill="auto"/>
            <w:noWrap/>
            <w:vAlign w:val="center"/>
            <w:hideMark/>
          </w:tcPr>
          <w:p w14:paraId="2390101F"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17,2</w:t>
            </w:r>
          </w:p>
        </w:tc>
        <w:tc>
          <w:tcPr>
            <w:tcW w:w="985" w:type="dxa"/>
            <w:tcBorders>
              <w:top w:val="nil"/>
              <w:left w:val="nil"/>
              <w:bottom w:val="nil"/>
              <w:right w:val="nil"/>
            </w:tcBorders>
            <w:shd w:val="clear" w:color="auto" w:fill="auto"/>
            <w:noWrap/>
            <w:vAlign w:val="center"/>
            <w:hideMark/>
          </w:tcPr>
          <w:p w14:paraId="68C72CA2"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36,6</w:t>
            </w:r>
          </w:p>
        </w:tc>
        <w:tc>
          <w:tcPr>
            <w:tcW w:w="1151" w:type="dxa"/>
            <w:tcBorders>
              <w:top w:val="nil"/>
              <w:left w:val="nil"/>
              <w:bottom w:val="nil"/>
              <w:right w:val="nil"/>
            </w:tcBorders>
            <w:shd w:val="clear" w:color="auto" w:fill="auto"/>
            <w:noWrap/>
            <w:vAlign w:val="center"/>
            <w:hideMark/>
          </w:tcPr>
          <w:p w14:paraId="3C08259C"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10,8</w:t>
            </w:r>
          </w:p>
        </w:tc>
        <w:tc>
          <w:tcPr>
            <w:tcW w:w="960" w:type="dxa"/>
            <w:tcBorders>
              <w:top w:val="nil"/>
              <w:left w:val="nil"/>
              <w:bottom w:val="nil"/>
              <w:right w:val="nil"/>
            </w:tcBorders>
            <w:shd w:val="clear" w:color="auto" w:fill="auto"/>
            <w:noWrap/>
            <w:vAlign w:val="center"/>
            <w:hideMark/>
          </w:tcPr>
          <w:p w14:paraId="1F979496"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27,8</w:t>
            </w:r>
          </w:p>
        </w:tc>
      </w:tr>
      <w:tr w:rsidR="00933E68" w:rsidRPr="004122C8" w14:paraId="6FF9F09D" w14:textId="77777777" w:rsidTr="002F73C9">
        <w:trPr>
          <w:trHeight w:val="281"/>
        </w:trPr>
        <w:tc>
          <w:tcPr>
            <w:tcW w:w="2712" w:type="dxa"/>
            <w:tcBorders>
              <w:top w:val="nil"/>
              <w:left w:val="nil"/>
              <w:bottom w:val="nil"/>
              <w:right w:val="nil"/>
            </w:tcBorders>
            <w:shd w:val="clear" w:color="000000" w:fill="F2F2F2"/>
            <w:noWrap/>
            <w:vAlign w:val="bottom"/>
            <w:hideMark/>
          </w:tcPr>
          <w:p w14:paraId="531C5B2F" w14:textId="77777777" w:rsidR="00933E68" w:rsidRPr="004122C8" w:rsidRDefault="00933E68" w:rsidP="005138EF">
            <w:pPr>
              <w:spacing w:line="240" w:lineRule="auto"/>
              <w:rPr>
                <w:rFonts w:eastAsia="Times New Roman"/>
                <w:color w:val="000000"/>
                <w:sz w:val="20"/>
                <w:szCs w:val="20"/>
              </w:rPr>
            </w:pPr>
            <w:r w:rsidRPr="004122C8">
              <w:rPr>
                <w:rFonts w:eastAsia="Times New Roman"/>
                <w:color w:val="000000"/>
                <w:sz w:val="20"/>
                <w:szCs w:val="20"/>
              </w:rPr>
              <w:t>Rampas</w:t>
            </w:r>
          </w:p>
        </w:tc>
        <w:tc>
          <w:tcPr>
            <w:tcW w:w="1151" w:type="dxa"/>
            <w:tcBorders>
              <w:top w:val="nil"/>
              <w:left w:val="nil"/>
              <w:bottom w:val="nil"/>
              <w:right w:val="nil"/>
            </w:tcBorders>
            <w:shd w:val="clear" w:color="000000" w:fill="F2F2F2"/>
            <w:noWrap/>
            <w:vAlign w:val="center"/>
            <w:hideMark/>
          </w:tcPr>
          <w:p w14:paraId="01E30F1E"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35,3</w:t>
            </w:r>
          </w:p>
        </w:tc>
        <w:tc>
          <w:tcPr>
            <w:tcW w:w="985" w:type="dxa"/>
            <w:tcBorders>
              <w:top w:val="nil"/>
              <w:left w:val="nil"/>
              <w:bottom w:val="nil"/>
              <w:right w:val="nil"/>
            </w:tcBorders>
            <w:shd w:val="clear" w:color="000000" w:fill="F2F2F2"/>
            <w:noWrap/>
            <w:vAlign w:val="center"/>
            <w:hideMark/>
          </w:tcPr>
          <w:p w14:paraId="7EC79ABB"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54,8</w:t>
            </w:r>
          </w:p>
        </w:tc>
        <w:tc>
          <w:tcPr>
            <w:tcW w:w="1151" w:type="dxa"/>
            <w:tcBorders>
              <w:top w:val="nil"/>
              <w:left w:val="nil"/>
              <w:bottom w:val="nil"/>
              <w:right w:val="nil"/>
            </w:tcBorders>
            <w:shd w:val="clear" w:color="000000" w:fill="F2F2F2"/>
            <w:noWrap/>
            <w:vAlign w:val="center"/>
            <w:hideMark/>
          </w:tcPr>
          <w:p w14:paraId="4A87F7EA"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33,8</w:t>
            </w:r>
          </w:p>
        </w:tc>
        <w:tc>
          <w:tcPr>
            <w:tcW w:w="985" w:type="dxa"/>
            <w:tcBorders>
              <w:top w:val="nil"/>
              <w:left w:val="nil"/>
              <w:bottom w:val="nil"/>
              <w:right w:val="nil"/>
            </w:tcBorders>
            <w:shd w:val="clear" w:color="000000" w:fill="F2F2F2"/>
            <w:noWrap/>
            <w:vAlign w:val="center"/>
            <w:hideMark/>
          </w:tcPr>
          <w:p w14:paraId="5D3E9FDA"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58,6</w:t>
            </w:r>
          </w:p>
        </w:tc>
        <w:tc>
          <w:tcPr>
            <w:tcW w:w="1151" w:type="dxa"/>
            <w:tcBorders>
              <w:top w:val="nil"/>
              <w:left w:val="nil"/>
              <w:bottom w:val="nil"/>
              <w:right w:val="nil"/>
            </w:tcBorders>
            <w:shd w:val="clear" w:color="000000" w:fill="F2F2F2"/>
            <w:noWrap/>
            <w:vAlign w:val="center"/>
            <w:hideMark/>
          </w:tcPr>
          <w:p w14:paraId="468751DA"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26,3</w:t>
            </w:r>
          </w:p>
        </w:tc>
        <w:tc>
          <w:tcPr>
            <w:tcW w:w="960" w:type="dxa"/>
            <w:tcBorders>
              <w:top w:val="nil"/>
              <w:left w:val="nil"/>
              <w:bottom w:val="nil"/>
              <w:right w:val="nil"/>
            </w:tcBorders>
            <w:shd w:val="clear" w:color="000000" w:fill="F2F2F2"/>
            <w:noWrap/>
            <w:vAlign w:val="center"/>
            <w:hideMark/>
          </w:tcPr>
          <w:p w14:paraId="505BE200"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45,1</w:t>
            </w:r>
          </w:p>
        </w:tc>
      </w:tr>
      <w:tr w:rsidR="00933E68" w:rsidRPr="004122C8" w14:paraId="7233AD7C" w14:textId="77777777" w:rsidTr="002F73C9">
        <w:trPr>
          <w:trHeight w:val="281"/>
        </w:trPr>
        <w:tc>
          <w:tcPr>
            <w:tcW w:w="2712" w:type="dxa"/>
            <w:tcBorders>
              <w:top w:val="nil"/>
              <w:left w:val="nil"/>
              <w:bottom w:val="nil"/>
              <w:right w:val="nil"/>
            </w:tcBorders>
            <w:shd w:val="clear" w:color="auto" w:fill="auto"/>
            <w:noWrap/>
            <w:vAlign w:val="bottom"/>
            <w:hideMark/>
          </w:tcPr>
          <w:p w14:paraId="6290B656" w14:textId="77777777" w:rsidR="00933E68" w:rsidRPr="004122C8" w:rsidRDefault="00933E68" w:rsidP="005138EF">
            <w:pPr>
              <w:spacing w:line="240" w:lineRule="auto"/>
              <w:rPr>
                <w:rFonts w:eastAsia="Times New Roman"/>
                <w:color w:val="000000"/>
                <w:sz w:val="20"/>
                <w:szCs w:val="20"/>
              </w:rPr>
            </w:pPr>
            <w:r w:rsidRPr="004122C8">
              <w:rPr>
                <w:rFonts w:eastAsia="Times New Roman"/>
                <w:color w:val="000000"/>
                <w:sz w:val="20"/>
                <w:szCs w:val="20"/>
              </w:rPr>
              <w:t>Sinalização sonora</w:t>
            </w:r>
          </w:p>
        </w:tc>
        <w:tc>
          <w:tcPr>
            <w:tcW w:w="1151" w:type="dxa"/>
            <w:tcBorders>
              <w:top w:val="nil"/>
              <w:left w:val="nil"/>
              <w:bottom w:val="nil"/>
              <w:right w:val="nil"/>
            </w:tcBorders>
            <w:shd w:val="clear" w:color="auto" w:fill="auto"/>
            <w:noWrap/>
            <w:vAlign w:val="center"/>
            <w:hideMark/>
          </w:tcPr>
          <w:p w14:paraId="64AFF275"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1,2</w:t>
            </w:r>
          </w:p>
        </w:tc>
        <w:tc>
          <w:tcPr>
            <w:tcW w:w="985" w:type="dxa"/>
            <w:tcBorders>
              <w:top w:val="nil"/>
              <w:left w:val="nil"/>
              <w:bottom w:val="nil"/>
              <w:right w:val="nil"/>
            </w:tcBorders>
            <w:shd w:val="clear" w:color="auto" w:fill="auto"/>
            <w:noWrap/>
            <w:vAlign w:val="center"/>
            <w:hideMark/>
          </w:tcPr>
          <w:p w14:paraId="4CF55DF3"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2,4</w:t>
            </w:r>
          </w:p>
        </w:tc>
        <w:tc>
          <w:tcPr>
            <w:tcW w:w="1151" w:type="dxa"/>
            <w:tcBorders>
              <w:top w:val="nil"/>
              <w:left w:val="nil"/>
              <w:bottom w:val="nil"/>
              <w:right w:val="nil"/>
            </w:tcBorders>
            <w:shd w:val="clear" w:color="auto" w:fill="auto"/>
            <w:noWrap/>
            <w:vAlign w:val="center"/>
            <w:hideMark/>
          </w:tcPr>
          <w:p w14:paraId="7C221F3F"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0,7</w:t>
            </w:r>
          </w:p>
        </w:tc>
        <w:tc>
          <w:tcPr>
            <w:tcW w:w="985" w:type="dxa"/>
            <w:tcBorders>
              <w:top w:val="nil"/>
              <w:left w:val="nil"/>
              <w:bottom w:val="nil"/>
              <w:right w:val="nil"/>
            </w:tcBorders>
            <w:shd w:val="clear" w:color="auto" w:fill="auto"/>
            <w:noWrap/>
            <w:vAlign w:val="center"/>
            <w:hideMark/>
          </w:tcPr>
          <w:p w14:paraId="4415AA46"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1,8</w:t>
            </w:r>
          </w:p>
        </w:tc>
        <w:tc>
          <w:tcPr>
            <w:tcW w:w="1151" w:type="dxa"/>
            <w:tcBorders>
              <w:top w:val="nil"/>
              <w:left w:val="nil"/>
              <w:bottom w:val="nil"/>
              <w:right w:val="nil"/>
            </w:tcBorders>
            <w:shd w:val="clear" w:color="auto" w:fill="auto"/>
            <w:noWrap/>
            <w:vAlign w:val="center"/>
            <w:hideMark/>
          </w:tcPr>
          <w:p w14:paraId="0E3218F9"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0,5</w:t>
            </w:r>
          </w:p>
        </w:tc>
        <w:tc>
          <w:tcPr>
            <w:tcW w:w="960" w:type="dxa"/>
            <w:tcBorders>
              <w:top w:val="nil"/>
              <w:left w:val="nil"/>
              <w:bottom w:val="nil"/>
              <w:right w:val="nil"/>
            </w:tcBorders>
            <w:shd w:val="clear" w:color="auto" w:fill="auto"/>
            <w:noWrap/>
            <w:vAlign w:val="center"/>
            <w:hideMark/>
          </w:tcPr>
          <w:p w14:paraId="32F4BE42"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0,9</w:t>
            </w:r>
          </w:p>
        </w:tc>
      </w:tr>
      <w:tr w:rsidR="00933E68" w:rsidRPr="004122C8" w14:paraId="7459A2FB" w14:textId="77777777" w:rsidTr="002F73C9">
        <w:trPr>
          <w:trHeight w:val="281"/>
        </w:trPr>
        <w:tc>
          <w:tcPr>
            <w:tcW w:w="2712" w:type="dxa"/>
            <w:tcBorders>
              <w:top w:val="nil"/>
              <w:left w:val="nil"/>
              <w:bottom w:val="nil"/>
              <w:right w:val="nil"/>
            </w:tcBorders>
            <w:shd w:val="clear" w:color="000000" w:fill="F2F2F2"/>
            <w:noWrap/>
            <w:vAlign w:val="bottom"/>
            <w:hideMark/>
          </w:tcPr>
          <w:p w14:paraId="43936123" w14:textId="77777777" w:rsidR="00933E68" w:rsidRPr="004122C8" w:rsidRDefault="00933E68" w:rsidP="005138EF">
            <w:pPr>
              <w:spacing w:line="240" w:lineRule="auto"/>
              <w:rPr>
                <w:rFonts w:eastAsia="Times New Roman"/>
                <w:color w:val="000000"/>
                <w:sz w:val="20"/>
                <w:szCs w:val="20"/>
              </w:rPr>
            </w:pPr>
            <w:r w:rsidRPr="004122C8">
              <w:rPr>
                <w:rFonts w:eastAsia="Times New Roman"/>
                <w:color w:val="000000"/>
                <w:sz w:val="20"/>
                <w:szCs w:val="20"/>
              </w:rPr>
              <w:t>Sinalização tátil</w:t>
            </w:r>
          </w:p>
        </w:tc>
        <w:tc>
          <w:tcPr>
            <w:tcW w:w="1151" w:type="dxa"/>
            <w:tcBorders>
              <w:top w:val="nil"/>
              <w:left w:val="nil"/>
              <w:bottom w:val="nil"/>
              <w:right w:val="nil"/>
            </w:tcBorders>
            <w:shd w:val="clear" w:color="000000" w:fill="F2F2F2"/>
            <w:noWrap/>
            <w:vAlign w:val="center"/>
            <w:hideMark/>
          </w:tcPr>
          <w:p w14:paraId="0802558F"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2,1</w:t>
            </w:r>
          </w:p>
        </w:tc>
        <w:tc>
          <w:tcPr>
            <w:tcW w:w="985" w:type="dxa"/>
            <w:tcBorders>
              <w:top w:val="nil"/>
              <w:left w:val="nil"/>
              <w:bottom w:val="nil"/>
              <w:right w:val="nil"/>
            </w:tcBorders>
            <w:shd w:val="clear" w:color="000000" w:fill="F2F2F2"/>
            <w:noWrap/>
            <w:vAlign w:val="center"/>
            <w:hideMark/>
          </w:tcPr>
          <w:p w14:paraId="5C98FA42"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4,4</w:t>
            </w:r>
          </w:p>
        </w:tc>
        <w:tc>
          <w:tcPr>
            <w:tcW w:w="1151" w:type="dxa"/>
            <w:tcBorders>
              <w:top w:val="nil"/>
              <w:left w:val="nil"/>
              <w:bottom w:val="nil"/>
              <w:right w:val="nil"/>
            </w:tcBorders>
            <w:shd w:val="clear" w:color="000000" w:fill="F2F2F2"/>
            <w:noWrap/>
            <w:vAlign w:val="center"/>
            <w:hideMark/>
          </w:tcPr>
          <w:p w14:paraId="73C58F5D"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1,2</w:t>
            </w:r>
          </w:p>
        </w:tc>
        <w:tc>
          <w:tcPr>
            <w:tcW w:w="985" w:type="dxa"/>
            <w:tcBorders>
              <w:top w:val="nil"/>
              <w:left w:val="nil"/>
              <w:bottom w:val="nil"/>
              <w:right w:val="nil"/>
            </w:tcBorders>
            <w:shd w:val="clear" w:color="000000" w:fill="F2F2F2"/>
            <w:noWrap/>
            <w:vAlign w:val="center"/>
            <w:hideMark/>
          </w:tcPr>
          <w:p w14:paraId="7D19D75F"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3,2</w:t>
            </w:r>
          </w:p>
        </w:tc>
        <w:tc>
          <w:tcPr>
            <w:tcW w:w="1151" w:type="dxa"/>
            <w:tcBorders>
              <w:top w:val="nil"/>
              <w:left w:val="nil"/>
              <w:bottom w:val="nil"/>
              <w:right w:val="nil"/>
            </w:tcBorders>
            <w:shd w:val="clear" w:color="000000" w:fill="F2F2F2"/>
            <w:noWrap/>
            <w:vAlign w:val="center"/>
            <w:hideMark/>
          </w:tcPr>
          <w:p w14:paraId="636849A0"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0,5</w:t>
            </w:r>
          </w:p>
        </w:tc>
        <w:tc>
          <w:tcPr>
            <w:tcW w:w="960" w:type="dxa"/>
            <w:tcBorders>
              <w:top w:val="nil"/>
              <w:left w:val="nil"/>
              <w:bottom w:val="nil"/>
              <w:right w:val="nil"/>
            </w:tcBorders>
            <w:shd w:val="clear" w:color="000000" w:fill="F2F2F2"/>
            <w:noWrap/>
            <w:vAlign w:val="center"/>
            <w:hideMark/>
          </w:tcPr>
          <w:p w14:paraId="32DD718B"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1,4</w:t>
            </w:r>
          </w:p>
        </w:tc>
      </w:tr>
      <w:tr w:rsidR="00933E68" w:rsidRPr="004122C8" w14:paraId="6BE17992" w14:textId="77777777" w:rsidTr="002F73C9">
        <w:trPr>
          <w:trHeight w:val="281"/>
        </w:trPr>
        <w:tc>
          <w:tcPr>
            <w:tcW w:w="2712" w:type="dxa"/>
            <w:tcBorders>
              <w:top w:val="nil"/>
              <w:left w:val="nil"/>
              <w:bottom w:val="nil"/>
              <w:right w:val="nil"/>
            </w:tcBorders>
            <w:shd w:val="clear" w:color="auto" w:fill="auto"/>
            <w:noWrap/>
            <w:vAlign w:val="bottom"/>
            <w:hideMark/>
          </w:tcPr>
          <w:p w14:paraId="2DCE6DF2" w14:textId="77777777" w:rsidR="00933E68" w:rsidRPr="004122C8" w:rsidRDefault="00933E68" w:rsidP="005138EF">
            <w:pPr>
              <w:spacing w:line="240" w:lineRule="auto"/>
              <w:rPr>
                <w:rFonts w:eastAsia="Times New Roman"/>
                <w:color w:val="000000"/>
                <w:sz w:val="20"/>
                <w:szCs w:val="20"/>
              </w:rPr>
            </w:pPr>
            <w:r w:rsidRPr="004122C8">
              <w:rPr>
                <w:rFonts w:eastAsia="Times New Roman"/>
                <w:color w:val="000000"/>
                <w:sz w:val="20"/>
                <w:szCs w:val="20"/>
              </w:rPr>
              <w:t>Sinalização visual</w:t>
            </w:r>
          </w:p>
        </w:tc>
        <w:tc>
          <w:tcPr>
            <w:tcW w:w="1151" w:type="dxa"/>
            <w:tcBorders>
              <w:top w:val="nil"/>
              <w:left w:val="nil"/>
              <w:bottom w:val="nil"/>
              <w:right w:val="nil"/>
            </w:tcBorders>
            <w:shd w:val="clear" w:color="auto" w:fill="auto"/>
            <w:noWrap/>
            <w:vAlign w:val="center"/>
            <w:hideMark/>
          </w:tcPr>
          <w:p w14:paraId="635CB301"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4,5</w:t>
            </w:r>
          </w:p>
        </w:tc>
        <w:tc>
          <w:tcPr>
            <w:tcW w:w="985" w:type="dxa"/>
            <w:tcBorders>
              <w:top w:val="nil"/>
              <w:left w:val="nil"/>
              <w:bottom w:val="nil"/>
              <w:right w:val="nil"/>
            </w:tcBorders>
            <w:shd w:val="clear" w:color="auto" w:fill="auto"/>
            <w:noWrap/>
            <w:vAlign w:val="center"/>
            <w:hideMark/>
          </w:tcPr>
          <w:p w14:paraId="764C2240"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9,3</w:t>
            </w:r>
          </w:p>
        </w:tc>
        <w:tc>
          <w:tcPr>
            <w:tcW w:w="1151" w:type="dxa"/>
            <w:tcBorders>
              <w:top w:val="nil"/>
              <w:left w:val="nil"/>
              <w:bottom w:val="nil"/>
              <w:right w:val="nil"/>
            </w:tcBorders>
            <w:shd w:val="clear" w:color="auto" w:fill="auto"/>
            <w:noWrap/>
            <w:vAlign w:val="center"/>
            <w:hideMark/>
          </w:tcPr>
          <w:p w14:paraId="61CAD8E0"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3,2</w:t>
            </w:r>
          </w:p>
        </w:tc>
        <w:tc>
          <w:tcPr>
            <w:tcW w:w="985" w:type="dxa"/>
            <w:tcBorders>
              <w:top w:val="nil"/>
              <w:left w:val="nil"/>
              <w:bottom w:val="nil"/>
              <w:right w:val="nil"/>
            </w:tcBorders>
            <w:shd w:val="clear" w:color="auto" w:fill="auto"/>
            <w:noWrap/>
            <w:vAlign w:val="center"/>
            <w:hideMark/>
          </w:tcPr>
          <w:p w14:paraId="3DEEEB4F"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7,4</w:t>
            </w:r>
          </w:p>
        </w:tc>
        <w:tc>
          <w:tcPr>
            <w:tcW w:w="1151" w:type="dxa"/>
            <w:tcBorders>
              <w:top w:val="nil"/>
              <w:left w:val="nil"/>
              <w:bottom w:val="nil"/>
              <w:right w:val="nil"/>
            </w:tcBorders>
            <w:shd w:val="clear" w:color="auto" w:fill="auto"/>
            <w:noWrap/>
            <w:vAlign w:val="center"/>
            <w:hideMark/>
          </w:tcPr>
          <w:p w14:paraId="11C5F8B0"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1,7</w:t>
            </w:r>
          </w:p>
        </w:tc>
        <w:tc>
          <w:tcPr>
            <w:tcW w:w="960" w:type="dxa"/>
            <w:tcBorders>
              <w:top w:val="nil"/>
              <w:left w:val="nil"/>
              <w:bottom w:val="nil"/>
              <w:right w:val="nil"/>
            </w:tcBorders>
            <w:shd w:val="clear" w:color="auto" w:fill="auto"/>
            <w:noWrap/>
            <w:vAlign w:val="center"/>
            <w:hideMark/>
          </w:tcPr>
          <w:p w14:paraId="72E23A3F"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3,7</w:t>
            </w:r>
          </w:p>
        </w:tc>
      </w:tr>
      <w:tr w:rsidR="00933E68" w:rsidRPr="004122C8" w14:paraId="4E775DB8" w14:textId="77777777" w:rsidTr="002F73C9">
        <w:trPr>
          <w:trHeight w:val="295"/>
        </w:trPr>
        <w:tc>
          <w:tcPr>
            <w:tcW w:w="2712" w:type="dxa"/>
            <w:tcBorders>
              <w:top w:val="nil"/>
              <w:left w:val="nil"/>
              <w:bottom w:val="single" w:sz="12" w:space="0" w:color="5AA2AE"/>
              <w:right w:val="nil"/>
            </w:tcBorders>
            <w:shd w:val="clear" w:color="000000" w:fill="F2F2F2"/>
            <w:noWrap/>
            <w:vAlign w:val="bottom"/>
            <w:hideMark/>
          </w:tcPr>
          <w:p w14:paraId="4401CB74" w14:textId="77777777" w:rsidR="00933E68" w:rsidRPr="004122C8" w:rsidRDefault="00933E68" w:rsidP="005138EF">
            <w:pPr>
              <w:spacing w:line="240" w:lineRule="auto"/>
              <w:rPr>
                <w:rFonts w:eastAsia="Times New Roman"/>
                <w:color w:val="000000"/>
                <w:sz w:val="20"/>
                <w:szCs w:val="20"/>
              </w:rPr>
            </w:pPr>
            <w:r w:rsidRPr="004122C8">
              <w:rPr>
                <w:rFonts w:eastAsia="Times New Roman"/>
                <w:color w:val="000000"/>
                <w:sz w:val="20"/>
                <w:szCs w:val="20"/>
              </w:rPr>
              <w:t>Nenhum dos recursos</w:t>
            </w:r>
          </w:p>
        </w:tc>
        <w:tc>
          <w:tcPr>
            <w:tcW w:w="1151" w:type="dxa"/>
            <w:tcBorders>
              <w:top w:val="nil"/>
              <w:left w:val="nil"/>
              <w:bottom w:val="single" w:sz="12" w:space="0" w:color="5AA2AE"/>
              <w:right w:val="nil"/>
            </w:tcBorders>
            <w:shd w:val="clear" w:color="000000" w:fill="F2F2F2"/>
            <w:noWrap/>
            <w:vAlign w:val="center"/>
            <w:hideMark/>
          </w:tcPr>
          <w:p w14:paraId="13E6ECE5"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64,9</w:t>
            </w:r>
          </w:p>
        </w:tc>
        <w:tc>
          <w:tcPr>
            <w:tcW w:w="985" w:type="dxa"/>
            <w:tcBorders>
              <w:top w:val="nil"/>
              <w:left w:val="nil"/>
              <w:bottom w:val="single" w:sz="12" w:space="0" w:color="5AA2AE"/>
              <w:right w:val="nil"/>
            </w:tcBorders>
            <w:shd w:val="clear" w:color="000000" w:fill="F2F2F2"/>
            <w:noWrap/>
            <w:vAlign w:val="center"/>
            <w:hideMark/>
          </w:tcPr>
          <w:p w14:paraId="1D1AD92C"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31,6</w:t>
            </w:r>
          </w:p>
        </w:tc>
        <w:tc>
          <w:tcPr>
            <w:tcW w:w="1151" w:type="dxa"/>
            <w:tcBorders>
              <w:top w:val="nil"/>
              <w:left w:val="nil"/>
              <w:bottom w:val="single" w:sz="12" w:space="0" w:color="5AA2AE"/>
              <w:right w:val="nil"/>
            </w:tcBorders>
            <w:shd w:val="clear" w:color="000000" w:fill="F2F2F2"/>
            <w:noWrap/>
            <w:vAlign w:val="center"/>
            <w:hideMark/>
          </w:tcPr>
          <w:p w14:paraId="2A0A2781"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67,5</w:t>
            </w:r>
          </w:p>
        </w:tc>
        <w:tc>
          <w:tcPr>
            <w:tcW w:w="985" w:type="dxa"/>
            <w:tcBorders>
              <w:top w:val="nil"/>
              <w:left w:val="nil"/>
              <w:bottom w:val="single" w:sz="12" w:space="0" w:color="5AA2AE"/>
              <w:right w:val="nil"/>
            </w:tcBorders>
            <w:shd w:val="clear" w:color="000000" w:fill="F2F2F2"/>
            <w:noWrap/>
            <w:vAlign w:val="center"/>
            <w:hideMark/>
          </w:tcPr>
          <w:p w14:paraId="629A5461"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30,5</w:t>
            </w:r>
          </w:p>
        </w:tc>
        <w:tc>
          <w:tcPr>
            <w:tcW w:w="1151" w:type="dxa"/>
            <w:tcBorders>
              <w:top w:val="nil"/>
              <w:left w:val="nil"/>
              <w:bottom w:val="single" w:sz="12" w:space="0" w:color="5AA2AE"/>
              <w:right w:val="nil"/>
            </w:tcBorders>
            <w:shd w:val="clear" w:color="000000" w:fill="F2F2F2"/>
            <w:noWrap/>
            <w:vAlign w:val="center"/>
            <w:hideMark/>
          </w:tcPr>
          <w:p w14:paraId="55A4093E"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51,5</w:t>
            </w:r>
          </w:p>
        </w:tc>
        <w:tc>
          <w:tcPr>
            <w:tcW w:w="960" w:type="dxa"/>
            <w:tcBorders>
              <w:top w:val="nil"/>
              <w:left w:val="nil"/>
              <w:bottom w:val="single" w:sz="12" w:space="0" w:color="5AA2AE"/>
              <w:right w:val="nil"/>
            </w:tcBorders>
            <w:shd w:val="clear" w:color="000000" w:fill="F2F2F2"/>
            <w:noWrap/>
            <w:vAlign w:val="center"/>
            <w:hideMark/>
          </w:tcPr>
          <w:p w14:paraId="110380F8" w14:textId="77777777" w:rsidR="00933E68" w:rsidRPr="004122C8" w:rsidRDefault="00933E68" w:rsidP="005138EF">
            <w:pPr>
              <w:spacing w:line="240" w:lineRule="auto"/>
              <w:jc w:val="center"/>
              <w:rPr>
                <w:rFonts w:eastAsia="Times New Roman"/>
                <w:color w:val="000000"/>
                <w:sz w:val="20"/>
                <w:szCs w:val="20"/>
              </w:rPr>
            </w:pPr>
            <w:r w:rsidRPr="004122C8">
              <w:rPr>
                <w:rFonts w:eastAsia="Times New Roman"/>
                <w:color w:val="000000"/>
                <w:sz w:val="20"/>
                <w:szCs w:val="20"/>
              </w:rPr>
              <w:t>45,2</w:t>
            </w:r>
          </w:p>
        </w:tc>
      </w:tr>
    </w:tbl>
    <w:p w14:paraId="34CAF721" w14:textId="5C49A088" w:rsidR="00F84A1A" w:rsidRPr="004122C8" w:rsidRDefault="00933E68" w:rsidP="00127EF0">
      <w:pPr>
        <w:shd w:val="clear" w:color="auto" w:fill="FFFFFF"/>
        <w:spacing w:line="240" w:lineRule="auto"/>
        <w:jc w:val="both"/>
        <w:rPr>
          <w:sz w:val="20"/>
        </w:rPr>
      </w:pPr>
      <w:r w:rsidRPr="004122C8">
        <w:rPr>
          <w:rFonts w:eastAsia="Times New Roman"/>
          <w:color w:val="FF0000"/>
          <w:sz w:val="24"/>
          <w:szCs w:val="24"/>
        </w:rPr>
        <w:fldChar w:fldCharType="end"/>
      </w:r>
      <w:r w:rsidRPr="004122C8">
        <w:rPr>
          <w:sz w:val="20"/>
        </w:rPr>
        <w:t>Fonte: Elaboração das autoras, conforme dados do MEC (Brasil, 2024</w:t>
      </w:r>
      <w:r w:rsidR="00AF7734" w:rsidRPr="004122C8">
        <w:rPr>
          <w:sz w:val="20"/>
        </w:rPr>
        <w:t>). Nota</w:t>
      </w:r>
      <w:r w:rsidRPr="004122C8">
        <w:rPr>
          <w:sz w:val="20"/>
        </w:rPr>
        <w:t>: Conforme os dados do Censo Escolar, entre os anos de 2012 e 2018</w:t>
      </w:r>
      <w:r w:rsidR="007D1811">
        <w:rPr>
          <w:sz w:val="20"/>
        </w:rPr>
        <w:t>,</w:t>
      </w:r>
      <w:r w:rsidRPr="004122C8">
        <w:rPr>
          <w:sz w:val="20"/>
        </w:rPr>
        <w:t xml:space="preserve"> não havia informações acerca das escolas com os itens de acessibilidade supracitados (com exceção de Banheiros acessíveis). Logo, a análise foi realizada a partir de 2019.</w:t>
      </w:r>
    </w:p>
    <w:p w14:paraId="57D7679A" w14:textId="2FCAE865" w:rsidR="00104E8F" w:rsidRDefault="00104E8F" w:rsidP="005436CA">
      <w:pPr>
        <w:spacing w:line="360" w:lineRule="auto"/>
        <w:jc w:val="both"/>
        <w:rPr>
          <w:rFonts w:eastAsia="Times New Roman"/>
          <w:sz w:val="24"/>
          <w:szCs w:val="24"/>
        </w:rPr>
      </w:pPr>
    </w:p>
    <w:p w14:paraId="037B456D" w14:textId="2783F51C" w:rsidR="00153303" w:rsidRPr="00153303" w:rsidRDefault="0075714A" w:rsidP="00153303">
      <w:pPr>
        <w:shd w:val="clear" w:color="auto" w:fill="FFFFFF"/>
        <w:spacing w:line="360" w:lineRule="auto"/>
        <w:ind w:firstLine="709"/>
        <w:jc w:val="both"/>
        <w:rPr>
          <w:rFonts w:eastAsia="Times New Roman"/>
          <w:sz w:val="24"/>
          <w:szCs w:val="24"/>
        </w:rPr>
      </w:pPr>
      <w:r w:rsidRPr="00153303">
        <w:rPr>
          <w:rFonts w:eastAsia="Times New Roman"/>
          <w:sz w:val="24"/>
          <w:szCs w:val="24"/>
        </w:rPr>
        <w:t xml:space="preserve">Apesar do avanço normativo, o país ainda enfrenta muitos desafios em consolidar efetivamente a educação especial inclusiva, como infraestrutura inadequada, formação insuficiente de professores, falta de recursos, entre outros. Porém, a implementação eficaz exige compromisso e dedicação dos envolvidos, para garantir o direito </w:t>
      </w:r>
      <w:r w:rsidR="00F125A1" w:rsidRPr="00153303">
        <w:rPr>
          <w:rFonts w:eastAsia="Times New Roman"/>
          <w:sz w:val="24"/>
          <w:szCs w:val="24"/>
        </w:rPr>
        <w:t>à</w:t>
      </w:r>
      <w:r w:rsidRPr="00153303">
        <w:rPr>
          <w:rFonts w:eastAsia="Times New Roman"/>
          <w:sz w:val="24"/>
          <w:szCs w:val="24"/>
        </w:rPr>
        <w:t xml:space="preserve"> educação para todos.</w:t>
      </w:r>
    </w:p>
    <w:p w14:paraId="5AFCDD8C" w14:textId="77777777" w:rsidR="00153303" w:rsidRDefault="00153303" w:rsidP="00153303">
      <w:pPr>
        <w:pStyle w:val="SemEspaamento"/>
        <w:spacing w:line="360" w:lineRule="auto"/>
      </w:pPr>
    </w:p>
    <w:p w14:paraId="76286906" w14:textId="77777777" w:rsidR="00210A64" w:rsidRDefault="00210A64" w:rsidP="00210A64">
      <w:pPr>
        <w:spacing w:line="360" w:lineRule="auto"/>
        <w:jc w:val="both"/>
        <w:rPr>
          <w:b/>
          <w:sz w:val="24"/>
          <w:szCs w:val="24"/>
        </w:rPr>
      </w:pPr>
      <w:r>
        <w:rPr>
          <w:b/>
          <w:sz w:val="24"/>
          <w:szCs w:val="24"/>
        </w:rPr>
        <w:t>4</w:t>
      </w:r>
      <w:r>
        <w:rPr>
          <w:b/>
          <w:sz w:val="24"/>
          <w:szCs w:val="24"/>
        </w:rPr>
        <w:tab/>
        <w:t>CONCLUSÃO</w:t>
      </w:r>
    </w:p>
    <w:p w14:paraId="19F58D27" w14:textId="77777777" w:rsidR="004122C8" w:rsidRDefault="004122C8" w:rsidP="002F73C9">
      <w:pPr>
        <w:pStyle w:val="SemEspaamento"/>
      </w:pPr>
    </w:p>
    <w:p w14:paraId="455A2ACA" w14:textId="04DB5F94" w:rsidR="00DA6076" w:rsidRDefault="003C6E40">
      <w:pPr>
        <w:shd w:val="clear" w:color="auto" w:fill="FFFFFF"/>
        <w:spacing w:line="360" w:lineRule="auto"/>
        <w:ind w:firstLine="709"/>
        <w:jc w:val="both"/>
        <w:rPr>
          <w:rFonts w:eastAsia="Times New Roman"/>
          <w:sz w:val="24"/>
          <w:szCs w:val="24"/>
        </w:rPr>
      </w:pPr>
      <w:r w:rsidRPr="002216DE">
        <w:rPr>
          <w:rFonts w:eastAsia="Times New Roman"/>
          <w:sz w:val="24"/>
          <w:szCs w:val="24"/>
        </w:rPr>
        <w:t xml:space="preserve">A análise dos indicadores da educação especial inclusiva revela um crescimento </w:t>
      </w:r>
      <w:r w:rsidR="00ED0DCE">
        <w:rPr>
          <w:rFonts w:eastAsia="Times New Roman"/>
          <w:sz w:val="24"/>
          <w:szCs w:val="24"/>
        </w:rPr>
        <w:t>de matrículas de</w:t>
      </w:r>
      <w:r w:rsidRPr="002216DE">
        <w:rPr>
          <w:rFonts w:eastAsia="Times New Roman"/>
          <w:sz w:val="24"/>
          <w:szCs w:val="24"/>
        </w:rPr>
        <w:t xml:space="preserve"> alunos com deficiência, Transtorno do Espectro Autista (TEA) e altas habilidades ou superdotação </w:t>
      </w:r>
      <w:r w:rsidR="00ED0DCE">
        <w:rPr>
          <w:rFonts w:eastAsia="Times New Roman"/>
          <w:sz w:val="24"/>
          <w:szCs w:val="24"/>
        </w:rPr>
        <w:t xml:space="preserve">na Educação Especial, principalmente, </w:t>
      </w:r>
      <w:r w:rsidRPr="002216DE">
        <w:rPr>
          <w:rFonts w:eastAsia="Times New Roman"/>
          <w:sz w:val="24"/>
          <w:szCs w:val="24"/>
        </w:rPr>
        <w:t>em classes comuns</w:t>
      </w:r>
      <w:r w:rsidR="00DA6076">
        <w:rPr>
          <w:rFonts w:eastAsia="Times New Roman"/>
          <w:sz w:val="24"/>
          <w:szCs w:val="24"/>
        </w:rPr>
        <w:t xml:space="preserve"> em todo o país no período 2013 a 2023. </w:t>
      </w:r>
    </w:p>
    <w:p w14:paraId="6A777A3C" w14:textId="30DB5667" w:rsidR="00262855" w:rsidRDefault="00DA6076">
      <w:pPr>
        <w:shd w:val="clear" w:color="auto" w:fill="FFFFFF"/>
        <w:spacing w:line="360" w:lineRule="auto"/>
        <w:ind w:firstLine="709"/>
        <w:jc w:val="both"/>
        <w:rPr>
          <w:rFonts w:eastAsia="Times New Roman"/>
          <w:sz w:val="24"/>
          <w:szCs w:val="24"/>
        </w:rPr>
      </w:pPr>
      <w:r>
        <w:rPr>
          <w:rFonts w:eastAsia="Times New Roman"/>
          <w:sz w:val="24"/>
          <w:szCs w:val="24"/>
        </w:rPr>
        <w:t>Além disso, houve crescimento</w:t>
      </w:r>
      <w:r w:rsidR="00262855">
        <w:rPr>
          <w:rFonts w:eastAsia="Times New Roman"/>
          <w:sz w:val="24"/>
          <w:szCs w:val="24"/>
        </w:rPr>
        <w:t xml:space="preserve"> </w:t>
      </w:r>
      <w:r>
        <w:rPr>
          <w:rFonts w:eastAsia="Times New Roman"/>
          <w:sz w:val="24"/>
          <w:szCs w:val="24"/>
        </w:rPr>
        <w:t>d</w:t>
      </w:r>
      <w:r w:rsidR="00262855" w:rsidRPr="00064C5A">
        <w:rPr>
          <w:rFonts w:eastAsia="Times New Roman"/>
          <w:sz w:val="24"/>
          <w:szCs w:val="24"/>
        </w:rPr>
        <w:t xml:space="preserve">o número de escolas com </w:t>
      </w:r>
      <w:r w:rsidR="00262855">
        <w:rPr>
          <w:rFonts w:eastAsia="Times New Roman"/>
          <w:sz w:val="24"/>
          <w:szCs w:val="24"/>
        </w:rPr>
        <w:t>atendimento educacional especializado</w:t>
      </w:r>
      <w:r>
        <w:rPr>
          <w:rFonts w:eastAsia="Times New Roman"/>
          <w:sz w:val="24"/>
          <w:szCs w:val="24"/>
        </w:rPr>
        <w:t xml:space="preserve"> e com </w:t>
      </w:r>
      <w:r w:rsidR="00262855" w:rsidRPr="00064C5A">
        <w:rPr>
          <w:rFonts w:eastAsia="Times New Roman"/>
          <w:sz w:val="24"/>
          <w:szCs w:val="24"/>
        </w:rPr>
        <w:t>salas de recursos multifuncionais</w:t>
      </w:r>
      <w:r w:rsidR="00262855">
        <w:rPr>
          <w:rFonts w:eastAsia="Times New Roman"/>
          <w:sz w:val="24"/>
          <w:szCs w:val="24"/>
        </w:rPr>
        <w:t xml:space="preserve">, </w:t>
      </w:r>
      <w:r>
        <w:rPr>
          <w:rFonts w:eastAsia="Times New Roman"/>
          <w:sz w:val="24"/>
          <w:szCs w:val="24"/>
        </w:rPr>
        <w:t xml:space="preserve">de docentes com </w:t>
      </w:r>
      <w:r w:rsidR="00262855">
        <w:rPr>
          <w:rFonts w:eastAsia="Times New Roman"/>
          <w:sz w:val="24"/>
          <w:szCs w:val="24"/>
        </w:rPr>
        <w:t xml:space="preserve">formação adequada </w:t>
      </w:r>
      <w:r>
        <w:rPr>
          <w:rFonts w:eastAsia="Times New Roman"/>
          <w:sz w:val="24"/>
          <w:szCs w:val="24"/>
        </w:rPr>
        <w:t>e</w:t>
      </w:r>
      <w:r w:rsidR="00262855">
        <w:rPr>
          <w:rFonts w:eastAsia="Times New Roman"/>
          <w:sz w:val="24"/>
          <w:szCs w:val="24"/>
        </w:rPr>
        <w:t xml:space="preserve"> </w:t>
      </w:r>
      <w:r>
        <w:rPr>
          <w:rFonts w:eastAsia="Times New Roman"/>
          <w:sz w:val="24"/>
          <w:szCs w:val="24"/>
        </w:rPr>
        <w:t xml:space="preserve">de </w:t>
      </w:r>
      <w:r w:rsidR="00262855">
        <w:rPr>
          <w:rFonts w:eastAsia="Times New Roman"/>
          <w:sz w:val="24"/>
          <w:szCs w:val="24"/>
        </w:rPr>
        <w:t>acessibilidade nas escolas</w:t>
      </w:r>
      <w:r>
        <w:rPr>
          <w:rFonts w:eastAsia="Times New Roman"/>
          <w:sz w:val="24"/>
          <w:szCs w:val="24"/>
        </w:rPr>
        <w:t xml:space="preserve">. </w:t>
      </w:r>
    </w:p>
    <w:p w14:paraId="7BB7546F" w14:textId="08A6514D" w:rsidR="0054202C" w:rsidRDefault="006B7314">
      <w:pPr>
        <w:shd w:val="clear" w:color="auto" w:fill="FFFFFF"/>
        <w:spacing w:line="360" w:lineRule="auto"/>
        <w:ind w:firstLine="709"/>
        <w:jc w:val="both"/>
        <w:rPr>
          <w:rFonts w:eastAsia="Times New Roman"/>
          <w:sz w:val="24"/>
          <w:szCs w:val="24"/>
        </w:rPr>
      </w:pPr>
      <w:r>
        <w:rPr>
          <w:rFonts w:eastAsia="Times New Roman"/>
          <w:sz w:val="24"/>
          <w:szCs w:val="24"/>
        </w:rPr>
        <w:t xml:space="preserve">Em consonância </w:t>
      </w:r>
      <w:r w:rsidR="004A5268">
        <w:rPr>
          <w:rFonts w:eastAsia="Times New Roman"/>
          <w:sz w:val="24"/>
          <w:szCs w:val="24"/>
        </w:rPr>
        <w:t>com a institucionalização</w:t>
      </w:r>
      <w:r>
        <w:rPr>
          <w:rFonts w:eastAsia="Times New Roman"/>
          <w:sz w:val="24"/>
          <w:szCs w:val="24"/>
        </w:rPr>
        <w:t xml:space="preserve"> dos marcos normativos da educação especial na perspectiva inclusiva no nosso país, era esperado </w:t>
      </w:r>
      <w:r w:rsidR="004A5268">
        <w:rPr>
          <w:rFonts w:eastAsia="Times New Roman"/>
          <w:sz w:val="24"/>
          <w:szCs w:val="24"/>
        </w:rPr>
        <w:t xml:space="preserve">que houvesse crescimento de matrículas na Educação Especial, a partir da oferta de novas vagas e </w:t>
      </w:r>
      <w:r w:rsidR="000A7832">
        <w:rPr>
          <w:rFonts w:eastAsia="Times New Roman"/>
          <w:sz w:val="24"/>
          <w:szCs w:val="24"/>
        </w:rPr>
        <w:t>de</w:t>
      </w:r>
      <w:r w:rsidR="004A5268">
        <w:rPr>
          <w:rFonts w:eastAsia="Times New Roman"/>
          <w:sz w:val="24"/>
          <w:szCs w:val="24"/>
        </w:rPr>
        <w:t xml:space="preserve"> infraestrutura escolar</w:t>
      </w:r>
      <w:r w:rsidR="000A7832">
        <w:rPr>
          <w:rFonts w:eastAsia="Times New Roman"/>
          <w:sz w:val="24"/>
          <w:szCs w:val="24"/>
        </w:rPr>
        <w:t xml:space="preserve"> adequada</w:t>
      </w:r>
      <w:r w:rsidR="004A5268">
        <w:rPr>
          <w:rFonts w:eastAsia="Times New Roman"/>
          <w:sz w:val="24"/>
          <w:szCs w:val="24"/>
        </w:rPr>
        <w:t xml:space="preserve">, incluindo adequação da formação docente e materiais didáticos. </w:t>
      </w:r>
      <w:r w:rsidR="00DA6076">
        <w:rPr>
          <w:rFonts w:eastAsia="Times New Roman"/>
          <w:sz w:val="24"/>
          <w:szCs w:val="24"/>
        </w:rPr>
        <w:t>Contudo</w:t>
      </w:r>
      <w:r w:rsidR="0054202C">
        <w:rPr>
          <w:rFonts w:eastAsia="Times New Roman"/>
          <w:sz w:val="24"/>
          <w:szCs w:val="24"/>
        </w:rPr>
        <w:t>,</w:t>
      </w:r>
      <w:r w:rsidR="00DA6076">
        <w:rPr>
          <w:rFonts w:eastAsia="Times New Roman"/>
          <w:sz w:val="24"/>
          <w:szCs w:val="24"/>
        </w:rPr>
        <w:t xml:space="preserve"> o que vimos no decorrer deste trabalho, que</w:t>
      </w:r>
      <w:r w:rsidR="0054202C">
        <w:rPr>
          <w:rFonts w:eastAsia="Times New Roman"/>
          <w:sz w:val="24"/>
          <w:szCs w:val="24"/>
        </w:rPr>
        <w:t xml:space="preserve"> as escolas não conseguem atender adequadamente à crescente demanda por educação especial inclusiva.</w:t>
      </w:r>
      <w:r w:rsidR="00DA6076">
        <w:rPr>
          <w:rFonts w:eastAsia="Times New Roman"/>
          <w:sz w:val="24"/>
          <w:szCs w:val="24"/>
        </w:rPr>
        <w:t xml:space="preserve"> </w:t>
      </w:r>
    </w:p>
    <w:p w14:paraId="2E1B12F5" w14:textId="5798B8DA" w:rsidR="006B7314" w:rsidRDefault="0054202C" w:rsidP="007966FB">
      <w:pPr>
        <w:shd w:val="clear" w:color="auto" w:fill="FFFFFF"/>
        <w:spacing w:line="360" w:lineRule="auto"/>
        <w:ind w:firstLine="708"/>
        <w:jc w:val="both"/>
        <w:rPr>
          <w:rFonts w:eastAsia="Times New Roman"/>
          <w:sz w:val="24"/>
          <w:szCs w:val="24"/>
        </w:rPr>
      </w:pPr>
      <w:r>
        <w:rPr>
          <w:rFonts w:eastAsia="Times New Roman"/>
          <w:sz w:val="24"/>
          <w:szCs w:val="24"/>
        </w:rPr>
        <w:t>Apesar do esforço de promover a inclusão, o</w:t>
      </w:r>
      <w:r w:rsidR="000A7832">
        <w:rPr>
          <w:rFonts w:eastAsia="Times New Roman"/>
          <w:sz w:val="24"/>
          <w:szCs w:val="24"/>
        </w:rPr>
        <w:t xml:space="preserve"> termo “inclusiva” não é restrito somente a maior integração de alunos com deficiência, TEA</w:t>
      </w:r>
      <w:r w:rsidR="000A7832" w:rsidRPr="002216DE">
        <w:rPr>
          <w:rFonts w:eastAsia="Times New Roman"/>
          <w:sz w:val="24"/>
          <w:szCs w:val="24"/>
        </w:rPr>
        <w:t xml:space="preserve"> e altas habilidades ou superdotação</w:t>
      </w:r>
      <w:r w:rsidR="000A7832">
        <w:rPr>
          <w:rFonts w:eastAsia="Times New Roman"/>
          <w:sz w:val="24"/>
          <w:szCs w:val="24"/>
        </w:rPr>
        <w:t xml:space="preserve"> em salas comuns no ensino regular. </w:t>
      </w:r>
      <w:r w:rsidR="00DA6076">
        <w:rPr>
          <w:rFonts w:eastAsia="Times New Roman"/>
          <w:sz w:val="24"/>
          <w:szCs w:val="24"/>
        </w:rPr>
        <w:t>Para além disso, a</w:t>
      </w:r>
      <w:r>
        <w:rPr>
          <w:rFonts w:eastAsia="Times New Roman"/>
          <w:sz w:val="24"/>
          <w:szCs w:val="24"/>
        </w:rPr>
        <w:t xml:space="preserve"> inclusão abrange</w:t>
      </w:r>
      <w:r w:rsidR="00640ADC">
        <w:rPr>
          <w:rFonts w:eastAsia="Times New Roman"/>
          <w:sz w:val="24"/>
          <w:szCs w:val="24"/>
        </w:rPr>
        <w:t xml:space="preserve"> um conjunto de recursos, instrumentos e estrutura institucional, em pleno funcionamento, </w:t>
      </w:r>
      <w:r w:rsidR="00EA62CE">
        <w:rPr>
          <w:rFonts w:eastAsia="Times New Roman"/>
          <w:sz w:val="24"/>
          <w:szCs w:val="24"/>
        </w:rPr>
        <w:t>para promover a participação, o acesso e a permanência desses alunos na escola.</w:t>
      </w:r>
    </w:p>
    <w:p w14:paraId="7E81CFDC" w14:textId="290D1ACC" w:rsidR="004122C8" w:rsidRPr="002216DE" w:rsidRDefault="00262855" w:rsidP="002216DE">
      <w:pPr>
        <w:shd w:val="clear" w:color="auto" w:fill="FFFFFF"/>
        <w:spacing w:line="360" w:lineRule="auto"/>
        <w:ind w:firstLine="709"/>
        <w:jc w:val="both"/>
        <w:rPr>
          <w:rFonts w:eastAsia="Times New Roman"/>
          <w:sz w:val="24"/>
          <w:szCs w:val="24"/>
        </w:rPr>
      </w:pPr>
      <w:r>
        <w:rPr>
          <w:rFonts w:eastAsia="Times New Roman"/>
          <w:sz w:val="24"/>
          <w:szCs w:val="24"/>
        </w:rPr>
        <w:t xml:space="preserve">Portanto, o </w:t>
      </w:r>
      <w:r w:rsidR="003C6E40" w:rsidRPr="00064C5A">
        <w:rPr>
          <w:rFonts w:eastAsia="Times New Roman"/>
          <w:sz w:val="24"/>
          <w:szCs w:val="24"/>
        </w:rPr>
        <w:t>fortalecimento d</w:t>
      </w:r>
      <w:r w:rsidR="008E4076" w:rsidRPr="002216DE">
        <w:rPr>
          <w:rFonts w:eastAsia="Times New Roman"/>
          <w:sz w:val="24"/>
          <w:szCs w:val="24"/>
        </w:rPr>
        <w:t>e instrumentos legais</w:t>
      </w:r>
      <w:r w:rsidR="003C6E40" w:rsidRPr="00064C5A">
        <w:rPr>
          <w:rFonts w:eastAsia="Times New Roman"/>
          <w:sz w:val="24"/>
          <w:szCs w:val="24"/>
        </w:rPr>
        <w:t xml:space="preserve">, associado ao investimento </w:t>
      </w:r>
      <w:r w:rsidR="008E4076" w:rsidRPr="002216DE">
        <w:rPr>
          <w:rFonts w:eastAsia="Times New Roman"/>
          <w:sz w:val="24"/>
          <w:szCs w:val="24"/>
        </w:rPr>
        <w:t xml:space="preserve">público </w:t>
      </w:r>
      <w:r w:rsidR="003C6E40" w:rsidRPr="00064C5A">
        <w:rPr>
          <w:rFonts w:eastAsia="Times New Roman"/>
          <w:sz w:val="24"/>
          <w:szCs w:val="24"/>
        </w:rPr>
        <w:t xml:space="preserve">é essencial para assegurar que os alunos com deficiência, transtorno do espectro autista e altas habilidades tenham não só acesso, mas também permanência e sucesso </w:t>
      </w:r>
      <w:r w:rsidR="0074330B" w:rsidRPr="002216DE">
        <w:rPr>
          <w:rFonts w:eastAsia="Times New Roman"/>
          <w:sz w:val="24"/>
          <w:szCs w:val="24"/>
        </w:rPr>
        <w:t>no período</w:t>
      </w:r>
      <w:r w:rsidR="003C6E40" w:rsidRPr="00064C5A">
        <w:rPr>
          <w:rFonts w:eastAsia="Times New Roman"/>
          <w:sz w:val="24"/>
          <w:szCs w:val="24"/>
        </w:rPr>
        <w:t xml:space="preserve"> escolar.</w:t>
      </w:r>
      <w:r w:rsidR="00EA62CE">
        <w:rPr>
          <w:rFonts w:eastAsia="Times New Roman"/>
          <w:sz w:val="24"/>
          <w:szCs w:val="24"/>
        </w:rPr>
        <w:t xml:space="preserve"> </w:t>
      </w:r>
    </w:p>
    <w:p w14:paraId="01CC86C4" w14:textId="77777777" w:rsidR="00D068A3" w:rsidRDefault="00D068A3" w:rsidP="005436CA">
      <w:pPr>
        <w:spacing w:line="360" w:lineRule="auto"/>
        <w:rPr>
          <w:b/>
          <w:sz w:val="24"/>
          <w:szCs w:val="24"/>
        </w:rPr>
      </w:pPr>
    </w:p>
    <w:p w14:paraId="63D9BC36" w14:textId="5E6B1BB4" w:rsidR="00A35C26" w:rsidRDefault="00F933A4" w:rsidP="00A47318">
      <w:pPr>
        <w:spacing w:line="360" w:lineRule="auto"/>
        <w:jc w:val="center"/>
        <w:rPr>
          <w:b/>
          <w:sz w:val="24"/>
          <w:szCs w:val="24"/>
        </w:rPr>
      </w:pPr>
      <w:r>
        <w:rPr>
          <w:b/>
          <w:sz w:val="24"/>
          <w:szCs w:val="24"/>
        </w:rPr>
        <w:t>REFERÊNCIAS</w:t>
      </w:r>
    </w:p>
    <w:p w14:paraId="789C5386" w14:textId="77777777" w:rsidR="00A35C26" w:rsidRPr="00502952" w:rsidRDefault="00A35C26" w:rsidP="006E772E">
      <w:pPr>
        <w:spacing w:line="360" w:lineRule="auto"/>
        <w:jc w:val="both"/>
        <w:rPr>
          <w:rFonts w:eastAsia="Times New Roman"/>
          <w:sz w:val="24"/>
          <w:szCs w:val="24"/>
        </w:rPr>
      </w:pPr>
    </w:p>
    <w:p w14:paraId="7F2EA344" w14:textId="77777777" w:rsidR="00F736CB" w:rsidRPr="00502952" w:rsidRDefault="00A47318" w:rsidP="006E772E">
      <w:pPr>
        <w:spacing w:line="240" w:lineRule="auto"/>
        <w:jc w:val="both"/>
        <w:rPr>
          <w:rFonts w:eastAsia="Times New Roman"/>
          <w:sz w:val="24"/>
          <w:szCs w:val="24"/>
        </w:rPr>
      </w:pPr>
      <w:r w:rsidRPr="00502952">
        <w:rPr>
          <w:rFonts w:eastAsia="Times New Roman"/>
          <w:sz w:val="24"/>
          <w:szCs w:val="24"/>
        </w:rPr>
        <w:lastRenderedPageBreak/>
        <w:t xml:space="preserve">BRASIL. </w:t>
      </w:r>
      <w:r w:rsidRPr="00502952">
        <w:rPr>
          <w:rFonts w:eastAsia="Times New Roman"/>
          <w:b/>
          <w:bCs/>
          <w:sz w:val="24"/>
          <w:szCs w:val="24"/>
        </w:rPr>
        <w:t>Constituição da República Federativa do Brasil</w:t>
      </w:r>
      <w:r w:rsidRPr="00502952">
        <w:rPr>
          <w:rFonts w:eastAsia="Times New Roman"/>
          <w:sz w:val="24"/>
          <w:szCs w:val="24"/>
        </w:rPr>
        <w:t xml:space="preserve">. Brasília, DF: Senado Federal, 1988. Disponível em: </w:t>
      </w:r>
      <w:hyperlink r:id="rId8" w:history="1">
        <w:r w:rsidRPr="00502952">
          <w:rPr>
            <w:rStyle w:val="Hyperlink"/>
            <w:rFonts w:eastAsia="Times New Roman"/>
            <w:color w:val="auto"/>
            <w:sz w:val="24"/>
            <w:szCs w:val="24"/>
            <w:u w:val="none"/>
          </w:rPr>
          <w:t>https://www.planalto.gov.br/ccivil_03/constituicao/constituicao.htm</w:t>
        </w:r>
      </w:hyperlink>
      <w:r w:rsidRPr="00502952">
        <w:rPr>
          <w:rFonts w:eastAsia="Times New Roman"/>
          <w:sz w:val="24"/>
          <w:szCs w:val="24"/>
        </w:rPr>
        <w:t>. Acesso em: 27 maio 2025.</w:t>
      </w:r>
      <w:r w:rsidR="00F736CB" w:rsidRPr="00502952">
        <w:rPr>
          <w:rFonts w:eastAsia="Times New Roman"/>
          <w:sz w:val="24"/>
          <w:szCs w:val="24"/>
        </w:rPr>
        <w:t xml:space="preserve"> </w:t>
      </w:r>
    </w:p>
    <w:p w14:paraId="6B82FF69" w14:textId="77777777" w:rsidR="00F736CB" w:rsidRPr="00502952" w:rsidRDefault="00F736CB" w:rsidP="006E772E">
      <w:pPr>
        <w:spacing w:line="240" w:lineRule="auto"/>
        <w:jc w:val="both"/>
        <w:rPr>
          <w:rFonts w:eastAsia="Times New Roman"/>
          <w:sz w:val="24"/>
          <w:szCs w:val="24"/>
        </w:rPr>
      </w:pPr>
    </w:p>
    <w:p w14:paraId="4A6FA71A" w14:textId="1C00225A" w:rsidR="00F736CB" w:rsidRPr="00502952" w:rsidRDefault="00F736CB" w:rsidP="006E772E">
      <w:pPr>
        <w:spacing w:line="240" w:lineRule="auto"/>
        <w:jc w:val="both"/>
        <w:rPr>
          <w:rFonts w:eastAsia="Times New Roman"/>
          <w:sz w:val="24"/>
          <w:szCs w:val="24"/>
        </w:rPr>
      </w:pPr>
      <w:r w:rsidRPr="00502952">
        <w:rPr>
          <w:rFonts w:eastAsia="Times New Roman"/>
          <w:sz w:val="24"/>
          <w:szCs w:val="24"/>
        </w:rPr>
        <w:t xml:space="preserve">BRASIL. </w:t>
      </w:r>
      <w:r w:rsidRPr="00502952">
        <w:rPr>
          <w:rFonts w:eastAsia="Times New Roman"/>
          <w:b/>
          <w:bCs/>
          <w:sz w:val="24"/>
          <w:szCs w:val="24"/>
        </w:rPr>
        <w:t>Lei Federal n</w:t>
      </w:r>
      <w:r w:rsidR="002424AE" w:rsidRPr="00502952">
        <w:rPr>
          <w:rFonts w:eastAsia="Times New Roman"/>
          <w:b/>
          <w:bCs/>
          <w:sz w:val="24"/>
          <w:szCs w:val="24"/>
        </w:rPr>
        <w:t>.º</w:t>
      </w:r>
      <w:r w:rsidRPr="00502952">
        <w:rPr>
          <w:rFonts w:eastAsia="Times New Roman"/>
          <w:b/>
          <w:bCs/>
          <w:sz w:val="24"/>
          <w:szCs w:val="24"/>
        </w:rPr>
        <w:t xml:space="preserve"> 8069, de 13 de julho de 1990</w:t>
      </w:r>
      <w:r w:rsidRPr="00502952">
        <w:rPr>
          <w:rFonts w:eastAsia="Times New Roman"/>
          <w:sz w:val="24"/>
          <w:szCs w:val="24"/>
        </w:rPr>
        <w:t xml:space="preserve">. </w:t>
      </w:r>
      <w:r w:rsidR="00D67D36" w:rsidRPr="00502952">
        <w:rPr>
          <w:rFonts w:eastAsia="Times New Roman"/>
          <w:sz w:val="24"/>
          <w:szCs w:val="24"/>
        </w:rPr>
        <w:t>Dispõe sobre o Estatuto da Criança e do Adolescente e dá outras providências.</w:t>
      </w:r>
      <w:r w:rsidR="00D67D36" w:rsidRPr="00502952" w:rsidDel="00D67D36">
        <w:rPr>
          <w:rFonts w:eastAsia="Times New Roman"/>
          <w:sz w:val="24"/>
          <w:szCs w:val="24"/>
        </w:rPr>
        <w:t xml:space="preserve"> </w:t>
      </w:r>
      <w:r w:rsidRPr="00502952">
        <w:rPr>
          <w:rFonts w:eastAsia="Times New Roman"/>
          <w:sz w:val="24"/>
          <w:szCs w:val="24"/>
        </w:rPr>
        <w:t xml:space="preserve">Disponível em:  </w:t>
      </w:r>
      <w:hyperlink r:id="rId9" w:history="1">
        <w:r w:rsidRPr="00502952">
          <w:rPr>
            <w:rStyle w:val="Hyperlink"/>
            <w:rFonts w:eastAsia="Times New Roman"/>
            <w:color w:val="auto"/>
            <w:sz w:val="24"/>
            <w:szCs w:val="24"/>
            <w:u w:val="none"/>
          </w:rPr>
          <w:t>https://www.planalto.gov.br/ccivil_03/leis/l8069.htm</w:t>
        </w:r>
      </w:hyperlink>
      <w:r w:rsidRPr="00502952">
        <w:rPr>
          <w:rFonts w:eastAsia="Times New Roman"/>
          <w:sz w:val="24"/>
          <w:szCs w:val="24"/>
        </w:rPr>
        <w:t xml:space="preserve">. Acesso em: 27 maio 2025. </w:t>
      </w:r>
    </w:p>
    <w:p w14:paraId="0EF4BFB4" w14:textId="386A64D1" w:rsidR="00A47318" w:rsidRPr="00502952" w:rsidRDefault="00F736CB" w:rsidP="006E772E">
      <w:pPr>
        <w:spacing w:line="240" w:lineRule="auto"/>
        <w:jc w:val="both"/>
        <w:rPr>
          <w:rFonts w:eastAsia="Times New Roman"/>
          <w:sz w:val="24"/>
          <w:szCs w:val="24"/>
        </w:rPr>
      </w:pPr>
      <w:r w:rsidRPr="00502952">
        <w:rPr>
          <w:rFonts w:eastAsia="Times New Roman"/>
          <w:sz w:val="24"/>
          <w:szCs w:val="24"/>
        </w:rPr>
        <w:t xml:space="preserve"> </w:t>
      </w:r>
    </w:p>
    <w:p w14:paraId="78A3FADF" w14:textId="30379A4D" w:rsidR="00C7705D" w:rsidRPr="00502952" w:rsidRDefault="00C7705D" w:rsidP="006E772E">
      <w:pPr>
        <w:spacing w:line="240" w:lineRule="auto"/>
        <w:jc w:val="both"/>
        <w:rPr>
          <w:rFonts w:eastAsia="Times New Roman"/>
          <w:sz w:val="24"/>
          <w:szCs w:val="24"/>
        </w:rPr>
      </w:pPr>
      <w:r w:rsidRPr="00502952">
        <w:rPr>
          <w:rFonts w:eastAsia="Times New Roman"/>
          <w:sz w:val="24"/>
          <w:szCs w:val="24"/>
        </w:rPr>
        <w:t xml:space="preserve">BRASIL. </w:t>
      </w:r>
      <w:r w:rsidRPr="00502952">
        <w:rPr>
          <w:rFonts w:eastAsia="Times New Roman"/>
          <w:b/>
          <w:bCs/>
          <w:sz w:val="24"/>
          <w:szCs w:val="24"/>
        </w:rPr>
        <w:t>Lei n.º 9.394, de 20 de dezembro de 1996</w:t>
      </w:r>
      <w:r w:rsidRPr="00502952">
        <w:rPr>
          <w:rFonts w:eastAsia="Times New Roman"/>
          <w:sz w:val="24"/>
          <w:szCs w:val="24"/>
        </w:rPr>
        <w:t xml:space="preserve">. Estabelece as diretrizes e bases da educação nacional. Disponível em: </w:t>
      </w:r>
      <w:hyperlink r:id="rId10" w:history="1">
        <w:r w:rsidRPr="00502952">
          <w:rPr>
            <w:rStyle w:val="Hyperlink"/>
            <w:rFonts w:eastAsia="Times New Roman"/>
            <w:color w:val="auto"/>
            <w:sz w:val="24"/>
            <w:szCs w:val="24"/>
            <w:u w:val="none"/>
          </w:rPr>
          <w:t>https://www.planalto.gov.br/ccivil_03/leis/l9394.htm</w:t>
        </w:r>
      </w:hyperlink>
      <w:r w:rsidRPr="00502952">
        <w:rPr>
          <w:rFonts w:eastAsia="Times New Roman"/>
          <w:sz w:val="24"/>
          <w:szCs w:val="24"/>
        </w:rPr>
        <w:t xml:space="preserve">. Acesso em: 27 maio 2025. </w:t>
      </w:r>
    </w:p>
    <w:p w14:paraId="6820BF91" w14:textId="192EE19B" w:rsidR="00A35C26" w:rsidRPr="00502952" w:rsidRDefault="00A35C26" w:rsidP="006E772E">
      <w:pPr>
        <w:spacing w:line="240" w:lineRule="auto"/>
        <w:jc w:val="both"/>
        <w:rPr>
          <w:rFonts w:eastAsia="Times New Roman"/>
          <w:sz w:val="24"/>
          <w:szCs w:val="24"/>
        </w:rPr>
      </w:pPr>
    </w:p>
    <w:p w14:paraId="2D9CE30D" w14:textId="77777777" w:rsidR="00D62216" w:rsidRPr="00502952" w:rsidRDefault="00D62216" w:rsidP="00D62216">
      <w:pPr>
        <w:spacing w:line="240" w:lineRule="auto"/>
        <w:jc w:val="both"/>
        <w:rPr>
          <w:bCs/>
          <w:sz w:val="24"/>
          <w:szCs w:val="24"/>
        </w:rPr>
      </w:pPr>
      <w:r w:rsidRPr="00502952">
        <w:rPr>
          <w:bCs/>
          <w:sz w:val="24"/>
          <w:szCs w:val="24"/>
        </w:rPr>
        <w:t>BRASIL. Ministério da Educação.</w:t>
      </w:r>
      <w:r w:rsidRPr="00502952">
        <w:rPr>
          <w:b/>
          <w:sz w:val="24"/>
          <w:szCs w:val="24"/>
        </w:rPr>
        <w:t xml:space="preserve"> Afirmação e Fortalecimento da Política Nacional de Educação Especial na Perspectiva da Educação Inclusiva (PNEEPEI)</w:t>
      </w:r>
      <w:r w:rsidRPr="00502952">
        <w:rPr>
          <w:bCs/>
          <w:sz w:val="24"/>
          <w:szCs w:val="24"/>
        </w:rPr>
        <w:t xml:space="preserve">. Brasília, DF, 2023a. Disponível em: </w:t>
      </w:r>
      <w:hyperlink r:id="rId11" w:history="1">
        <w:r w:rsidRPr="00502952">
          <w:rPr>
            <w:rStyle w:val="Hyperlink"/>
            <w:bCs/>
            <w:color w:val="auto"/>
            <w:sz w:val="24"/>
            <w:szCs w:val="24"/>
            <w:u w:val="none"/>
          </w:rPr>
          <w:t>https://www.gov.br/mec/pt-br/pneepei/cartilha.pdf</w:t>
        </w:r>
      </w:hyperlink>
      <w:r w:rsidRPr="00502952">
        <w:rPr>
          <w:bCs/>
          <w:sz w:val="24"/>
          <w:szCs w:val="24"/>
        </w:rPr>
        <w:t xml:space="preserve"> . Acesso em: 27 maio 2025.</w:t>
      </w:r>
    </w:p>
    <w:p w14:paraId="207ED4C8" w14:textId="77777777" w:rsidR="00D62216" w:rsidRPr="00502952" w:rsidRDefault="00D62216" w:rsidP="00D62216">
      <w:pPr>
        <w:spacing w:line="240" w:lineRule="auto"/>
        <w:jc w:val="both"/>
        <w:rPr>
          <w:bCs/>
          <w:sz w:val="24"/>
          <w:szCs w:val="24"/>
        </w:rPr>
      </w:pPr>
    </w:p>
    <w:p w14:paraId="110927E3" w14:textId="76BF35C6" w:rsidR="00D62216" w:rsidRPr="00502952" w:rsidRDefault="00D62216" w:rsidP="00D62216">
      <w:pPr>
        <w:spacing w:line="240" w:lineRule="auto"/>
        <w:jc w:val="both"/>
        <w:rPr>
          <w:bCs/>
          <w:sz w:val="24"/>
          <w:szCs w:val="24"/>
        </w:rPr>
      </w:pPr>
      <w:r w:rsidRPr="00502952">
        <w:rPr>
          <w:bCs/>
          <w:sz w:val="24"/>
          <w:szCs w:val="24"/>
        </w:rPr>
        <w:t xml:space="preserve">BRASIL. Ministério da Educação. </w:t>
      </w:r>
      <w:r w:rsidRPr="00502952">
        <w:rPr>
          <w:b/>
          <w:sz w:val="24"/>
          <w:szCs w:val="24"/>
        </w:rPr>
        <w:t xml:space="preserve">Glossário da Educação Especial:  </w:t>
      </w:r>
      <w:r w:rsidRPr="00502952">
        <w:rPr>
          <w:bCs/>
          <w:sz w:val="24"/>
          <w:szCs w:val="24"/>
        </w:rPr>
        <w:t xml:space="preserve">Censo Escolar 2024. Brasília, DF: INEP, 2024. Disponível em: </w:t>
      </w:r>
      <w:hyperlink r:id="rId12" w:history="1">
        <w:r w:rsidRPr="00502952">
          <w:rPr>
            <w:rStyle w:val="Hyperlink"/>
            <w:bCs/>
            <w:color w:val="auto"/>
            <w:sz w:val="24"/>
            <w:szCs w:val="24"/>
            <w:u w:val="none"/>
          </w:rPr>
          <w:t>https://download.inep.gov.br/pesquisas_estatisticas_indicadores_educacionais/censo_escolar/orientacoes/matricula_inicial/glossario_da_educacao_especial_censo_escolar_2024.pdf</w:t>
        </w:r>
      </w:hyperlink>
      <w:r w:rsidRPr="00502952">
        <w:rPr>
          <w:bCs/>
          <w:sz w:val="24"/>
          <w:szCs w:val="24"/>
        </w:rPr>
        <w:t>. Acesso em:21/ maio. 2025</w:t>
      </w:r>
    </w:p>
    <w:p w14:paraId="65117913" w14:textId="77777777" w:rsidR="00D62216" w:rsidRPr="00502952" w:rsidRDefault="00D62216" w:rsidP="006E772E">
      <w:pPr>
        <w:spacing w:line="240" w:lineRule="auto"/>
        <w:jc w:val="both"/>
        <w:rPr>
          <w:bCs/>
          <w:sz w:val="24"/>
          <w:szCs w:val="24"/>
        </w:rPr>
      </w:pPr>
    </w:p>
    <w:p w14:paraId="3691C396" w14:textId="07CA6807" w:rsidR="00D62216" w:rsidRPr="00502952" w:rsidRDefault="00D62216" w:rsidP="006E772E">
      <w:pPr>
        <w:spacing w:line="240" w:lineRule="auto"/>
        <w:jc w:val="both"/>
        <w:rPr>
          <w:bCs/>
          <w:sz w:val="24"/>
          <w:szCs w:val="24"/>
        </w:rPr>
      </w:pPr>
      <w:r w:rsidRPr="00502952">
        <w:rPr>
          <w:bCs/>
          <w:sz w:val="24"/>
          <w:szCs w:val="24"/>
        </w:rPr>
        <w:t>BRASIL. Ministério da Educação. Instituto Nacional de Estudos e Pesquisas Educacionais Anísio Teixeira</w:t>
      </w:r>
      <w:r w:rsidR="00A06B01" w:rsidRPr="00502952">
        <w:rPr>
          <w:bCs/>
          <w:sz w:val="24"/>
          <w:szCs w:val="24"/>
        </w:rPr>
        <w:t>.</w:t>
      </w:r>
      <w:r w:rsidR="00FA310D" w:rsidRPr="00502952">
        <w:rPr>
          <w:bCs/>
          <w:sz w:val="24"/>
          <w:szCs w:val="24"/>
        </w:rPr>
        <w:t xml:space="preserve"> </w:t>
      </w:r>
      <w:r w:rsidRPr="00502952">
        <w:rPr>
          <w:b/>
          <w:sz w:val="24"/>
          <w:szCs w:val="24"/>
        </w:rPr>
        <w:t>Censo Escolar</w:t>
      </w:r>
      <w:r w:rsidR="00A06B01" w:rsidRPr="00502952">
        <w:rPr>
          <w:b/>
          <w:sz w:val="24"/>
          <w:szCs w:val="24"/>
        </w:rPr>
        <w:t>:</w:t>
      </w:r>
      <w:r w:rsidRPr="00502952">
        <w:rPr>
          <w:b/>
          <w:sz w:val="24"/>
          <w:szCs w:val="24"/>
        </w:rPr>
        <w:t xml:space="preserve"> </w:t>
      </w:r>
      <w:r w:rsidRPr="00502952">
        <w:rPr>
          <w:bCs/>
          <w:sz w:val="24"/>
          <w:szCs w:val="24"/>
        </w:rPr>
        <w:t xml:space="preserve">Educação Especial. Brasília, DF, 2023. Disponível em: </w:t>
      </w:r>
      <w:hyperlink r:id="rId13" w:history="1">
        <w:r w:rsidRPr="00502952">
          <w:rPr>
            <w:rStyle w:val="Hyperlink"/>
            <w:bCs/>
            <w:color w:val="auto"/>
            <w:sz w:val="24"/>
            <w:szCs w:val="24"/>
            <w:u w:val="none"/>
          </w:rPr>
          <w:t>https://surl.li/lnrgyr</w:t>
        </w:r>
      </w:hyperlink>
      <w:r w:rsidRPr="00502952">
        <w:rPr>
          <w:bCs/>
          <w:sz w:val="24"/>
          <w:szCs w:val="24"/>
        </w:rPr>
        <w:t>. Acesso em: 23 maio 2025</w:t>
      </w:r>
    </w:p>
    <w:p w14:paraId="2CF4345C" w14:textId="77777777" w:rsidR="00D62216" w:rsidRPr="00502952" w:rsidRDefault="00D62216" w:rsidP="00D62216">
      <w:pPr>
        <w:spacing w:line="240" w:lineRule="auto"/>
        <w:jc w:val="both"/>
        <w:rPr>
          <w:bCs/>
          <w:sz w:val="24"/>
          <w:szCs w:val="24"/>
        </w:rPr>
      </w:pPr>
    </w:p>
    <w:p w14:paraId="1302642F" w14:textId="17B714D4" w:rsidR="00D62216" w:rsidRPr="00502952" w:rsidRDefault="00D62216" w:rsidP="00D62216">
      <w:pPr>
        <w:spacing w:line="240" w:lineRule="auto"/>
        <w:jc w:val="both"/>
        <w:rPr>
          <w:bCs/>
          <w:sz w:val="24"/>
          <w:szCs w:val="24"/>
        </w:rPr>
      </w:pPr>
      <w:r w:rsidRPr="00502952">
        <w:rPr>
          <w:bCs/>
          <w:sz w:val="24"/>
          <w:szCs w:val="24"/>
        </w:rPr>
        <w:t>BRASIL. Ministério da Educação</w:t>
      </w:r>
      <w:r w:rsidR="00D41182" w:rsidRPr="00502952">
        <w:rPr>
          <w:bCs/>
          <w:sz w:val="24"/>
          <w:szCs w:val="24"/>
        </w:rPr>
        <w:t>.</w:t>
      </w:r>
      <w:r w:rsidRPr="00502952">
        <w:rPr>
          <w:bCs/>
          <w:sz w:val="24"/>
          <w:szCs w:val="24"/>
        </w:rPr>
        <w:t xml:space="preserve"> Instituto Nacional de Estudos e Pesquisas Educacionais Anísio Teixeira.</w:t>
      </w:r>
      <w:r w:rsidR="00FA310D" w:rsidRPr="00502952">
        <w:rPr>
          <w:bCs/>
          <w:sz w:val="24"/>
          <w:szCs w:val="24"/>
        </w:rPr>
        <w:t xml:space="preserve"> </w:t>
      </w:r>
      <w:r w:rsidRPr="00502952">
        <w:rPr>
          <w:b/>
          <w:sz w:val="24"/>
          <w:szCs w:val="24"/>
        </w:rPr>
        <w:t xml:space="preserve">Censo Escolar: </w:t>
      </w:r>
      <w:r w:rsidRPr="00502952">
        <w:rPr>
          <w:bCs/>
          <w:sz w:val="24"/>
          <w:szCs w:val="24"/>
        </w:rPr>
        <w:t xml:space="preserve">Resultados. Brasília, DF, 2024. Disponível em: </w:t>
      </w:r>
      <w:hyperlink r:id="rId14" w:history="1">
        <w:r w:rsidRPr="00502952">
          <w:rPr>
            <w:rStyle w:val="Hyperlink"/>
            <w:bCs/>
            <w:color w:val="auto"/>
            <w:sz w:val="24"/>
            <w:szCs w:val="24"/>
            <w:u w:val="none"/>
          </w:rPr>
          <w:t>https://www.gov.br/inep/pt-br/areas-de-atuacao/pesquisas-estatisticas-eindicadores/censo-escolar/resultados</w:t>
        </w:r>
      </w:hyperlink>
      <w:r w:rsidRPr="00502952">
        <w:rPr>
          <w:bCs/>
          <w:sz w:val="24"/>
          <w:szCs w:val="24"/>
        </w:rPr>
        <w:t>. Acesso em: 27 maio 2025.</w:t>
      </w:r>
    </w:p>
    <w:p w14:paraId="1B8D33A1" w14:textId="77777777" w:rsidR="00D62216" w:rsidRPr="00502952" w:rsidRDefault="00D62216" w:rsidP="006E772E">
      <w:pPr>
        <w:spacing w:line="240" w:lineRule="auto"/>
        <w:jc w:val="both"/>
        <w:rPr>
          <w:rFonts w:eastAsia="Times New Roman"/>
          <w:sz w:val="24"/>
          <w:szCs w:val="24"/>
        </w:rPr>
      </w:pPr>
    </w:p>
    <w:p w14:paraId="5BAEB932" w14:textId="2A1EEC45" w:rsidR="00D62216" w:rsidRPr="00502952" w:rsidRDefault="00D62216" w:rsidP="00D62216">
      <w:pPr>
        <w:spacing w:line="240" w:lineRule="auto"/>
        <w:jc w:val="both"/>
        <w:rPr>
          <w:rFonts w:eastAsia="Times New Roman"/>
          <w:sz w:val="24"/>
          <w:szCs w:val="24"/>
        </w:rPr>
      </w:pPr>
      <w:r w:rsidRPr="00502952">
        <w:rPr>
          <w:bCs/>
          <w:sz w:val="24"/>
          <w:szCs w:val="24"/>
        </w:rPr>
        <w:t>BRASIL. Ministério da Educação. </w:t>
      </w:r>
      <w:r w:rsidRPr="00502952">
        <w:rPr>
          <w:b/>
          <w:sz w:val="24"/>
          <w:szCs w:val="24"/>
        </w:rPr>
        <w:t>Portaria n</w:t>
      </w:r>
      <w:r w:rsidR="002424AE" w:rsidRPr="00502952">
        <w:rPr>
          <w:b/>
          <w:sz w:val="24"/>
          <w:szCs w:val="24"/>
        </w:rPr>
        <w:t>.</w:t>
      </w:r>
      <w:r w:rsidRPr="00502952">
        <w:rPr>
          <w:b/>
          <w:sz w:val="24"/>
          <w:szCs w:val="24"/>
        </w:rPr>
        <w:t>º 2.678, de 24 de setembro de 2002</w:t>
      </w:r>
      <w:r w:rsidRPr="00502952">
        <w:rPr>
          <w:bCs/>
          <w:sz w:val="24"/>
          <w:szCs w:val="24"/>
        </w:rPr>
        <w:t>. Grafia Braille para a Língua Portuguesa. Brasília, DF: MEC, 2002. </w:t>
      </w:r>
      <w:r w:rsidRPr="00502952">
        <w:rPr>
          <w:rFonts w:eastAsia="Times New Roman"/>
          <w:sz w:val="24"/>
          <w:szCs w:val="24"/>
        </w:rPr>
        <w:t xml:space="preserve">Disponível em: </w:t>
      </w:r>
      <w:hyperlink r:id="rId15" w:history="1">
        <w:r w:rsidRPr="00502952">
          <w:rPr>
            <w:rStyle w:val="Hyperlink"/>
            <w:rFonts w:eastAsia="Times New Roman"/>
            <w:color w:val="auto"/>
            <w:sz w:val="24"/>
            <w:szCs w:val="24"/>
            <w:u w:val="none"/>
          </w:rPr>
          <w:t>http://portal.mec.gov.br/seesp/arquivos/pdf/grafiaport.pdf</w:t>
        </w:r>
      </w:hyperlink>
      <w:r w:rsidRPr="00502952">
        <w:rPr>
          <w:rFonts w:eastAsia="Times New Roman"/>
          <w:sz w:val="24"/>
          <w:szCs w:val="24"/>
        </w:rPr>
        <w:t xml:space="preserve">. Acesso em: 27 maio 2025. </w:t>
      </w:r>
    </w:p>
    <w:p w14:paraId="7933C64C" w14:textId="77777777" w:rsidR="00D62216" w:rsidRPr="00502952" w:rsidRDefault="00D62216" w:rsidP="006E772E">
      <w:pPr>
        <w:spacing w:line="240" w:lineRule="auto"/>
        <w:jc w:val="both"/>
        <w:rPr>
          <w:bCs/>
          <w:sz w:val="24"/>
          <w:szCs w:val="24"/>
        </w:rPr>
      </w:pPr>
    </w:p>
    <w:p w14:paraId="44A5CBC2" w14:textId="5D0902CA" w:rsidR="002F15F6" w:rsidRPr="00502952" w:rsidRDefault="00B30AA8" w:rsidP="006E772E">
      <w:pPr>
        <w:spacing w:line="240" w:lineRule="auto"/>
        <w:jc w:val="both"/>
        <w:rPr>
          <w:rFonts w:eastAsia="Times New Roman"/>
          <w:sz w:val="24"/>
          <w:szCs w:val="24"/>
        </w:rPr>
      </w:pPr>
      <w:r w:rsidRPr="00502952">
        <w:rPr>
          <w:bCs/>
          <w:sz w:val="24"/>
          <w:szCs w:val="24"/>
        </w:rPr>
        <w:t>BRASIL. </w:t>
      </w:r>
      <w:r w:rsidR="002F15F6" w:rsidRPr="00502952">
        <w:rPr>
          <w:bCs/>
          <w:sz w:val="24"/>
          <w:szCs w:val="24"/>
        </w:rPr>
        <w:t>Ministério da Educação</w:t>
      </w:r>
      <w:r w:rsidRPr="00502952">
        <w:rPr>
          <w:bCs/>
          <w:sz w:val="24"/>
          <w:szCs w:val="24"/>
        </w:rPr>
        <w:t>. </w:t>
      </w:r>
      <w:r w:rsidRPr="00502952">
        <w:rPr>
          <w:b/>
          <w:sz w:val="24"/>
          <w:szCs w:val="24"/>
        </w:rPr>
        <w:t>Resolução CNE/CEB n</w:t>
      </w:r>
      <w:r w:rsidR="002424AE" w:rsidRPr="00502952">
        <w:rPr>
          <w:b/>
          <w:sz w:val="24"/>
          <w:szCs w:val="24"/>
        </w:rPr>
        <w:t>.</w:t>
      </w:r>
      <w:r w:rsidRPr="00502952">
        <w:rPr>
          <w:b/>
          <w:sz w:val="24"/>
          <w:szCs w:val="24"/>
        </w:rPr>
        <w:t>º 2, de 11 de setembro de 2001</w:t>
      </w:r>
      <w:r w:rsidRPr="00502952">
        <w:rPr>
          <w:bCs/>
          <w:sz w:val="24"/>
          <w:szCs w:val="24"/>
        </w:rPr>
        <w:t>. </w:t>
      </w:r>
      <w:r w:rsidR="002F15F6" w:rsidRPr="00502952">
        <w:rPr>
          <w:rFonts w:eastAsia="Times New Roman"/>
          <w:sz w:val="24"/>
          <w:szCs w:val="24"/>
        </w:rPr>
        <w:t>Disponível em</w:t>
      </w:r>
      <w:r w:rsidR="00C62007" w:rsidRPr="00502952">
        <w:rPr>
          <w:rFonts w:eastAsia="Times New Roman"/>
          <w:sz w:val="24"/>
          <w:szCs w:val="24"/>
        </w:rPr>
        <w:t>:</w:t>
      </w:r>
      <w:r w:rsidR="002F15F6" w:rsidRPr="00502952">
        <w:rPr>
          <w:sz w:val="24"/>
          <w:szCs w:val="24"/>
        </w:rPr>
        <w:t xml:space="preserve"> </w:t>
      </w:r>
      <w:hyperlink r:id="rId16" w:history="1">
        <w:r w:rsidR="002F15F6" w:rsidRPr="00502952">
          <w:rPr>
            <w:rStyle w:val="Hyperlink"/>
            <w:rFonts w:eastAsia="Times New Roman"/>
            <w:color w:val="auto"/>
            <w:sz w:val="24"/>
            <w:szCs w:val="24"/>
            <w:u w:val="none"/>
          </w:rPr>
          <w:t>https://www.gov.br/mec/pt-br/cne/resolucoes/resolucao-ceb-2001</w:t>
        </w:r>
      </w:hyperlink>
      <w:r w:rsidR="002F15F6" w:rsidRPr="00502952">
        <w:rPr>
          <w:rFonts w:eastAsia="Times New Roman"/>
          <w:sz w:val="24"/>
          <w:szCs w:val="24"/>
        </w:rPr>
        <w:t xml:space="preserve">. Acesso em: 27 maio 2025. </w:t>
      </w:r>
    </w:p>
    <w:p w14:paraId="12572AFB" w14:textId="2786A33A" w:rsidR="00B30AA8" w:rsidRPr="00502952" w:rsidRDefault="00B30AA8" w:rsidP="006E772E">
      <w:pPr>
        <w:spacing w:line="240" w:lineRule="auto"/>
        <w:jc w:val="both"/>
        <w:rPr>
          <w:bCs/>
          <w:sz w:val="24"/>
          <w:szCs w:val="24"/>
        </w:rPr>
      </w:pPr>
    </w:p>
    <w:p w14:paraId="62C8BA9C" w14:textId="77777777" w:rsidR="00D41182" w:rsidRPr="00502952" w:rsidRDefault="00D41182" w:rsidP="00D41182">
      <w:pPr>
        <w:spacing w:line="240" w:lineRule="auto"/>
        <w:jc w:val="both"/>
        <w:rPr>
          <w:bCs/>
          <w:sz w:val="24"/>
          <w:szCs w:val="24"/>
        </w:rPr>
      </w:pPr>
      <w:r w:rsidRPr="00502952">
        <w:rPr>
          <w:bCs/>
          <w:sz w:val="24"/>
          <w:szCs w:val="24"/>
        </w:rPr>
        <w:t xml:space="preserve">BRASIL. Ministério da Educação. Secretaria de Educação Especial. Saberes e práticas da inclusão. </w:t>
      </w:r>
      <w:r w:rsidRPr="00502952">
        <w:rPr>
          <w:b/>
          <w:sz w:val="24"/>
          <w:szCs w:val="24"/>
        </w:rPr>
        <w:t xml:space="preserve">Dificuldades acentuadas de aprendizagem: </w:t>
      </w:r>
      <w:r w:rsidRPr="00502952">
        <w:rPr>
          <w:bCs/>
          <w:sz w:val="24"/>
          <w:szCs w:val="24"/>
        </w:rPr>
        <w:t xml:space="preserve">Deficiência múltipla.  </w:t>
      </w:r>
      <w:r w:rsidRPr="00502952">
        <w:rPr>
          <w:bCs/>
          <w:sz w:val="24"/>
          <w:szCs w:val="24"/>
        </w:rPr>
        <w:lastRenderedPageBreak/>
        <w:t>Brasília, DF, 2006. Disponível em:</w:t>
      </w:r>
      <w:r w:rsidRPr="00502952">
        <w:t xml:space="preserve"> </w:t>
      </w:r>
      <w:hyperlink r:id="rId17" w:history="1">
        <w:r w:rsidRPr="00502952">
          <w:rPr>
            <w:rStyle w:val="Hyperlink"/>
            <w:bCs/>
            <w:color w:val="auto"/>
            <w:sz w:val="24"/>
            <w:szCs w:val="24"/>
            <w:u w:val="none"/>
          </w:rPr>
          <w:t>http://portal.mec.gov.br/seesp/arquivos/pdf/deficienciamultipla.pdf</w:t>
        </w:r>
      </w:hyperlink>
      <w:r w:rsidRPr="00502952">
        <w:rPr>
          <w:bCs/>
          <w:sz w:val="24"/>
          <w:szCs w:val="24"/>
        </w:rPr>
        <w:t xml:space="preserve">  </w:t>
      </w:r>
      <w:hyperlink r:id="rId18" w:history="1"/>
      <w:r w:rsidRPr="00502952">
        <w:rPr>
          <w:bCs/>
          <w:sz w:val="24"/>
          <w:szCs w:val="24"/>
        </w:rPr>
        <w:t>. Acesso em: 29 maio 2025</w:t>
      </w:r>
    </w:p>
    <w:p w14:paraId="63B6D6E0" w14:textId="77777777" w:rsidR="00D41182" w:rsidRPr="00502952" w:rsidRDefault="00D41182" w:rsidP="006E772E">
      <w:pPr>
        <w:spacing w:line="240" w:lineRule="auto"/>
        <w:jc w:val="both"/>
        <w:rPr>
          <w:sz w:val="24"/>
          <w:szCs w:val="24"/>
        </w:rPr>
      </w:pPr>
    </w:p>
    <w:p w14:paraId="773C1B61" w14:textId="3A4AAD71" w:rsidR="00C62007" w:rsidRPr="00502952" w:rsidRDefault="00C62007" w:rsidP="006E772E">
      <w:pPr>
        <w:spacing w:line="240" w:lineRule="auto"/>
        <w:jc w:val="both"/>
        <w:rPr>
          <w:rFonts w:eastAsia="Times New Roman"/>
          <w:sz w:val="24"/>
          <w:szCs w:val="24"/>
        </w:rPr>
      </w:pPr>
      <w:r w:rsidRPr="00502952">
        <w:rPr>
          <w:sz w:val="24"/>
          <w:szCs w:val="24"/>
        </w:rPr>
        <w:t xml:space="preserve">Brasil. </w:t>
      </w:r>
      <w:r w:rsidRPr="00502952">
        <w:rPr>
          <w:b/>
          <w:bCs/>
          <w:sz w:val="24"/>
          <w:szCs w:val="24"/>
        </w:rPr>
        <w:t>Lei n</w:t>
      </w:r>
      <w:r w:rsidR="002424AE" w:rsidRPr="00502952">
        <w:rPr>
          <w:b/>
          <w:bCs/>
          <w:sz w:val="24"/>
          <w:szCs w:val="24"/>
        </w:rPr>
        <w:t>.</w:t>
      </w:r>
      <w:r w:rsidRPr="00502952">
        <w:rPr>
          <w:b/>
          <w:bCs/>
          <w:sz w:val="24"/>
          <w:szCs w:val="24"/>
        </w:rPr>
        <w:t>º 10.436, de 24 de abril de 2002</w:t>
      </w:r>
      <w:r w:rsidRPr="00502952">
        <w:rPr>
          <w:sz w:val="24"/>
          <w:szCs w:val="24"/>
        </w:rPr>
        <w:t>. </w:t>
      </w:r>
      <w:r w:rsidRPr="00502952">
        <w:rPr>
          <w:bCs/>
          <w:sz w:val="24"/>
          <w:szCs w:val="24"/>
        </w:rPr>
        <w:t xml:space="preserve">Disponível em: </w:t>
      </w:r>
      <w:hyperlink r:id="rId19" w:history="1">
        <w:r w:rsidRPr="00502952">
          <w:rPr>
            <w:rStyle w:val="Hyperlink"/>
            <w:bCs/>
            <w:color w:val="auto"/>
            <w:sz w:val="24"/>
            <w:szCs w:val="24"/>
            <w:u w:val="none"/>
          </w:rPr>
          <w:t>https://www.planalto.gov.br/ccivil_03/leis/2002/l10436.htm</w:t>
        </w:r>
      </w:hyperlink>
      <w:r w:rsidRPr="00502952">
        <w:rPr>
          <w:bCs/>
          <w:sz w:val="24"/>
          <w:szCs w:val="24"/>
        </w:rPr>
        <w:t>. </w:t>
      </w:r>
      <w:r w:rsidRPr="00502952">
        <w:rPr>
          <w:rFonts w:eastAsia="Times New Roman"/>
          <w:sz w:val="24"/>
          <w:szCs w:val="24"/>
        </w:rPr>
        <w:t xml:space="preserve">Acesso em: 27 maio 2025. </w:t>
      </w:r>
    </w:p>
    <w:p w14:paraId="191023B1" w14:textId="350678C1" w:rsidR="00851F52" w:rsidRPr="00502952" w:rsidRDefault="00C62007" w:rsidP="006E772E">
      <w:pPr>
        <w:spacing w:line="240" w:lineRule="auto"/>
        <w:jc w:val="both"/>
        <w:rPr>
          <w:bCs/>
          <w:sz w:val="24"/>
          <w:szCs w:val="24"/>
        </w:rPr>
      </w:pPr>
      <w:r w:rsidRPr="00502952">
        <w:rPr>
          <w:bCs/>
          <w:sz w:val="24"/>
          <w:szCs w:val="24"/>
        </w:rPr>
        <w:t xml:space="preserve"> </w:t>
      </w:r>
    </w:p>
    <w:p w14:paraId="424AEB6C" w14:textId="4A111D94" w:rsidR="00012DEE" w:rsidRPr="00502952" w:rsidRDefault="00851F52" w:rsidP="006E772E">
      <w:pPr>
        <w:spacing w:line="240" w:lineRule="auto"/>
        <w:jc w:val="both"/>
        <w:rPr>
          <w:bCs/>
          <w:sz w:val="24"/>
          <w:szCs w:val="24"/>
        </w:rPr>
      </w:pPr>
      <w:r w:rsidRPr="00502952">
        <w:rPr>
          <w:bCs/>
          <w:sz w:val="24"/>
          <w:szCs w:val="24"/>
        </w:rPr>
        <w:t xml:space="preserve">BRASIL. </w:t>
      </w:r>
      <w:r w:rsidRPr="00502952">
        <w:rPr>
          <w:b/>
          <w:sz w:val="24"/>
          <w:szCs w:val="24"/>
        </w:rPr>
        <w:t>Lei n.º 13.146, de 6 de julho de 2015</w:t>
      </w:r>
      <w:r w:rsidRPr="00502952">
        <w:rPr>
          <w:bCs/>
          <w:sz w:val="24"/>
          <w:szCs w:val="24"/>
        </w:rPr>
        <w:t xml:space="preserve">. Institui a Lei Brasileira de Inclusão da Pessoa com Deficiência (Estatuto da Pessoa com Deficiência). Diário Oficial da União, Brasília, DF, 2015. Disponível em: </w:t>
      </w:r>
      <w:hyperlink r:id="rId20" w:history="1">
        <w:r w:rsidR="00012DEE" w:rsidRPr="00502952">
          <w:rPr>
            <w:rStyle w:val="Hyperlink"/>
            <w:bCs/>
            <w:color w:val="auto"/>
            <w:sz w:val="24"/>
            <w:szCs w:val="24"/>
            <w:u w:val="none"/>
          </w:rPr>
          <w:t>https://www.planalto.gov.br/ccivil_03/_ato2015-2018/2015/lei/l13146.htm</w:t>
        </w:r>
      </w:hyperlink>
      <w:r w:rsidR="00012DEE" w:rsidRPr="00502952">
        <w:rPr>
          <w:bCs/>
          <w:sz w:val="24"/>
          <w:szCs w:val="24"/>
        </w:rPr>
        <w:t>. Acesso em: 27 maio 2025.</w:t>
      </w:r>
    </w:p>
    <w:p w14:paraId="5D034F93" w14:textId="77777777" w:rsidR="00A35C26" w:rsidRPr="00502952" w:rsidRDefault="00A35C26" w:rsidP="00210A64">
      <w:pPr>
        <w:spacing w:line="360" w:lineRule="auto"/>
        <w:jc w:val="center"/>
        <w:rPr>
          <w:b/>
          <w:sz w:val="24"/>
          <w:szCs w:val="24"/>
        </w:rPr>
      </w:pPr>
    </w:p>
    <w:p w14:paraId="37BFA5C2" w14:textId="77777777" w:rsidR="00D62216" w:rsidRPr="00502952" w:rsidRDefault="00D62216" w:rsidP="00D62216">
      <w:pPr>
        <w:spacing w:line="240" w:lineRule="auto"/>
        <w:jc w:val="both"/>
        <w:rPr>
          <w:bCs/>
          <w:sz w:val="24"/>
          <w:szCs w:val="24"/>
        </w:rPr>
      </w:pPr>
      <w:r w:rsidRPr="00502952">
        <w:rPr>
          <w:bCs/>
          <w:sz w:val="24"/>
          <w:szCs w:val="24"/>
        </w:rPr>
        <w:t xml:space="preserve">BRASIL. Todos Pela Educação. </w:t>
      </w:r>
      <w:r w:rsidRPr="00502952">
        <w:rPr>
          <w:b/>
          <w:sz w:val="24"/>
          <w:szCs w:val="24"/>
        </w:rPr>
        <w:t>Educação Inclusiva:</w:t>
      </w:r>
      <w:r w:rsidRPr="00502952">
        <w:rPr>
          <w:bCs/>
          <w:sz w:val="24"/>
          <w:szCs w:val="24"/>
        </w:rPr>
        <w:t xml:space="preserve"> como a inclusão acontece nas escolas brasileiras. Disponível em: </w:t>
      </w:r>
      <w:hyperlink r:id="rId21" w:history="1">
        <w:r w:rsidRPr="00502952">
          <w:rPr>
            <w:rStyle w:val="Hyperlink"/>
            <w:bCs/>
            <w:color w:val="auto"/>
            <w:sz w:val="24"/>
            <w:szCs w:val="24"/>
            <w:u w:val="none"/>
          </w:rPr>
          <w:t>https://surl.lu/stckei</w:t>
        </w:r>
      </w:hyperlink>
      <w:r w:rsidRPr="00502952">
        <w:rPr>
          <w:bCs/>
          <w:sz w:val="24"/>
          <w:szCs w:val="24"/>
        </w:rPr>
        <w:t xml:space="preserve"> .Acesso em: 23 maio 2025</w:t>
      </w:r>
    </w:p>
    <w:p w14:paraId="0E15B014" w14:textId="77777777" w:rsidR="00D62216" w:rsidRPr="00502952" w:rsidRDefault="00D62216" w:rsidP="00DF5A14">
      <w:pPr>
        <w:spacing w:line="240" w:lineRule="auto"/>
        <w:jc w:val="both"/>
        <w:rPr>
          <w:bCs/>
          <w:sz w:val="24"/>
          <w:szCs w:val="24"/>
        </w:rPr>
      </w:pPr>
    </w:p>
    <w:p w14:paraId="2FF298B9" w14:textId="12E833C1" w:rsidR="00DA7871" w:rsidRPr="00502952" w:rsidRDefault="00A66364" w:rsidP="00DF5A14">
      <w:pPr>
        <w:spacing w:line="240" w:lineRule="auto"/>
        <w:jc w:val="both"/>
        <w:rPr>
          <w:bCs/>
          <w:sz w:val="24"/>
          <w:szCs w:val="24"/>
        </w:rPr>
      </w:pPr>
      <w:r w:rsidRPr="00502952">
        <w:rPr>
          <w:bCs/>
          <w:sz w:val="24"/>
          <w:szCs w:val="24"/>
        </w:rPr>
        <w:t>DUARTE</w:t>
      </w:r>
      <w:r w:rsidR="00DA7871" w:rsidRPr="00502952">
        <w:rPr>
          <w:bCs/>
          <w:sz w:val="24"/>
          <w:szCs w:val="24"/>
        </w:rPr>
        <w:t xml:space="preserve">, L. de J. A., &amp; </w:t>
      </w:r>
      <w:r w:rsidRPr="00502952">
        <w:rPr>
          <w:bCs/>
          <w:sz w:val="24"/>
          <w:szCs w:val="24"/>
        </w:rPr>
        <w:t>SILVA</w:t>
      </w:r>
      <w:r w:rsidR="00DA7871" w:rsidRPr="00502952">
        <w:rPr>
          <w:bCs/>
          <w:sz w:val="24"/>
          <w:szCs w:val="24"/>
        </w:rPr>
        <w:t>, J. da G. P. da. Breve histórico sobre as políticas públicas de educação especial e inclusiva no Brasil. </w:t>
      </w:r>
      <w:r w:rsidR="00DA7871" w:rsidRPr="00502952">
        <w:rPr>
          <w:b/>
          <w:sz w:val="24"/>
          <w:szCs w:val="24"/>
        </w:rPr>
        <w:t>Revista Acadêmica Online</w:t>
      </w:r>
      <w:r w:rsidR="00DA7871" w:rsidRPr="00502952">
        <w:rPr>
          <w:bCs/>
          <w:i/>
          <w:iCs/>
          <w:sz w:val="24"/>
          <w:szCs w:val="24"/>
        </w:rPr>
        <w:t>,</w:t>
      </w:r>
      <w:r w:rsidR="00DA7871" w:rsidRPr="00502952">
        <w:rPr>
          <w:bCs/>
          <w:sz w:val="24"/>
          <w:szCs w:val="24"/>
        </w:rPr>
        <w:t> </w:t>
      </w:r>
      <w:r w:rsidR="00DA7871" w:rsidRPr="00502952">
        <w:rPr>
          <w:bCs/>
          <w:i/>
          <w:iCs/>
          <w:sz w:val="24"/>
          <w:szCs w:val="24"/>
        </w:rPr>
        <w:t>9</w:t>
      </w:r>
      <w:r w:rsidR="00DA7871" w:rsidRPr="00502952">
        <w:rPr>
          <w:bCs/>
          <w:sz w:val="24"/>
          <w:szCs w:val="24"/>
        </w:rPr>
        <w:t xml:space="preserve">(45), e973, 2023. Disponível em: </w:t>
      </w:r>
      <w:hyperlink r:id="rId22" w:history="1">
        <w:r w:rsidR="00DA7871" w:rsidRPr="00502952">
          <w:rPr>
            <w:rStyle w:val="Hyperlink"/>
            <w:bCs/>
            <w:color w:val="auto"/>
            <w:sz w:val="24"/>
            <w:szCs w:val="24"/>
            <w:u w:val="none"/>
          </w:rPr>
          <w:t>https://revistaacademicaonline.com/index.php/rao/article/view/973</w:t>
        </w:r>
      </w:hyperlink>
      <w:r w:rsidR="00DA7871" w:rsidRPr="00502952">
        <w:rPr>
          <w:bCs/>
          <w:sz w:val="24"/>
          <w:szCs w:val="24"/>
        </w:rPr>
        <w:t>. Acesso em: 27 maio. 2025</w:t>
      </w:r>
    </w:p>
    <w:p w14:paraId="258E27D9" w14:textId="77777777" w:rsidR="00D62216" w:rsidRPr="00502952" w:rsidRDefault="00D62216" w:rsidP="00DF5A14">
      <w:pPr>
        <w:spacing w:line="240" w:lineRule="auto"/>
        <w:jc w:val="both"/>
        <w:rPr>
          <w:bCs/>
          <w:sz w:val="24"/>
          <w:szCs w:val="24"/>
        </w:rPr>
      </w:pPr>
    </w:p>
    <w:p w14:paraId="460F30E5" w14:textId="357DEE28" w:rsidR="003E5C12" w:rsidRPr="00502952" w:rsidRDefault="00A66364" w:rsidP="00DF5A14">
      <w:pPr>
        <w:spacing w:line="240" w:lineRule="auto"/>
        <w:jc w:val="both"/>
        <w:rPr>
          <w:bCs/>
          <w:sz w:val="24"/>
          <w:szCs w:val="24"/>
        </w:rPr>
      </w:pPr>
      <w:r w:rsidRPr="00502952">
        <w:rPr>
          <w:bCs/>
          <w:sz w:val="24"/>
          <w:szCs w:val="24"/>
        </w:rPr>
        <w:t>ESTABEL</w:t>
      </w:r>
      <w:r w:rsidR="00A66A10" w:rsidRPr="00502952">
        <w:rPr>
          <w:bCs/>
          <w:sz w:val="24"/>
          <w:szCs w:val="24"/>
        </w:rPr>
        <w:t>, L</w:t>
      </w:r>
      <w:r w:rsidR="00B22492" w:rsidRPr="00502952">
        <w:rPr>
          <w:bCs/>
          <w:sz w:val="24"/>
          <w:szCs w:val="24"/>
        </w:rPr>
        <w:t>.</w:t>
      </w:r>
      <w:r w:rsidR="00A66A10" w:rsidRPr="00502952">
        <w:rPr>
          <w:bCs/>
          <w:sz w:val="24"/>
          <w:szCs w:val="24"/>
        </w:rPr>
        <w:t xml:space="preserve"> B</w:t>
      </w:r>
      <w:r w:rsidR="00B22492" w:rsidRPr="00502952">
        <w:rPr>
          <w:bCs/>
          <w:sz w:val="24"/>
          <w:szCs w:val="24"/>
        </w:rPr>
        <w:t>.</w:t>
      </w:r>
      <w:r w:rsidR="00A66A10" w:rsidRPr="00502952">
        <w:rPr>
          <w:bCs/>
          <w:sz w:val="24"/>
          <w:szCs w:val="24"/>
        </w:rPr>
        <w:t xml:space="preserve">; </w:t>
      </w:r>
      <w:r w:rsidRPr="00502952">
        <w:rPr>
          <w:bCs/>
          <w:sz w:val="24"/>
          <w:szCs w:val="24"/>
        </w:rPr>
        <w:t>VAZ</w:t>
      </w:r>
      <w:r w:rsidR="00A66A10" w:rsidRPr="00502952">
        <w:rPr>
          <w:bCs/>
          <w:sz w:val="24"/>
          <w:szCs w:val="24"/>
        </w:rPr>
        <w:t xml:space="preserve">, </w:t>
      </w:r>
      <w:r w:rsidR="00437B65" w:rsidRPr="00502952">
        <w:rPr>
          <w:bCs/>
          <w:sz w:val="24"/>
          <w:szCs w:val="24"/>
        </w:rPr>
        <w:t>C</w:t>
      </w:r>
      <w:r w:rsidR="00B22492" w:rsidRPr="00502952">
        <w:rPr>
          <w:bCs/>
          <w:sz w:val="24"/>
          <w:szCs w:val="24"/>
        </w:rPr>
        <w:t>.</w:t>
      </w:r>
      <w:r w:rsidR="00A66A10" w:rsidRPr="00502952">
        <w:rPr>
          <w:bCs/>
          <w:sz w:val="24"/>
          <w:szCs w:val="24"/>
        </w:rPr>
        <w:t xml:space="preserve">. </w:t>
      </w:r>
      <w:r w:rsidR="00437B65" w:rsidRPr="00502952">
        <w:rPr>
          <w:bCs/>
          <w:sz w:val="24"/>
          <w:szCs w:val="24"/>
        </w:rPr>
        <w:t>Incursão histórica da política de educação especial no brasil</w:t>
      </w:r>
      <w:r w:rsidR="003E5C12" w:rsidRPr="00502952">
        <w:rPr>
          <w:bCs/>
          <w:sz w:val="24"/>
          <w:szCs w:val="24"/>
        </w:rPr>
        <w:t xml:space="preserve">: </w:t>
      </w:r>
      <w:r w:rsidR="00437B65" w:rsidRPr="00502952">
        <w:rPr>
          <w:bCs/>
          <w:sz w:val="24"/>
          <w:szCs w:val="24"/>
        </w:rPr>
        <w:t>da exclusão à perspectiva inclusiva</w:t>
      </w:r>
      <w:r w:rsidR="003E5C12" w:rsidRPr="00502952">
        <w:rPr>
          <w:bCs/>
          <w:sz w:val="24"/>
          <w:szCs w:val="24"/>
        </w:rPr>
        <w:t>. </w:t>
      </w:r>
      <w:r w:rsidR="003E5C12" w:rsidRPr="00502952">
        <w:rPr>
          <w:b/>
          <w:sz w:val="24"/>
          <w:szCs w:val="24"/>
        </w:rPr>
        <w:t>Olhares &amp; Trilhas</w:t>
      </w:r>
      <w:r w:rsidR="003E5C12" w:rsidRPr="00502952">
        <w:rPr>
          <w:bCs/>
          <w:sz w:val="24"/>
          <w:szCs w:val="24"/>
        </w:rPr>
        <w:t>, </w:t>
      </w:r>
      <w:r w:rsidR="003E5C12" w:rsidRPr="00502952">
        <w:rPr>
          <w:bCs/>
          <w:i/>
          <w:iCs/>
          <w:sz w:val="24"/>
          <w:szCs w:val="24"/>
        </w:rPr>
        <w:t>[S. l.]</w:t>
      </w:r>
      <w:r w:rsidR="003E5C12" w:rsidRPr="00502952">
        <w:rPr>
          <w:bCs/>
          <w:sz w:val="24"/>
          <w:szCs w:val="24"/>
        </w:rPr>
        <w:t>, v. 25, n. 2, p. 1–17, 2023. Disponível em: </w:t>
      </w:r>
      <w:hyperlink r:id="rId23" w:history="1">
        <w:r w:rsidR="003E5C12" w:rsidRPr="00502952">
          <w:rPr>
            <w:rStyle w:val="Hyperlink"/>
            <w:bCs/>
            <w:color w:val="auto"/>
            <w:sz w:val="24"/>
            <w:szCs w:val="24"/>
            <w:u w:val="none"/>
          </w:rPr>
          <w:t>https://seer.ufu.br/index.php/olharesetrilhas/article/view/67851</w:t>
        </w:r>
      </w:hyperlink>
      <w:r w:rsidR="003E5C12" w:rsidRPr="00502952">
        <w:rPr>
          <w:bCs/>
          <w:sz w:val="24"/>
          <w:szCs w:val="24"/>
        </w:rPr>
        <w:t>. Acesso em: 27 maio. 2025.</w:t>
      </w:r>
    </w:p>
    <w:p w14:paraId="754F632F" w14:textId="77777777" w:rsidR="00DA7871" w:rsidRPr="00502952" w:rsidRDefault="00DA7871" w:rsidP="00DF5A14">
      <w:pPr>
        <w:spacing w:line="240" w:lineRule="auto"/>
        <w:jc w:val="both"/>
        <w:rPr>
          <w:b/>
          <w:sz w:val="24"/>
          <w:szCs w:val="24"/>
        </w:rPr>
      </w:pPr>
    </w:p>
    <w:p w14:paraId="63D0197D" w14:textId="45409F36" w:rsidR="00DA7871" w:rsidRPr="00502952" w:rsidRDefault="00A66364" w:rsidP="00DF5A14">
      <w:pPr>
        <w:spacing w:line="240" w:lineRule="auto"/>
        <w:jc w:val="both"/>
        <w:rPr>
          <w:bCs/>
          <w:sz w:val="24"/>
          <w:szCs w:val="24"/>
        </w:rPr>
      </w:pPr>
      <w:r w:rsidRPr="00502952">
        <w:rPr>
          <w:bCs/>
          <w:sz w:val="24"/>
          <w:szCs w:val="24"/>
        </w:rPr>
        <w:t>GABRIEL</w:t>
      </w:r>
      <w:r w:rsidR="00DA7871" w:rsidRPr="00502952">
        <w:rPr>
          <w:bCs/>
          <w:sz w:val="24"/>
          <w:szCs w:val="24"/>
        </w:rPr>
        <w:t xml:space="preserve">, </w:t>
      </w:r>
      <w:r w:rsidR="00B22492" w:rsidRPr="00502952">
        <w:rPr>
          <w:bCs/>
          <w:sz w:val="24"/>
          <w:szCs w:val="24"/>
        </w:rPr>
        <w:t>E.</w:t>
      </w:r>
      <w:r w:rsidR="00DA7871" w:rsidRPr="00502952">
        <w:rPr>
          <w:bCs/>
          <w:sz w:val="24"/>
          <w:szCs w:val="24"/>
        </w:rPr>
        <w:t xml:space="preserve">; </w:t>
      </w:r>
      <w:r w:rsidRPr="00502952">
        <w:rPr>
          <w:bCs/>
          <w:sz w:val="24"/>
          <w:szCs w:val="24"/>
        </w:rPr>
        <w:t>DRAGO</w:t>
      </w:r>
      <w:r w:rsidR="00DA7871" w:rsidRPr="00502952">
        <w:rPr>
          <w:bCs/>
          <w:sz w:val="24"/>
          <w:szCs w:val="24"/>
        </w:rPr>
        <w:t xml:space="preserve">, </w:t>
      </w:r>
      <w:r w:rsidR="00B22492" w:rsidRPr="00502952">
        <w:rPr>
          <w:bCs/>
          <w:sz w:val="24"/>
          <w:szCs w:val="24"/>
        </w:rPr>
        <w:t>R.</w:t>
      </w:r>
      <w:r w:rsidR="00DA7871" w:rsidRPr="00502952">
        <w:rPr>
          <w:bCs/>
          <w:sz w:val="24"/>
          <w:szCs w:val="24"/>
        </w:rPr>
        <w:t>. Educação especial e educação inclusiva no contexto das políticas públicas: uma revisão histórica e legal. </w:t>
      </w:r>
      <w:r w:rsidR="00DA7871" w:rsidRPr="00502952">
        <w:rPr>
          <w:b/>
          <w:sz w:val="24"/>
          <w:szCs w:val="24"/>
        </w:rPr>
        <w:t>Revista Transformar</w:t>
      </w:r>
      <w:r w:rsidR="00DA7871" w:rsidRPr="00502952">
        <w:rPr>
          <w:bCs/>
          <w:sz w:val="24"/>
          <w:szCs w:val="24"/>
        </w:rPr>
        <w:t>, v. 15, n. 2, p. 66-83, 2022. Disponível em: </w:t>
      </w:r>
      <w:hyperlink r:id="rId24" w:history="1">
        <w:r w:rsidR="00DA7871" w:rsidRPr="00502952">
          <w:rPr>
            <w:rStyle w:val="Hyperlink"/>
            <w:bCs/>
            <w:color w:val="auto"/>
            <w:sz w:val="24"/>
            <w:szCs w:val="24"/>
            <w:u w:val="none"/>
          </w:rPr>
          <w:t>https://www.fsj.edu.br/transformar/index.php/transformar/article/view/631</w:t>
        </w:r>
      </w:hyperlink>
      <w:r w:rsidR="00DA7871" w:rsidRPr="00502952">
        <w:rPr>
          <w:bCs/>
          <w:sz w:val="24"/>
          <w:szCs w:val="24"/>
        </w:rPr>
        <w:t>.  Acesso em: 27 maio. 2025.</w:t>
      </w:r>
    </w:p>
    <w:p w14:paraId="501E2D0C" w14:textId="77777777" w:rsidR="00DA7871" w:rsidRPr="00502952" w:rsidRDefault="00DA7871" w:rsidP="00DF5A14">
      <w:pPr>
        <w:spacing w:line="240" w:lineRule="auto"/>
        <w:jc w:val="both"/>
        <w:rPr>
          <w:b/>
          <w:sz w:val="24"/>
          <w:szCs w:val="24"/>
        </w:rPr>
      </w:pPr>
    </w:p>
    <w:p w14:paraId="08365BC1" w14:textId="3DFECC30" w:rsidR="000A13E9" w:rsidRPr="00502952" w:rsidRDefault="000A13E9" w:rsidP="00DF5A14">
      <w:pPr>
        <w:spacing w:line="240" w:lineRule="auto"/>
        <w:jc w:val="both"/>
        <w:rPr>
          <w:bCs/>
          <w:sz w:val="24"/>
          <w:szCs w:val="24"/>
        </w:rPr>
      </w:pPr>
      <w:r w:rsidRPr="00502952">
        <w:rPr>
          <w:bCs/>
          <w:sz w:val="24"/>
          <w:szCs w:val="24"/>
        </w:rPr>
        <w:t xml:space="preserve">MARANHÃO. </w:t>
      </w:r>
      <w:r w:rsidRPr="00502952">
        <w:rPr>
          <w:b/>
          <w:sz w:val="24"/>
          <w:szCs w:val="24"/>
        </w:rPr>
        <w:t>Decreto n</w:t>
      </w:r>
      <w:r w:rsidR="002424AE" w:rsidRPr="00502952">
        <w:rPr>
          <w:b/>
          <w:sz w:val="24"/>
          <w:szCs w:val="24"/>
        </w:rPr>
        <w:t>.</w:t>
      </w:r>
      <w:r w:rsidRPr="00502952">
        <w:rPr>
          <w:b/>
          <w:sz w:val="24"/>
          <w:szCs w:val="24"/>
        </w:rPr>
        <w:t>º 38.758, de 5 de dezembro de 2023</w:t>
      </w:r>
      <w:r w:rsidRPr="00502952">
        <w:rPr>
          <w:bCs/>
          <w:sz w:val="24"/>
          <w:szCs w:val="24"/>
        </w:rPr>
        <w:t xml:space="preserve">. Institui o Plano Estadual de Políticas de Inclusão da Pessoa com Deficiência no âmbito do Estado do Maranhão e, dá outras providências. Diário Oficial do Maranhão, São Luís, 2023a. Disponível em: </w:t>
      </w:r>
      <w:hyperlink r:id="rId25" w:history="1">
        <w:r w:rsidRPr="00502952">
          <w:rPr>
            <w:rStyle w:val="Hyperlink"/>
            <w:bCs/>
            <w:color w:val="auto"/>
            <w:sz w:val="24"/>
            <w:szCs w:val="24"/>
            <w:u w:val="none"/>
          </w:rPr>
          <w:t>https://www.diariooficial.ma.gov.br/download.php?arqv=1&amp;arq=EX20231205</w:t>
        </w:r>
      </w:hyperlink>
      <w:r w:rsidRPr="00502952">
        <w:rPr>
          <w:bCs/>
          <w:sz w:val="24"/>
          <w:szCs w:val="24"/>
        </w:rPr>
        <w:t>. Acesso em: 10 jun. 2024</w:t>
      </w:r>
    </w:p>
    <w:p w14:paraId="29511446" w14:textId="77777777" w:rsidR="000A13E9" w:rsidRPr="00502952" w:rsidRDefault="000A13E9" w:rsidP="00DF5A14">
      <w:pPr>
        <w:spacing w:line="240" w:lineRule="auto"/>
        <w:jc w:val="both"/>
        <w:rPr>
          <w:b/>
          <w:sz w:val="24"/>
          <w:szCs w:val="24"/>
        </w:rPr>
      </w:pPr>
    </w:p>
    <w:p w14:paraId="16C65882" w14:textId="52767799" w:rsidR="00F11755" w:rsidRPr="00502952" w:rsidRDefault="00A66364" w:rsidP="00DF5A14">
      <w:pPr>
        <w:spacing w:line="240" w:lineRule="auto"/>
        <w:jc w:val="both"/>
        <w:rPr>
          <w:bCs/>
          <w:sz w:val="24"/>
          <w:szCs w:val="24"/>
        </w:rPr>
      </w:pPr>
      <w:r w:rsidRPr="00502952">
        <w:rPr>
          <w:bCs/>
          <w:sz w:val="24"/>
          <w:szCs w:val="24"/>
        </w:rPr>
        <w:t>NARCISO</w:t>
      </w:r>
      <w:r w:rsidR="003E5C12" w:rsidRPr="00502952">
        <w:rPr>
          <w:bCs/>
          <w:sz w:val="24"/>
          <w:szCs w:val="24"/>
        </w:rPr>
        <w:t>, R.</w:t>
      </w:r>
      <w:r w:rsidRPr="00502952">
        <w:rPr>
          <w:bCs/>
          <w:sz w:val="24"/>
          <w:szCs w:val="24"/>
        </w:rPr>
        <w:t>;</w:t>
      </w:r>
      <w:r w:rsidR="003E5C12" w:rsidRPr="00502952">
        <w:rPr>
          <w:bCs/>
          <w:sz w:val="24"/>
          <w:szCs w:val="24"/>
        </w:rPr>
        <w:t xml:space="preserve"> </w:t>
      </w:r>
      <w:r w:rsidRPr="00502952">
        <w:rPr>
          <w:bCs/>
          <w:sz w:val="24"/>
          <w:szCs w:val="24"/>
        </w:rPr>
        <w:t>OLIVEIRA</w:t>
      </w:r>
      <w:r w:rsidR="003E5C12" w:rsidRPr="00502952">
        <w:rPr>
          <w:bCs/>
          <w:sz w:val="24"/>
          <w:szCs w:val="24"/>
        </w:rPr>
        <w:t>, F. C. N. de</w:t>
      </w:r>
      <w:r w:rsidRPr="00502952">
        <w:rPr>
          <w:bCs/>
          <w:sz w:val="24"/>
          <w:szCs w:val="24"/>
        </w:rPr>
        <w:t>;</w:t>
      </w:r>
      <w:r w:rsidR="003E5C12" w:rsidRPr="00502952">
        <w:rPr>
          <w:bCs/>
          <w:sz w:val="24"/>
          <w:szCs w:val="24"/>
        </w:rPr>
        <w:t xml:space="preserve"> </w:t>
      </w:r>
      <w:r w:rsidRPr="00502952">
        <w:rPr>
          <w:bCs/>
          <w:sz w:val="24"/>
          <w:szCs w:val="24"/>
        </w:rPr>
        <w:t>ALVES</w:t>
      </w:r>
      <w:r w:rsidR="003E5C12" w:rsidRPr="00502952">
        <w:rPr>
          <w:bCs/>
          <w:sz w:val="24"/>
          <w:szCs w:val="24"/>
        </w:rPr>
        <w:t>, D. de L.</w:t>
      </w:r>
      <w:r w:rsidRPr="00502952">
        <w:rPr>
          <w:bCs/>
          <w:sz w:val="24"/>
          <w:szCs w:val="24"/>
        </w:rPr>
        <w:t>;</w:t>
      </w:r>
      <w:r w:rsidR="003E5C12" w:rsidRPr="00502952">
        <w:rPr>
          <w:bCs/>
          <w:sz w:val="24"/>
          <w:szCs w:val="24"/>
        </w:rPr>
        <w:t xml:space="preserve"> </w:t>
      </w:r>
      <w:r w:rsidRPr="00502952">
        <w:rPr>
          <w:bCs/>
          <w:sz w:val="24"/>
          <w:szCs w:val="24"/>
        </w:rPr>
        <w:t>DUARTE</w:t>
      </w:r>
      <w:r w:rsidR="003E5C12" w:rsidRPr="00502952">
        <w:rPr>
          <w:bCs/>
          <w:sz w:val="24"/>
          <w:szCs w:val="24"/>
        </w:rPr>
        <w:t>, E. D.</w:t>
      </w:r>
      <w:r w:rsidRPr="00502952">
        <w:rPr>
          <w:bCs/>
          <w:sz w:val="24"/>
          <w:szCs w:val="24"/>
        </w:rPr>
        <w:t>;</w:t>
      </w:r>
      <w:r w:rsidR="003E5C12" w:rsidRPr="00502952">
        <w:rPr>
          <w:bCs/>
          <w:sz w:val="24"/>
          <w:szCs w:val="24"/>
        </w:rPr>
        <w:t xml:space="preserve"> </w:t>
      </w:r>
      <w:r w:rsidRPr="00502952">
        <w:rPr>
          <w:bCs/>
          <w:sz w:val="24"/>
          <w:szCs w:val="24"/>
        </w:rPr>
        <w:t>MAIA</w:t>
      </w:r>
      <w:r w:rsidR="003E5C12" w:rsidRPr="00502952">
        <w:rPr>
          <w:bCs/>
          <w:sz w:val="24"/>
          <w:szCs w:val="24"/>
        </w:rPr>
        <w:t>, M. A. dos S.</w:t>
      </w:r>
      <w:r w:rsidRPr="00502952">
        <w:rPr>
          <w:bCs/>
          <w:sz w:val="24"/>
          <w:szCs w:val="24"/>
        </w:rPr>
        <w:t>;</w:t>
      </w:r>
      <w:r w:rsidR="003E5C12" w:rsidRPr="00502952">
        <w:rPr>
          <w:bCs/>
          <w:sz w:val="24"/>
          <w:szCs w:val="24"/>
        </w:rPr>
        <w:t xml:space="preserve"> </w:t>
      </w:r>
      <w:r w:rsidRPr="00502952">
        <w:rPr>
          <w:bCs/>
          <w:sz w:val="24"/>
          <w:szCs w:val="24"/>
        </w:rPr>
        <w:t>REZENDE</w:t>
      </w:r>
      <w:r w:rsidR="003E5C12" w:rsidRPr="00502952">
        <w:rPr>
          <w:bCs/>
          <w:sz w:val="24"/>
          <w:szCs w:val="24"/>
        </w:rPr>
        <w:t xml:space="preserve">, G. U. de M. (2024). </w:t>
      </w:r>
      <w:r w:rsidR="00F11755" w:rsidRPr="00502952">
        <w:rPr>
          <w:bCs/>
          <w:sz w:val="24"/>
          <w:szCs w:val="24"/>
        </w:rPr>
        <w:t>Inclusão escolar: desafios e perspectivas para uma educação mais equitativa</w:t>
      </w:r>
      <w:r w:rsidR="003E5C12" w:rsidRPr="00502952">
        <w:rPr>
          <w:bCs/>
          <w:sz w:val="24"/>
          <w:szCs w:val="24"/>
        </w:rPr>
        <w:t>. </w:t>
      </w:r>
      <w:r w:rsidR="003E5C12" w:rsidRPr="00502952">
        <w:rPr>
          <w:b/>
          <w:sz w:val="24"/>
          <w:szCs w:val="24"/>
        </w:rPr>
        <w:t xml:space="preserve">Revista Ibero-Americana </w:t>
      </w:r>
      <w:r w:rsidR="008A50DE" w:rsidRPr="00502952">
        <w:rPr>
          <w:b/>
          <w:sz w:val="24"/>
          <w:szCs w:val="24"/>
        </w:rPr>
        <w:t>d</w:t>
      </w:r>
      <w:r w:rsidR="003E5C12" w:rsidRPr="00502952">
        <w:rPr>
          <w:b/>
          <w:sz w:val="24"/>
          <w:szCs w:val="24"/>
        </w:rPr>
        <w:t>e Humanidades</w:t>
      </w:r>
      <w:r w:rsidR="003E5C12" w:rsidRPr="00502952">
        <w:rPr>
          <w:bCs/>
          <w:sz w:val="24"/>
          <w:szCs w:val="24"/>
        </w:rPr>
        <w:t xml:space="preserve">, Ciências E Educação, 10(8), 713–728. </w:t>
      </w:r>
      <w:r w:rsidR="00F11755" w:rsidRPr="00502952">
        <w:rPr>
          <w:bCs/>
          <w:sz w:val="24"/>
          <w:szCs w:val="24"/>
        </w:rPr>
        <w:t>Disponível em: </w:t>
      </w:r>
      <w:hyperlink r:id="rId26" w:history="1">
        <w:r w:rsidR="00F11755" w:rsidRPr="00502952">
          <w:rPr>
            <w:rStyle w:val="Hyperlink"/>
            <w:bCs/>
            <w:color w:val="auto"/>
            <w:sz w:val="24"/>
            <w:szCs w:val="24"/>
            <w:u w:val="none"/>
          </w:rPr>
          <w:t>https://periodicorease.pro.br/</w:t>
        </w:r>
        <w:proofErr w:type="spellStart"/>
        <w:r w:rsidR="00F11755" w:rsidRPr="00502952">
          <w:rPr>
            <w:rStyle w:val="Hyperlink"/>
            <w:bCs/>
            <w:color w:val="auto"/>
            <w:sz w:val="24"/>
            <w:szCs w:val="24"/>
            <w:u w:val="none"/>
          </w:rPr>
          <w:t>rease</w:t>
        </w:r>
        <w:proofErr w:type="spellEnd"/>
        <w:r w:rsidR="00F11755" w:rsidRPr="00502952">
          <w:rPr>
            <w:rStyle w:val="Hyperlink"/>
            <w:bCs/>
            <w:color w:val="auto"/>
            <w:sz w:val="24"/>
            <w:szCs w:val="24"/>
            <w:u w:val="none"/>
          </w:rPr>
          <w:t>/article/view/15074</w:t>
        </w:r>
      </w:hyperlink>
      <w:r w:rsidR="00F11755" w:rsidRPr="00502952">
        <w:rPr>
          <w:bCs/>
          <w:sz w:val="24"/>
          <w:szCs w:val="24"/>
        </w:rPr>
        <w:t>. Acesso em: 27 maio. 2025.</w:t>
      </w:r>
    </w:p>
    <w:p w14:paraId="76D7A4C4" w14:textId="0694733E" w:rsidR="00E62442" w:rsidRDefault="00E62442" w:rsidP="00E92D99">
      <w:pPr>
        <w:spacing w:after="200"/>
        <w:jc w:val="both"/>
        <w:rPr>
          <w:bCs/>
          <w:sz w:val="24"/>
          <w:szCs w:val="24"/>
        </w:rPr>
      </w:pPr>
    </w:p>
    <w:sectPr w:rsidR="00E62442" w:rsidSect="00104E8F">
      <w:headerReference w:type="default" r:id="rId27"/>
      <w:pgSz w:w="11909" w:h="16834"/>
      <w:pgMar w:top="1276"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50D339" w14:textId="77777777" w:rsidR="006B29E9" w:rsidRDefault="006B29E9">
      <w:pPr>
        <w:spacing w:line="240" w:lineRule="auto"/>
      </w:pPr>
      <w:r>
        <w:separator/>
      </w:r>
    </w:p>
  </w:endnote>
  <w:endnote w:type="continuationSeparator" w:id="0">
    <w:p w14:paraId="3468AF99" w14:textId="77777777" w:rsidR="006B29E9" w:rsidRDefault="006B29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BE37F3" w14:textId="77777777" w:rsidR="006B29E9" w:rsidRDefault="006B29E9">
      <w:pPr>
        <w:spacing w:line="240" w:lineRule="auto"/>
      </w:pPr>
      <w:r>
        <w:separator/>
      </w:r>
    </w:p>
  </w:footnote>
  <w:footnote w:type="continuationSeparator" w:id="0">
    <w:p w14:paraId="1CE74E6B" w14:textId="77777777" w:rsidR="006B29E9" w:rsidRDefault="006B29E9">
      <w:pPr>
        <w:spacing w:line="240" w:lineRule="auto"/>
      </w:pPr>
      <w:r>
        <w:continuationSeparator/>
      </w:r>
    </w:p>
  </w:footnote>
  <w:footnote w:id="1">
    <w:p w14:paraId="6EB3BB7B" w14:textId="30F5A5AC" w:rsidR="00E62442" w:rsidRPr="00E44B3A" w:rsidRDefault="00E62442" w:rsidP="00464EE5">
      <w:pPr>
        <w:spacing w:line="240" w:lineRule="auto"/>
        <w:jc w:val="both"/>
      </w:pPr>
      <w:r w:rsidRPr="00E44B3A">
        <w:rPr>
          <w:rStyle w:val="Refdenotaderodap"/>
          <w:sz w:val="20"/>
          <w:szCs w:val="20"/>
        </w:rPr>
        <w:footnoteRef/>
      </w:r>
      <w:r w:rsidRPr="00E44B3A">
        <w:rPr>
          <w:sz w:val="20"/>
          <w:szCs w:val="20"/>
        </w:rPr>
        <w:t xml:space="preserve"> Este artigo baseia-se no estudo realizado pelas autoras “Educação Especial na Perspectiva Inclusiva”, publicado no Boletim Social do Maranhão pelo Instituto Maranhense de Estudos Socioeconômicos e Cartográficos (IMESC), mas sua análise é de responsabilidade exclusiva das autoras, desvinculada da instituição.</w:t>
      </w:r>
    </w:p>
  </w:footnote>
  <w:footnote w:id="2">
    <w:p w14:paraId="79D7E280" w14:textId="432808D4" w:rsidR="00E62442" w:rsidRPr="00E44B3A" w:rsidRDefault="00E62442" w:rsidP="00464EE5">
      <w:pPr>
        <w:pStyle w:val="Textodenotaderodap"/>
        <w:jc w:val="both"/>
        <w:rPr>
          <w:rFonts w:ascii="Arial" w:hAnsi="Arial" w:cs="Arial"/>
        </w:rPr>
      </w:pPr>
      <w:r w:rsidRPr="00E44B3A">
        <w:rPr>
          <w:rStyle w:val="Refdenotaderodap"/>
          <w:rFonts w:ascii="Arial" w:hAnsi="Arial" w:cs="Arial"/>
        </w:rPr>
        <w:footnoteRef/>
      </w:r>
      <w:r w:rsidRPr="00E44B3A">
        <w:rPr>
          <w:rFonts w:ascii="Arial" w:hAnsi="Arial" w:cs="Arial"/>
        </w:rPr>
        <w:t xml:space="preserve"> IMESC; Graduada em Ciências Econômicas (UFMA); carla.cutrim@imesc.ma.gov.br.</w:t>
      </w:r>
    </w:p>
  </w:footnote>
  <w:footnote w:id="3">
    <w:p w14:paraId="5BECCF70" w14:textId="1C1F5FFA" w:rsidR="00E62442" w:rsidRPr="00E44B3A" w:rsidRDefault="00E62442" w:rsidP="00464EE5">
      <w:pPr>
        <w:pStyle w:val="Textodenotaderodap"/>
        <w:jc w:val="both"/>
        <w:rPr>
          <w:rFonts w:ascii="Arial" w:hAnsi="Arial" w:cs="Arial"/>
        </w:rPr>
      </w:pPr>
      <w:r w:rsidRPr="00E44B3A">
        <w:rPr>
          <w:rStyle w:val="Refdenotaderodap"/>
          <w:rFonts w:ascii="Arial" w:hAnsi="Arial" w:cs="Arial"/>
        </w:rPr>
        <w:footnoteRef/>
      </w:r>
      <w:r w:rsidRPr="00E44B3A">
        <w:rPr>
          <w:rFonts w:ascii="Arial" w:hAnsi="Arial" w:cs="Arial"/>
        </w:rPr>
        <w:t xml:space="preserve"> IMESC; Graduada em Ciências Econômicas (UFMA) e Mestre em Desenvolvimento Socioeconômico (UFMA); marlana.portilho@imesc.ma.gov.br.  </w:t>
      </w:r>
    </w:p>
  </w:footnote>
  <w:footnote w:id="4">
    <w:p w14:paraId="4DA9D4E5" w14:textId="4B6E891E" w:rsidR="00E62442" w:rsidRPr="00E44B3A" w:rsidRDefault="00E62442" w:rsidP="00464EE5">
      <w:pPr>
        <w:pStyle w:val="Textodenotaderodap"/>
        <w:jc w:val="both"/>
        <w:rPr>
          <w:rFonts w:ascii="Arial" w:hAnsi="Arial" w:cs="Arial"/>
        </w:rPr>
      </w:pPr>
      <w:r w:rsidRPr="00E44B3A">
        <w:rPr>
          <w:rStyle w:val="Refdenotaderodap"/>
          <w:rFonts w:ascii="Arial" w:hAnsi="Arial" w:cs="Arial"/>
        </w:rPr>
        <w:footnoteRef/>
      </w:r>
      <w:r w:rsidRPr="00E44B3A">
        <w:rPr>
          <w:rFonts w:ascii="Arial" w:hAnsi="Arial" w:cs="Arial"/>
        </w:rPr>
        <w:t xml:space="preserve"> IMESC, Graduada em Ciências Econômicas (UFMA); maysa.e1311@gmail.com.</w:t>
      </w:r>
    </w:p>
  </w:footnote>
  <w:footnote w:id="5">
    <w:p w14:paraId="7D231619" w14:textId="55EE9F4C" w:rsidR="00E62442" w:rsidRPr="00E44B3A" w:rsidRDefault="00E62442" w:rsidP="00464EE5">
      <w:pPr>
        <w:pStyle w:val="Textodenotaderodap"/>
        <w:jc w:val="both"/>
        <w:rPr>
          <w:rFonts w:ascii="Arial" w:hAnsi="Arial" w:cs="Arial"/>
        </w:rPr>
      </w:pPr>
      <w:r w:rsidRPr="00E44B3A">
        <w:rPr>
          <w:rStyle w:val="Refdenotaderodap"/>
          <w:rFonts w:ascii="Arial" w:hAnsi="Arial" w:cs="Arial"/>
        </w:rPr>
        <w:footnoteRef/>
      </w:r>
      <w:r w:rsidRPr="00E44B3A">
        <w:rPr>
          <w:rFonts w:ascii="Arial" w:hAnsi="Arial" w:cs="Arial"/>
        </w:rPr>
        <w:t xml:space="preserve"> IMESC; Graduada em Ciências Econômicas (UFMA) e Mestre em Desenvolvimento Socioeconômico (UFMA); maysa.povoas@imesc.ma.gov.br.</w:t>
      </w:r>
    </w:p>
  </w:footnote>
  <w:footnote w:id="6">
    <w:p w14:paraId="22A1CD98" w14:textId="07791183" w:rsidR="00E62442" w:rsidRDefault="00E62442" w:rsidP="00464EE5">
      <w:pPr>
        <w:pStyle w:val="Textodenotaderodap"/>
        <w:jc w:val="both"/>
      </w:pPr>
      <w:r w:rsidRPr="00E44B3A">
        <w:rPr>
          <w:rStyle w:val="Refdenotaderodap"/>
          <w:rFonts w:ascii="Arial" w:hAnsi="Arial" w:cs="Arial"/>
        </w:rPr>
        <w:footnoteRef/>
      </w:r>
      <w:r w:rsidRPr="00E44B3A">
        <w:rPr>
          <w:rFonts w:ascii="Arial" w:hAnsi="Arial" w:cs="Arial"/>
        </w:rPr>
        <w:t xml:space="preserve"> IMESC; graduada em Engenharia Civil (Universidade CEUMA); sanndydayse@gmail.com.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C5D34" w14:textId="77777777" w:rsidR="00DA6076" w:rsidRDefault="00DA6076">
    <w:r>
      <w:rPr>
        <w:noProof/>
      </w:rPr>
      <w:drawing>
        <wp:anchor distT="114300" distB="114300" distL="114300" distR="114300" simplePos="0" relativeHeight="251659264" behindDoc="1" locked="0" layoutInCell="1" allowOverlap="1" wp14:anchorId="2AC9A90B" wp14:editId="1566D075">
          <wp:simplePos x="0" y="0"/>
          <wp:positionH relativeFrom="page">
            <wp:posOffset>0</wp:posOffset>
          </wp:positionH>
          <wp:positionV relativeFrom="page">
            <wp:posOffset>6985</wp:posOffset>
          </wp:positionV>
          <wp:extent cx="7563485" cy="10727690"/>
          <wp:effectExtent l="0" t="0" r="0" b="0"/>
          <wp:wrapNone/>
          <wp:docPr id="2043471968" name="Imagem 204347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27E50"/>
    <w:multiLevelType w:val="multilevel"/>
    <w:tmpl w:val="52121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800C28"/>
    <w:multiLevelType w:val="multilevel"/>
    <w:tmpl w:val="24263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9B7048F"/>
    <w:multiLevelType w:val="multilevel"/>
    <w:tmpl w:val="1CAA2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46451395">
    <w:abstractNumId w:val="1"/>
  </w:num>
  <w:num w:numId="2" w16cid:durableId="789131043">
    <w:abstractNumId w:val="2"/>
  </w:num>
  <w:num w:numId="3" w16cid:durableId="8796317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08"/>
  <w:autoHyphenation/>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091E"/>
    <w:rsid w:val="00003CCC"/>
    <w:rsid w:val="00012B54"/>
    <w:rsid w:val="00012DEE"/>
    <w:rsid w:val="000239F2"/>
    <w:rsid w:val="000253E9"/>
    <w:rsid w:val="00054B0E"/>
    <w:rsid w:val="00065AB9"/>
    <w:rsid w:val="00067F1B"/>
    <w:rsid w:val="00084364"/>
    <w:rsid w:val="00087D83"/>
    <w:rsid w:val="000A13E9"/>
    <w:rsid w:val="000A76DD"/>
    <w:rsid w:val="000A7832"/>
    <w:rsid w:val="000A7A2A"/>
    <w:rsid w:val="000C3AD1"/>
    <w:rsid w:val="000D4A3A"/>
    <w:rsid w:val="000D75AD"/>
    <w:rsid w:val="000F0530"/>
    <w:rsid w:val="000F0953"/>
    <w:rsid w:val="000F6878"/>
    <w:rsid w:val="00100E1E"/>
    <w:rsid w:val="0010158F"/>
    <w:rsid w:val="00104E8F"/>
    <w:rsid w:val="0012289D"/>
    <w:rsid w:val="00123CEB"/>
    <w:rsid w:val="0012496F"/>
    <w:rsid w:val="00127EF0"/>
    <w:rsid w:val="00143231"/>
    <w:rsid w:val="00153303"/>
    <w:rsid w:val="001575CB"/>
    <w:rsid w:val="001663A8"/>
    <w:rsid w:val="00170AE5"/>
    <w:rsid w:val="00180D49"/>
    <w:rsid w:val="00184040"/>
    <w:rsid w:val="001963D9"/>
    <w:rsid w:val="001A600F"/>
    <w:rsid w:val="001D12B6"/>
    <w:rsid w:val="001F5AD3"/>
    <w:rsid w:val="002001CE"/>
    <w:rsid w:val="00205582"/>
    <w:rsid w:val="00210A64"/>
    <w:rsid w:val="00210E6B"/>
    <w:rsid w:val="002216DE"/>
    <w:rsid w:val="00225CD1"/>
    <w:rsid w:val="0022658B"/>
    <w:rsid w:val="0023378A"/>
    <w:rsid w:val="002424AE"/>
    <w:rsid w:val="00242EDB"/>
    <w:rsid w:val="00252384"/>
    <w:rsid w:val="00255884"/>
    <w:rsid w:val="00262855"/>
    <w:rsid w:val="00262B58"/>
    <w:rsid w:val="00270124"/>
    <w:rsid w:val="00276122"/>
    <w:rsid w:val="0029125B"/>
    <w:rsid w:val="002A3146"/>
    <w:rsid w:val="002B1445"/>
    <w:rsid w:val="002B270E"/>
    <w:rsid w:val="002C1086"/>
    <w:rsid w:val="002C1A69"/>
    <w:rsid w:val="002C1DCC"/>
    <w:rsid w:val="002C3784"/>
    <w:rsid w:val="002C5A6D"/>
    <w:rsid w:val="002C71A0"/>
    <w:rsid w:val="002D082C"/>
    <w:rsid w:val="002D68E0"/>
    <w:rsid w:val="002D7AB1"/>
    <w:rsid w:val="002E7C36"/>
    <w:rsid w:val="002F15F6"/>
    <w:rsid w:val="002F73C9"/>
    <w:rsid w:val="00306796"/>
    <w:rsid w:val="0030704A"/>
    <w:rsid w:val="00312EB8"/>
    <w:rsid w:val="003657F5"/>
    <w:rsid w:val="00371C2A"/>
    <w:rsid w:val="00374FF2"/>
    <w:rsid w:val="00380FD6"/>
    <w:rsid w:val="00385B51"/>
    <w:rsid w:val="003A2473"/>
    <w:rsid w:val="003B2EA5"/>
    <w:rsid w:val="003B69FA"/>
    <w:rsid w:val="003C200A"/>
    <w:rsid w:val="003C6B42"/>
    <w:rsid w:val="003C6E40"/>
    <w:rsid w:val="003D4812"/>
    <w:rsid w:val="003D51FD"/>
    <w:rsid w:val="003E5C12"/>
    <w:rsid w:val="003E64E6"/>
    <w:rsid w:val="003F5F61"/>
    <w:rsid w:val="004020B9"/>
    <w:rsid w:val="004057F3"/>
    <w:rsid w:val="004122C8"/>
    <w:rsid w:val="00416116"/>
    <w:rsid w:val="00437B65"/>
    <w:rsid w:val="00442437"/>
    <w:rsid w:val="004507A2"/>
    <w:rsid w:val="0045183A"/>
    <w:rsid w:val="00461238"/>
    <w:rsid w:val="00464EE5"/>
    <w:rsid w:val="004664E6"/>
    <w:rsid w:val="00474FEC"/>
    <w:rsid w:val="00481F35"/>
    <w:rsid w:val="004A5268"/>
    <w:rsid w:val="004C5FA0"/>
    <w:rsid w:val="004D0CB3"/>
    <w:rsid w:val="004D38F8"/>
    <w:rsid w:val="004E2E48"/>
    <w:rsid w:val="004F0DBA"/>
    <w:rsid w:val="005025C9"/>
    <w:rsid w:val="00502952"/>
    <w:rsid w:val="005138EF"/>
    <w:rsid w:val="00514A93"/>
    <w:rsid w:val="0051513F"/>
    <w:rsid w:val="00524B79"/>
    <w:rsid w:val="0054202C"/>
    <w:rsid w:val="005436CA"/>
    <w:rsid w:val="00547128"/>
    <w:rsid w:val="00553142"/>
    <w:rsid w:val="00554B1E"/>
    <w:rsid w:val="00554C44"/>
    <w:rsid w:val="00560CA7"/>
    <w:rsid w:val="00562C41"/>
    <w:rsid w:val="005648E8"/>
    <w:rsid w:val="005653CE"/>
    <w:rsid w:val="00574014"/>
    <w:rsid w:val="00575DD6"/>
    <w:rsid w:val="005810C9"/>
    <w:rsid w:val="0058703E"/>
    <w:rsid w:val="0059088D"/>
    <w:rsid w:val="005951CD"/>
    <w:rsid w:val="005B0B60"/>
    <w:rsid w:val="005B4F09"/>
    <w:rsid w:val="005D2CC5"/>
    <w:rsid w:val="005D3E98"/>
    <w:rsid w:val="005D4EF1"/>
    <w:rsid w:val="005E34CF"/>
    <w:rsid w:val="00640ADC"/>
    <w:rsid w:val="006560DB"/>
    <w:rsid w:val="00672854"/>
    <w:rsid w:val="00677549"/>
    <w:rsid w:val="006A1390"/>
    <w:rsid w:val="006A26FE"/>
    <w:rsid w:val="006B29E9"/>
    <w:rsid w:val="006B7314"/>
    <w:rsid w:val="006C02FE"/>
    <w:rsid w:val="006C4810"/>
    <w:rsid w:val="006E6902"/>
    <w:rsid w:val="006E772E"/>
    <w:rsid w:val="00700EF7"/>
    <w:rsid w:val="00722735"/>
    <w:rsid w:val="00733631"/>
    <w:rsid w:val="0074330B"/>
    <w:rsid w:val="0075714A"/>
    <w:rsid w:val="007754A5"/>
    <w:rsid w:val="0078636D"/>
    <w:rsid w:val="00793B4E"/>
    <w:rsid w:val="007966FB"/>
    <w:rsid w:val="007A12E4"/>
    <w:rsid w:val="007A31B9"/>
    <w:rsid w:val="007A60AD"/>
    <w:rsid w:val="007B68B7"/>
    <w:rsid w:val="007D1811"/>
    <w:rsid w:val="007E6B3B"/>
    <w:rsid w:val="008028F8"/>
    <w:rsid w:val="0080471B"/>
    <w:rsid w:val="008056C1"/>
    <w:rsid w:val="00812695"/>
    <w:rsid w:val="00812A4B"/>
    <w:rsid w:val="00815210"/>
    <w:rsid w:val="008244CC"/>
    <w:rsid w:val="00833634"/>
    <w:rsid w:val="008354B5"/>
    <w:rsid w:val="00851F52"/>
    <w:rsid w:val="00880DC2"/>
    <w:rsid w:val="00881D3E"/>
    <w:rsid w:val="00882608"/>
    <w:rsid w:val="008A50DE"/>
    <w:rsid w:val="008A642B"/>
    <w:rsid w:val="008A763D"/>
    <w:rsid w:val="008B6C29"/>
    <w:rsid w:val="008C413E"/>
    <w:rsid w:val="008E4076"/>
    <w:rsid w:val="008F74F8"/>
    <w:rsid w:val="0090628B"/>
    <w:rsid w:val="009331BB"/>
    <w:rsid w:val="00933E68"/>
    <w:rsid w:val="00943E80"/>
    <w:rsid w:val="009463FC"/>
    <w:rsid w:val="00951D89"/>
    <w:rsid w:val="00986C9D"/>
    <w:rsid w:val="00992516"/>
    <w:rsid w:val="009A035B"/>
    <w:rsid w:val="009A4730"/>
    <w:rsid w:val="009A53B5"/>
    <w:rsid w:val="009B0729"/>
    <w:rsid w:val="009B1018"/>
    <w:rsid w:val="009B16D4"/>
    <w:rsid w:val="009B2E93"/>
    <w:rsid w:val="009B418F"/>
    <w:rsid w:val="009B4843"/>
    <w:rsid w:val="009C24A4"/>
    <w:rsid w:val="009D3F91"/>
    <w:rsid w:val="009D4FD1"/>
    <w:rsid w:val="00A06B01"/>
    <w:rsid w:val="00A22080"/>
    <w:rsid w:val="00A26CD4"/>
    <w:rsid w:val="00A3051B"/>
    <w:rsid w:val="00A35C26"/>
    <w:rsid w:val="00A37FB9"/>
    <w:rsid w:val="00A4110E"/>
    <w:rsid w:val="00A41E8E"/>
    <w:rsid w:val="00A47318"/>
    <w:rsid w:val="00A5091E"/>
    <w:rsid w:val="00A6081E"/>
    <w:rsid w:val="00A6335C"/>
    <w:rsid w:val="00A63CA5"/>
    <w:rsid w:val="00A66224"/>
    <w:rsid w:val="00A66364"/>
    <w:rsid w:val="00A66A10"/>
    <w:rsid w:val="00A721CA"/>
    <w:rsid w:val="00A73E68"/>
    <w:rsid w:val="00A80F08"/>
    <w:rsid w:val="00A91A2E"/>
    <w:rsid w:val="00AA1372"/>
    <w:rsid w:val="00AA643B"/>
    <w:rsid w:val="00AD3D7A"/>
    <w:rsid w:val="00AD75CD"/>
    <w:rsid w:val="00AE1984"/>
    <w:rsid w:val="00AE3651"/>
    <w:rsid w:val="00AF600B"/>
    <w:rsid w:val="00AF7734"/>
    <w:rsid w:val="00B039D5"/>
    <w:rsid w:val="00B22492"/>
    <w:rsid w:val="00B304AA"/>
    <w:rsid w:val="00B30AA8"/>
    <w:rsid w:val="00B31B54"/>
    <w:rsid w:val="00B32165"/>
    <w:rsid w:val="00B34212"/>
    <w:rsid w:val="00B349D2"/>
    <w:rsid w:val="00B362D2"/>
    <w:rsid w:val="00B378EC"/>
    <w:rsid w:val="00B44F51"/>
    <w:rsid w:val="00B651B8"/>
    <w:rsid w:val="00B72A53"/>
    <w:rsid w:val="00B760A7"/>
    <w:rsid w:val="00B81A38"/>
    <w:rsid w:val="00B94EBC"/>
    <w:rsid w:val="00B9707C"/>
    <w:rsid w:val="00BA722E"/>
    <w:rsid w:val="00BB7EB6"/>
    <w:rsid w:val="00BC0DEA"/>
    <w:rsid w:val="00BC2784"/>
    <w:rsid w:val="00BE2D3C"/>
    <w:rsid w:val="00BE3031"/>
    <w:rsid w:val="00BE3735"/>
    <w:rsid w:val="00C000AE"/>
    <w:rsid w:val="00C31DB5"/>
    <w:rsid w:val="00C3635E"/>
    <w:rsid w:val="00C3681E"/>
    <w:rsid w:val="00C5560F"/>
    <w:rsid w:val="00C62007"/>
    <w:rsid w:val="00C628B0"/>
    <w:rsid w:val="00C67E4D"/>
    <w:rsid w:val="00C75C7F"/>
    <w:rsid w:val="00C7705D"/>
    <w:rsid w:val="00C80CBF"/>
    <w:rsid w:val="00C819DA"/>
    <w:rsid w:val="00C8789E"/>
    <w:rsid w:val="00CB05F3"/>
    <w:rsid w:val="00CC4F17"/>
    <w:rsid w:val="00CE57EC"/>
    <w:rsid w:val="00CF0713"/>
    <w:rsid w:val="00D068A3"/>
    <w:rsid w:val="00D41182"/>
    <w:rsid w:val="00D44B22"/>
    <w:rsid w:val="00D50563"/>
    <w:rsid w:val="00D560E5"/>
    <w:rsid w:val="00D62216"/>
    <w:rsid w:val="00D67D36"/>
    <w:rsid w:val="00D7135F"/>
    <w:rsid w:val="00D72281"/>
    <w:rsid w:val="00D7737E"/>
    <w:rsid w:val="00D91AB1"/>
    <w:rsid w:val="00DA0A50"/>
    <w:rsid w:val="00DA2867"/>
    <w:rsid w:val="00DA6076"/>
    <w:rsid w:val="00DA7871"/>
    <w:rsid w:val="00DB0BD8"/>
    <w:rsid w:val="00DB10FF"/>
    <w:rsid w:val="00DF5A14"/>
    <w:rsid w:val="00E047D7"/>
    <w:rsid w:val="00E44B3A"/>
    <w:rsid w:val="00E44B94"/>
    <w:rsid w:val="00E542E3"/>
    <w:rsid w:val="00E5708F"/>
    <w:rsid w:val="00E62442"/>
    <w:rsid w:val="00E6657B"/>
    <w:rsid w:val="00E92D99"/>
    <w:rsid w:val="00E96019"/>
    <w:rsid w:val="00EA62CE"/>
    <w:rsid w:val="00EB312B"/>
    <w:rsid w:val="00ED0DCE"/>
    <w:rsid w:val="00ED5E65"/>
    <w:rsid w:val="00EF7B2B"/>
    <w:rsid w:val="00F11755"/>
    <w:rsid w:val="00F125A1"/>
    <w:rsid w:val="00F15222"/>
    <w:rsid w:val="00F26104"/>
    <w:rsid w:val="00F6130C"/>
    <w:rsid w:val="00F664B0"/>
    <w:rsid w:val="00F70D48"/>
    <w:rsid w:val="00F736CB"/>
    <w:rsid w:val="00F74D48"/>
    <w:rsid w:val="00F84A1A"/>
    <w:rsid w:val="00F8608D"/>
    <w:rsid w:val="00F91E42"/>
    <w:rsid w:val="00F933A4"/>
    <w:rsid w:val="00FA25BD"/>
    <w:rsid w:val="00FA310D"/>
    <w:rsid w:val="00FC2FEF"/>
    <w:rsid w:val="00FC727F"/>
    <w:rsid w:val="00FF7DE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969B4A3"/>
  <w15:chartTrackingRefBased/>
  <w15:docId w15:val="{00F2810B-AF9E-4065-A13F-0FF1A8E22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0A64"/>
    <w:pPr>
      <w:spacing w:after="0" w:line="276" w:lineRule="auto"/>
    </w:pPr>
    <w:rPr>
      <w:rFonts w:ascii="Arial" w:eastAsia="Arial" w:hAnsi="Arial" w:cs="Arial"/>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unhideWhenUsed/>
    <w:rsid w:val="00210A64"/>
    <w:rPr>
      <w:color w:val="0563C1"/>
      <w:u w:val="single"/>
    </w:rPr>
  </w:style>
  <w:style w:type="character" w:styleId="Refdenotaderodap">
    <w:name w:val="footnote reference"/>
    <w:uiPriority w:val="99"/>
    <w:semiHidden/>
    <w:unhideWhenUsed/>
    <w:rsid w:val="00210A64"/>
    <w:rPr>
      <w:vertAlign w:val="superscript"/>
    </w:rPr>
  </w:style>
  <w:style w:type="paragraph" w:styleId="Textodenotaderodap">
    <w:name w:val="footnote text"/>
    <w:basedOn w:val="Normal"/>
    <w:link w:val="TextodenotaderodapChar"/>
    <w:uiPriority w:val="99"/>
    <w:semiHidden/>
    <w:unhideWhenUsed/>
    <w:rsid w:val="00F933A4"/>
    <w:pPr>
      <w:spacing w:line="240" w:lineRule="auto"/>
    </w:pPr>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semiHidden/>
    <w:rsid w:val="00F933A4"/>
    <w:rPr>
      <w:sz w:val="20"/>
      <w:szCs w:val="20"/>
    </w:rPr>
  </w:style>
  <w:style w:type="paragraph" w:styleId="Legenda">
    <w:name w:val="caption"/>
    <w:basedOn w:val="Normal"/>
    <w:next w:val="Normal"/>
    <w:uiPriority w:val="35"/>
    <w:unhideWhenUsed/>
    <w:qFormat/>
    <w:rsid w:val="00933E68"/>
    <w:pPr>
      <w:spacing w:after="200" w:line="240" w:lineRule="auto"/>
    </w:pPr>
    <w:rPr>
      <w:rFonts w:asciiTheme="minorHAnsi" w:eastAsiaTheme="minorHAnsi" w:hAnsiTheme="minorHAnsi" w:cstheme="minorBidi"/>
      <w:i/>
      <w:iCs/>
      <w:color w:val="44546A" w:themeColor="text2"/>
      <w:sz w:val="18"/>
      <w:szCs w:val="18"/>
      <w:lang w:eastAsia="en-US"/>
    </w:rPr>
  </w:style>
  <w:style w:type="character" w:styleId="Refdecomentrio">
    <w:name w:val="annotation reference"/>
    <w:basedOn w:val="Fontepargpadro"/>
    <w:uiPriority w:val="99"/>
    <w:semiHidden/>
    <w:unhideWhenUsed/>
    <w:rsid w:val="00933E68"/>
    <w:rPr>
      <w:sz w:val="16"/>
      <w:szCs w:val="16"/>
    </w:rPr>
  </w:style>
  <w:style w:type="paragraph" w:styleId="Textodecomentrio">
    <w:name w:val="annotation text"/>
    <w:basedOn w:val="Normal"/>
    <w:link w:val="TextodecomentrioChar"/>
    <w:uiPriority w:val="99"/>
    <w:semiHidden/>
    <w:unhideWhenUsed/>
    <w:rsid w:val="00933E68"/>
    <w:pPr>
      <w:spacing w:after="160" w:line="240" w:lineRule="auto"/>
    </w:pPr>
    <w:rPr>
      <w:rFonts w:asciiTheme="minorHAnsi" w:eastAsiaTheme="minorHAnsi" w:hAnsiTheme="minorHAnsi" w:cstheme="minorBidi"/>
      <w:sz w:val="20"/>
      <w:szCs w:val="20"/>
      <w:lang w:eastAsia="en-US"/>
    </w:rPr>
  </w:style>
  <w:style w:type="character" w:customStyle="1" w:styleId="TextodecomentrioChar">
    <w:name w:val="Texto de comentário Char"/>
    <w:basedOn w:val="Fontepargpadro"/>
    <w:link w:val="Textodecomentrio"/>
    <w:uiPriority w:val="99"/>
    <w:semiHidden/>
    <w:rsid w:val="00933E68"/>
    <w:rPr>
      <w:sz w:val="20"/>
      <w:szCs w:val="20"/>
    </w:rPr>
  </w:style>
  <w:style w:type="paragraph" w:styleId="Cabealho">
    <w:name w:val="header"/>
    <w:basedOn w:val="Normal"/>
    <w:link w:val="CabealhoChar"/>
    <w:uiPriority w:val="99"/>
    <w:unhideWhenUsed/>
    <w:rsid w:val="00677549"/>
    <w:pPr>
      <w:tabs>
        <w:tab w:val="center" w:pos="4252"/>
        <w:tab w:val="right" w:pos="8504"/>
      </w:tabs>
      <w:spacing w:line="240" w:lineRule="auto"/>
    </w:pPr>
  </w:style>
  <w:style w:type="character" w:customStyle="1" w:styleId="CabealhoChar">
    <w:name w:val="Cabeçalho Char"/>
    <w:basedOn w:val="Fontepargpadro"/>
    <w:link w:val="Cabealho"/>
    <w:uiPriority w:val="99"/>
    <w:rsid w:val="00677549"/>
    <w:rPr>
      <w:rFonts w:ascii="Arial" w:eastAsia="Arial" w:hAnsi="Arial" w:cs="Arial"/>
      <w:lang w:eastAsia="pt-BR"/>
    </w:rPr>
  </w:style>
  <w:style w:type="paragraph" w:styleId="Rodap">
    <w:name w:val="footer"/>
    <w:basedOn w:val="Normal"/>
    <w:link w:val="RodapChar"/>
    <w:uiPriority w:val="99"/>
    <w:unhideWhenUsed/>
    <w:rsid w:val="00677549"/>
    <w:pPr>
      <w:tabs>
        <w:tab w:val="center" w:pos="4252"/>
        <w:tab w:val="right" w:pos="8504"/>
      </w:tabs>
      <w:spacing w:line="240" w:lineRule="auto"/>
    </w:pPr>
  </w:style>
  <w:style w:type="character" w:customStyle="1" w:styleId="RodapChar">
    <w:name w:val="Rodapé Char"/>
    <w:basedOn w:val="Fontepargpadro"/>
    <w:link w:val="Rodap"/>
    <w:uiPriority w:val="99"/>
    <w:rsid w:val="00677549"/>
    <w:rPr>
      <w:rFonts w:ascii="Arial" w:eastAsia="Arial" w:hAnsi="Arial" w:cs="Arial"/>
      <w:lang w:eastAsia="pt-BR"/>
    </w:rPr>
  </w:style>
  <w:style w:type="paragraph" w:styleId="Assuntodocomentrio">
    <w:name w:val="annotation subject"/>
    <w:basedOn w:val="Textodecomentrio"/>
    <w:next w:val="Textodecomentrio"/>
    <w:link w:val="AssuntodocomentrioChar"/>
    <w:uiPriority w:val="99"/>
    <w:semiHidden/>
    <w:unhideWhenUsed/>
    <w:rsid w:val="002A3146"/>
    <w:pPr>
      <w:spacing w:after="0"/>
    </w:pPr>
    <w:rPr>
      <w:rFonts w:ascii="Arial" w:eastAsia="Arial" w:hAnsi="Arial" w:cs="Arial"/>
      <w:b/>
      <w:bCs/>
      <w:lang w:eastAsia="pt-BR"/>
    </w:rPr>
  </w:style>
  <w:style w:type="character" w:customStyle="1" w:styleId="AssuntodocomentrioChar">
    <w:name w:val="Assunto do comentário Char"/>
    <w:basedOn w:val="TextodecomentrioChar"/>
    <w:link w:val="Assuntodocomentrio"/>
    <w:uiPriority w:val="99"/>
    <w:semiHidden/>
    <w:rsid w:val="002A3146"/>
    <w:rPr>
      <w:rFonts w:ascii="Arial" w:eastAsia="Arial" w:hAnsi="Arial" w:cs="Arial"/>
      <w:b/>
      <w:bCs/>
      <w:sz w:val="20"/>
      <w:szCs w:val="20"/>
      <w:lang w:eastAsia="pt-BR"/>
    </w:rPr>
  </w:style>
  <w:style w:type="character" w:customStyle="1" w:styleId="MenoPendente1">
    <w:name w:val="Menção Pendente1"/>
    <w:basedOn w:val="Fontepargpadro"/>
    <w:uiPriority w:val="99"/>
    <w:semiHidden/>
    <w:unhideWhenUsed/>
    <w:rsid w:val="003E5C12"/>
    <w:rPr>
      <w:color w:val="605E5C"/>
      <w:shd w:val="clear" w:color="auto" w:fill="E1DFDD"/>
    </w:rPr>
  </w:style>
  <w:style w:type="paragraph" w:styleId="Textodebalo">
    <w:name w:val="Balloon Text"/>
    <w:basedOn w:val="Normal"/>
    <w:link w:val="TextodebaloChar"/>
    <w:uiPriority w:val="99"/>
    <w:semiHidden/>
    <w:unhideWhenUsed/>
    <w:rsid w:val="005138EF"/>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138EF"/>
    <w:rPr>
      <w:rFonts w:ascii="Segoe UI" w:eastAsia="Arial" w:hAnsi="Segoe UI" w:cs="Segoe UI"/>
      <w:sz w:val="18"/>
      <w:szCs w:val="18"/>
      <w:lang w:eastAsia="pt-BR"/>
    </w:rPr>
  </w:style>
  <w:style w:type="paragraph" w:styleId="SemEspaamento">
    <w:name w:val="No Spacing"/>
    <w:uiPriority w:val="1"/>
    <w:qFormat/>
    <w:rsid w:val="00FF7DE5"/>
    <w:pPr>
      <w:spacing w:after="0" w:line="240" w:lineRule="auto"/>
    </w:pPr>
    <w:rPr>
      <w:rFonts w:ascii="Arial" w:eastAsia="Arial" w:hAnsi="Arial" w:cs="Arial"/>
      <w:lang w:eastAsia="pt-BR"/>
    </w:rPr>
  </w:style>
  <w:style w:type="character" w:styleId="HiperlinkVisitado">
    <w:name w:val="FollowedHyperlink"/>
    <w:basedOn w:val="Fontepargpadro"/>
    <w:uiPriority w:val="99"/>
    <w:semiHidden/>
    <w:unhideWhenUsed/>
    <w:rsid w:val="00D67D36"/>
    <w:rPr>
      <w:color w:val="954F72" w:themeColor="followedHyperlink"/>
      <w:u w:val="single"/>
    </w:rPr>
  </w:style>
  <w:style w:type="paragraph" w:styleId="Reviso">
    <w:name w:val="Revision"/>
    <w:hidden/>
    <w:uiPriority w:val="99"/>
    <w:semiHidden/>
    <w:rsid w:val="008A763D"/>
    <w:pPr>
      <w:spacing w:after="0" w:line="240" w:lineRule="auto"/>
    </w:pPr>
    <w:rPr>
      <w:rFonts w:ascii="Arial" w:eastAsia="Arial" w:hAnsi="Arial" w:cs="Arial"/>
      <w:lang w:eastAsia="pt-BR"/>
    </w:rPr>
  </w:style>
  <w:style w:type="character" w:customStyle="1" w:styleId="MenoPendente2">
    <w:name w:val="Menção Pendente2"/>
    <w:basedOn w:val="Fontepargpadro"/>
    <w:uiPriority w:val="99"/>
    <w:semiHidden/>
    <w:unhideWhenUsed/>
    <w:rsid w:val="000A13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346377">
      <w:bodyDiv w:val="1"/>
      <w:marLeft w:val="0"/>
      <w:marRight w:val="0"/>
      <w:marTop w:val="0"/>
      <w:marBottom w:val="0"/>
      <w:divBdr>
        <w:top w:val="none" w:sz="0" w:space="0" w:color="auto"/>
        <w:left w:val="none" w:sz="0" w:space="0" w:color="auto"/>
        <w:bottom w:val="none" w:sz="0" w:space="0" w:color="auto"/>
        <w:right w:val="none" w:sz="0" w:space="0" w:color="auto"/>
      </w:divBdr>
      <w:divsChild>
        <w:div w:id="880703697">
          <w:marLeft w:val="0"/>
          <w:marRight w:val="0"/>
          <w:marTop w:val="0"/>
          <w:marBottom w:val="0"/>
          <w:divBdr>
            <w:top w:val="none" w:sz="0" w:space="0" w:color="auto"/>
            <w:left w:val="none" w:sz="0" w:space="0" w:color="auto"/>
            <w:bottom w:val="none" w:sz="0" w:space="0" w:color="auto"/>
            <w:right w:val="none" w:sz="0" w:space="0" w:color="auto"/>
          </w:divBdr>
        </w:div>
      </w:divsChild>
    </w:div>
    <w:div w:id="293602282">
      <w:bodyDiv w:val="1"/>
      <w:marLeft w:val="0"/>
      <w:marRight w:val="0"/>
      <w:marTop w:val="0"/>
      <w:marBottom w:val="0"/>
      <w:divBdr>
        <w:top w:val="none" w:sz="0" w:space="0" w:color="auto"/>
        <w:left w:val="none" w:sz="0" w:space="0" w:color="auto"/>
        <w:bottom w:val="none" w:sz="0" w:space="0" w:color="auto"/>
        <w:right w:val="none" w:sz="0" w:space="0" w:color="auto"/>
      </w:divBdr>
      <w:divsChild>
        <w:div w:id="119105837">
          <w:marLeft w:val="0"/>
          <w:marRight w:val="0"/>
          <w:marTop w:val="0"/>
          <w:marBottom w:val="0"/>
          <w:divBdr>
            <w:top w:val="none" w:sz="0" w:space="0" w:color="auto"/>
            <w:left w:val="none" w:sz="0" w:space="0" w:color="auto"/>
            <w:bottom w:val="none" w:sz="0" w:space="0" w:color="auto"/>
            <w:right w:val="none" w:sz="0" w:space="0" w:color="auto"/>
          </w:divBdr>
        </w:div>
      </w:divsChild>
    </w:div>
    <w:div w:id="518546684">
      <w:bodyDiv w:val="1"/>
      <w:marLeft w:val="0"/>
      <w:marRight w:val="0"/>
      <w:marTop w:val="0"/>
      <w:marBottom w:val="0"/>
      <w:divBdr>
        <w:top w:val="none" w:sz="0" w:space="0" w:color="auto"/>
        <w:left w:val="none" w:sz="0" w:space="0" w:color="auto"/>
        <w:bottom w:val="none" w:sz="0" w:space="0" w:color="auto"/>
        <w:right w:val="none" w:sz="0" w:space="0" w:color="auto"/>
      </w:divBdr>
    </w:div>
    <w:div w:id="854806586">
      <w:bodyDiv w:val="1"/>
      <w:marLeft w:val="0"/>
      <w:marRight w:val="0"/>
      <w:marTop w:val="0"/>
      <w:marBottom w:val="0"/>
      <w:divBdr>
        <w:top w:val="none" w:sz="0" w:space="0" w:color="auto"/>
        <w:left w:val="none" w:sz="0" w:space="0" w:color="auto"/>
        <w:bottom w:val="none" w:sz="0" w:space="0" w:color="auto"/>
        <w:right w:val="none" w:sz="0" w:space="0" w:color="auto"/>
      </w:divBdr>
    </w:div>
    <w:div w:id="1174149167">
      <w:bodyDiv w:val="1"/>
      <w:marLeft w:val="0"/>
      <w:marRight w:val="0"/>
      <w:marTop w:val="0"/>
      <w:marBottom w:val="0"/>
      <w:divBdr>
        <w:top w:val="none" w:sz="0" w:space="0" w:color="auto"/>
        <w:left w:val="none" w:sz="0" w:space="0" w:color="auto"/>
        <w:bottom w:val="none" w:sz="0" w:space="0" w:color="auto"/>
        <w:right w:val="none" w:sz="0" w:space="0" w:color="auto"/>
      </w:divBdr>
    </w:div>
    <w:div w:id="1228956548">
      <w:bodyDiv w:val="1"/>
      <w:marLeft w:val="0"/>
      <w:marRight w:val="0"/>
      <w:marTop w:val="0"/>
      <w:marBottom w:val="0"/>
      <w:divBdr>
        <w:top w:val="none" w:sz="0" w:space="0" w:color="auto"/>
        <w:left w:val="none" w:sz="0" w:space="0" w:color="auto"/>
        <w:bottom w:val="none" w:sz="0" w:space="0" w:color="auto"/>
        <w:right w:val="none" w:sz="0" w:space="0" w:color="auto"/>
      </w:divBdr>
    </w:div>
    <w:div w:id="1282956548">
      <w:bodyDiv w:val="1"/>
      <w:marLeft w:val="0"/>
      <w:marRight w:val="0"/>
      <w:marTop w:val="0"/>
      <w:marBottom w:val="0"/>
      <w:divBdr>
        <w:top w:val="none" w:sz="0" w:space="0" w:color="auto"/>
        <w:left w:val="none" w:sz="0" w:space="0" w:color="auto"/>
        <w:bottom w:val="none" w:sz="0" w:space="0" w:color="auto"/>
        <w:right w:val="none" w:sz="0" w:space="0" w:color="auto"/>
      </w:divBdr>
    </w:div>
    <w:div w:id="1995643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lanalto.gov.br/ccivil_03/constituicao/constituicao.htm" TargetMode="External"/><Relationship Id="rId13" Type="http://schemas.openxmlformats.org/officeDocument/2006/relationships/hyperlink" Target="https://surl.li/lnrgyr" TargetMode="External"/><Relationship Id="rId18" Type="http://schemas.openxmlformats.org/officeDocument/2006/relationships/hyperlink" Target="https://surl.li/lnrgyr" TargetMode="External"/><Relationship Id="rId26" Type="http://schemas.openxmlformats.org/officeDocument/2006/relationships/hyperlink" Target="https://periodicorease.pro.br/rease/article/view/15074" TargetMode="External"/><Relationship Id="rId3" Type="http://schemas.openxmlformats.org/officeDocument/2006/relationships/styles" Target="styles.xml"/><Relationship Id="rId21" Type="http://schemas.openxmlformats.org/officeDocument/2006/relationships/hyperlink" Target="https://surl.lu/stckei" TargetMode="External"/><Relationship Id="rId7" Type="http://schemas.openxmlformats.org/officeDocument/2006/relationships/endnotes" Target="endnotes.xml"/><Relationship Id="rId12" Type="http://schemas.openxmlformats.org/officeDocument/2006/relationships/hyperlink" Target="https://download.inep.gov.br/pesquisas_estatisticas_indicadores_educacionais/censo_escolar/orientacoes/matricula_inicial/glossario_da_educacao_especial_censo_escolar_2024.pdf" TargetMode="External"/><Relationship Id="rId17" Type="http://schemas.openxmlformats.org/officeDocument/2006/relationships/hyperlink" Target="http://portal.mec.gov.br/seesp/arquivos/pdf/deficienciamultipla.pdf" TargetMode="External"/><Relationship Id="rId25" Type="http://schemas.openxmlformats.org/officeDocument/2006/relationships/hyperlink" Target="https://www.diariooficial.ma.gov.br/download.php?arqv=1&amp;arq=EX20231205" TargetMode="External"/><Relationship Id="rId2" Type="http://schemas.openxmlformats.org/officeDocument/2006/relationships/numbering" Target="numbering.xml"/><Relationship Id="rId16" Type="http://schemas.openxmlformats.org/officeDocument/2006/relationships/hyperlink" Target="https://www.gov.br/mec/pt-br/cne/resolucoes/resolucao-ceb-2001" TargetMode="External"/><Relationship Id="rId20" Type="http://schemas.openxmlformats.org/officeDocument/2006/relationships/hyperlink" Target="https://www.planalto.gov.br/ccivil_03/_ato2015-2018/2015/lei/l13146.ht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br/mec/pt-br/pneepei/cartilha.pdf" TargetMode="External"/><Relationship Id="rId24" Type="http://schemas.openxmlformats.org/officeDocument/2006/relationships/hyperlink" Target="https://www.fsj.edu.br/transformar/index.php/transformar/article/view/631" TargetMode="External"/><Relationship Id="rId5" Type="http://schemas.openxmlformats.org/officeDocument/2006/relationships/webSettings" Target="webSettings.xml"/><Relationship Id="rId15" Type="http://schemas.openxmlformats.org/officeDocument/2006/relationships/hyperlink" Target="http://portal.mec.gov.br/seesp/arquivos/pdf/grafiaport.pdf" TargetMode="External"/><Relationship Id="rId23" Type="http://schemas.openxmlformats.org/officeDocument/2006/relationships/hyperlink" Target="https://seer.ufu.br/index.php/olharesetrilhas/article/view/67851" TargetMode="External"/><Relationship Id="rId28" Type="http://schemas.openxmlformats.org/officeDocument/2006/relationships/fontTable" Target="fontTable.xml"/><Relationship Id="rId10" Type="http://schemas.openxmlformats.org/officeDocument/2006/relationships/hyperlink" Target="https://www.planalto.gov.br/ccivil_03/leis/l9394.htm" TargetMode="External"/><Relationship Id="rId19" Type="http://schemas.openxmlformats.org/officeDocument/2006/relationships/hyperlink" Target="https://www.planalto.gov.br/ccivil_03/leis/2002/l10436.htm" TargetMode="External"/><Relationship Id="rId4" Type="http://schemas.openxmlformats.org/officeDocument/2006/relationships/settings" Target="settings.xml"/><Relationship Id="rId9" Type="http://schemas.openxmlformats.org/officeDocument/2006/relationships/hyperlink" Target="https://www.planalto.gov.br/ccivil_03/leis/l8069.htm" TargetMode="External"/><Relationship Id="rId14" Type="http://schemas.openxmlformats.org/officeDocument/2006/relationships/hyperlink" Target="https://www.gov.br/inep/pt-br/areas-de-atuacao/pesquisas-estatisticas-eindicadores/censo-escolar/resultados" TargetMode="External"/><Relationship Id="rId22" Type="http://schemas.openxmlformats.org/officeDocument/2006/relationships/hyperlink" Target="https://revistaacademicaonline.com/index.php/rao/article/view/973"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51975-1415-4502-B01F-BF78E2473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TotalTime>
  <Pages>12</Pages>
  <Words>4028</Words>
  <Characters>21755</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Maysa Eduarda Silva Miranda</dc:creator>
  <cp:keywords/>
  <dc:description/>
  <cp:lastModifiedBy>Maysa Thais Teixeira Povoas</cp:lastModifiedBy>
  <cp:revision>116</cp:revision>
  <dcterms:created xsi:type="dcterms:W3CDTF">2025-05-28T16:51:00Z</dcterms:created>
  <dcterms:modified xsi:type="dcterms:W3CDTF">2025-06-09T19:13:00Z</dcterms:modified>
</cp:coreProperties>
</file>