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5" w:line="259" w:lineRule="auto"/>
        <w:ind w:firstLine="0"/>
        <w:jc w:val="lef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02">
      <w:pPr>
        <w:spacing w:after="0" w:line="240" w:lineRule="auto"/>
        <w:ind w:firstLine="0"/>
        <w:jc w:val="center"/>
        <w:rPr/>
      </w:pPr>
      <w:r w:rsidDel="00000000" w:rsidR="00000000" w:rsidRPr="00000000">
        <w:rPr>
          <w:b w:val="1"/>
          <w:rtl w:val="0"/>
        </w:rPr>
        <w:t xml:space="preserve">SERVIÇO SOCIAL E ÉTICA PROFISSIONAL: </w:t>
      </w:r>
      <w:r w:rsidDel="00000000" w:rsidR="00000000" w:rsidRPr="00000000">
        <w:rPr>
          <w:rtl w:val="0"/>
        </w:rPr>
        <w:t xml:space="preserve">a Garantia dos Direitos Humanos no Sistema Prisional. </w:t>
      </w:r>
    </w:p>
    <w:p w:rsidR="00000000" w:rsidDel="00000000" w:rsidP="00000000" w:rsidRDefault="00000000" w:rsidRPr="00000000" w14:paraId="00000003">
      <w:pPr>
        <w:spacing w:after="0" w:line="259" w:lineRule="auto"/>
        <w:ind w:left="2835"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4">
      <w:pPr>
        <w:spacing w:after="0" w:lineRule="auto"/>
        <w:ind w:left="2835" w:firstLine="0"/>
        <w:jc w:val="right"/>
        <w:rPr>
          <w:b w:val="1"/>
        </w:rPr>
      </w:pPr>
      <w:r w:rsidDel="00000000" w:rsidR="00000000" w:rsidRPr="00000000">
        <w:rPr>
          <w:b w:val="1"/>
          <w:rtl w:val="0"/>
        </w:rPr>
        <w:t xml:space="preserve">¹Ana Laura Serra de Abreu</w:t>
      </w:r>
    </w:p>
    <w:p w:rsidR="00000000" w:rsidDel="00000000" w:rsidP="00000000" w:rsidRDefault="00000000" w:rsidRPr="00000000" w14:paraId="00000005">
      <w:pPr>
        <w:spacing w:after="0" w:lineRule="auto"/>
        <w:ind w:left="2835" w:firstLine="0"/>
        <w:jc w:val="right"/>
        <w:rPr>
          <w:b w:val="1"/>
          <w:sz w:val="20"/>
          <w:szCs w:val="20"/>
        </w:rPr>
      </w:pPr>
      <w:r w:rsidDel="00000000" w:rsidR="00000000" w:rsidRPr="00000000">
        <w:rPr>
          <w:b w:val="1"/>
          <w:rtl w:val="0"/>
        </w:rPr>
        <w:t xml:space="preserve">²Vitória Miriã Lima Cruz</w:t>
      </w:r>
      <w:r w:rsidDel="00000000" w:rsidR="00000000" w:rsidRPr="00000000">
        <w:rPr>
          <w:b w:val="1"/>
          <w:sz w:val="20"/>
          <w:szCs w:val="20"/>
          <w:rtl w:val="0"/>
        </w:rPr>
        <w:t xml:space="preserve"> </w:t>
      </w:r>
    </w:p>
    <w:p w:rsidR="00000000" w:rsidDel="00000000" w:rsidP="00000000" w:rsidRDefault="00000000" w:rsidRPr="00000000" w14:paraId="00000006">
      <w:pPr>
        <w:spacing w:after="0" w:line="259" w:lineRule="auto"/>
        <w:ind w:left="2835" w:firstLine="0"/>
        <w:jc w:val="left"/>
        <w:rPr>
          <w:b w:val="1"/>
          <w:sz w:val="20"/>
          <w:szCs w:val="20"/>
        </w:rPr>
      </w:pPr>
      <w:r w:rsidDel="00000000" w:rsidR="00000000" w:rsidRPr="00000000">
        <w:rPr>
          <w:rtl w:val="0"/>
        </w:rPr>
      </w:r>
    </w:p>
    <w:p w:rsidR="00000000" w:rsidDel="00000000" w:rsidP="00000000" w:rsidRDefault="00000000" w:rsidRPr="00000000" w14:paraId="00000007">
      <w:pPr>
        <w:spacing w:after="0" w:line="259" w:lineRule="auto"/>
        <w:ind w:left="2835" w:firstLine="0"/>
        <w:jc w:val="left"/>
        <w:rPr/>
      </w:pPr>
      <w:r w:rsidDel="00000000" w:rsidR="00000000" w:rsidRPr="00000000">
        <w:rPr>
          <w:rtl w:val="0"/>
        </w:rPr>
      </w:r>
    </w:p>
    <w:p w:rsidR="00000000" w:rsidDel="00000000" w:rsidP="00000000" w:rsidRDefault="00000000" w:rsidRPr="00000000" w14:paraId="00000008">
      <w:pPr>
        <w:pStyle w:val="Heading1"/>
        <w:spacing w:after="0" w:lineRule="auto"/>
        <w:ind w:left="2830" w:firstLine="360"/>
        <w:rPr/>
      </w:pPr>
      <w:r w:rsidDel="00000000" w:rsidR="00000000" w:rsidRPr="00000000">
        <w:rPr>
          <w:sz w:val="20"/>
          <w:szCs w:val="20"/>
          <w:rtl w:val="0"/>
        </w:rPr>
        <w:t xml:space="preserve">Resumo </w:t>
      </w:r>
      <w:r w:rsidDel="00000000" w:rsidR="00000000" w:rsidRPr="00000000">
        <w:rPr>
          <w:rtl w:val="0"/>
        </w:rPr>
      </w:r>
    </w:p>
    <w:p w:rsidR="00000000" w:rsidDel="00000000" w:rsidP="00000000" w:rsidRDefault="00000000" w:rsidRPr="00000000" w14:paraId="00000009">
      <w:pPr>
        <w:spacing w:after="0" w:line="241" w:lineRule="auto"/>
        <w:ind w:left="2845" w:hanging="10"/>
        <w:rPr/>
      </w:pPr>
      <w:r w:rsidDel="00000000" w:rsidR="00000000" w:rsidRPr="00000000">
        <w:rPr>
          <w:sz w:val="20"/>
          <w:szCs w:val="20"/>
          <w:rtl w:val="0"/>
        </w:rPr>
        <w:t xml:space="preserve">O presente artigo tem como objetivo analisar, de forma crítica, as desigualdades sociais e raciais presentes no sistema prisional brasileiro, refletindo sobre os desafios enfrentados pelo Serviço Social na garantia dos direitos humanos das pessoas privadas de liberdade. A partir de uma abordagem teórico-crítica, discute-se como o encarceramento em massa reflete as estruturas de exclusão social, aprofundando desigualdades históricas, especialmente em relação à população negra e pobre. Além disso, o trabalho destaca o papel ético-político do assistente social na defesa dos direitos e na promoção da dignidade humana dentro das instituições prisionais, enfrentando práticas punitivistas e contribuindo para a efetivação de uma atuação profissional comprometida com a transformação social. </w:t>
      </w:r>
      <w:r w:rsidDel="00000000" w:rsidR="00000000" w:rsidRPr="00000000">
        <w:rPr>
          <w:rtl w:val="0"/>
        </w:rPr>
      </w:r>
    </w:p>
    <w:p w:rsidR="00000000" w:rsidDel="00000000" w:rsidP="00000000" w:rsidRDefault="00000000" w:rsidRPr="00000000" w14:paraId="0000000A">
      <w:pPr>
        <w:spacing w:after="0" w:line="259" w:lineRule="auto"/>
        <w:ind w:left="2845" w:hanging="1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B">
      <w:pPr>
        <w:spacing w:after="0" w:line="241" w:lineRule="auto"/>
        <w:ind w:left="2845" w:hanging="10"/>
        <w:rPr/>
      </w:pPr>
      <w:r w:rsidDel="00000000" w:rsidR="00000000" w:rsidRPr="00000000">
        <w:rPr>
          <w:b w:val="1"/>
          <w:sz w:val="20"/>
          <w:szCs w:val="20"/>
          <w:rtl w:val="0"/>
        </w:rPr>
        <w:t xml:space="preserve">Palavras-chave</w:t>
      </w:r>
      <w:r w:rsidDel="00000000" w:rsidR="00000000" w:rsidRPr="00000000">
        <w:rPr>
          <w:sz w:val="20"/>
          <w:szCs w:val="20"/>
          <w:rtl w:val="0"/>
        </w:rPr>
        <w:t xml:space="preserve">: sistema prisional, ética profissional, Serviço Social, Recursos humanos </w:t>
      </w:r>
      <w:r w:rsidDel="00000000" w:rsidR="00000000" w:rsidRPr="00000000">
        <w:rPr>
          <w:rtl w:val="0"/>
        </w:rPr>
      </w:r>
    </w:p>
    <w:p w:rsidR="00000000" w:rsidDel="00000000" w:rsidP="00000000" w:rsidRDefault="00000000" w:rsidRPr="00000000" w14:paraId="0000000C">
      <w:pPr>
        <w:spacing w:after="0" w:line="259" w:lineRule="auto"/>
        <w:ind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D">
      <w:pPr>
        <w:pStyle w:val="Heading1"/>
        <w:spacing w:after="0" w:lineRule="auto"/>
        <w:ind w:left="2830" w:firstLine="360"/>
        <w:rPr/>
      </w:pPr>
      <w:r w:rsidDel="00000000" w:rsidR="00000000" w:rsidRPr="00000000">
        <w:rPr>
          <w:sz w:val="20"/>
          <w:szCs w:val="20"/>
          <w:rtl w:val="0"/>
        </w:rPr>
        <w:t xml:space="preserve">Abstract </w:t>
      </w:r>
      <w:r w:rsidDel="00000000" w:rsidR="00000000" w:rsidRPr="00000000">
        <w:rPr>
          <w:rtl w:val="0"/>
        </w:rPr>
      </w:r>
    </w:p>
    <w:p w:rsidR="00000000" w:rsidDel="00000000" w:rsidP="00000000" w:rsidRDefault="00000000" w:rsidRPr="00000000" w14:paraId="0000000E">
      <w:pPr>
        <w:spacing w:after="0" w:line="241" w:lineRule="auto"/>
        <w:ind w:left="2835" w:firstLine="0"/>
        <w:jc w:val="left"/>
        <w:rPr/>
      </w:pPr>
      <w:r w:rsidDel="00000000" w:rsidR="00000000" w:rsidRPr="00000000">
        <w:rPr>
          <w:sz w:val="20"/>
          <w:szCs w:val="20"/>
          <w:rtl w:val="0"/>
        </w:rPr>
        <w:t xml:space="preserve">This article aims to critically analyze the social and racial inequalities present in the Brazilian prison system, reflecting on the challenges faced by Social Work in guaranteeing the human rights of people deprived of liberty. From a theoretical-critical approach, it discusses how mass incarceration reflects the structures of social exclusion, deepening historical inequalities, especially in relation to the black and poor population. In addition, the work highlights the ethical-political role of the social worker in defending rights and promoting human dignity within prison institutions, confronting punitive practices and contributing to the implementation of a professional performance committed to social transformation. </w:t>
      </w:r>
      <w:r w:rsidDel="00000000" w:rsidR="00000000" w:rsidRPr="00000000">
        <w:rPr>
          <w:rtl w:val="0"/>
        </w:rPr>
      </w:r>
    </w:p>
    <w:p w:rsidR="00000000" w:rsidDel="00000000" w:rsidP="00000000" w:rsidRDefault="00000000" w:rsidRPr="00000000" w14:paraId="0000000F">
      <w:pPr>
        <w:spacing w:after="0" w:line="259" w:lineRule="auto"/>
        <w:ind w:left="2835"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0">
      <w:pPr>
        <w:spacing w:after="41" w:line="239" w:lineRule="auto"/>
        <w:ind w:left="2845" w:hanging="10"/>
        <w:rPr/>
      </w:pPr>
      <w:r w:rsidDel="00000000" w:rsidR="00000000" w:rsidRPr="00000000">
        <w:rPr>
          <w:b w:val="1"/>
          <w:sz w:val="20"/>
          <w:szCs w:val="20"/>
          <w:rtl w:val="0"/>
        </w:rPr>
        <w:t xml:space="preserve">Keywords</w:t>
      </w:r>
      <w:r w:rsidDel="00000000" w:rsidR="00000000" w:rsidRPr="00000000">
        <w:rPr>
          <w:sz w:val="20"/>
          <w:szCs w:val="20"/>
          <w:rtl w:val="0"/>
        </w:rPr>
        <w:t xml:space="preserve">: prison system, professional ethics, Social Service, Human Resources. </w:t>
      </w:r>
      <w:r w:rsidDel="00000000" w:rsidR="00000000" w:rsidRPr="00000000">
        <w:rPr>
          <w:rtl w:val="0"/>
        </w:rPr>
      </w:r>
    </w:p>
    <w:p w:rsidR="00000000" w:rsidDel="00000000" w:rsidP="00000000" w:rsidRDefault="00000000" w:rsidRPr="00000000" w14:paraId="00000011">
      <w:pPr>
        <w:spacing w:after="0" w:line="259" w:lineRule="auto"/>
        <w:ind w:left="2835" w:firstLine="0"/>
        <w:jc w:val="left"/>
        <w:rPr/>
      </w:pPr>
      <w:r w:rsidDel="00000000" w:rsidR="00000000" w:rsidRPr="00000000">
        <w:rPr>
          <w:rtl w:val="0"/>
        </w:rPr>
        <w:t xml:space="preserve"> </w:t>
      </w:r>
    </w:p>
    <w:p w:rsidR="00000000" w:rsidDel="00000000" w:rsidP="00000000" w:rsidRDefault="00000000" w:rsidRPr="00000000" w14:paraId="00000012">
      <w:pPr>
        <w:spacing w:after="0" w:line="361" w:lineRule="auto"/>
        <w:ind w:right="9013" w:firstLine="0"/>
        <w:jc w:val="left"/>
        <w:rPr/>
      </w:pPr>
      <w:r w:rsidDel="00000000" w:rsidR="00000000" w:rsidRPr="00000000">
        <w:rPr>
          <w:rtl w:val="0"/>
        </w:rPr>
        <w:t xml:space="preserve">  </w:t>
      </w:r>
    </w:p>
    <w:p w:rsidR="00000000" w:rsidDel="00000000" w:rsidP="00000000" w:rsidRDefault="00000000" w:rsidRPr="00000000" w14:paraId="00000013">
      <w:pPr>
        <w:spacing w:after="35" w:line="259" w:lineRule="auto"/>
        <w:ind w:firstLine="0"/>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014">
      <w:pPr>
        <w:spacing w:after="35" w:line="259" w:lineRule="auto"/>
        <w:ind w:firstLine="0"/>
        <w:jc w:val="left"/>
        <w:rPr>
          <w:sz w:val="22"/>
          <w:szCs w:val="22"/>
        </w:rPr>
      </w:pPr>
      <w:r w:rsidDel="00000000" w:rsidR="00000000" w:rsidRPr="00000000">
        <w:rPr>
          <w:rtl w:val="0"/>
        </w:rPr>
      </w:r>
    </w:p>
    <w:p w:rsidR="00000000" w:rsidDel="00000000" w:rsidP="00000000" w:rsidRDefault="00000000" w:rsidRPr="00000000" w14:paraId="00000015">
      <w:pPr>
        <w:spacing w:after="35" w:line="259" w:lineRule="auto"/>
        <w:ind w:firstLine="0"/>
        <w:jc w:val="left"/>
        <w:rPr>
          <w:sz w:val="22"/>
          <w:szCs w:val="22"/>
        </w:rPr>
      </w:pPr>
      <w:r w:rsidDel="00000000" w:rsidR="00000000" w:rsidRPr="00000000">
        <w:rPr>
          <w:rtl w:val="0"/>
        </w:rPr>
      </w:r>
    </w:p>
    <w:p w:rsidR="00000000" w:rsidDel="00000000" w:rsidP="00000000" w:rsidRDefault="00000000" w:rsidRPr="00000000" w14:paraId="00000016">
      <w:pPr>
        <w:spacing w:after="35" w:line="259" w:lineRule="auto"/>
        <w:ind w:firstLine="0"/>
        <w:jc w:val="left"/>
        <w:rPr>
          <w:sz w:val="22"/>
          <w:szCs w:val="22"/>
        </w:rPr>
      </w:pPr>
      <w:r w:rsidDel="00000000" w:rsidR="00000000" w:rsidRPr="00000000">
        <w:rPr>
          <w:rtl w:val="0"/>
        </w:rPr>
      </w:r>
    </w:p>
    <w:p w:rsidR="00000000" w:rsidDel="00000000" w:rsidP="00000000" w:rsidRDefault="00000000" w:rsidRPr="00000000" w14:paraId="00000017">
      <w:pPr>
        <w:spacing w:after="35" w:line="259" w:lineRule="auto"/>
        <w:ind w:firstLine="0"/>
        <w:jc w:val="left"/>
        <w:rPr>
          <w:sz w:val="22"/>
          <w:szCs w:val="22"/>
        </w:rPr>
      </w:pPr>
      <w:r w:rsidDel="00000000" w:rsidR="00000000" w:rsidRPr="00000000">
        <w:rPr>
          <w:rtl w:val="0"/>
        </w:rPr>
      </w:r>
    </w:p>
    <w:p w:rsidR="00000000" w:rsidDel="00000000" w:rsidP="00000000" w:rsidRDefault="00000000" w:rsidRPr="00000000" w14:paraId="00000018">
      <w:pPr>
        <w:spacing w:after="35" w:line="259" w:lineRule="auto"/>
        <w:ind w:firstLine="0"/>
        <w:jc w:val="left"/>
        <w:rPr/>
      </w:pPr>
      <w:r w:rsidDel="00000000" w:rsidR="00000000" w:rsidRPr="00000000">
        <w:rPr>
          <w:rtl w:val="0"/>
        </w:rPr>
      </w:r>
    </w:p>
    <w:p w:rsidR="00000000" w:rsidDel="00000000" w:rsidP="00000000" w:rsidRDefault="00000000" w:rsidRPr="00000000" w14:paraId="00000019">
      <w:pPr>
        <w:pStyle w:val="Heading1"/>
        <w:numPr>
          <w:ilvl w:val="0"/>
          <w:numId w:val="1"/>
        </w:numPr>
        <w:ind w:left="720" w:hanging="360"/>
        <w:rPr/>
      </w:pPr>
      <w:r w:rsidDel="00000000" w:rsidR="00000000" w:rsidRPr="00000000">
        <w:rPr>
          <w:rtl w:val="0"/>
        </w:rPr>
        <w:t xml:space="preserve">INTRODUÇÃO </w:t>
      </w:r>
    </w:p>
    <w:p w:rsidR="00000000" w:rsidDel="00000000" w:rsidP="00000000" w:rsidRDefault="00000000" w:rsidRPr="00000000" w14:paraId="0000001A">
      <w:pPr>
        <w:spacing w:after="115" w:line="259" w:lineRule="auto"/>
        <w:ind w:left="1080"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B">
      <w:pPr>
        <w:ind w:left="-15" w:right="-4" w:firstLine="698"/>
        <w:rPr/>
      </w:pPr>
      <w:r w:rsidDel="00000000" w:rsidR="00000000" w:rsidRPr="00000000">
        <w:rPr>
          <w:rtl w:val="0"/>
        </w:rPr>
        <w:t xml:space="preserve">Para Priscilla Fernanda Gonçalves Cardoso (2013), em sua tese de doutorado: “Havia uma ética no caminho? A afirmação da necessária centralidade da ética na formação profissional dos assistentes sociais”, o trabalho será eternamente a transformação de algo da natureza através da ação humana. Desta forma, o sujeito e matéria natural sempre estarão envolvidos no trabalho, mas para além desses elementos, o processo de transformação da natureza precisa de um instrumento, ou seja, um meio de trabalho. Para o sujeito escolher o instrumento, esta precisa analisar as alternativas disponíveis e classificar qual das alternativas melhor atende a sua necessidade e lhe levará até seu objetivo. </w:t>
      </w:r>
    </w:p>
    <w:p w:rsidR="00000000" w:rsidDel="00000000" w:rsidP="00000000" w:rsidRDefault="00000000" w:rsidRPr="00000000" w14:paraId="0000001C">
      <w:pPr>
        <w:ind w:left="-15" w:right="-4" w:firstLine="698"/>
        <w:rPr/>
      </w:pPr>
      <w:r w:rsidDel="00000000" w:rsidR="00000000" w:rsidRPr="00000000">
        <w:rPr>
          <w:rtl w:val="0"/>
        </w:rPr>
        <w:t xml:space="preserve">Além destes aspectos, a liberdade de fazer uma escolha consciente também é um fator imprescindível na constituição do trabalho. A partir do trabalho, o homem produz uma obra resultante, esta pode se expressar materialmente ou idealmente. Quando um produto é material, isso quer dizer que o sujeito produziu algo palpável, como é o caso dos engenheiros ou cozinheiros. No entanto, quando o produto do trabalho do homem é ideal, quer dizer que seu processo de trabalho resultou em objeções, ou seja, valores éticos, culturais e artísticos. Como exemplo temos o trabalho do Serviço Social que trabalha para formular uma contracultura, gerando consciência de classe nos usuários da política na qual atua. </w:t>
      </w:r>
    </w:p>
    <w:p w:rsidR="00000000" w:rsidDel="00000000" w:rsidP="00000000" w:rsidRDefault="00000000" w:rsidRPr="00000000" w14:paraId="0000001D">
      <w:pPr>
        <w:ind w:left="-15" w:right="-4" w:firstLine="698"/>
        <w:rPr/>
      </w:pPr>
      <w:r w:rsidDel="00000000" w:rsidR="00000000" w:rsidRPr="00000000">
        <w:rPr>
          <w:rtl w:val="0"/>
        </w:rPr>
        <w:t xml:space="preserve">Sendo assim, é por meio do sistema organizacional de produção e reprodução da existência humana que a construção ou desconstrução de valores será influenciada. Há, no entanto, uma questão no caminho: o trabalho alienado. As autoras Brites e Barroco (2023), no capítulo 1 do seu livro “Serviço Social e Ética Profissional: fundamentos e intervenções críticas”, destacam que no trabalho alienado o trabalhador não tem controle sobre os meios de produção e muito menos sobre o produto final, desta forma ele acaba vendo aspectos fundantes do seu trabalho, como liberdade e instrumentos de trabalho, como algo estranho a ele, fazendo com que ele não reconheça aquilo que ele transformou. É o que acontece com o Serviço Social no sistema prisional, na qual tem um papel fundante no processo de construção de uma ética que busca valorizar os direitos humanos dos apenados. </w:t>
      </w:r>
    </w:p>
    <w:p w:rsidR="00000000" w:rsidDel="00000000" w:rsidP="00000000" w:rsidRDefault="00000000" w:rsidRPr="00000000" w14:paraId="0000001E">
      <w:pPr>
        <w:ind w:left="-15" w:right="-4" w:firstLine="698"/>
        <w:rPr/>
      </w:pPr>
      <w:r w:rsidDel="00000000" w:rsidR="00000000" w:rsidRPr="00000000">
        <w:rPr>
          <w:rtl w:val="0"/>
        </w:rPr>
        <w:t xml:space="preserve">Desta forma, o processo de formação da moral e da ética se torna uma ferramenta essencial para a manutenção ou não do sistema. A moral nasce a partir de uma construção histórica, além de estabelecer regras gerais que servem para a regulação da ação dos indivíduos, sendo assim importante para o convívio social. Ela se manifesta através dos aparelhos privados de hegemonia, como cita Gramsci (2004) em seus Cadernos do Cárcere, como por exemplo as escolas, faculdades, igrejas, ONGs e etc. Estes cumprem um papel de internalizar, aceitar e fazer os indivíduos vivenciar a norma historicamente construída. Posto isso, pode-se concluir que a moral nunca atenderá os interesses de duas classes diferentes, por isso ela acaba sendo usada pelo movimento de conservadorismo reacionário para a alienação, algo que se pode observar no cotidiano das penitenciárias brasileiras. </w:t>
      </w:r>
    </w:p>
    <w:p w:rsidR="00000000" w:rsidDel="00000000" w:rsidP="00000000" w:rsidRDefault="00000000" w:rsidRPr="00000000" w14:paraId="0000001F">
      <w:pPr>
        <w:ind w:left="-15" w:right="-4" w:firstLine="698"/>
        <w:rPr/>
      </w:pPr>
      <w:r w:rsidDel="00000000" w:rsidR="00000000" w:rsidRPr="00000000">
        <w:rPr>
          <w:rtl w:val="0"/>
        </w:rPr>
        <w:t xml:space="preserve">A moral imposta a esse ambiente, é de que os apenados devem sofrer a pena, não somente tendo a sua liberdade restrita, mas tendo outro dos seus direitos humanos restritos. É neste momento que o Serviço Social tem um papel importante nas unidades prisionais, visto que as(os) assistentes sociais devem ser guiadas(os) pela ética profissional, direcionada por documentos norteadores como O Código de Ética profissional, a Lei de Regulamentação da profissão e as Diretrizes Curriculares para o curso de Serviço Social. A ética se diferencia da moral, segundo Agnes Heller em seu livro “Estrutura da vida cotidiana”, pois está se caracteriza por ser um momento que somos “suspensos” do cotidiano e começamos a olhar para a realidade com um olhar crítico que nos permite ver as entranhas do trabalho alienado, da negação de direitos e desigualdade social.  </w:t>
      </w:r>
    </w:p>
    <w:p w:rsidR="00000000" w:rsidDel="00000000" w:rsidP="00000000" w:rsidRDefault="00000000" w:rsidRPr="00000000" w14:paraId="00000020">
      <w:pPr>
        <w:spacing w:after="0" w:line="361" w:lineRule="auto"/>
        <w:ind w:right="8306" w:firstLine="0"/>
        <w:jc w:val="left"/>
        <w:rPr/>
      </w:pPr>
      <w:r w:rsidDel="00000000" w:rsidR="00000000" w:rsidRPr="00000000">
        <w:rPr>
          <w:rtl w:val="0"/>
        </w:rPr>
        <w:t xml:space="preserve">  </w:t>
      </w:r>
    </w:p>
    <w:p w:rsidR="00000000" w:rsidDel="00000000" w:rsidP="00000000" w:rsidRDefault="00000000" w:rsidRPr="00000000" w14:paraId="00000021">
      <w:pPr>
        <w:spacing w:after="57" w:line="259" w:lineRule="auto"/>
        <w:ind w:firstLine="0"/>
        <w:jc w:val="lef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22">
      <w:pPr>
        <w:pStyle w:val="Heading1"/>
        <w:numPr>
          <w:ilvl w:val="0"/>
          <w:numId w:val="1"/>
        </w:numPr>
        <w:ind w:left="-5" w:firstLine="360"/>
        <w:rPr/>
      </w:pPr>
      <w:r w:rsidDel="00000000" w:rsidR="00000000" w:rsidRPr="00000000">
        <w:rPr>
          <w:rtl w:val="0"/>
        </w:rPr>
        <w:t xml:space="preserve">DESIGUALDADE, SELETIVIDADE PENAL E COMPROMISSO ÉTICO DO SERVIÇO SOCIAL NA DEFESA DOS DIREITOS HUMANOS NO SISTEMA PRISIONAL BRASILEIRO</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23">
      <w:pPr>
        <w:spacing w:after="115" w:line="259" w:lineRule="auto"/>
        <w:ind w:firstLine="0"/>
        <w:jc w:val="left"/>
        <w:rPr/>
      </w:pPr>
      <w:r w:rsidDel="00000000" w:rsidR="00000000" w:rsidRPr="00000000">
        <w:rPr>
          <w:rtl w:val="0"/>
        </w:rPr>
        <w:t xml:space="preserve"> </w:t>
      </w:r>
    </w:p>
    <w:p w:rsidR="00000000" w:rsidDel="00000000" w:rsidP="00000000" w:rsidRDefault="00000000" w:rsidRPr="00000000" w14:paraId="00000024">
      <w:pPr>
        <w:ind w:left="-15" w:right="-4" w:firstLine="698"/>
        <w:rPr/>
      </w:pPr>
      <w:r w:rsidDel="00000000" w:rsidR="00000000" w:rsidRPr="00000000">
        <w:rPr>
          <w:rtl w:val="0"/>
        </w:rPr>
        <w:t xml:space="preserve">A desigualdade social é uma expressão da questão social, onde Marx vê a sociedade dividida em classes antagônicas, principalmente a burguesia que domina os meios de produção e o proletariado que vende sua mão de obra em troca de um salário. Essa exploração do proletariado gera a desigualdade. </w:t>
      </w:r>
    </w:p>
    <w:p w:rsidR="00000000" w:rsidDel="00000000" w:rsidP="00000000" w:rsidRDefault="00000000" w:rsidRPr="00000000" w14:paraId="00000025">
      <w:pPr>
        <w:spacing w:after="39" w:line="361" w:lineRule="auto"/>
        <w:ind w:left="2264" w:hanging="10"/>
        <w:rPr/>
      </w:pPr>
      <w:r w:rsidDel="00000000" w:rsidR="00000000" w:rsidRPr="00000000">
        <w:rPr>
          <w:sz w:val="20"/>
          <w:szCs w:val="20"/>
          <w:rtl w:val="0"/>
        </w:rPr>
        <w:t xml:space="preserve">Homem livre e escravo, patrício e plebeu, senhor feudal e servo, mestre de corporação e companheiro, em resumo, opressores e oprimidos, em constante oposição, têm vivido numa guerra ininterrupta, ora franca, ora disfarçada. (MARX E ENGELS, 2015, p.40) </w:t>
      </w:r>
      <w:r w:rsidDel="00000000" w:rsidR="00000000" w:rsidRPr="00000000">
        <w:rPr>
          <w:rtl w:val="0"/>
        </w:rPr>
      </w:r>
    </w:p>
    <w:p w:rsidR="00000000" w:rsidDel="00000000" w:rsidP="00000000" w:rsidRDefault="00000000" w:rsidRPr="00000000" w14:paraId="00000026">
      <w:pPr>
        <w:ind w:left="-15" w:right="-4" w:firstLine="698"/>
        <w:rPr/>
      </w:pPr>
      <w:r w:rsidDel="00000000" w:rsidR="00000000" w:rsidRPr="00000000">
        <w:rPr>
          <w:rtl w:val="0"/>
        </w:rPr>
        <w:t xml:space="preserve">Por Marx e Engels (2015), podemos entender que o capitalismo, como sistema econômico e social dominante no mundo moderno, carrega consigo uma série de dinâmicas que perpetuam preconceitos, discriminação e segregação em diversas esferas da sociedade. Essas desigualdades não são apenas consequências marginais ou acidentais do sistema, mas muitas vezes estão enraizadas em sua própria lógica de funcionamento. </w:t>
      </w:r>
    </w:p>
    <w:p w:rsidR="00000000" w:rsidDel="00000000" w:rsidP="00000000" w:rsidRDefault="00000000" w:rsidRPr="00000000" w14:paraId="00000027">
      <w:pPr>
        <w:ind w:left="-15" w:right="-4" w:firstLine="698"/>
        <w:rPr/>
      </w:pPr>
      <w:r w:rsidDel="00000000" w:rsidR="00000000" w:rsidRPr="00000000">
        <w:rPr>
          <w:rtl w:val="0"/>
        </w:rPr>
        <w:t xml:space="preserve">O sistema capitalista, ao basear-se na acumulação de riqueza e na competição, acaba exacerbando divisões sociais, raciais e de classe, promovendo um ambiente onde a discriminação e a marginalização prosperam. Dessa forma, podemos encontrar essa segregação até mesmo no funcionamento da justiça. </w:t>
      </w:r>
    </w:p>
    <w:p w:rsidR="00000000" w:rsidDel="00000000" w:rsidP="00000000" w:rsidRDefault="00000000" w:rsidRPr="00000000" w14:paraId="00000028">
      <w:pPr>
        <w:ind w:left="-15" w:right="-4" w:firstLine="698"/>
        <w:rPr/>
      </w:pPr>
      <w:r w:rsidDel="00000000" w:rsidR="00000000" w:rsidRPr="00000000">
        <w:rPr>
          <w:rtl w:val="0"/>
        </w:rPr>
        <w:t xml:space="preserve">A desigualdade na justiça para aprisionados no Brasil é um dos reflexos mais agudos da injustiça estrutural que permeia o sistema socioeconômico e político do país. Esta questão revela-se de forma evidente quando observamos como os diferentes grupos sociais, especialmente entre as classes mais baixas e as elites, são tratados pelo sistema penal e carcerário brasileiro. </w:t>
      </w:r>
    </w:p>
    <w:p w:rsidR="00000000" w:rsidDel="00000000" w:rsidP="00000000" w:rsidRDefault="00000000" w:rsidRPr="00000000" w14:paraId="00000029">
      <w:pPr>
        <w:ind w:left="-15" w:right="-4" w:firstLine="698"/>
        <w:rPr/>
      </w:pPr>
      <w:r w:rsidDel="00000000" w:rsidR="00000000" w:rsidRPr="00000000">
        <w:rPr>
          <w:rtl w:val="0"/>
        </w:rPr>
        <w:t xml:space="preserve">Historicamente, o Brasil é marcado por uma desigualdade racial e socioeconômica profunda, e esta desigualdade encontra-se espelhada no sistema judicial. Esta realidade levanta questões sobre a seletividade penal, ou seja, a justiça tende a ser mais severa com os mais pobres, enquanto as classes mais privilegiadas frequentemente conseguem escapar a punições severas ou até evitar o encarceramento. </w:t>
      </w:r>
    </w:p>
    <w:p w:rsidR="00000000" w:rsidDel="00000000" w:rsidP="00000000" w:rsidRDefault="00000000" w:rsidRPr="00000000" w14:paraId="0000002A">
      <w:pPr>
        <w:spacing w:after="39" w:line="361" w:lineRule="auto"/>
        <w:ind w:left="2264" w:hanging="10"/>
        <w:rPr/>
      </w:pPr>
      <w:r w:rsidDel="00000000" w:rsidR="00000000" w:rsidRPr="00000000">
        <w:rPr>
          <w:sz w:val="20"/>
          <w:szCs w:val="20"/>
          <w:rtl w:val="0"/>
        </w:rPr>
        <w:t xml:space="preserve">Do ponto de vista da sociologia criminal, é um conceito também que contraria a ideia presente em quase todas as escolas criminológicas, que, de certa forma, geralmente associavam a conduta criminosa a parcelas marginalizadas da sociedade: ao longo da história, desde o Antigo Egito, constatou-se que as camadas sociais que exerciam o poder também cometiam crimes, mas, a exemplo do caso dos sacerdotes egípcios envolvidos em delitos, estas camadas acabavam recebendo tratamento privilegiado pela justiça. (JUSBRASIL, 2018) </w:t>
      </w:r>
      <w:r w:rsidDel="00000000" w:rsidR="00000000" w:rsidRPr="00000000">
        <w:rPr>
          <w:rtl w:val="0"/>
        </w:rPr>
      </w:r>
    </w:p>
    <w:p w:rsidR="00000000" w:rsidDel="00000000" w:rsidP="00000000" w:rsidRDefault="00000000" w:rsidRPr="00000000" w14:paraId="0000002B">
      <w:pPr>
        <w:ind w:left="-15" w:right="-4" w:firstLine="698"/>
        <w:rPr/>
      </w:pPr>
      <w:r w:rsidDel="00000000" w:rsidR="00000000" w:rsidRPr="00000000">
        <w:rPr>
          <w:rtl w:val="0"/>
        </w:rPr>
        <w:t xml:space="preserve">Um dos exemplos mais claros desta desigualdade é a diferença no tratamento dado a crimes de colarinho branco em comparação com crimes relacionados ao tráfico de drogas ou pequenos furtos. Enquanto pessoas envolvidas em grandes esquemas de corrupção e fraudes financeiras – que muitas vezes envolvem montantes milionários – muitas vezes são beneficiadas por longos processos judiciais e acordos de delação premiada, pequenos infratores, frequentemente ligados ao tráfico por falta de alternativas socioeconômicas, enfrentam longas penas em condições degradantes. </w:t>
      </w:r>
    </w:p>
    <w:p w:rsidR="00000000" w:rsidDel="00000000" w:rsidP="00000000" w:rsidRDefault="00000000" w:rsidRPr="00000000" w14:paraId="0000002C">
      <w:pPr>
        <w:spacing w:after="96" w:line="259" w:lineRule="auto"/>
        <w:ind w:left="708"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D">
      <w:pPr>
        <w:spacing w:after="0" w:line="361" w:lineRule="auto"/>
        <w:ind w:left="2264" w:hanging="10"/>
        <w:rPr/>
      </w:pPr>
      <w:r w:rsidDel="00000000" w:rsidR="00000000" w:rsidRPr="00000000">
        <w:rPr>
          <w:sz w:val="20"/>
          <w:szCs w:val="20"/>
          <w:rtl w:val="0"/>
        </w:rPr>
        <w:t xml:space="preserve">[...] Praticamente toda a população carcerária do Brasil é negra. É algo que chama a atenção e precisa ser estudado", enfatizou o conselheiro. A informação foi reforçada pelos dados apresentados por Edinaldo César Santos Junior, coordenador executivo do Encontro Nacional de Juízas e Juízes Negros (ENAJUN) e juiz do Tribunal de Justiça de Sergipe (TJSE). “Cerca de 63,7% da população carcerária brasileira é formada por negros. E isso são dados de 2017 do Departamento Penitenciário Nacional (Depen)”, afirmou. “Por que será? Por que são pobres? Por que a maioria dos pobres é negra? O encarceramento tem cor [...] </w:t>
      </w:r>
      <w:r w:rsidDel="00000000" w:rsidR="00000000" w:rsidRPr="00000000">
        <w:rPr>
          <w:rtl w:val="0"/>
        </w:rPr>
      </w:r>
    </w:p>
    <w:p w:rsidR="00000000" w:rsidDel="00000000" w:rsidP="00000000" w:rsidRDefault="00000000" w:rsidRPr="00000000" w14:paraId="0000002E">
      <w:pPr>
        <w:spacing w:after="0" w:line="361" w:lineRule="auto"/>
        <w:ind w:left="2264" w:hanging="10"/>
        <w:rPr/>
      </w:pPr>
      <w:r w:rsidDel="00000000" w:rsidR="00000000" w:rsidRPr="00000000">
        <w:rPr>
          <w:sz w:val="20"/>
          <w:szCs w:val="20"/>
          <w:rtl w:val="0"/>
        </w:rPr>
        <w:t xml:space="preserve">[...] Edinaldo César Santos Júnior apresentou dados que explicam em números a observação feita por Clark. Segundo o magistrado, uma pesquisa da Agência Pública de Jornalismo Investigativo em São Paulo demonstrou que a quantidade de maconha apreendida com pessoas brancas é, em média, maior do que as negras (1,15kg contra 145 gramas). No entanto os negros são os mais condenados (71,35% contra 64,36% dos brancos). Isso acontece na apreensão de todos os tipos de entorpecentes. “Brancos acabam sendo classificados como usuários enquanto os negros, como traficantes”, explicaram. (CONSELHO NACIONAL DE JUSTIÇA, </w:t>
      </w:r>
      <w:r w:rsidDel="00000000" w:rsidR="00000000" w:rsidRPr="00000000">
        <w:rPr>
          <w:rtl w:val="0"/>
        </w:rPr>
      </w:r>
    </w:p>
    <w:p w:rsidR="00000000" w:rsidDel="00000000" w:rsidP="00000000" w:rsidRDefault="00000000" w:rsidRPr="00000000" w14:paraId="0000002F">
      <w:pPr>
        <w:spacing w:after="134" w:line="259" w:lineRule="auto"/>
        <w:ind w:left="2264" w:hanging="10"/>
        <w:rPr/>
      </w:pPr>
      <w:r w:rsidDel="00000000" w:rsidR="00000000" w:rsidRPr="00000000">
        <w:rPr>
          <w:sz w:val="20"/>
          <w:szCs w:val="20"/>
          <w:rtl w:val="0"/>
        </w:rPr>
        <w:t xml:space="preserve">2020). </w:t>
      </w:r>
      <w:r w:rsidDel="00000000" w:rsidR="00000000" w:rsidRPr="00000000">
        <w:rPr>
          <w:rtl w:val="0"/>
        </w:rPr>
      </w:r>
    </w:p>
    <w:p w:rsidR="00000000" w:rsidDel="00000000" w:rsidP="00000000" w:rsidRDefault="00000000" w:rsidRPr="00000000" w14:paraId="00000030">
      <w:pPr>
        <w:ind w:left="-15" w:right="-4" w:firstLine="698"/>
        <w:rPr/>
      </w:pPr>
      <w:r w:rsidDel="00000000" w:rsidR="00000000" w:rsidRPr="00000000">
        <w:rPr>
          <w:rtl w:val="0"/>
        </w:rPr>
        <w:t xml:space="preserve">Adicionalmente, as condições carcerárias são outro reflexo da desigualdade no sistema judicial brasileiro. As prisões no Brasil são conhecidas pelas suas condições sub-humanas, superlotação, violência e falta de assistência adequada, o que revela um cenário de desumanização daqueles que são encarcerados. Novamente, isso afeta de maneira desproporcional a população negra e pobre. As elites, quando são punidas, muitas vezes têm acesso a regalias, como a prisão domiciliar, com muito menos exposição às condições degradantes dos presídios comuns. </w:t>
      </w:r>
    </w:p>
    <w:p w:rsidR="00000000" w:rsidDel="00000000" w:rsidP="00000000" w:rsidRDefault="00000000" w:rsidRPr="00000000" w14:paraId="00000031">
      <w:pPr>
        <w:spacing w:after="0" w:line="361" w:lineRule="auto"/>
        <w:ind w:left="2264" w:hanging="10"/>
        <w:rPr/>
      </w:pPr>
      <w:r w:rsidDel="00000000" w:rsidR="00000000" w:rsidRPr="00000000">
        <w:rPr>
          <w:sz w:val="20"/>
          <w:szCs w:val="20"/>
          <w:rtl w:val="0"/>
        </w:rPr>
        <w:t xml:space="preserve">No entanto, ao contrário do que estabelece a lei, os presídios atualmente proporcionam um ambiente degradante e desumano ao preso, tendo em vista, a superlotação, a ausência de assistência médica, a precariedade na alimentação e a falta de higiene que desencadeiam diversas doenças. </w:t>
      </w:r>
      <w:r w:rsidDel="00000000" w:rsidR="00000000" w:rsidRPr="00000000">
        <w:rPr>
          <w:rtl w:val="0"/>
        </w:rPr>
      </w:r>
    </w:p>
    <w:p w:rsidR="00000000" w:rsidDel="00000000" w:rsidP="00000000" w:rsidRDefault="00000000" w:rsidRPr="00000000" w14:paraId="00000032">
      <w:pPr>
        <w:spacing w:after="137" w:line="259" w:lineRule="auto"/>
        <w:ind w:left="2264" w:hanging="10"/>
        <w:rPr/>
      </w:pPr>
      <w:r w:rsidDel="00000000" w:rsidR="00000000" w:rsidRPr="00000000">
        <w:rPr>
          <w:sz w:val="20"/>
          <w:szCs w:val="20"/>
          <w:rtl w:val="0"/>
        </w:rPr>
        <w:t xml:space="preserve">(MACHADO; GUIMARÃES, 2014, p.2) </w:t>
      </w:r>
      <w:r w:rsidDel="00000000" w:rsidR="00000000" w:rsidRPr="00000000">
        <w:rPr>
          <w:rtl w:val="0"/>
        </w:rPr>
      </w:r>
    </w:p>
    <w:p w:rsidR="00000000" w:rsidDel="00000000" w:rsidP="00000000" w:rsidRDefault="00000000" w:rsidRPr="00000000" w14:paraId="00000033">
      <w:pPr>
        <w:ind w:left="-15" w:right="-4" w:firstLine="698"/>
        <w:rPr/>
      </w:pPr>
      <w:r w:rsidDel="00000000" w:rsidR="00000000" w:rsidRPr="00000000">
        <w:rPr>
          <w:rtl w:val="0"/>
        </w:rPr>
        <w:t xml:space="preserve">Como afirma Machado e Guimarães (2014), a consequência dessa realidade, traz a reincidência dos presos, se fossem tratados de maneira digna, teríamos a reintegração desses aprisionados de forma adequada na sociedade com a base na garantia constitucional dos princípios da dignidade humana, atingindo assim os objetivos do sistema prisional. </w:t>
      </w:r>
    </w:p>
    <w:p w:rsidR="00000000" w:rsidDel="00000000" w:rsidP="00000000" w:rsidRDefault="00000000" w:rsidRPr="00000000" w14:paraId="00000034">
      <w:pPr>
        <w:ind w:left="-15" w:right="-4" w:firstLine="698"/>
        <w:rPr/>
      </w:pPr>
      <w:r w:rsidDel="00000000" w:rsidR="00000000" w:rsidRPr="00000000">
        <w:rPr>
          <w:rtl w:val="0"/>
        </w:rPr>
        <w:t xml:space="preserve">Posto isso, pode-se ver que o sistema carcerário brasileiro vem ao longo dos séculos, quebrando direitos fundamentais e inerentes ao ser humano. No texto, “O Estado de Coisas Inconstitucional e a violação dos direitos humanos no sistema prisional brasileiro”, escrito por Luciano Meneguetti Pereira (2017), relata com detalhes como ao longo dos anos as prisões ao redor do Brasil têm violado os direitos humanos. </w:t>
      </w:r>
    </w:p>
    <w:p w:rsidR="00000000" w:rsidDel="00000000" w:rsidP="00000000" w:rsidRDefault="00000000" w:rsidRPr="00000000" w14:paraId="00000035">
      <w:pPr>
        <w:spacing w:after="35" w:line="259" w:lineRule="auto"/>
        <w:ind w:firstLine="0"/>
        <w:jc w:val="lef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36">
      <w:pPr>
        <w:ind w:left="-15" w:right="-4" w:firstLine="698"/>
        <w:rPr/>
      </w:pPr>
      <w:r w:rsidDel="00000000" w:rsidR="00000000" w:rsidRPr="00000000">
        <w:rPr>
          <w:rtl w:val="0"/>
        </w:rPr>
        <w:t xml:space="preserve">Assim, um dos exemplos é a superlotação dos presídios, que expõem os detentos a problemas de saúde física e mental por causa da insalubridade, além de serem submetidos a penas desumanas, quebrando, portanto, o artigo 5 da Declaração Universal dos Direitos Humanos ((DUDH) de 1948: “Ninguém será submetido à tortura nem a tratamento ou castigo cruel, desumano ou degradante.” (DUDH, 1948)</w:t>
      </w:r>
      <w:r w:rsidDel="00000000" w:rsidR="00000000" w:rsidRPr="00000000">
        <w:rPr>
          <w:sz w:val="20"/>
          <w:szCs w:val="20"/>
          <w:rtl w:val="0"/>
        </w:rPr>
        <w:t xml:space="preserve"> </w:t>
      </w:r>
      <w:r w:rsidDel="00000000" w:rsidR="00000000" w:rsidRPr="00000000">
        <w:rPr>
          <w:rtl w:val="0"/>
        </w:rPr>
        <w:t xml:space="preserve"> </w:t>
      </w:r>
    </w:p>
    <w:p w:rsidR="00000000" w:rsidDel="00000000" w:rsidP="00000000" w:rsidRDefault="00000000" w:rsidRPr="00000000" w14:paraId="00000037">
      <w:pPr>
        <w:ind w:left="-15" w:right="-4" w:firstLine="698"/>
        <w:rPr/>
      </w:pPr>
      <w:r w:rsidDel="00000000" w:rsidR="00000000" w:rsidRPr="00000000">
        <w:rPr>
          <w:rtl w:val="0"/>
        </w:rPr>
        <w:t xml:space="preserve">Bem como o artigo 25 da DUDH, que assegura a todo ser humano o direito à saúde, alimentação, vestuário, habitação, cuidados médicos e etc...:  </w:t>
      </w:r>
    </w:p>
    <w:p w:rsidR="00000000" w:rsidDel="00000000" w:rsidP="00000000" w:rsidRDefault="00000000" w:rsidRPr="00000000" w14:paraId="00000038">
      <w:pPr>
        <w:spacing w:after="39" w:line="361" w:lineRule="auto"/>
        <w:ind w:left="2264" w:hanging="10"/>
        <w:rPr/>
      </w:pPr>
      <w:r w:rsidDel="00000000" w:rsidR="00000000" w:rsidRPr="00000000">
        <w:rPr>
          <w:sz w:val="20"/>
          <w:szCs w:val="20"/>
          <w:rtl w:val="0"/>
        </w:rPr>
        <w:t xml:space="preserve">Todo ser humano tem direito a um padrão de vida capaz de assegurar a si e a sua família saúde e bem estar, inclusive alimentação, vestuário, habitação, cuidados médicos e os serviços sociais indispensáveis, e direito à segurança em caso de desemprego, doença, invalidez, viuvez, velhice ou outros casos de perda dos meios de subsistência fora de seu controle. (DUDH, 1948)  </w:t>
      </w:r>
      <w:r w:rsidDel="00000000" w:rsidR="00000000" w:rsidRPr="00000000">
        <w:rPr>
          <w:rtl w:val="0"/>
        </w:rPr>
      </w:r>
    </w:p>
    <w:p w:rsidR="00000000" w:rsidDel="00000000" w:rsidP="00000000" w:rsidRDefault="00000000" w:rsidRPr="00000000" w14:paraId="00000039">
      <w:pPr>
        <w:ind w:left="-15" w:right="-4" w:firstLine="698"/>
        <w:rPr/>
      </w:pPr>
      <w:r w:rsidDel="00000000" w:rsidR="00000000" w:rsidRPr="00000000">
        <w:rPr>
          <w:rtl w:val="0"/>
        </w:rPr>
        <w:t xml:space="preserve">Além disso, o autor Luciano Meneguetti Pereira (2017), levanta dados que mostram que em 2015, 39% dos apenados estavam encarcerados provisoriamente, revelando assim um uso de forma abusiva da prisão provisória no país, quebrando mais um dos direitos previstos da Declaração Universal dos Direitos Humanos de 1948, o artigo 10, que afirma: </w:t>
      </w:r>
    </w:p>
    <w:p w:rsidR="00000000" w:rsidDel="00000000" w:rsidP="00000000" w:rsidRDefault="00000000" w:rsidRPr="00000000" w14:paraId="0000003A">
      <w:pPr>
        <w:spacing w:after="39" w:line="361" w:lineRule="auto"/>
        <w:ind w:left="2264" w:hanging="10"/>
        <w:rPr/>
      </w:pPr>
      <w:r w:rsidDel="00000000" w:rsidR="00000000" w:rsidRPr="00000000">
        <w:rPr>
          <w:sz w:val="20"/>
          <w:szCs w:val="20"/>
          <w:rtl w:val="0"/>
        </w:rPr>
        <w:t xml:space="preserve">Todo ser humano tem direito, em plena igualdade, a uma audiência justa e pública por parte de um tribunal independente e imparcial, para decidir sobre seus direitos e deveres ou do fundamento de qualquer acusação criminal contra ele. (DUDH, 1948)  </w:t>
      </w:r>
      <w:r w:rsidDel="00000000" w:rsidR="00000000" w:rsidRPr="00000000">
        <w:rPr>
          <w:rtl w:val="0"/>
        </w:rPr>
      </w:r>
    </w:p>
    <w:p w:rsidR="00000000" w:rsidDel="00000000" w:rsidP="00000000" w:rsidRDefault="00000000" w:rsidRPr="00000000" w14:paraId="0000003B">
      <w:pPr>
        <w:ind w:left="-15" w:right="-4" w:firstLine="698"/>
        <w:rPr/>
      </w:pPr>
      <w:r w:rsidDel="00000000" w:rsidR="00000000" w:rsidRPr="00000000">
        <w:rPr>
          <w:rtl w:val="0"/>
        </w:rPr>
        <w:t xml:space="preserve">No entanto, apesar do sistema carcerário brasileiro adotar essa conduta, com a desculpa que esse cenário do cárcere, de alguma forma, diminua os dados sobre a violência no país, na verdade não surte nenhum efeito na realidade, já que segundo dados do Atlas de Violência (2024), feita pelo Ipea (Instituto de Pesquisa Econômica Aplicada) não há nenhuma mudança positiva significativa no cenário da segurança pública brasileira. Diante desse cenário, faz-se imprescindível a presença do Serviço Social no sistema carcerário brasileiro. </w:t>
      </w:r>
    </w:p>
    <w:p w:rsidR="00000000" w:rsidDel="00000000" w:rsidP="00000000" w:rsidRDefault="00000000" w:rsidRPr="00000000" w14:paraId="0000003C">
      <w:pPr>
        <w:spacing w:after="35" w:line="259" w:lineRule="auto"/>
        <w:ind w:firstLine="0"/>
        <w:jc w:val="lef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3D">
      <w:pPr>
        <w:ind w:left="-15" w:right="-4" w:firstLine="698"/>
        <w:rPr/>
      </w:pPr>
      <w:r w:rsidDel="00000000" w:rsidR="00000000" w:rsidRPr="00000000">
        <w:rPr>
          <w:rtl w:val="0"/>
        </w:rPr>
        <w:t xml:space="preserve">Em um texto, escrito pela Eunice Fávero (2012), chamado “Serviço Social no campo sociojurídico: possibilidades e desafios na consolidação do projeto éticopolítico profissional” é descrito em detalhes quais são os desafios profissionais e éticos que permeiam o cotidiano das(os) assistentes sociais no sistema prisional. </w:t>
      </w:r>
    </w:p>
    <w:p w:rsidR="00000000" w:rsidDel="00000000" w:rsidP="00000000" w:rsidRDefault="00000000" w:rsidRPr="00000000" w14:paraId="0000003E">
      <w:pPr>
        <w:ind w:left="-15" w:right="-4" w:firstLine="698"/>
        <w:rPr/>
      </w:pPr>
      <w:r w:rsidDel="00000000" w:rsidR="00000000" w:rsidRPr="00000000">
        <w:rPr>
          <w:rtl w:val="0"/>
        </w:rPr>
        <w:t xml:space="preserve">A autora ressalta que se faz necessário retomarmos alguns pontos fundamentais que encontramos no Código de Ética, como: liberdade como valor central, defesa intransigente dos direitos humanos, posicionamento em favor da justiça social, compromisso com a qualidade dos serviços prestados à população e com o aprimoramento intelectual na perspectiva da competência profissional.  </w:t>
      </w:r>
    </w:p>
    <w:p w:rsidR="00000000" w:rsidDel="00000000" w:rsidP="00000000" w:rsidRDefault="00000000" w:rsidRPr="00000000" w14:paraId="0000003F">
      <w:pPr>
        <w:ind w:left="-15" w:right="-4" w:firstLine="698"/>
        <w:rPr/>
      </w:pPr>
      <w:r w:rsidDel="00000000" w:rsidR="00000000" w:rsidRPr="00000000">
        <w:rPr>
          <w:rtl w:val="0"/>
        </w:rPr>
        <w:t xml:space="preserve">O trabalho deve ser feito através de pesquisa, o objeto e meios de trabalho, recursos materiais, o conhecimento da realidade social; o trabalho não deve ter uma motivação punitiva, mas sim de cunho investigativo. O laudo, o relatório e o parecer legal são instrumentos de poder, que devem ser usados sabiamente, visto que muitas vezes são eles que dão suporte à definição do futuro dos usuários.  </w:t>
      </w:r>
    </w:p>
    <w:p w:rsidR="00000000" w:rsidDel="00000000" w:rsidP="00000000" w:rsidRDefault="00000000" w:rsidRPr="00000000" w14:paraId="00000040">
      <w:pPr>
        <w:ind w:left="-15" w:right="-4" w:firstLine="698"/>
        <w:rPr/>
      </w:pPr>
      <w:r w:rsidDel="00000000" w:rsidR="00000000" w:rsidRPr="00000000">
        <w:rPr>
          <w:rtl w:val="0"/>
        </w:rPr>
        <w:t xml:space="preserve">Eles precisam ser usados para que esses usuários tenham seus direitos garantidos. Para o fortalecimento do Serviço Social nesse campo, a autora mostra que é necessário investimento em algumas frentes, como:  Mapear, acompanhar e influir organizadamente em projetos de lei em tramitação relacionados ao fazer profissional. [...] Criação de grupos sócio jurídicos locais, pensando a forma, a articulação e a luta política. (FÁVERO. 2012. pag. 138-139). </w:t>
      </w:r>
    </w:p>
    <w:p w:rsidR="00000000" w:rsidDel="00000000" w:rsidP="00000000" w:rsidRDefault="00000000" w:rsidRPr="00000000" w14:paraId="00000041">
      <w:pPr>
        <w:ind w:left="-15" w:right="-4" w:firstLine="698"/>
        <w:rPr/>
      </w:pPr>
      <w:r w:rsidDel="00000000" w:rsidR="00000000" w:rsidRPr="00000000">
        <w:rPr>
          <w:rtl w:val="0"/>
        </w:rPr>
        <w:t xml:space="preserve">Tudo para que a ética seja implementada no cotidiano, tomando o espaço que a moral conservadora tem conquistado. Dizimando o ideário conservador que reforça a cultura armamentista e de violência, trabalhando para que os nossos usuários apenas possam realmente viver a ressocialização da qual precisam.  </w:t>
      </w:r>
    </w:p>
    <w:p w:rsidR="00000000" w:rsidDel="00000000" w:rsidP="00000000" w:rsidRDefault="00000000" w:rsidRPr="00000000" w14:paraId="00000042">
      <w:pPr>
        <w:spacing w:after="115" w:line="259" w:lineRule="auto"/>
        <w:ind w:firstLine="0"/>
        <w:jc w:val="left"/>
        <w:rPr/>
      </w:pPr>
      <w:r w:rsidDel="00000000" w:rsidR="00000000" w:rsidRPr="00000000">
        <w:rPr>
          <w:rtl w:val="0"/>
        </w:rPr>
        <w:t xml:space="preserve"> </w:t>
      </w:r>
    </w:p>
    <w:p w:rsidR="00000000" w:rsidDel="00000000" w:rsidP="00000000" w:rsidRDefault="00000000" w:rsidRPr="00000000" w14:paraId="00000043">
      <w:pPr>
        <w:spacing w:after="117" w:line="259" w:lineRule="auto"/>
        <w:ind w:firstLine="0"/>
        <w:jc w:val="left"/>
        <w:rPr/>
      </w:pPr>
      <w:r w:rsidDel="00000000" w:rsidR="00000000" w:rsidRPr="00000000">
        <w:rPr>
          <w:rtl w:val="0"/>
        </w:rPr>
        <w:t xml:space="preserve">  </w:t>
      </w:r>
    </w:p>
    <w:p w:rsidR="00000000" w:rsidDel="00000000" w:rsidP="00000000" w:rsidRDefault="00000000" w:rsidRPr="00000000" w14:paraId="00000044">
      <w:pPr>
        <w:spacing w:after="0" w:lineRule="auto"/>
        <w:ind w:right="9013" w:firstLine="0"/>
        <w:jc w:val="left"/>
        <w:rPr/>
      </w:pPr>
      <w:r w:rsidDel="00000000" w:rsidR="00000000" w:rsidRPr="00000000">
        <w:rPr>
          <w:rtl w:val="0"/>
        </w:rPr>
        <w:t xml:space="preserve">   </w:t>
      </w:r>
    </w:p>
    <w:p w:rsidR="00000000" w:rsidDel="00000000" w:rsidP="00000000" w:rsidRDefault="00000000" w:rsidRPr="00000000" w14:paraId="00000045">
      <w:pPr>
        <w:spacing w:after="57" w:line="259" w:lineRule="auto"/>
        <w:ind w:firstLine="0"/>
        <w:jc w:val="lef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46">
      <w:pPr>
        <w:pStyle w:val="Heading1"/>
        <w:numPr>
          <w:ilvl w:val="0"/>
          <w:numId w:val="1"/>
        </w:numPr>
        <w:ind w:left="705" w:hanging="720"/>
        <w:rPr/>
      </w:pPr>
      <w:r w:rsidDel="00000000" w:rsidR="00000000" w:rsidRPr="00000000">
        <w:rPr>
          <w:rtl w:val="0"/>
        </w:rPr>
        <w:t xml:space="preserve">CONCLUSÃO </w:t>
      </w:r>
    </w:p>
    <w:p w:rsidR="00000000" w:rsidDel="00000000" w:rsidP="00000000" w:rsidRDefault="00000000" w:rsidRPr="00000000" w14:paraId="00000047">
      <w:pPr>
        <w:spacing w:after="115" w:line="259" w:lineRule="auto"/>
        <w:ind w:firstLine="0"/>
        <w:jc w:val="left"/>
        <w:rPr/>
      </w:pPr>
      <w:r w:rsidDel="00000000" w:rsidR="00000000" w:rsidRPr="00000000">
        <w:rPr>
          <w:rtl w:val="0"/>
        </w:rPr>
        <w:t xml:space="preserve"> </w:t>
      </w:r>
    </w:p>
    <w:p w:rsidR="00000000" w:rsidDel="00000000" w:rsidP="00000000" w:rsidRDefault="00000000" w:rsidRPr="00000000" w14:paraId="00000048">
      <w:pPr>
        <w:ind w:left="-15" w:right="-4" w:firstLine="698"/>
        <w:rPr/>
      </w:pPr>
      <w:r w:rsidDel="00000000" w:rsidR="00000000" w:rsidRPr="00000000">
        <w:rPr>
          <w:rtl w:val="0"/>
        </w:rPr>
        <w:t xml:space="preserve">A ética profissional no âmbito do Serviço social no sistema prisional, mostra que a atuação do assistente social tem um papel fundamental na promoção de valores éticos e na garantia dos direitos humanos dos apenados. Através da reflexão crítica e do compromisso com a justiça social, os assistentes sociais contribuem para a transformação social, atuando na contracultura e na desconstrução de valores impostos pela moral conservadora, que legitimam a alienação e a violação de direitos no ambiente carcerário. </w:t>
      </w:r>
    </w:p>
    <w:p w:rsidR="00000000" w:rsidDel="00000000" w:rsidP="00000000" w:rsidRDefault="00000000" w:rsidRPr="00000000" w14:paraId="00000049">
      <w:pPr>
        <w:ind w:left="-15" w:right="-4" w:firstLine="698"/>
        <w:rPr/>
      </w:pPr>
      <w:r w:rsidDel="00000000" w:rsidR="00000000" w:rsidRPr="00000000">
        <w:rPr>
          <w:rtl w:val="0"/>
        </w:rPr>
        <w:t xml:space="preserve">O Sistema carcerário brasileiro, como supracitado no desenvolvimento, mostra as desigualdades estruturais do país, que traz consigo as de natureza racial e socioeconômica. A criminalização e o tratamento dado às elites e às classes mais baixas demonstram as falhas de um sistema que não abrange todos no princípio de equidade e justiça, pois, o aprisionamento em grande escala de pessoas negras e pobres, transparece a papel do estado como executor de uma lógica de exclusão social.  </w:t>
      </w:r>
    </w:p>
    <w:p w:rsidR="00000000" w:rsidDel="00000000" w:rsidP="00000000" w:rsidRDefault="00000000" w:rsidRPr="00000000" w14:paraId="0000004A">
      <w:pPr>
        <w:ind w:left="-15" w:right="-4" w:firstLine="698"/>
        <w:rPr/>
      </w:pPr>
      <w:r w:rsidDel="00000000" w:rsidR="00000000" w:rsidRPr="00000000">
        <w:rPr>
          <w:rtl w:val="0"/>
        </w:rPr>
        <w:t xml:space="preserve">A busca por melhores condições carcerárias, pelo cumprimento dos direitos humanos e pela igualdade de tratamento no sistema judicial deve ser uma prioridade não só para o Serviço Social, mas para toda a sociedade. Encarar o cenário insalubre citado no desenvolvimento, precisa de uma ação coletiva que abarque toda a sociedade civil, poder público e as instituições que promovem a justiça social. </w:t>
      </w:r>
    </w:p>
    <w:p w:rsidR="00000000" w:rsidDel="00000000" w:rsidP="00000000" w:rsidRDefault="00000000" w:rsidRPr="00000000" w14:paraId="0000004B">
      <w:pPr>
        <w:spacing w:after="0" w:lineRule="auto"/>
        <w:ind w:left="4537" w:right="4477"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C">
      <w:pPr>
        <w:spacing w:after="35" w:line="259" w:lineRule="auto"/>
        <w:ind w:firstLine="0"/>
        <w:jc w:val="lef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4D">
      <w:pPr>
        <w:pStyle w:val="Heading1"/>
        <w:ind w:right="6"/>
        <w:jc w:val="center"/>
        <w:rPr/>
      </w:pPr>
      <w:r w:rsidDel="00000000" w:rsidR="00000000" w:rsidRPr="00000000">
        <w:rPr>
          <w:rtl w:val="0"/>
        </w:rPr>
        <w:t xml:space="preserve">REFERÊNCIAS </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4E">
      <w:pPr>
        <w:spacing w:after="201" w:line="276" w:lineRule="auto"/>
        <w:ind w:right="4" w:firstLine="0"/>
        <w:rPr/>
      </w:pPr>
      <w:r w:rsidDel="00000000" w:rsidR="00000000" w:rsidRPr="00000000">
        <w:rPr>
          <w:rFonts w:ascii="Calibri" w:cs="Calibri" w:eastAsia="Calibri" w:hAnsi="Calibri"/>
          <w:b w:val="1"/>
          <w:rtl w:val="0"/>
        </w:rPr>
        <w:t xml:space="preserve">ABEPSS.</w:t>
      </w:r>
      <w:r w:rsidDel="00000000" w:rsidR="00000000" w:rsidRPr="00000000">
        <w:rPr>
          <w:rFonts w:ascii="Calibri" w:cs="Calibri" w:eastAsia="Calibri" w:hAnsi="Calibri"/>
          <w:rtl w:val="0"/>
        </w:rPr>
        <w:t xml:space="preserve"> Associação Brasileira de Ensino e Pesquisa em Serviço Social. </w:t>
      </w:r>
      <w:r w:rsidDel="00000000" w:rsidR="00000000" w:rsidRPr="00000000">
        <w:rPr>
          <w:rFonts w:ascii="Calibri" w:cs="Calibri" w:eastAsia="Calibri" w:hAnsi="Calibri"/>
          <w:i w:val="1"/>
          <w:rtl w:val="0"/>
        </w:rPr>
        <w:t xml:space="preserve">Diretrizes gerais para o curso de Serviço Social: com base no currículo mínimo aprovado em assembleia geral extraordinária de 8 de novembro de 1996</w:t>
      </w:r>
      <w:r w:rsidDel="00000000" w:rsidR="00000000" w:rsidRPr="00000000">
        <w:rPr>
          <w:rFonts w:ascii="Calibri" w:cs="Calibri" w:eastAsia="Calibri" w:hAnsi="Calibri"/>
          <w:rtl w:val="0"/>
        </w:rPr>
        <w:t xml:space="preserve">. Rio de Janeiro: ABEPSS, 1996. Disponível em:</w:t>
      </w:r>
      <w:hyperlink r:id="rId7">
        <w:r w:rsidDel="00000000" w:rsidR="00000000" w:rsidRPr="00000000">
          <w:rPr>
            <w:rFonts w:ascii="Calibri" w:cs="Calibri" w:eastAsia="Calibri" w:hAnsi="Calibri"/>
            <w:color w:val="0563c1"/>
            <w:rtl w:val="0"/>
          </w:rPr>
          <w:t xml:space="preserve"> </w:t>
        </w:r>
      </w:hyperlink>
      <w:hyperlink r:id="rId8">
        <w:r w:rsidDel="00000000" w:rsidR="00000000" w:rsidRPr="00000000">
          <w:rPr>
            <w:rFonts w:ascii="Calibri" w:cs="Calibri" w:eastAsia="Calibri" w:hAnsi="Calibri"/>
            <w:color w:val="0563c1"/>
            <w:u w:val="single"/>
            <w:rtl w:val="0"/>
          </w:rPr>
          <w:t xml:space="preserve">https://www.abepss.org.br/arquivos/textos/documento_201603311138166377210.pdf</w:t>
        </w:r>
      </w:hyperlink>
      <w:hyperlink r:id="rId9">
        <w:r w:rsidDel="00000000" w:rsidR="00000000" w:rsidRPr="00000000">
          <w:rPr>
            <w:rFonts w:ascii="Calibri" w:cs="Calibri" w:eastAsia="Calibri" w:hAnsi="Calibri"/>
            <w:rtl w:val="0"/>
          </w:rPr>
          <w:t xml:space="preserve">.</w:t>
        </w:r>
      </w:hyperlink>
      <w:r w:rsidDel="00000000" w:rsidR="00000000" w:rsidRPr="00000000">
        <w:rPr>
          <w:rFonts w:ascii="Calibri" w:cs="Calibri" w:eastAsia="Calibri" w:hAnsi="Calibri"/>
          <w:rtl w:val="0"/>
        </w:rPr>
        <w:t xml:space="preserve"> Acesso em: 3 jun. 2025. </w:t>
      </w:r>
      <w:r w:rsidDel="00000000" w:rsidR="00000000" w:rsidRPr="00000000">
        <w:rPr>
          <w:rtl w:val="0"/>
        </w:rPr>
      </w:r>
    </w:p>
    <w:p w:rsidR="00000000" w:rsidDel="00000000" w:rsidP="00000000" w:rsidRDefault="00000000" w:rsidRPr="00000000" w14:paraId="0000004F">
      <w:pPr>
        <w:spacing w:after="201" w:line="276" w:lineRule="auto"/>
        <w:ind w:left="-5" w:right="-13" w:hanging="10"/>
        <w:rPr/>
      </w:pPr>
      <w:r w:rsidDel="00000000" w:rsidR="00000000" w:rsidRPr="00000000">
        <w:rPr>
          <w:rFonts w:ascii="Calibri" w:cs="Calibri" w:eastAsia="Calibri" w:hAnsi="Calibri"/>
          <w:b w:val="1"/>
          <w:rtl w:val="0"/>
        </w:rPr>
        <w:t xml:space="preserve">AUTOR DESCONHECIDO.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O crime de colarinho branco sob o ponto de vista da sociologia criminal</w:t>
      </w:r>
      <w:r w:rsidDel="00000000" w:rsidR="00000000" w:rsidRPr="00000000">
        <w:rPr>
          <w:rFonts w:ascii="Calibri" w:cs="Calibri" w:eastAsia="Calibri" w:hAnsi="Calibri"/>
          <w:rtl w:val="0"/>
        </w:rPr>
        <w:t xml:space="preserve">. Jusbrasil, 13 out. 2018. Disponível em:</w:t>
      </w:r>
      <w:hyperlink r:id="rId10">
        <w:r w:rsidDel="00000000" w:rsidR="00000000" w:rsidRPr="00000000">
          <w:rPr>
            <w:rFonts w:ascii="Calibri" w:cs="Calibri" w:eastAsia="Calibri" w:hAnsi="Calibri"/>
            <w:color w:val="0563c1"/>
            <w:u w:val="single"/>
            <w:rtl w:val="0"/>
          </w:rPr>
          <w:t xml:space="preserve"> https://www.jusbrasil.com.br/artigos/ocrime-de-colarinho-branco-sob-o-ponto-de-vista-da-sociologia-criminal/637198704</w:t>
        </w:r>
      </w:hyperlink>
      <w:hyperlink r:id="rId11">
        <w:r w:rsidDel="00000000" w:rsidR="00000000" w:rsidRPr="00000000">
          <w:rPr>
            <w:rFonts w:ascii="Calibri" w:cs="Calibri" w:eastAsia="Calibri" w:hAnsi="Calibri"/>
            <w:rtl w:val="0"/>
          </w:rPr>
          <w:t xml:space="preserve">.</w:t>
        </w:r>
      </w:hyperlink>
      <w:r w:rsidDel="00000000" w:rsidR="00000000" w:rsidRPr="00000000">
        <w:rPr>
          <w:rFonts w:ascii="Calibri" w:cs="Calibri" w:eastAsia="Calibri" w:hAnsi="Calibri"/>
          <w:rtl w:val="0"/>
        </w:rPr>
        <w:t xml:space="preserve"> Acesso em: 3 jun. 2025. </w:t>
      </w:r>
      <w:r w:rsidDel="00000000" w:rsidR="00000000" w:rsidRPr="00000000">
        <w:rPr>
          <w:rtl w:val="0"/>
        </w:rPr>
      </w:r>
    </w:p>
    <w:p w:rsidR="00000000" w:rsidDel="00000000" w:rsidP="00000000" w:rsidRDefault="00000000" w:rsidRPr="00000000" w14:paraId="00000050">
      <w:pPr>
        <w:spacing w:after="208" w:line="268" w:lineRule="auto"/>
        <w:ind w:left="-5" w:hanging="10"/>
        <w:rPr/>
      </w:pPr>
      <w:r w:rsidDel="00000000" w:rsidR="00000000" w:rsidRPr="00000000">
        <w:rPr>
          <w:rFonts w:ascii="Calibri" w:cs="Calibri" w:eastAsia="Calibri" w:hAnsi="Calibri"/>
          <w:b w:val="1"/>
          <w:rtl w:val="0"/>
        </w:rPr>
        <w:t xml:space="preserve">AUGUSTO, Rhuan.</w:t>
      </w:r>
      <w:r w:rsidDel="00000000" w:rsidR="00000000" w:rsidRPr="00000000">
        <w:rPr>
          <w:rFonts w:ascii="Calibri" w:cs="Calibri" w:eastAsia="Calibri" w:hAnsi="Calibri"/>
          <w:rtl w:val="0"/>
        </w:rPr>
        <w:t xml:space="preserve"> A criminalidade no Brasil: causas, consequências e desafios. Jusbrasil, 26 set. 2023. Disponível em:</w:t>
      </w:r>
      <w:hyperlink r:id="rId12">
        <w:r w:rsidDel="00000000" w:rsidR="00000000" w:rsidRPr="00000000">
          <w:rPr>
            <w:rFonts w:ascii="Calibri" w:cs="Calibri" w:eastAsia="Calibri" w:hAnsi="Calibri"/>
            <w:color w:val="0563c1"/>
            <w:u w:val="single"/>
            <w:rtl w:val="0"/>
          </w:rPr>
          <w:t xml:space="preserve"> https://www.jusbrasil.com.br/artigos/a-criminalidade-no-brasilcausas-consequencias-e-desafios/1979133466</w:t>
        </w:r>
      </w:hyperlink>
      <w:hyperlink r:id="rId13">
        <w:r w:rsidDel="00000000" w:rsidR="00000000" w:rsidRPr="00000000">
          <w:rPr>
            <w:rFonts w:ascii="Calibri" w:cs="Calibri" w:eastAsia="Calibri" w:hAnsi="Calibri"/>
            <w:rtl w:val="0"/>
          </w:rPr>
          <w:t xml:space="preserve">.</w:t>
        </w:r>
      </w:hyperlink>
      <w:r w:rsidDel="00000000" w:rsidR="00000000" w:rsidRPr="00000000">
        <w:rPr>
          <w:rFonts w:ascii="Calibri" w:cs="Calibri" w:eastAsia="Calibri" w:hAnsi="Calibri"/>
          <w:rtl w:val="0"/>
        </w:rPr>
        <w:t xml:space="preserve"> Acesso em: 3 jun. 2025. </w:t>
      </w:r>
      <w:r w:rsidDel="00000000" w:rsidR="00000000" w:rsidRPr="00000000">
        <w:rPr>
          <w:rtl w:val="0"/>
        </w:rPr>
      </w:r>
    </w:p>
    <w:p w:rsidR="00000000" w:rsidDel="00000000" w:rsidP="00000000" w:rsidRDefault="00000000" w:rsidRPr="00000000" w14:paraId="00000051">
      <w:pPr>
        <w:spacing w:after="208" w:line="268" w:lineRule="auto"/>
        <w:ind w:left="-5" w:hanging="10"/>
        <w:rPr/>
      </w:pPr>
      <w:r w:rsidDel="00000000" w:rsidR="00000000" w:rsidRPr="00000000">
        <w:rPr>
          <w:rFonts w:ascii="Calibri" w:cs="Calibri" w:eastAsia="Calibri" w:hAnsi="Calibri"/>
          <w:b w:val="1"/>
          <w:rtl w:val="0"/>
        </w:rPr>
        <w:t xml:space="preserve">BRASIL.</w:t>
      </w:r>
      <w:r w:rsidDel="00000000" w:rsidR="00000000" w:rsidRPr="00000000">
        <w:rPr>
          <w:rFonts w:ascii="Calibri" w:cs="Calibri" w:eastAsia="Calibri" w:hAnsi="Calibri"/>
          <w:rtl w:val="0"/>
        </w:rPr>
        <w:t xml:space="preserve"> Lei nº 8.662, de 7 de junho de 1993. Dispõe sobre a profissão de Assistente Social e dá outras providências. </w:t>
      </w:r>
      <w:r w:rsidDel="00000000" w:rsidR="00000000" w:rsidRPr="00000000">
        <w:rPr>
          <w:rFonts w:ascii="Calibri" w:cs="Calibri" w:eastAsia="Calibri" w:hAnsi="Calibri"/>
          <w:i w:val="1"/>
          <w:rtl w:val="0"/>
        </w:rPr>
        <w:t xml:space="preserve">Diário Oficial da União</w:t>
      </w:r>
      <w:r w:rsidDel="00000000" w:rsidR="00000000" w:rsidRPr="00000000">
        <w:rPr>
          <w:rFonts w:ascii="Calibri" w:cs="Calibri" w:eastAsia="Calibri" w:hAnsi="Calibri"/>
          <w:rtl w:val="0"/>
        </w:rPr>
        <w:t xml:space="preserve">, seção 1, Brasília, DF, 8 jun. 1993. Disponível em:</w:t>
      </w:r>
      <w:hyperlink r:id="rId14">
        <w:r w:rsidDel="00000000" w:rsidR="00000000" w:rsidRPr="00000000">
          <w:rPr>
            <w:rFonts w:ascii="Calibri" w:cs="Calibri" w:eastAsia="Calibri" w:hAnsi="Calibri"/>
            <w:color w:val="0563c1"/>
            <w:u w:val="single"/>
            <w:rtl w:val="0"/>
          </w:rPr>
          <w:t xml:space="preserve"> http://www.planalto.gov.br/ccivil_03/leis/L8662.htm</w:t>
        </w:r>
      </w:hyperlink>
      <w:hyperlink r:id="rId15">
        <w:r w:rsidDel="00000000" w:rsidR="00000000" w:rsidRPr="00000000">
          <w:rPr>
            <w:rFonts w:ascii="Calibri" w:cs="Calibri" w:eastAsia="Calibri" w:hAnsi="Calibri"/>
            <w:rtl w:val="0"/>
          </w:rPr>
          <w:t xml:space="preserve">.</w:t>
        </w:r>
      </w:hyperlink>
      <w:r w:rsidDel="00000000" w:rsidR="00000000" w:rsidRPr="00000000">
        <w:rPr>
          <w:rFonts w:ascii="Calibri" w:cs="Calibri" w:eastAsia="Calibri" w:hAnsi="Calibri"/>
          <w:rtl w:val="0"/>
        </w:rPr>
        <w:t xml:space="preserve"> Acesso em: 17 abr. 2025. </w:t>
      </w:r>
      <w:r w:rsidDel="00000000" w:rsidR="00000000" w:rsidRPr="00000000">
        <w:rPr>
          <w:rtl w:val="0"/>
        </w:rPr>
      </w:r>
    </w:p>
    <w:p w:rsidR="00000000" w:rsidDel="00000000" w:rsidP="00000000" w:rsidRDefault="00000000" w:rsidRPr="00000000" w14:paraId="00000052">
      <w:pPr>
        <w:spacing w:after="208" w:line="268" w:lineRule="auto"/>
        <w:ind w:left="-5" w:hanging="10"/>
        <w:rPr/>
      </w:pPr>
      <w:r w:rsidDel="00000000" w:rsidR="00000000" w:rsidRPr="00000000">
        <w:rPr>
          <w:rFonts w:ascii="Calibri" w:cs="Calibri" w:eastAsia="Calibri" w:hAnsi="Calibri"/>
          <w:b w:val="1"/>
          <w:rtl w:val="0"/>
        </w:rPr>
        <w:t xml:space="preserve">BRITES, Cristina Maria; BARROCO, Maria Lucia.</w:t>
      </w:r>
      <w:r w:rsidDel="00000000" w:rsidR="00000000" w:rsidRPr="00000000">
        <w:rPr>
          <w:rFonts w:ascii="Calibri" w:cs="Calibri" w:eastAsia="Calibri" w:hAnsi="Calibri"/>
          <w:rtl w:val="0"/>
        </w:rPr>
        <w:t xml:space="preserve"> Serviço Social e ética profissional: fundamentos e intervenções críticas. São Paulo: Cortez, 2023. </w:t>
      </w:r>
      <w:r w:rsidDel="00000000" w:rsidR="00000000" w:rsidRPr="00000000">
        <w:rPr>
          <w:rtl w:val="0"/>
        </w:rPr>
      </w:r>
    </w:p>
    <w:p w:rsidR="00000000" w:rsidDel="00000000" w:rsidP="00000000" w:rsidRDefault="00000000" w:rsidRPr="00000000" w14:paraId="00000053">
      <w:pPr>
        <w:spacing w:after="208" w:line="268" w:lineRule="auto"/>
        <w:ind w:left="-5" w:hanging="10"/>
        <w:rPr/>
      </w:pPr>
      <w:r w:rsidDel="00000000" w:rsidR="00000000" w:rsidRPr="00000000">
        <w:rPr>
          <w:rFonts w:ascii="Calibri" w:cs="Calibri" w:eastAsia="Calibri" w:hAnsi="Calibri"/>
          <w:b w:val="1"/>
          <w:rtl w:val="0"/>
        </w:rPr>
        <w:t xml:space="preserve">CARDOSO, Priscilla Fernanda.</w:t>
      </w:r>
      <w:r w:rsidDel="00000000" w:rsidR="00000000" w:rsidRPr="00000000">
        <w:rPr>
          <w:rFonts w:ascii="Calibri" w:cs="Calibri" w:eastAsia="Calibri" w:hAnsi="Calibri"/>
          <w:rtl w:val="0"/>
        </w:rPr>
        <w:t xml:space="preserve"> Ética e projetos profissionais: os diferentes caminhos do Serviço Social no Brasil. Campinas, SP: Papel Social, 2013. </w:t>
      </w:r>
      <w:r w:rsidDel="00000000" w:rsidR="00000000" w:rsidRPr="00000000">
        <w:rPr>
          <w:rtl w:val="0"/>
        </w:rPr>
      </w:r>
    </w:p>
    <w:p w:rsidR="00000000" w:rsidDel="00000000" w:rsidP="00000000" w:rsidRDefault="00000000" w:rsidRPr="00000000" w14:paraId="00000054">
      <w:pPr>
        <w:spacing w:after="208" w:line="268" w:lineRule="auto"/>
        <w:ind w:left="-5" w:hanging="10"/>
        <w:rPr/>
      </w:pPr>
      <w:r w:rsidDel="00000000" w:rsidR="00000000" w:rsidRPr="00000000">
        <w:rPr>
          <w:rFonts w:ascii="Calibri" w:cs="Calibri" w:eastAsia="Calibri" w:hAnsi="Calibri"/>
          <w:b w:val="1"/>
          <w:rtl w:val="0"/>
        </w:rPr>
        <w:t xml:space="preserve">CERQUEIRA, Daniel; BUENO, Samira (coord.).</w:t>
      </w:r>
      <w:r w:rsidDel="00000000" w:rsidR="00000000" w:rsidRPr="00000000">
        <w:rPr>
          <w:rFonts w:ascii="Calibri" w:cs="Calibri" w:eastAsia="Calibri" w:hAnsi="Calibri"/>
          <w:rtl w:val="0"/>
        </w:rPr>
        <w:t xml:space="preserve"> Atlas da violência 2024. Brasília: Ipea; FBSP, 2024. Disponível em:</w:t>
      </w:r>
      <w:hyperlink r:id="rId16">
        <w:r w:rsidDel="00000000" w:rsidR="00000000" w:rsidRPr="00000000">
          <w:rPr>
            <w:rFonts w:ascii="Calibri" w:cs="Calibri" w:eastAsia="Calibri" w:hAnsi="Calibri"/>
            <w:color w:val="0563c1"/>
            <w:u w:val="single"/>
            <w:rtl w:val="0"/>
          </w:rPr>
          <w:t xml:space="preserve"> https://www.ipea.gov.br/atlasviolencia/publicacoes</w:t>
        </w:r>
      </w:hyperlink>
      <w:hyperlink r:id="rId17">
        <w:r w:rsidDel="00000000" w:rsidR="00000000" w:rsidRPr="00000000">
          <w:rPr>
            <w:rFonts w:ascii="Calibri" w:cs="Calibri" w:eastAsia="Calibri" w:hAnsi="Calibri"/>
            <w:rtl w:val="0"/>
          </w:rPr>
          <w:t xml:space="preserve">.</w:t>
        </w:r>
      </w:hyperlink>
      <w:r w:rsidDel="00000000" w:rsidR="00000000" w:rsidRPr="00000000">
        <w:rPr>
          <w:rFonts w:ascii="Calibri" w:cs="Calibri" w:eastAsia="Calibri" w:hAnsi="Calibri"/>
          <w:rtl w:val="0"/>
        </w:rPr>
        <w:t xml:space="preserve"> Acesso em: 19 set. 2024. </w:t>
      </w:r>
      <w:r w:rsidDel="00000000" w:rsidR="00000000" w:rsidRPr="00000000">
        <w:rPr>
          <w:rtl w:val="0"/>
        </w:rPr>
      </w:r>
    </w:p>
    <w:p w:rsidR="00000000" w:rsidDel="00000000" w:rsidP="00000000" w:rsidRDefault="00000000" w:rsidRPr="00000000" w14:paraId="00000055">
      <w:pPr>
        <w:spacing w:after="20" w:line="259" w:lineRule="auto"/>
        <w:ind w:firstLine="0"/>
        <w:jc w:val="left"/>
        <w:rPr/>
      </w:pPr>
      <w:r w:rsidDel="00000000" w:rsidR="00000000" w:rsidRPr="00000000">
        <w:rPr>
          <w:rFonts w:ascii="Calibri" w:cs="Calibri" w:eastAsia="Calibri" w:hAnsi="Calibri"/>
          <w:b w:val="1"/>
          <w:rtl w:val="0"/>
        </w:rPr>
        <w:t xml:space="preserve">CONSELHO FEDERAL DE SERVIÇO SOCIAL (Brasil).</w:t>
      </w:r>
      <w:r w:rsidDel="00000000" w:rsidR="00000000" w:rsidRPr="00000000">
        <w:rPr>
          <w:rFonts w:ascii="Calibri" w:cs="Calibri" w:eastAsia="Calibri" w:hAnsi="Calibri"/>
          <w:rtl w:val="0"/>
        </w:rPr>
        <w:t xml:space="preserve"> Código de Ética Profissional do/a </w:t>
      </w:r>
      <w:r w:rsidDel="00000000" w:rsidR="00000000" w:rsidRPr="00000000">
        <w:rPr>
          <w:rtl w:val="0"/>
        </w:rPr>
      </w:r>
    </w:p>
    <w:p w:rsidR="00000000" w:rsidDel="00000000" w:rsidP="00000000" w:rsidRDefault="00000000" w:rsidRPr="00000000" w14:paraId="00000056">
      <w:pPr>
        <w:spacing w:after="208" w:line="268" w:lineRule="auto"/>
        <w:ind w:left="-5" w:hanging="10"/>
        <w:rPr/>
      </w:pPr>
      <w:r w:rsidDel="00000000" w:rsidR="00000000" w:rsidRPr="00000000">
        <w:rPr>
          <w:rFonts w:ascii="Calibri" w:cs="Calibri" w:eastAsia="Calibri" w:hAnsi="Calibri"/>
          <w:rtl w:val="0"/>
        </w:rPr>
        <w:t xml:space="preserve">Assistente Social. Brasília: CFESS, 1993. Disponível em:</w:t>
      </w:r>
      <w:hyperlink r:id="rId18">
        <w:r w:rsidDel="00000000" w:rsidR="00000000" w:rsidRPr="00000000">
          <w:rPr>
            <w:rFonts w:ascii="Calibri" w:cs="Calibri" w:eastAsia="Calibri" w:hAnsi="Calibri"/>
            <w:color w:val="0563c1"/>
            <w:rtl w:val="0"/>
          </w:rPr>
          <w:t xml:space="preserve"> </w:t>
        </w:r>
      </w:hyperlink>
      <w:hyperlink r:id="rId19">
        <w:r w:rsidDel="00000000" w:rsidR="00000000" w:rsidRPr="00000000">
          <w:rPr>
            <w:rFonts w:ascii="Calibri" w:cs="Calibri" w:eastAsia="Calibri" w:hAnsi="Calibri"/>
            <w:color w:val="0563c1"/>
            <w:u w:val="single"/>
            <w:rtl w:val="0"/>
          </w:rPr>
          <w:t xml:space="preserve">https://www.cfess.org.br/arquivos/CEP_CFESS-SITE.pdf</w:t>
        </w:r>
      </w:hyperlink>
      <w:hyperlink r:id="rId20">
        <w:r w:rsidDel="00000000" w:rsidR="00000000" w:rsidRPr="00000000">
          <w:rPr>
            <w:rFonts w:ascii="Calibri" w:cs="Calibri" w:eastAsia="Calibri" w:hAnsi="Calibri"/>
            <w:rtl w:val="0"/>
          </w:rPr>
          <w:t xml:space="preserve">.</w:t>
        </w:r>
      </w:hyperlink>
      <w:r w:rsidDel="00000000" w:rsidR="00000000" w:rsidRPr="00000000">
        <w:rPr>
          <w:rFonts w:ascii="Calibri" w:cs="Calibri" w:eastAsia="Calibri" w:hAnsi="Calibri"/>
          <w:rtl w:val="0"/>
        </w:rPr>
        <w:t xml:space="preserve"> Acesso em: 3 jun. 2025. </w:t>
      </w:r>
      <w:r w:rsidDel="00000000" w:rsidR="00000000" w:rsidRPr="00000000">
        <w:rPr>
          <w:rtl w:val="0"/>
        </w:rPr>
      </w:r>
    </w:p>
    <w:p w:rsidR="00000000" w:rsidDel="00000000" w:rsidP="00000000" w:rsidRDefault="00000000" w:rsidRPr="00000000" w14:paraId="00000057">
      <w:pPr>
        <w:spacing w:after="208" w:line="268" w:lineRule="auto"/>
        <w:ind w:left="-5" w:hanging="10"/>
        <w:rPr/>
      </w:pPr>
      <w:r w:rsidDel="00000000" w:rsidR="00000000" w:rsidRPr="00000000">
        <w:rPr>
          <w:rFonts w:ascii="Calibri" w:cs="Calibri" w:eastAsia="Calibri" w:hAnsi="Calibri"/>
          <w:b w:val="1"/>
          <w:rtl w:val="0"/>
        </w:rPr>
        <w:t xml:space="preserve">CONSELHO FEDERAL DE SERVIÇO SOCIAL.</w:t>
      </w:r>
      <w:r w:rsidDel="00000000" w:rsidR="00000000" w:rsidRPr="00000000">
        <w:rPr>
          <w:rFonts w:ascii="Calibri" w:cs="Calibri" w:eastAsia="Calibri" w:hAnsi="Calibri"/>
          <w:rtl w:val="0"/>
        </w:rPr>
        <w:t xml:space="preserve"> II Seminário nacional: o serviço social no campo sociojurídico na perspectiva da concretização de direitos. Brasília: CFESS, 2012. 180 p. : il. </w:t>
      </w:r>
      <w:r w:rsidDel="00000000" w:rsidR="00000000" w:rsidRPr="00000000">
        <w:rPr>
          <w:rtl w:val="0"/>
        </w:rPr>
      </w:r>
    </w:p>
    <w:p w:rsidR="00000000" w:rsidDel="00000000" w:rsidP="00000000" w:rsidRDefault="00000000" w:rsidRPr="00000000" w14:paraId="00000058">
      <w:pPr>
        <w:spacing w:after="208" w:line="268" w:lineRule="auto"/>
        <w:ind w:left="-5" w:hanging="10"/>
        <w:rPr/>
      </w:pPr>
      <w:r w:rsidDel="00000000" w:rsidR="00000000" w:rsidRPr="00000000">
        <w:rPr>
          <w:rFonts w:ascii="Calibri" w:cs="Calibri" w:eastAsia="Calibri" w:hAnsi="Calibri"/>
          <w:b w:val="1"/>
          <w:rtl w:val="0"/>
        </w:rPr>
        <w:t xml:space="preserve">CONSELHO NACIONAL DE JUSTIÇA (Brasil).</w:t>
      </w:r>
      <w:r w:rsidDel="00000000" w:rsidR="00000000" w:rsidRPr="00000000">
        <w:rPr>
          <w:rFonts w:ascii="Calibri" w:cs="Calibri" w:eastAsia="Calibri" w:hAnsi="Calibri"/>
          <w:rtl w:val="0"/>
        </w:rPr>
        <w:t xml:space="preserve"> Resolução nº 345, de 9 de outubro de 2020. Dispõe sobre o “Juízo 100% Digital” e dá outras providências. </w:t>
      </w:r>
      <w:r w:rsidDel="00000000" w:rsidR="00000000" w:rsidRPr="00000000">
        <w:rPr>
          <w:rFonts w:ascii="Calibri" w:cs="Calibri" w:eastAsia="Calibri" w:hAnsi="Calibri"/>
          <w:i w:val="1"/>
          <w:rtl w:val="0"/>
        </w:rPr>
        <w:t xml:space="preserve">Diário da Justiça Eletrônico do Conselho Nacional de Justiça</w:t>
      </w:r>
      <w:r w:rsidDel="00000000" w:rsidR="00000000" w:rsidRPr="00000000">
        <w:rPr>
          <w:rFonts w:ascii="Calibri" w:cs="Calibri" w:eastAsia="Calibri" w:hAnsi="Calibri"/>
          <w:rtl w:val="0"/>
        </w:rPr>
        <w:t xml:space="preserve">, Brasília, DF, n. 331, p. 2-3, 9 out. 2020. Disponível em:</w:t>
      </w:r>
      <w:hyperlink r:id="rId21">
        <w:r w:rsidDel="00000000" w:rsidR="00000000" w:rsidRPr="00000000">
          <w:rPr>
            <w:rFonts w:ascii="Calibri" w:cs="Calibri" w:eastAsia="Calibri" w:hAnsi="Calibri"/>
            <w:color w:val="0563c1"/>
            <w:rtl w:val="0"/>
          </w:rPr>
          <w:t xml:space="preserve"> </w:t>
        </w:r>
      </w:hyperlink>
      <w:hyperlink r:id="rId22">
        <w:r w:rsidDel="00000000" w:rsidR="00000000" w:rsidRPr="00000000">
          <w:rPr>
            <w:rFonts w:ascii="Calibri" w:cs="Calibri" w:eastAsia="Calibri" w:hAnsi="Calibri"/>
            <w:color w:val="0563c1"/>
            <w:u w:val="single"/>
            <w:rtl w:val="0"/>
          </w:rPr>
          <w:t xml:space="preserve">https://atos.cnj.jus.br/atos/detalhar/3512</w:t>
        </w:r>
      </w:hyperlink>
      <w:hyperlink r:id="rId23">
        <w:r w:rsidDel="00000000" w:rsidR="00000000" w:rsidRPr="00000000">
          <w:rPr>
            <w:rFonts w:ascii="Calibri" w:cs="Calibri" w:eastAsia="Calibri" w:hAnsi="Calibri"/>
            <w:rtl w:val="0"/>
          </w:rPr>
          <w:t xml:space="preserve">.</w:t>
        </w:r>
      </w:hyperlink>
      <w:r w:rsidDel="00000000" w:rsidR="00000000" w:rsidRPr="00000000">
        <w:rPr>
          <w:rFonts w:ascii="Calibri" w:cs="Calibri" w:eastAsia="Calibri" w:hAnsi="Calibri"/>
          <w:rtl w:val="0"/>
        </w:rPr>
        <w:t xml:space="preserve"> Acesso em: 3 jun. 2025. </w:t>
      </w:r>
      <w:r w:rsidDel="00000000" w:rsidR="00000000" w:rsidRPr="00000000">
        <w:rPr>
          <w:rtl w:val="0"/>
        </w:rPr>
      </w:r>
    </w:p>
    <w:p w:rsidR="00000000" w:rsidDel="00000000" w:rsidP="00000000" w:rsidRDefault="00000000" w:rsidRPr="00000000" w14:paraId="00000059">
      <w:pPr>
        <w:spacing w:after="208" w:line="268" w:lineRule="auto"/>
        <w:ind w:left="-5" w:hanging="10"/>
        <w:rPr/>
      </w:pPr>
      <w:r w:rsidDel="00000000" w:rsidR="00000000" w:rsidRPr="00000000">
        <w:rPr>
          <w:rFonts w:ascii="Calibri" w:cs="Calibri" w:eastAsia="Calibri" w:hAnsi="Calibri"/>
          <w:b w:val="1"/>
          <w:rtl w:val="0"/>
        </w:rPr>
        <w:t xml:space="preserve">GRAMSCI, Antonio.</w:t>
      </w:r>
      <w:r w:rsidDel="00000000" w:rsidR="00000000" w:rsidRPr="00000000">
        <w:rPr>
          <w:rFonts w:ascii="Calibri" w:cs="Calibri" w:eastAsia="Calibri" w:hAnsi="Calibri"/>
          <w:rtl w:val="0"/>
        </w:rPr>
        <w:t xml:space="preserve"> Cadernos do cárcere. Tradução Carlos Nelson Coutinho; coedição Luiz Sérgio Henriques e Marco Aurélio Nogueira. Rio de Janeiro: Civilização Brasileira, 2004. </w:t>
      </w:r>
      <w:r w:rsidDel="00000000" w:rsidR="00000000" w:rsidRPr="00000000">
        <w:rPr>
          <w:rtl w:val="0"/>
        </w:rPr>
      </w:r>
    </w:p>
    <w:p w:rsidR="00000000" w:rsidDel="00000000" w:rsidP="00000000" w:rsidRDefault="00000000" w:rsidRPr="00000000" w14:paraId="0000005A">
      <w:pPr>
        <w:spacing w:after="208" w:line="268" w:lineRule="auto"/>
        <w:ind w:left="-5" w:hanging="10"/>
        <w:rPr/>
      </w:pPr>
      <w:r w:rsidDel="00000000" w:rsidR="00000000" w:rsidRPr="00000000">
        <w:rPr>
          <w:rFonts w:ascii="Calibri" w:cs="Calibri" w:eastAsia="Calibri" w:hAnsi="Calibri"/>
          <w:b w:val="1"/>
          <w:rtl w:val="0"/>
        </w:rPr>
        <w:t xml:space="preserve">HELLER, Agnes.</w:t>
      </w:r>
      <w:r w:rsidDel="00000000" w:rsidR="00000000" w:rsidRPr="00000000">
        <w:rPr>
          <w:rFonts w:ascii="Calibri" w:cs="Calibri" w:eastAsia="Calibri" w:hAnsi="Calibri"/>
          <w:rtl w:val="0"/>
        </w:rPr>
        <w:t xml:space="preserve"> Estrutura da vida cotidiana. In: </w:t>
      </w:r>
      <w:r w:rsidDel="00000000" w:rsidR="00000000" w:rsidRPr="00000000">
        <w:rPr>
          <w:rFonts w:ascii="Calibri" w:cs="Calibri" w:eastAsia="Calibri" w:hAnsi="Calibri"/>
          <w:i w:val="1"/>
          <w:rtl w:val="0"/>
        </w:rPr>
        <w:t xml:space="preserve">O cotidiano e a história</w:t>
      </w:r>
      <w:r w:rsidDel="00000000" w:rsidR="00000000" w:rsidRPr="00000000">
        <w:rPr>
          <w:rFonts w:ascii="Calibri" w:cs="Calibri" w:eastAsia="Calibri" w:hAnsi="Calibri"/>
          <w:rtl w:val="0"/>
        </w:rPr>
        <w:t xml:space="preserve">. 4. ed. Rio de Janeiro: Paz e Terra, [s.d.]. </w:t>
      </w:r>
      <w:r w:rsidDel="00000000" w:rsidR="00000000" w:rsidRPr="00000000">
        <w:rPr>
          <w:rtl w:val="0"/>
        </w:rPr>
      </w:r>
    </w:p>
    <w:p w:rsidR="00000000" w:rsidDel="00000000" w:rsidP="00000000" w:rsidRDefault="00000000" w:rsidRPr="00000000" w14:paraId="0000005B">
      <w:pPr>
        <w:spacing w:after="208" w:line="268" w:lineRule="auto"/>
        <w:ind w:left="-5" w:hanging="10"/>
        <w:rPr/>
      </w:pPr>
      <w:r w:rsidDel="00000000" w:rsidR="00000000" w:rsidRPr="00000000">
        <w:rPr>
          <w:rFonts w:ascii="Calibri" w:cs="Calibri" w:eastAsia="Calibri" w:hAnsi="Calibri"/>
          <w:b w:val="1"/>
          <w:rtl w:val="0"/>
        </w:rPr>
        <w:t xml:space="preserve">MACHADO, Nicaela Olímpia; GUIMARÃES, Issac Sabbá.</w:t>
      </w:r>
      <w:r w:rsidDel="00000000" w:rsidR="00000000" w:rsidRPr="00000000">
        <w:rPr>
          <w:rFonts w:ascii="Calibri" w:cs="Calibri" w:eastAsia="Calibri" w:hAnsi="Calibri"/>
          <w:rtl w:val="0"/>
        </w:rPr>
        <w:t xml:space="preserve"> A realidade do sistema prisional brasileiro e o princípio da dignidade da pessoa humana. </w:t>
      </w:r>
      <w:r w:rsidDel="00000000" w:rsidR="00000000" w:rsidRPr="00000000">
        <w:rPr>
          <w:rFonts w:ascii="Calibri" w:cs="Calibri" w:eastAsia="Calibri" w:hAnsi="Calibri"/>
          <w:i w:val="1"/>
          <w:rtl w:val="0"/>
        </w:rPr>
        <w:t xml:space="preserve">Revista Eletrônica de Iniciação Científica</w:t>
      </w:r>
      <w:r w:rsidDel="00000000" w:rsidR="00000000" w:rsidRPr="00000000">
        <w:rPr>
          <w:rFonts w:ascii="Calibri" w:cs="Calibri" w:eastAsia="Calibri" w:hAnsi="Calibri"/>
          <w:rtl w:val="0"/>
        </w:rPr>
        <w:t xml:space="preserve">, Itajaí, v. 5, n. 1, p. 566-581, 1º trim. 2014. Centro de Ciências Sociais e Jurídicas da UNIVALI. Disponível em:</w:t>
      </w:r>
      <w:hyperlink r:id="rId24">
        <w:r w:rsidDel="00000000" w:rsidR="00000000" w:rsidRPr="00000000">
          <w:rPr>
            <w:rFonts w:ascii="Calibri" w:cs="Calibri" w:eastAsia="Calibri" w:hAnsi="Calibri"/>
            <w:color w:val="0563c1"/>
            <w:u w:val="single"/>
            <w:rtl w:val="0"/>
          </w:rPr>
          <w:t xml:space="preserve"> http://www.univali.br/ricc</w:t>
        </w:r>
      </w:hyperlink>
      <w:hyperlink r:id="rId25">
        <w:r w:rsidDel="00000000" w:rsidR="00000000" w:rsidRPr="00000000">
          <w:rPr>
            <w:rFonts w:ascii="Calibri" w:cs="Calibri" w:eastAsia="Calibri" w:hAnsi="Calibri"/>
            <w:rtl w:val="0"/>
          </w:rPr>
          <w:t xml:space="preserve">.</w:t>
        </w:r>
      </w:hyperlink>
      <w:r w:rsidDel="00000000" w:rsidR="00000000" w:rsidRPr="00000000">
        <w:rPr>
          <w:rFonts w:ascii="Calibri" w:cs="Calibri" w:eastAsia="Calibri" w:hAnsi="Calibri"/>
          <w:rtl w:val="0"/>
        </w:rPr>
        <w:t xml:space="preserve"> Acesso em: 3 jun. 2025. </w:t>
      </w:r>
      <w:r w:rsidDel="00000000" w:rsidR="00000000" w:rsidRPr="00000000">
        <w:rPr>
          <w:rtl w:val="0"/>
        </w:rPr>
      </w:r>
    </w:p>
    <w:p w:rsidR="00000000" w:rsidDel="00000000" w:rsidP="00000000" w:rsidRDefault="00000000" w:rsidRPr="00000000" w14:paraId="0000005C">
      <w:pPr>
        <w:spacing w:after="208" w:line="268" w:lineRule="auto"/>
        <w:ind w:left="-5" w:hanging="10"/>
        <w:rPr/>
      </w:pPr>
      <w:r w:rsidDel="00000000" w:rsidR="00000000" w:rsidRPr="00000000">
        <w:rPr>
          <w:rFonts w:ascii="Calibri" w:cs="Calibri" w:eastAsia="Calibri" w:hAnsi="Calibri"/>
          <w:b w:val="1"/>
          <w:rtl w:val="0"/>
        </w:rPr>
        <w:t xml:space="preserve">MARX, Karl.</w:t>
      </w:r>
      <w:r w:rsidDel="00000000" w:rsidR="00000000" w:rsidRPr="00000000">
        <w:rPr>
          <w:rFonts w:ascii="Calibri" w:cs="Calibri" w:eastAsia="Calibri" w:hAnsi="Calibri"/>
          <w:rtl w:val="0"/>
        </w:rPr>
        <w:t xml:space="preserve"> O capital: livro 1. [S.l.]: Boitempo Editorial, 2015. </w:t>
      </w:r>
      <w:r w:rsidDel="00000000" w:rsidR="00000000" w:rsidRPr="00000000">
        <w:rPr>
          <w:rtl w:val="0"/>
        </w:rPr>
      </w:r>
    </w:p>
    <w:p w:rsidR="00000000" w:rsidDel="00000000" w:rsidP="00000000" w:rsidRDefault="00000000" w:rsidRPr="00000000" w14:paraId="0000005D">
      <w:pPr>
        <w:spacing w:after="208" w:line="268" w:lineRule="auto"/>
        <w:ind w:left="-5" w:hanging="10"/>
        <w:rPr/>
      </w:pPr>
      <w:r w:rsidDel="00000000" w:rsidR="00000000" w:rsidRPr="00000000">
        <w:rPr>
          <w:rFonts w:ascii="Calibri" w:cs="Calibri" w:eastAsia="Calibri" w:hAnsi="Calibri"/>
          <w:b w:val="1"/>
          <w:rtl w:val="0"/>
        </w:rPr>
        <w:t xml:space="preserve">MARX, Karl; ENGELS, Friedrich.</w:t>
      </w:r>
      <w:r w:rsidDel="00000000" w:rsidR="00000000" w:rsidRPr="00000000">
        <w:rPr>
          <w:rFonts w:ascii="Calibri" w:cs="Calibri" w:eastAsia="Calibri" w:hAnsi="Calibri"/>
          <w:rtl w:val="0"/>
        </w:rPr>
        <w:t xml:space="preserve"> Manifesto comunista. [S.l.]: Boitempo Editorial, 2015. </w:t>
      </w:r>
      <w:r w:rsidDel="00000000" w:rsidR="00000000" w:rsidRPr="00000000">
        <w:rPr>
          <w:rtl w:val="0"/>
        </w:rPr>
      </w:r>
    </w:p>
    <w:p w:rsidR="00000000" w:rsidDel="00000000" w:rsidP="00000000" w:rsidRDefault="00000000" w:rsidRPr="00000000" w14:paraId="0000005E">
      <w:pPr>
        <w:spacing w:after="208" w:line="268" w:lineRule="auto"/>
        <w:ind w:left="-5" w:hanging="10"/>
        <w:rPr/>
      </w:pPr>
      <w:r w:rsidDel="00000000" w:rsidR="00000000" w:rsidRPr="00000000">
        <w:rPr>
          <w:rFonts w:ascii="Calibri" w:cs="Calibri" w:eastAsia="Calibri" w:hAnsi="Calibri"/>
          <w:b w:val="1"/>
          <w:rtl w:val="0"/>
        </w:rPr>
        <w:t xml:space="preserve">ORGANIZAÇÃO DAS NAÇÕES UNIDAS.</w:t>
      </w:r>
      <w:r w:rsidDel="00000000" w:rsidR="00000000" w:rsidRPr="00000000">
        <w:rPr>
          <w:rFonts w:ascii="Calibri" w:cs="Calibri" w:eastAsia="Calibri" w:hAnsi="Calibri"/>
          <w:rtl w:val="0"/>
        </w:rPr>
        <w:t xml:space="preserve"> Declaração Universal dos Direitos Humanos, 1948. Disponível em:</w:t>
      </w:r>
      <w:hyperlink r:id="rId26">
        <w:r w:rsidDel="00000000" w:rsidR="00000000" w:rsidRPr="00000000">
          <w:rPr>
            <w:rFonts w:ascii="Calibri" w:cs="Calibri" w:eastAsia="Calibri" w:hAnsi="Calibri"/>
            <w:color w:val="0563c1"/>
            <w:u w:val="single"/>
            <w:rtl w:val="0"/>
          </w:rPr>
          <w:t xml:space="preserve"> https://www.unicef.org</w:t>
        </w:r>
      </w:hyperlink>
      <w:hyperlink r:id="rId27">
        <w:r w:rsidDel="00000000" w:rsidR="00000000" w:rsidRPr="00000000">
          <w:rPr>
            <w:rFonts w:ascii="Calibri" w:cs="Calibri" w:eastAsia="Calibri" w:hAnsi="Calibri"/>
            <w:rtl w:val="0"/>
          </w:rPr>
          <w:t xml:space="preserve">.</w:t>
        </w:r>
      </w:hyperlink>
      <w:r w:rsidDel="00000000" w:rsidR="00000000" w:rsidRPr="00000000">
        <w:rPr>
          <w:rFonts w:ascii="Calibri" w:cs="Calibri" w:eastAsia="Calibri" w:hAnsi="Calibri"/>
          <w:rtl w:val="0"/>
        </w:rPr>
        <w:t xml:space="preserve"> Acesso em: 14 set. 2024. </w:t>
      </w:r>
      <w:r w:rsidDel="00000000" w:rsidR="00000000" w:rsidRPr="00000000">
        <w:rPr>
          <w:rtl w:val="0"/>
        </w:rPr>
      </w:r>
    </w:p>
    <w:p w:rsidR="00000000" w:rsidDel="00000000" w:rsidP="00000000" w:rsidRDefault="00000000" w:rsidRPr="00000000" w14:paraId="0000005F">
      <w:pPr>
        <w:spacing w:after="9" w:line="268" w:lineRule="auto"/>
        <w:ind w:left="-5" w:hanging="10"/>
        <w:rPr/>
      </w:pPr>
      <w:r w:rsidDel="00000000" w:rsidR="00000000" w:rsidRPr="00000000">
        <w:rPr>
          <w:rFonts w:ascii="Calibri" w:cs="Calibri" w:eastAsia="Calibri" w:hAnsi="Calibri"/>
          <w:b w:val="1"/>
          <w:rtl w:val="0"/>
        </w:rPr>
        <w:t xml:space="preserve">PEREIRA, Luciano Meneguetti.</w:t>
      </w:r>
      <w:r w:rsidDel="00000000" w:rsidR="00000000" w:rsidRPr="00000000">
        <w:rPr>
          <w:rFonts w:ascii="Calibri" w:cs="Calibri" w:eastAsia="Calibri" w:hAnsi="Calibri"/>
          <w:rtl w:val="0"/>
        </w:rPr>
        <w:t xml:space="preserve"> O Estado de Coisas Inconstitucional e a violação dos direitos humanos no sistema prisional brasileiro. </w:t>
      </w:r>
      <w:r w:rsidDel="00000000" w:rsidR="00000000" w:rsidRPr="00000000">
        <w:rPr>
          <w:rFonts w:ascii="Calibri" w:cs="Calibri" w:eastAsia="Calibri" w:hAnsi="Calibri"/>
          <w:i w:val="1"/>
          <w:rtl w:val="0"/>
        </w:rPr>
        <w:t xml:space="preserve">Revista de Direitos Humanos</w:t>
      </w:r>
      <w:r w:rsidDel="00000000" w:rsidR="00000000" w:rsidRPr="00000000">
        <w:rPr>
          <w:rFonts w:ascii="Calibri" w:cs="Calibri" w:eastAsia="Calibri" w:hAnsi="Calibri"/>
          <w:rtl w:val="0"/>
        </w:rPr>
        <w:t xml:space="preserve">, Bauru, v. 5, n. 1, p. </w:t>
      </w:r>
      <w:r w:rsidDel="00000000" w:rsidR="00000000" w:rsidRPr="00000000">
        <w:rPr>
          <w:rtl w:val="0"/>
        </w:rPr>
      </w:r>
    </w:p>
    <w:p w:rsidR="00000000" w:rsidDel="00000000" w:rsidP="00000000" w:rsidRDefault="00000000" w:rsidRPr="00000000" w14:paraId="00000060">
      <w:pPr>
        <w:spacing w:after="0" w:line="276" w:lineRule="auto"/>
        <w:ind w:left="-5" w:right="-13" w:hanging="10"/>
        <w:rPr/>
      </w:pPr>
      <w:r w:rsidDel="00000000" w:rsidR="00000000" w:rsidRPr="00000000">
        <w:rPr>
          <w:rFonts w:ascii="Calibri" w:cs="Calibri" w:eastAsia="Calibri" w:hAnsi="Calibri"/>
          <w:rtl w:val="0"/>
        </w:rPr>
        <w:t xml:space="preserve">167-190, jan./jun. 2017. Disponível em:</w:t>
      </w:r>
      <w:hyperlink r:id="rId28">
        <w:r w:rsidDel="00000000" w:rsidR="00000000" w:rsidRPr="00000000">
          <w:rPr>
            <w:rFonts w:ascii="Calibri" w:cs="Calibri" w:eastAsia="Calibri" w:hAnsi="Calibri"/>
            <w:color w:val="0563c1"/>
            <w:rtl w:val="0"/>
          </w:rPr>
          <w:t xml:space="preserve"> </w:t>
        </w:r>
      </w:hyperlink>
      <w:hyperlink r:id="rId29">
        <w:r w:rsidDel="00000000" w:rsidR="00000000" w:rsidRPr="00000000">
          <w:rPr>
            <w:rFonts w:ascii="Calibri" w:cs="Calibri" w:eastAsia="Calibri" w:hAnsi="Calibri"/>
            <w:color w:val="0563c1"/>
            <w:u w:val="single"/>
            <w:rtl w:val="0"/>
          </w:rPr>
          <w:t xml:space="preserve">https://www3.faac.unesp.br/ridh/index.php/ridh/article/view/472/206</w:t>
        </w:r>
      </w:hyperlink>
      <w:hyperlink r:id="rId30">
        <w:r w:rsidDel="00000000" w:rsidR="00000000" w:rsidRPr="00000000">
          <w:rPr>
            <w:rFonts w:ascii="Calibri" w:cs="Calibri" w:eastAsia="Calibri" w:hAnsi="Calibri"/>
            <w:rtl w:val="0"/>
          </w:rPr>
          <w:t xml:space="preserve">.</w:t>
        </w:r>
      </w:hyperlink>
      <w:r w:rsidDel="00000000" w:rsidR="00000000" w:rsidRPr="00000000">
        <w:rPr>
          <w:rFonts w:ascii="Calibri" w:cs="Calibri" w:eastAsia="Calibri" w:hAnsi="Calibri"/>
          <w:rtl w:val="0"/>
        </w:rPr>
        <w:t xml:space="preserve"> Acesso em: 16 set. </w:t>
      </w:r>
      <w:r w:rsidDel="00000000" w:rsidR="00000000" w:rsidRPr="00000000">
        <w:rPr>
          <w:rtl w:val="0"/>
        </w:rPr>
      </w:r>
    </w:p>
    <w:p w:rsidR="00000000" w:rsidDel="00000000" w:rsidP="00000000" w:rsidRDefault="00000000" w:rsidRPr="00000000" w14:paraId="00000061">
      <w:pPr>
        <w:spacing w:after="208" w:line="268" w:lineRule="auto"/>
        <w:ind w:left="-5" w:hanging="10"/>
        <w:rPr/>
      </w:pPr>
      <w:r w:rsidDel="00000000" w:rsidR="00000000" w:rsidRPr="00000000">
        <w:rPr>
          <w:rFonts w:ascii="Calibri" w:cs="Calibri" w:eastAsia="Calibri" w:hAnsi="Calibri"/>
          <w:rtl w:val="0"/>
        </w:rPr>
        <w:t xml:space="preserve">2024. </w:t>
      </w:r>
      <w:r w:rsidDel="00000000" w:rsidR="00000000" w:rsidRPr="00000000">
        <w:rPr>
          <w:rtl w:val="0"/>
        </w:rPr>
      </w:r>
    </w:p>
    <w:p w:rsidR="00000000" w:rsidDel="00000000" w:rsidP="00000000" w:rsidRDefault="00000000" w:rsidRPr="00000000" w14:paraId="00000062">
      <w:pPr>
        <w:spacing w:after="0" w:line="259" w:lineRule="auto"/>
        <w:ind w:firstLine="0"/>
        <w:jc w:val="left"/>
        <w:rPr/>
      </w:pPr>
      <w:r w:rsidDel="00000000" w:rsidR="00000000" w:rsidRPr="00000000">
        <w:rPr>
          <w:rFonts w:ascii="Calibri" w:cs="Calibri" w:eastAsia="Calibri" w:hAnsi="Calibri"/>
          <w:rtl w:val="0"/>
        </w:rPr>
        <w:t xml:space="preserve"> </w:t>
      </w:r>
      <w:r w:rsidDel="00000000" w:rsidR="00000000" w:rsidRPr="00000000">
        <w:rPr>
          <w:rtl w:val="0"/>
        </w:rPr>
      </w:r>
    </w:p>
    <w:sectPr>
      <w:headerReference r:id="rId31" w:type="default"/>
      <w:headerReference r:id="rId32" w:type="first"/>
      <w:headerReference r:id="rId33" w:type="even"/>
      <w:footerReference r:id="rId34" w:type="default"/>
      <w:footerReference r:id="rId35" w:type="first"/>
      <w:pgSz w:h="16834" w:w="11909" w:orient="portrait"/>
      <w:pgMar w:bottom="1135" w:top="3447" w:left="1702" w:right="112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69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69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¹ Universidade Federal do Maranhão (Ufma); Graduanda em Serviço Social; e-mail: als.abreeu@gmail.com</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² Universidade Federal do Maranhão (Ufma); Graduanda em Serviço Social; e-mail: vitoria.270403@gmail.com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rPr/>
    </w:pPr>
    <w:r w:rsidDel="00000000" w:rsidR="00000000" w:rsidRPr="00000000">
      <w:rPr>
        <w:rFonts w:ascii="Calibri" w:cs="Calibri" w:eastAsia="Calibri" w:hAnsi="Calibri"/>
        <w:sz w:val="22"/>
        <w:szCs w:val="22"/>
      </w:rPr>
      <mc:AlternateContent>
        <mc:Choice Requires="wps">
          <w:drawing>
            <wp:anchor allowOverlap="1" behindDoc="1" distB="0" distT="0" distL="0" distR="0" hidden="0" layoutInCell="1" locked="0" relativeHeight="0" simplePos="0">
              <wp:simplePos x="0" y="0"/>
              <wp:positionH relativeFrom="page">
                <wp:posOffset>0</wp:posOffset>
              </wp:positionH>
              <wp:positionV relativeFrom="page">
                <wp:posOffset>6984</wp:posOffset>
              </wp:positionV>
              <wp:extent cx="7562088" cy="10682351"/>
              <wp:effectExtent b="0" l="0" r="0" t="0"/>
              <wp:wrapNone/>
              <wp:docPr id="1" name=""/>
              <a:graphic>
                <a:graphicData uri="http://schemas.microsoft.com/office/word/2010/wordprocessingGroup">
                  <wpg:wgp>
                    <wpg:cNvGrpSpPr/>
                    <wpg:grpSpPr>
                      <a:xfrm>
                        <a:off x="0" y="0"/>
                        <a:ext cx="7562088" cy="10682351"/>
                        <a:chOff x="0" y="0"/>
                        <a:chExt cx="7562088" cy="10682351"/>
                      </a:xfrm>
                    </wpg:grpSpPr>
                    <pic:pic>
                      <pic:nvPicPr>
                        <pic:cNvPr id="6610" name="Picture 6610"/>
                        <pic:cNvPicPr/>
                      </pic:nvPicPr>
                      <pic:blipFill>
                        <a:blip r:embed="rId1"/>
                        <a:stretch>
                          <a:fillRect/>
                        </a:stretch>
                      </pic:blipFill>
                      <pic:spPr>
                        <a:xfrm>
                          <a:off x="0" y="-3935"/>
                          <a:ext cx="7543800" cy="10661904"/>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6984</wp:posOffset>
              </wp:positionV>
              <wp:extent cx="7562088" cy="10682351"/>
              <wp:effectExtent b="0" l="0" r="0" t="0"/>
              <wp:wrapNone/>
              <wp:docPr id="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562088" cy="10682351"/>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pPr>
    <w:r w:rsidDel="00000000" w:rsidR="00000000" w:rsidRPr="00000000">
      <w:rPr>
        <w:rFonts w:ascii="Calibri" w:cs="Calibri" w:eastAsia="Calibri" w:hAnsi="Calibri"/>
        <w:sz w:val="22"/>
        <w:szCs w:val="22"/>
      </w:rPr>
      <mc:AlternateContent>
        <mc:Choice Requires="wps">
          <w:drawing>
            <wp:anchor allowOverlap="1" behindDoc="1" distB="0" distT="0" distL="0" distR="0" hidden="0" layoutInCell="1" locked="0" relativeHeight="0" simplePos="0">
              <wp:simplePos x="0" y="0"/>
              <wp:positionH relativeFrom="page">
                <wp:posOffset>0</wp:posOffset>
              </wp:positionH>
              <wp:positionV relativeFrom="page">
                <wp:posOffset>6984</wp:posOffset>
              </wp:positionV>
              <wp:extent cx="7562088" cy="10682351"/>
              <wp:effectExtent b="0" l="0" r="0" t="0"/>
              <wp:wrapNone/>
              <wp:docPr id="3" name=""/>
              <a:graphic>
                <a:graphicData uri="http://schemas.microsoft.com/office/word/2010/wordprocessingGroup">
                  <wpg:wgp>
                    <wpg:cNvGrpSpPr/>
                    <wpg:grpSpPr>
                      <a:xfrm>
                        <a:off x="0" y="0"/>
                        <a:ext cx="7562088" cy="10682351"/>
                        <a:chOff x="0" y="0"/>
                        <a:chExt cx="7562088" cy="10682351"/>
                      </a:xfrm>
                    </wpg:grpSpPr>
                    <pic:pic>
                      <pic:nvPicPr>
                        <pic:cNvPr id="6607" name="Picture 6607"/>
                        <pic:cNvPicPr/>
                      </pic:nvPicPr>
                      <pic:blipFill>
                        <a:blip r:embed="rId1"/>
                        <a:stretch>
                          <a:fillRect/>
                        </a:stretch>
                      </pic:blipFill>
                      <pic:spPr>
                        <a:xfrm>
                          <a:off x="0" y="-3935"/>
                          <a:ext cx="7543800" cy="10661904"/>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6984</wp:posOffset>
              </wp:positionV>
              <wp:extent cx="7562088" cy="10682351"/>
              <wp:effectExtent b="0" l="0" r="0" t="0"/>
              <wp:wrapNone/>
              <wp:docPr id="3"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7562088" cy="10682351"/>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pPr>
    <w:r w:rsidDel="00000000" w:rsidR="00000000" w:rsidRPr="00000000">
      <w:rPr>
        <w:rFonts w:ascii="Calibri" w:cs="Calibri" w:eastAsia="Calibri" w:hAnsi="Calibri"/>
        <w:sz w:val="22"/>
        <w:szCs w:val="22"/>
      </w:rPr>
      <mc:AlternateContent>
        <mc:Choice Requires="wps">
          <w:drawing>
            <wp:anchor allowOverlap="1" behindDoc="1" distB="0" distT="0" distL="0" distR="0" hidden="0" layoutInCell="1" locked="0" relativeHeight="0" simplePos="0">
              <wp:simplePos x="0" y="0"/>
              <wp:positionH relativeFrom="page">
                <wp:align>left</wp:align>
              </wp:positionH>
              <wp:positionV relativeFrom="page">
                <wp:posOffset>130175</wp:posOffset>
              </wp:positionV>
              <wp:extent cx="7562088" cy="10682351"/>
              <wp:effectExtent b="0" l="0" r="0" t="0"/>
              <wp:wrapNone/>
              <wp:docPr id="2" name=""/>
              <a:graphic>
                <a:graphicData uri="http://schemas.microsoft.com/office/word/2010/wordprocessingGroup">
                  <wpg:wgp>
                    <wpg:cNvGrpSpPr/>
                    <wpg:grpSpPr>
                      <a:xfrm>
                        <a:off x="0" y="0"/>
                        <a:ext cx="7562088" cy="10682351"/>
                        <a:chOff x="0" y="0"/>
                        <a:chExt cx="7562088" cy="10682351"/>
                      </a:xfrm>
                    </wpg:grpSpPr>
                    <pic:pic>
                      <pic:nvPicPr>
                        <pic:cNvPr id="6604" name="Picture 6604"/>
                        <pic:cNvPicPr/>
                      </pic:nvPicPr>
                      <pic:blipFill>
                        <a:blip r:embed="rId1"/>
                        <a:stretch>
                          <a:fillRect/>
                        </a:stretch>
                      </pic:blipFill>
                      <pic:spPr>
                        <a:xfrm>
                          <a:off x="0" y="-3935"/>
                          <a:ext cx="7543800" cy="10661904"/>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align>left</wp:align>
              </wp:positionH>
              <wp:positionV relativeFrom="page">
                <wp:posOffset>130175</wp:posOffset>
              </wp:positionV>
              <wp:extent cx="7562088" cy="10682351"/>
              <wp:effectExtent b="0" l="0" r="0" t="0"/>
              <wp:wrapNone/>
              <wp:docPr id="2"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7562088" cy="10682351"/>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0" w:firstLine="0"/>
      </w:pPr>
      <w:rPr>
        <w:rFonts w:ascii="Arial" w:cs="Arial" w:eastAsia="Arial" w:hAnsi="Arial"/>
        <w:b w:val="1"/>
        <w:i w:val="0"/>
        <w:strike w:val="0"/>
        <w:color w:val="000000"/>
        <w:sz w:val="24"/>
        <w:szCs w:val="24"/>
        <w:u w:val="none"/>
        <w:shd w:fill="auto" w:val="clear"/>
        <w:vertAlign w:val="baseline"/>
      </w:rPr>
    </w:lvl>
    <w:lvl w:ilvl="1">
      <w:start w:val="1"/>
      <w:numFmt w:val="lowerLetter"/>
      <w:lvlText w:val="%2"/>
      <w:lvlJc w:val="left"/>
      <w:pPr>
        <w:ind w:left="1200" w:hanging="1200"/>
      </w:pPr>
      <w:rPr>
        <w:rFonts w:ascii="Arial" w:cs="Arial" w:eastAsia="Arial" w:hAnsi="Arial"/>
        <w:b w:val="1"/>
        <w:i w:val="0"/>
        <w:strike w:val="0"/>
        <w:color w:val="000000"/>
        <w:sz w:val="24"/>
        <w:szCs w:val="24"/>
        <w:u w:val="none"/>
        <w:shd w:fill="auto" w:val="clear"/>
        <w:vertAlign w:val="baseline"/>
      </w:rPr>
    </w:lvl>
    <w:lvl w:ilvl="2">
      <w:start w:val="1"/>
      <w:numFmt w:val="lowerRoman"/>
      <w:lvlText w:val="%3"/>
      <w:lvlJc w:val="left"/>
      <w:pPr>
        <w:ind w:left="1920" w:hanging="1920"/>
      </w:pPr>
      <w:rPr>
        <w:rFonts w:ascii="Arial" w:cs="Arial" w:eastAsia="Arial" w:hAnsi="Arial"/>
        <w:b w:val="1"/>
        <w:i w:val="0"/>
        <w:strike w:val="0"/>
        <w:color w:val="000000"/>
        <w:sz w:val="24"/>
        <w:szCs w:val="24"/>
        <w:u w:val="none"/>
        <w:shd w:fill="auto" w:val="clear"/>
        <w:vertAlign w:val="baseline"/>
      </w:rPr>
    </w:lvl>
    <w:lvl w:ilvl="3">
      <w:start w:val="1"/>
      <w:numFmt w:val="decimal"/>
      <w:lvlText w:val="%4"/>
      <w:lvlJc w:val="left"/>
      <w:pPr>
        <w:ind w:left="2640" w:hanging="2640"/>
      </w:pPr>
      <w:rPr>
        <w:rFonts w:ascii="Arial" w:cs="Arial" w:eastAsia="Arial" w:hAnsi="Arial"/>
        <w:b w:val="1"/>
        <w:i w:val="0"/>
        <w:strike w:val="0"/>
        <w:color w:val="000000"/>
        <w:sz w:val="24"/>
        <w:szCs w:val="24"/>
        <w:u w:val="none"/>
        <w:shd w:fill="auto" w:val="clear"/>
        <w:vertAlign w:val="baseline"/>
      </w:rPr>
    </w:lvl>
    <w:lvl w:ilvl="4">
      <w:start w:val="1"/>
      <w:numFmt w:val="lowerLetter"/>
      <w:lvlText w:val="%5"/>
      <w:lvlJc w:val="left"/>
      <w:pPr>
        <w:ind w:left="3360" w:hanging="3360"/>
      </w:pPr>
      <w:rPr>
        <w:rFonts w:ascii="Arial" w:cs="Arial" w:eastAsia="Arial" w:hAnsi="Arial"/>
        <w:b w:val="1"/>
        <w:i w:val="0"/>
        <w:strike w:val="0"/>
        <w:color w:val="000000"/>
        <w:sz w:val="24"/>
        <w:szCs w:val="24"/>
        <w:u w:val="none"/>
        <w:shd w:fill="auto" w:val="clear"/>
        <w:vertAlign w:val="baseline"/>
      </w:rPr>
    </w:lvl>
    <w:lvl w:ilvl="5">
      <w:start w:val="1"/>
      <w:numFmt w:val="lowerRoman"/>
      <w:lvlText w:val="%6"/>
      <w:lvlJc w:val="left"/>
      <w:pPr>
        <w:ind w:left="4080" w:hanging="4080"/>
      </w:pPr>
      <w:rPr>
        <w:rFonts w:ascii="Arial" w:cs="Arial" w:eastAsia="Arial" w:hAnsi="Arial"/>
        <w:b w:val="1"/>
        <w:i w:val="0"/>
        <w:strike w:val="0"/>
        <w:color w:val="000000"/>
        <w:sz w:val="24"/>
        <w:szCs w:val="24"/>
        <w:u w:val="none"/>
        <w:shd w:fill="auto" w:val="clear"/>
        <w:vertAlign w:val="baseline"/>
      </w:rPr>
    </w:lvl>
    <w:lvl w:ilvl="6">
      <w:start w:val="1"/>
      <w:numFmt w:val="decimal"/>
      <w:lvlText w:val="%7"/>
      <w:lvlJc w:val="left"/>
      <w:pPr>
        <w:ind w:left="4800" w:hanging="4800"/>
      </w:pPr>
      <w:rPr>
        <w:rFonts w:ascii="Arial" w:cs="Arial" w:eastAsia="Arial" w:hAnsi="Arial"/>
        <w:b w:val="1"/>
        <w:i w:val="0"/>
        <w:strike w:val="0"/>
        <w:color w:val="000000"/>
        <w:sz w:val="24"/>
        <w:szCs w:val="24"/>
        <w:u w:val="none"/>
        <w:shd w:fill="auto" w:val="clear"/>
        <w:vertAlign w:val="baseline"/>
      </w:rPr>
    </w:lvl>
    <w:lvl w:ilvl="7">
      <w:start w:val="1"/>
      <w:numFmt w:val="lowerLetter"/>
      <w:lvlText w:val="%8"/>
      <w:lvlJc w:val="left"/>
      <w:pPr>
        <w:ind w:left="5520" w:hanging="5520"/>
      </w:pPr>
      <w:rPr>
        <w:rFonts w:ascii="Arial" w:cs="Arial" w:eastAsia="Arial" w:hAnsi="Arial"/>
        <w:b w:val="1"/>
        <w:i w:val="0"/>
        <w:strike w:val="0"/>
        <w:color w:val="000000"/>
        <w:sz w:val="24"/>
        <w:szCs w:val="24"/>
        <w:u w:val="none"/>
        <w:shd w:fill="auto" w:val="clear"/>
        <w:vertAlign w:val="baseline"/>
      </w:rPr>
    </w:lvl>
    <w:lvl w:ilvl="8">
      <w:start w:val="1"/>
      <w:numFmt w:val="lowerRoman"/>
      <w:lvlText w:val="%9"/>
      <w:lvlJc w:val="left"/>
      <w:pPr>
        <w:ind w:left="6240" w:hanging="6240"/>
      </w:pPr>
      <w:rPr>
        <w:rFonts w:ascii="Arial" w:cs="Arial" w:eastAsia="Arial" w:hAnsi="Arial"/>
        <w:b w:val="1"/>
        <w:i w:val="0"/>
        <w:strike w:val="0"/>
        <w:color w:val="000000"/>
        <w:sz w:val="24"/>
        <w:szCs w:val="24"/>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pt_BR"/>
      </w:rPr>
    </w:rPrDefault>
    <w:pPrDefault>
      <w:pPr>
        <w:spacing w:after="3" w:line="360" w:lineRule="auto"/>
        <w:ind w:firstLine="698"/>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370" w:right="0" w:hanging="1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fess.org.br/arquivos/CEP_CFESS-SITE.pdf" TargetMode="External"/><Relationship Id="rId22" Type="http://schemas.openxmlformats.org/officeDocument/2006/relationships/hyperlink" Target="https://atos.cnj.jus.br/atos/detalhar/3512" TargetMode="External"/><Relationship Id="rId21" Type="http://schemas.openxmlformats.org/officeDocument/2006/relationships/hyperlink" Target="https://atos.cnj.jus.br/atos/detalhar/3512" TargetMode="External"/><Relationship Id="rId24" Type="http://schemas.openxmlformats.org/officeDocument/2006/relationships/hyperlink" Target="http://www.univali.br/ricc" TargetMode="External"/><Relationship Id="rId23" Type="http://schemas.openxmlformats.org/officeDocument/2006/relationships/hyperlink" Target="https://atos.cnj.jus.br/atos/detalhar/3512" TargetMode="External"/><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abepss.org.br/arquivos/textos/documento_201603311138166377210.pdf" TargetMode="External"/><Relationship Id="rId26" Type="http://schemas.openxmlformats.org/officeDocument/2006/relationships/hyperlink" Target="https://www.unicef.org/" TargetMode="External"/><Relationship Id="rId25" Type="http://schemas.openxmlformats.org/officeDocument/2006/relationships/hyperlink" Target="http://www.univali.br/ricc" TargetMode="External"/><Relationship Id="rId28" Type="http://schemas.openxmlformats.org/officeDocument/2006/relationships/hyperlink" Target="https://www3.faac.unesp.br/ridh/index.php/ridh/article/view/472/206" TargetMode="External"/><Relationship Id="rId27" Type="http://schemas.openxmlformats.org/officeDocument/2006/relationships/hyperlink" Target="https://www.unicef.org/"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3.faac.unesp.br/ridh/index.php/ridh/article/view/472/206" TargetMode="External"/><Relationship Id="rId7" Type="http://schemas.openxmlformats.org/officeDocument/2006/relationships/hyperlink" Target="https://www.abepss.org.br/arquivos/textos/documento_201603311138166377210.pdf" TargetMode="External"/><Relationship Id="rId8" Type="http://schemas.openxmlformats.org/officeDocument/2006/relationships/hyperlink" Target="https://www.abepss.org.br/arquivos/textos/documento_201603311138166377210.pdf" TargetMode="External"/><Relationship Id="rId31" Type="http://schemas.openxmlformats.org/officeDocument/2006/relationships/header" Target="header2.xml"/><Relationship Id="rId30" Type="http://schemas.openxmlformats.org/officeDocument/2006/relationships/hyperlink" Target="https://www3.faac.unesp.br/ridh/index.php/ridh/article/view/472/206" TargetMode="External"/><Relationship Id="rId11" Type="http://schemas.openxmlformats.org/officeDocument/2006/relationships/hyperlink" Target="https://www.jusbrasil.com.br/artigos/o-crime-de-colarinho-branco-sob-o-ponto-de-vista-da-sociologia-criminal/637198704" TargetMode="External"/><Relationship Id="rId33" Type="http://schemas.openxmlformats.org/officeDocument/2006/relationships/header" Target="header1.xml"/><Relationship Id="rId10" Type="http://schemas.openxmlformats.org/officeDocument/2006/relationships/hyperlink" Target="https://www.jusbrasil.com.br/artigos/o-crime-de-colarinho-branco-sob-o-ponto-de-vista-da-sociologia-criminal/637198704" TargetMode="External"/><Relationship Id="rId32" Type="http://schemas.openxmlformats.org/officeDocument/2006/relationships/header" Target="header3.xml"/><Relationship Id="rId13" Type="http://schemas.openxmlformats.org/officeDocument/2006/relationships/hyperlink" Target="https://www.jusbrasil.com.br/artigos/a-criminalidade-no-brasil-causas-consequencias-e-desafios/1979133466" TargetMode="External"/><Relationship Id="rId35" Type="http://schemas.openxmlformats.org/officeDocument/2006/relationships/footer" Target="footer2.xml"/><Relationship Id="rId12" Type="http://schemas.openxmlformats.org/officeDocument/2006/relationships/hyperlink" Target="https://www.jusbrasil.com.br/artigos/a-criminalidade-no-brasil-causas-consequencias-e-desafios/1979133466" TargetMode="External"/><Relationship Id="rId34" Type="http://schemas.openxmlformats.org/officeDocument/2006/relationships/footer" Target="footer1.xml"/><Relationship Id="rId15" Type="http://schemas.openxmlformats.org/officeDocument/2006/relationships/hyperlink" Target="http://www.planalto.gov.br/ccivil_03/leis/L8662.htm" TargetMode="External"/><Relationship Id="rId14" Type="http://schemas.openxmlformats.org/officeDocument/2006/relationships/hyperlink" Target="http://www.planalto.gov.br/ccivil_03/leis/L8662.htm" TargetMode="External"/><Relationship Id="rId17" Type="http://schemas.openxmlformats.org/officeDocument/2006/relationships/hyperlink" Target="https://www.ipea.gov.br/atlasviolencia/publicacoes" TargetMode="External"/><Relationship Id="rId16" Type="http://schemas.openxmlformats.org/officeDocument/2006/relationships/hyperlink" Target="https://www.ipea.gov.br/atlasviolencia/publicacoes" TargetMode="External"/><Relationship Id="rId19" Type="http://schemas.openxmlformats.org/officeDocument/2006/relationships/hyperlink" Target="https://www.cfess.org.br/arquivos/CEP_CFESS-SITE.pdf" TargetMode="External"/><Relationship Id="rId18" Type="http://schemas.openxmlformats.org/officeDocument/2006/relationships/hyperlink" Target="https://www.cfess.org.br/arquivos/CEP_CFESS-SI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