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2312" w:rsidRPr="002B022F" w:rsidRDefault="00333B57">
      <w:pPr>
        <w:spacing w:line="360" w:lineRule="auto"/>
        <w:ind w:left="0" w:hanging="2"/>
        <w:jc w:val="both"/>
        <w:rPr>
          <w:sz w:val="24"/>
          <w:szCs w:val="24"/>
        </w:rPr>
      </w:pPr>
      <w:r w:rsidRPr="002B022F">
        <w:rPr>
          <w:b/>
          <w:sz w:val="24"/>
          <w:szCs w:val="24"/>
        </w:rPr>
        <w:t>EDUCAÇÃO, RAÇA E CLASSE SOB A LENTE DA LEI 10.639/03</w:t>
      </w:r>
      <w:r w:rsidRPr="002B022F">
        <w:rPr>
          <w:sz w:val="24"/>
          <w:szCs w:val="24"/>
        </w:rPr>
        <w:t>: Contradições e Possibilidades na Formação da Consciência em uma Sociedade Desigual</w:t>
      </w:r>
    </w:p>
    <w:p w:rsidR="00802312" w:rsidRPr="002B022F" w:rsidRDefault="00333B57">
      <w:pPr>
        <w:ind w:left="0" w:right="138" w:hanging="2"/>
        <w:jc w:val="right"/>
        <w:rPr>
          <w:sz w:val="20"/>
          <w:szCs w:val="20"/>
        </w:rPr>
      </w:pPr>
      <w:r w:rsidRPr="002B022F">
        <w:rPr>
          <w:b/>
          <w:sz w:val="20"/>
          <w:szCs w:val="20"/>
        </w:rPr>
        <w:t>Ivaldo da Silva Sousa</w:t>
      </w:r>
      <w:r w:rsidRPr="002B022F">
        <w:rPr>
          <w:b/>
          <w:sz w:val="20"/>
          <w:szCs w:val="20"/>
          <w:vertAlign w:val="superscript"/>
        </w:rPr>
        <w:footnoteReference w:id="1"/>
      </w:r>
    </w:p>
    <w:p w:rsidR="00802312" w:rsidRPr="002B022F" w:rsidRDefault="00333B57">
      <w:pPr>
        <w:pBdr>
          <w:top w:val="nil"/>
          <w:left w:val="nil"/>
          <w:bottom w:val="nil"/>
          <w:right w:val="nil"/>
          <w:between w:val="nil"/>
        </w:pBdr>
        <w:ind w:left="0" w:hanging="2"/>
        <w:jc w:val="right"/>
        <w:rPr>
          <w:sz w:val="20"/>
          <w:szCs w:val="20"/>
        </w:rPr>
      </w:pPr>
      <w:r w:rsidRPr="002B022F">
        <w:rPr>
          <w:b/>
          <w:sz w:val="20"/>
          <w:szCs w:val="20"/>
        </w:rPr>
        <w:tab/>
      </w:r>
    </w:p>
    <w:p w:rsidR="00802312" w:rsidRDefault="00333B57">
      <w:pPr>
        <w:spacing w:line="240" w:lineRule="auto"/>
        <w:ind w:left="0" w:hanging="2"/>
        <w:jc w:val="both"/>
        <w:rPr>
          <w:sz w:val="20"/>
          <w:szCs w:val="20"/>
        </w:rPr>
      </w:pPr>
      <w:r>
        <w:rPr>
          <w:b/>
          <w:sz w:val="20"/>
          <w:szCs w:val="20"/>
        </w:rPr>
        <w:t>Resumo</w:t>
      </w:r>
    </w:p>
    <w:p w:rsidR="00802312" w:rsidRDefault="00333B57">
      <w:pPr>
        <w:spacing w:line="240" w:lineRule="auto"/>
        <w:ind w:left="0" w:hanging="2"/>
        <w:jc w:val="both"/>
        <w:rPr>
          <w:sz w:val="20"/>
          <w:szCs w:val="20"/>
        </w:rPr>
      </w:pPr>
      <w:r>
        <w:rPr>
          <w:sz w:val="20"/>
          <w:szCs w:val="20"/>
        </w:rPr>
        <w:t xml:space="preserve">O Ancorado na tradição marxista, este estudo esquadrinha o descompasso entre a validade jurídica da Lei 10.639/03 e sua execução nas redes de ensino, perguntando até que ponto ela forja consciência crítica sobre raça e classe. A investigação, qualitativa e fundamentada em revisão bibliográfica, utiliza análise de conteúdo para mapear a produção acadêmica recente. Inspirada na dialética </w:t>
      </w:r>
      <w:proofErr w:type="spellStart"/>
      <w:r>
        <w:rPr>
          <w:sz w:val="20"/>
          <w:szCs w:val="20"/>
        </w:rPr>
        <w:t>marxiana</w:t>
      </w:r>
      <w:proofErr w:type="spellEnd"/>
      <w:r>
        <w:rPr>
          <w:sz w:val="20"/>
          <w:szCs w:val="20"/>
        </w:rPr>
        <w:t xml:space="preserve">, a escola é concebida como aparelho ideológico onde se confrontam forças de reprodução capitalista e iniciativas de resistência construídas por sujeitos subalternizados. Os achados revelam que, apesar do avanço simbólico da legislação, sua eficácia é bloqueada por racismo institucional, desvalorização do trabalho docente e escassez de formação continuada voltada à temática étnico-racial. Conclui-se que a ruptura dessas travas exige políticas públicas estruturantes e processos formativos </w:t>
      </w:r>
      <w:proofErr w:type="spellStart"/>
      <w:r>
        <w:rPr>
          <w:sz w:val="20"/>
          <w:szCs w:val="20"/>
        </w:rPr>
        <w:t>auto-geradores</w:t>
      </w:r>
      <w:proofErr w:type="spellEnd"/>
      <w:r>
        <w:rPr>
          <w:sz w:val="20"/>
          <w:szCs w:val="20"/>
        </w:rPr>
        <w:t xml:space="preserve"> que aliem teoria e prática revolucionária, convertendo a escola em espaço de produção de sentidos </w:t>
      </w:r>
      <w:proofErr w:type="spellStart"/>
      <w:r>
        <w:rPr>
          <w:sz w:val="20"/>
          <w:szCs w:val="20"/>
        </w:rPr>
        <w:t>contra-hegemônicos</w:t>
      </w:r>
      <w:proofErr w:type="spellEnd"/>
      <w:r>
        <w:rPr>
          <w:sz w:val="20"/>
          <w:szCs w:val="20"/>
        </w:rPr>
        <w:t xml:space="preserve"> e de luta pela superação das desigualdades estruturais no contexto educativo brasileiro.</w:t>
      </w:r>
    </w:p>
    <w:p w:rsidR="00802312" w:rsidRDefault="00802312">
      <w:pPr>
        <w:spacing w:line="240" w:lineRule="auto"/>
        <w:ind w:left="0" w:hanging="2"/>
        <w:jc w:val="both"/>
        <w:rPr>
          <w:sz w:val="20"/>
          <w:szCs w:val="20"/>
        </w:rPr>
      </w:pPr>
    </w:p>
    <w:p w:rsidR="00802312" w:rsidRDefault="00333B57">
      <w:pPr>
        <w:spacing w:line="240" w:lineRule="auto"/>
        <w:ind w:left="0" w:hanging="2"/>
        <w:jc w:val="both"/>
        <w:rPr>
          <w:sz w:val="20"/>
          <w:szCs w:val="20"/>
        </w:rPr>
      </w:pPr>
      <w:r>
        <w:rPr>
          <w:b/>
          <w:sz w:val="20"/>
          <w:szCs w:val="20"/>
        </w:rPr>
        <w:t>Palavras-chave</w:t>
      </w:r>
      <w:r>
        <w:rPr>
          <w:sz w:val="20"/>
          <w:szCs w:val="20"/>
        </w:rPr>
        <w:t xml:space="preserve">: Educação; Consciência; Classe </w:t>
      </w:r>
    </w:p>
    <w:p w:rsidR="00802312" w:rsidRDefault="00802312">
      <w:pPr>
        <w:spacing w:line="240" w:lineRule="auto"/>
        <w:ind w:left="0" w:hanging="2"/>
        <w:jc w:val="both"/>
        <w:rPr>
          <w:sz w:val="20"/>
          <w:szCs w:val="20"/>
        </w:rPr>
      </w:pPr>
    </w:p>
    <w:p w:rsidR="00802312" w:rsidRDefault="00333B57">
      <w:pPr>
        <w:spacing w:line="360" w:lineRule="auto"/>
        <w:ind w:left="0" w:hanging="2"/>
        <w:jc w:val="both"/>
      </w:pPr>
      <w:r>
        <w:rPr>
          <w:b/>
          <w:sz w:val="24"/>
          <w:szCs w:val="24"/>
        </w:rPr>
        <w:t>EDUCAÇÃO, RAÇA E CLASSE SOB A LENTE DA LEI 10.639/03</w:t>
      </w:r>
      <w:r>
        <w:t xml:space="preserve">: Contradições e Possibilidades </w:t>
      </w:r>
      <w:bookmarkStart w:id="0" w:name="_GoBack"/>
      <w:bookmarkEnd w:id="0"/>
      <w:r>
        <w:t>na Formação da Consciência em uma Sociedade Desigual</w:t>
      </w:r>
    </w:p>
    <w:p w:rsidR="00802312" w:rsidRDefault="00802312">
      <w:pPr>
        <w:spacing w:line="360" w:lineRule="auto"/>
        <w:ind w:left="0" w:hanging="2"/>
        <w:jc w:val="both"/>
      </w:pPr>
    </w:p>
    <w:p w:rsidR="00802312" w:rsidRDefault="00333B57">
      <w:pPr>
        <w:pBdr>
          <w:top w:val="nil"/>
          <w:left w:val="nil"/>
          <w:bottom w:val="nil"/>
          <w:right w:val="nil"/>
          <w:between w:val="nil"/>
        </w:pBdr>
        <w:spacing w:line="240" w:lineRule="auto"/>
        <w:ind w:left="0" w:hanging="2"/>
        <w:jc w:val="both"/>
        <w:rPr>
          <w:color w:val="000000"/>
          <w:sz w:val="20"/>
          <w:szCs w:val="20"/>
        </w:rPr>
      </w:pPr>
      <w:r>
        <w:rPr>
          <w:b/>
          <w:color w:val="000000"/>
          <w:sz w:val="20"/>
          <w:szCs w:val="20"/>
        </w:rPr>
        <w:t>Abstract</w:t>
      </w:r>
      <w:r>
        <w:rPr>
          <w:color w:val="000000"/>
          <w:sz w:val="20"/>
          <w:szCs w:val="20"/>
        </w:rPr>
        <w:br/>
      </w:r>
      <w:proofErr w:type="spellStart"/>
      <w:r>
        <w:rPr>
          <w:color w:val="000000"/>
          <w:sz w:val="20"/>
          <w:szCs w:val="20"/>
        </w:rPr>
        <w:t>Grounded</w:t>
      </w:r>
      <w:proofErr w:type="spellEnd"/>
      <w:r>
        <w:rPr>
          <w:color w:val="000000"/>
          <w:sz w:val="20"/>
          <w:szCs w:val="20"/>
        </w:rPr>
        <w:t xml:space="preserve"> in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Marxist</w:t>
      </w:r>
      <w:proofErr w:type="spellEnd"/>
      <w:r>
        <w:rPr>
          <w:color w:val="000000"/>
          <w:sz w:val="20"/>
          <w:szCs w:val="20"/>
        </w:rPr>
        <w:t xml:space="preserve"> </w:t>
      </w:r>
      <w:proofErr w:type="spellStart"/>
      <w:r>
        <w:rPr>
          <w:color w:val="000000"/>
          <w:sz w:val="20"/>
          <w:szCs w:val="20"/>
        </w:rPr>
        <w:t>tradition</w:t>
      </w:r>
      <w:proofErr w:type="spellEnd"/>
      <w:r>
        <w:rPr>
          <w:color w:val="000000"/>
          <w:sz w:val="20"/>
          <w:szCs w:val="20"/>
        </w:rPr>
        <w:t xml:space="preserve">, </w:t>
      </w:r>
      <w:proofErr w:type="spellStart"/>
      <w:r>
        <w:rPr>
          <w:color w:val="000000"/>
          <w:sz w:val="20"/>
          <w:szCs w:val="20"/>
        </w:rPr>
        <w:t>this</w:t>
      </w:r>
      <w:proofErr w:type="spellEnd"/>
      <w:r>
        <w:rPr>
          <w:color w:val="000000"/>
          <w:sz w:val="20"/>
          <w:szCs w:val="20"/>
        </w:rPr>
        <w:t xml:space="preserve"> </w:t>
      </w:r>
      <w:proofErr w:type="spellStart"/>
      <w:r>
        <w:rPr>
          <w:color w:val="000000"/>
          <w:sz w:val="20"/>
          <w:szCs w:val="20"/>
        </w:rPr>
        <w:t>study</w:t>
      </w:r>
      <w:proofErr w:type="spellEnd"/>
      <w:r>
        <w:rPr>
          <w:color w:val="000000"/>
          <w:sz w:val="20"/>
          <w:szCs w:val="20"/>
        </w:rPr>
        <w:t xml:space="preserve"> explores </w:t>
      </w:r>
      <w:proofErr w:type="spellStart"/>
      <w:r>
        <w:rPr>
          <w:color w:val="000000"/>
          <w:sz w:val="20"/>
          <w:szCs w:val="20"/>
        </w:rPr>
        <w:t>the</w:t>
      </w:r>
      <w:proofErr w:type="spellEnd"/>
      <w:r>
        <w:rPr>
          <w:color w:val="000000"/>
          <w:sz w:val="20"/>
          <w:szCs w:val="20"/>
        </w:rPr>
        <w:t xml:space="preserve"> gap </w:t>
      </w:r>
      <w:proofErr w:type="spellStart"/>
      <w:r>
        <w:rPr>
          <w:color w:val="000000"/>
          <w:sz w:val="20"/>
          <w:szCs w:val="20"/>
        </w:rPr>
        <w:t>between</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legal establishment </w:t>
      </w:r>
      <w:proofErr w:type="spellStart"/>
      <w:r>
        <w:rPr>
          <w:color w:val="000000"/>
          <w:sz w:val="20"/>
          <w:szCs w:val="20"/>
        </w:rPr>
        <w:t>of</w:t>
      </w:r>
      <w:proofErr w:type="spellEnd"/>
      <w:r>
        <w:rPr>
          <w:color w:val="000000"/>
          <w:sz w:val="20"/>
          <w:szCs w:val="20"/>
        </w:rPr>
        <w:t xml:space="preserve"> Law 10.639/03 </w:t>
      </w:r>
      <w:proofErr w:type="spellStart"/>
      <w:r>
        <w:rPr>
          <w:color w:val="000000"/>
          <w:sz w:val="20"/>
          <w:szCs w:val="20"/>
        </w:rPr>
        <w:t>and</w:t>
      </w:r>
      <w:proofErr w:type="spellEnd"/>
      <w:r>
        <w:rPr>
          <w:color w:val="000000"/>
          <w:sz w:val="20"/>
          <w:szCs w:val="20"/>
        </w:rPr>
        <w:t xml:space="preserve"> its </w:t>
      </w:r>
      <w:proofErr w:type="spellStart"/>
      <w:r>
        <w:rPr>
          <w:color w:val="000000"/>
          <w:sz w:val="20"/>
          <w:szCs w:val="20"/>
        </w:rPr>
        <w:t>actual</w:t>
      </w:r>
      <w:proofErr w:type="spellEnd"/>
      <w:r>
        <w:rPr>
          <w:color w:val="000000"/>
          <w:sz w:val="20"/>
          <w:szCs w:val="20"/>
        </w:rPr>
        <w:t xml:space="preserve"> </w:t>
      </w:r>
      <w:proofErr w:type="spellStart"/>
      <w:r>
        <w:rPr>
          <w:color w:val="000000"/>
          <w:sz w:val="20"/>
          <w:szCs w:val="20"/>
        </w:rPr>
        <w:t>implementation</w:t>
      </w:r>
      <w:proofErr w:type="spellEnd"/>
      <w:r>
        <w:rPr>
          <w:color w:val="000000"/>
          <w:sz w:val="20"/>
          <w:szCs w:val="20"/>
        </w:rPr>
        <w:t xml:space="preserve"> </w:t>
      </w:r>
      <w:proofErr w:type="spellStart"/>
      <w:r>
        <w:rPr>
          <w:color w:val="000000"/>
          <w:sz w:val="20"/>
          <w:szCs w:val="20"/>
        </w:rPr>
        <w:t>within</w:t>
      </w:r>
      <w:proofErr w:type="spellEnd"/>
      <w:r>
        <w:rPr>
          <w:color w:val="000000"/>
          <w:sz w:val="20"/>
          <w:szCs w:val="20"/>
        </w:rPr>
        <w:t xml:space="preserve"> </w:t>
      </w:r>
      <w:proofErr w:type="spellStart"/>
      <w:r>
        <w:rPr>
          <w:color w:val="000000"/>
          <w:sz w:val="20"/>
          <w:szCs w:val="20"/>
        </w:rPr>
        <w:t>Brazilian</w:t>
      </w:r>
      <w:proofErr w:type="spellEnd"/>
      <w:r>
        <w:rPr>
          <w:color w:val="000000"/>
          <w:sz w:val="20"/>
          <w:szCs w:val="20"/>
        </w:rPr>
        <w:t xml:space="preserve"> </w:t>
      </w:r>
      <w:proofErr w:type="spellStart"/>
      <w:r>
        <w:rPr>
          <w:color w:val="000000"/>
          <w:sz w:val="20"/>
          <w:szCs w:val="20"/>
        </w:rPr>
        <w:t>educational</w:t>
      </w:r>
      <w:proofErr w:type="spellEnd"/>
      <w:r>
        <w:rPr>
          <w:color w:val="000000"/>
          <w:sz w:val="20"/>
          <w:szCs w:val="20"/>
        </w:rPr>
        <w:t xml:space="preserve"> systems, </w:t>
      </w:r>
      <w:proofErr w:type="spellStart"/>
      <w:r>
        <w:rPr>
          <w:color w:val="000000"/>
          <w:sz w:val="20"/>
          <w:szCs w:val="20"/>
        </w:rPr>
        <w:t>questioning</w:t>
      </w:r>
      <w:proofErr w:type="spellEnd"/>
      <w:r>
        <w:rPr>
          <w:color w:val="000000"/>
          <w:sz w:val="20"/>
          <w:szCs w:val="20"/>
        </w:rPr>
        <w:t xml:space="preserve"> its </w:t>
      </w:r>
      <w:proofErr w:type="spellStart"/>
      <w:r>
        <w:rPr>
          <w:color w:val="000000"/>
          <w:sz w:val="20"/>
          <w:szCs w:val="20"/>
        </w:rPr>
        <w:t>potential</w:t>
      </w:r>
      <w:proofErr w:type="spellEnd"/>
      <w:r>
        <w:rPr>
          <w:color w:val="000000"/>
          <w:sz w:val="20"/>
          <w:szCs w:val="20"/>
        </w:rPr>
        <w:t xml:space="preserve"> </w:t>
      </w:r>
      <w:proofErr w:type="spellStart"/>
      <w:r>
        <w:rPr>
          <w:color w:val="000000"/>
          <w:sz w:val="20"/>
          <w:szCs w:val="20"/>
        </w:rPr>
        <w:t>to</w:t>
      </w:r>
      <w:proofErr w:type="spellEnd"/>
      <w:r>
        <w:rPr>
          <w:color w:val="000000"/>
          <w:sz w:val="20"/>
          <w:szCs w:val="20"/>
        </w:rPr>
        <w:t xml:space="preserve"> </w:t>
      </w:r>
      <w:proofErr w:type="spellStart"/>
      <w:r>
        <w:rPr>
          <w:color w:val="000000"/>
          <w:sz w:val="20"/>
          <w:szCs w:val="20"/>
        </w:rPr>
        <w:t>foster</w:t>
      </w:r>
      <w:proofErr w:type="spellEnd"/>
      <w:r>
        <w:rPr>
          <w:color w:val="000000"/>
          <w:sz w:val="20"/>
          <w:szCs w:val="20"/>
        </w:rPr>
        <w:t xml:space="preserve"> </w:t>
      </w:r>
      <w:proofErr w:type="spellStart"/>
      <w:r>
        <w:rPr>
          <w:color w:val="000000"/>
          <w:sz w:val="20"/>
          <w:szCs w:val="20"/>
        </w:rPr>
        <w:t>critical</w:t>
      </w:r>
      <w:proofErr w:type="spellEnd"/>
      <w:r>
        <w:rPr>
          <w:color w:val="000000"/>
          <w:sz w:val="20"/>
          <w:szCs w:val="20"/>
        </w:rPr>
        <w:t xml:space="preserve"> </w:t>
      </w:r>
      <w:proofErr w:type="spellStart"/>
      <w:r>
        <w:rPr>
          <w:color w:val="000000"/>
          <w:sz w:val="20"/>
          <w:szCs w:val="20"/>
        </w:rPr>
        <w:t>awareness</w:t>
      </w:r>
      <w:proofErr w:type="spellEnd"/>
      <w:r>
        <w:rPr>
          <w:color w:val="000000"/>
          <w:sz w:val="20"/>
          <w:szCs w:val="20"/>
        </w:rPr>
        <w:t xml:space="preserve"> </w:t>
      </w:r>
      <w:proofErr w:type="spellStart"/>
      <w:r>
        <w:rPr>
          <w:color w:val="000000"/>
          <w:sz w:val="20"/>
          <w:szCs w:val="20"/>
        </w:rPr>
        <w:t>regarding</w:t>
      </w:r>
      <w:proofErr w:type="spellEnd"/>
      <w:r>
        <w:rPr>
          <w:color w:val="000000"/>
          <w:sz w:val="20"/>
          <w:szCs w:val="20"/>
        </w:rPr>
        <w:t xml:space="preserve"> </w:t>
      </w:r>
      <w:proofErr w:type="spellStart"/>
      <w:r>
        <w:rPr>
          <w:color w:val="000000"/>
          <w:sz w:val="20"/>
          <w:szCs w:val="20"/>
        </w:rPr>
        <w:t>race</w:t>
      </w:r>
      <w:proofErr w:type="spellEnd"/>
      <w:r>
        <w:rPr>
          <w:color w:val="000000"/>
          <w:sz w:val="20"/>
          <w:szCs w:val="20"/>
        </w:rPr>
        <w:t xml:space="preserve"> </w:t>
      </w:r>
      <w:proofErr w:type="spellStart"/>
      <w:r>
        <w:rPr>
          <w:color w:val="000000"/>
          <w:sz w:val="20"/>
          <w:szCs w:val="20"/>
        </w:rPr>
        <w:t>and</w:t>
      </w:r>
      <w:proofErr w:type="spellEnd"/>
      <w:r>
        <w:rPr>
          <w:color w:val="000000"/>
          <w:sz w:val="20"/>
          <w:szCs w:val="20"/>
        </w:rPr>
        <w:t xml:space="preserve"> class. </w:t>
      </w:r>
      <w:proofErr w:type="spellStart"/>
      <w:r>
        <w:rPr>
          <w:color w:val="000000"/>
          <w:sz w:val="20"/>
          <w:szCs w:val="20"/>
        </w:rPr>
        <w:t>Based</w:t>
      </w:r>
      <w:proofErr w:type="spellEnd"/>
      <w:r>
        <w:rPr>
          <w:color w:val="000000"/>
          <w:sz w:val="20"/>
          <w:szCs w:val="20"/>
        </w:rPr>
        <w:t xml:space="preserve"> </w:t>
      </w:r>
      <w:proofErr w:type="spellStart"/>
      <w:r>
        <w:rPr>
          <w:color w:val="000000"/>
          <w:sz w:val="20"/>
          <w:szCs w:val="20"/>
        </w:rPr>
        <w:t>on</w:t>
      </w:r>
      <w:proofErr w:type="spellEnd"/>
      <w:r>
        <w:rPr>
          <w:color w:val="000000"/>
          <w:sz w:val="20"/>
          <w:szCs w:val="20"/>
        </w:rPr>
        <w:t xml:space="preserve"> a </w:t>
      </w:r>
      <w:proofErr w:type="spellStart"/>
      <w:r>
        <w:rPr>
          <w:color w:val="000000"/>
          <w:sz w:val="20"/>
          <w:szCs w:val="20"/>
        </w:rPr>
        <w:t>qualitative</w:t>
      </w:r>
      <w:proofErr w:type="spellEnd"/>
      <w:r>
        <w:rPr>
          <w:color w:val="000000"/>
          <w:sz w:val="20"/>
          <w:szCs w:val="20"/>
        </w:rPr>
        <w:t xml:space="preserve"> </w:t>
      </w:r>
      <w:proofErr w:type="spellStart"/>
      <w:r>
        <w:rPr>
          <w:color w:val="000000"/>
          <w:sz w:val="20"/>
          <w:szCs w:val="20"/>
        </w:rPr>
        <w:t>methodology</w:t>
      </w:r>
      <w:proofErr w:type="spellEnd"/>
      <w:r>
        <w:rPr>
          <w:color w:val="000000"/>
          <w:sz w:val="20"/>
          <w:szCs w:val="20"/>
        </w:rPr>
        <w:t xml:space="preserve">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supported</w:t>
      </w:r>
      <w:proofErr w:type="spellEnd"/>
      <w:r>
        <w:rPr>
          <w:color w:val="000000"/>
          <w:sz w:val="20"/>
          <w:szCs w:val="20"/>
        </w:rPr>
        <w:t xml:space="preserve"> </w:t>
      </w:r>
      <w:proofErr w:type="spellStart"/>
      <w:r>
        <w:rPr>
          <w:color w:val="000000"/>
          <w:sz w:val="20"/>
          <w:szCs w:val="20"/>
        </w:rPr>
        <w:t>by</w:t>
      </w:r>
      <w:proofErr w:type="spellEnd"/>
      <w:r>
        <w:rPr>
          <w:color w:val="000000"/>
          <w:sz w:val="20"/>
          <w:szCs w:val="20"/>
        </w:rPr>
        <w:t xml:space="preserve"> a </w:t>
      </w:r>
      <w:proofErr w:type="spellStart"/>
      <w:r>
        <w:rPr>
          <w:color w:val="000000"/>
          <w:sz w:val="20"/>
          <w:szCs w:val="20"/>
        </w:rPr>
        <w:t>bibliographic</w:t>
      </w:r>
      <w:proofErr w:type="spellEnd"/>
      <w:r>
        <w:rPr>
          <w:color w:val="000000"/>
          <w:sz w:val="20"/>
          <w:szCs w:val="20"/>
        </w:rPr>
        <w:t xml:space="preserve"> </w:t>
      </w:r>
      <w:proofErr w:type="spellStart"/>
      <w:r>
        <w:rPr>
          <w:color w:val="000000"/>
          <w:sz w:val="20"/>
          <w:szCs w:val="20"/>
        </w:rPr>
        <w:t>review</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research</w:t>
      </w:r>
      <w:proofErr w:type="spellEnd"/>
      <w:r>
        <w:rPr>
          <w:color w:val="000000"/>
          <w:sz w:val="20"/>
          <w:szCs w:val="20"/>
        </w:rPr>
        <w:t xml:space="preserve"> </w:t>
      </w:r>
      <w:proofErr w:type="spellStart"/>
      <w:r>
        <w:rPr>
          <w:color w:val="000000"/>
          <w:sz w:val="20"/>
          <w:szCs w:val="20"/>
        </w:rPr>
        <w:t>applies</w:t>
      </w:r>
      <w:proofErr w:type="spellEnd"/>
      <w:r>
        <w:rPr>
          <w:color w:val="000000"/>
          <w:sz w:val="20"/>
          <w:szCs w:val="20"/>
        </w:rPr>
        <w:t xml:space="preserve"> </w:t>
      </w:r>
      <w:proofErr w:type="spellStart"/>
      <w:r>
        <w:rPr>
          <w:color w:val="000000"/>
          <w:sz w:val="20"/>
          <w:szCs w:val="20"/>
        </w:rPr>
        <w:t>content</w:t>
      </w:r>
      <w:proofErr w:type="spellEnd"/>
      <w:r>
        <w:rPr>
          <w:color w:val="000000"/>
          <w:sz w:val="20"/>
          <w:szCs w:val="20"/>
        </w:rPr>
        <w:t xml:space="preserve"> </w:t>
      </w:r>
      <w:proofErr w:type="spellStart"/>
      <w:r>
        <w:rPr>
          <w:color w:val="000000"/>
          <w:sz w:val="20"/>
          <w:szCs w:val="20"/>
        </w:rPr>
        <w:t>analysis</w:t>
      </w:r>
      <w:proofErr w:type="spellEnd"/>
      <w:r>
        <w:rPr>
          <w:color w:val="000000"/>
          <w:sz w:val="20"/>
          <w:szCs w:val="20"/>
        </w:rPr>
        <w:t xml:space="preserve"> </w:t>
      </w:r>
      <w:proofErr w:type="spellStart"/>
      <w:r>
        <w:rPr>
          <w:color w:val="000000"/>
          <w:sz w:val="20"/>
          <w:szCs w:val="20"/>
        </w:rPr>
        <w:t>to</w:t>
      </w:r>
      <w:proofErr w:type="spellEnd"/>
      <w:r>
        <w:rPr>
          <w:color w:val="000000"/>
          <w:sz w:val="20"/>
          <w:szCs w:val="20"/>
        </w:rPr>
        <w:t xml:space="preserve"> examine </w:t>
      </w:r>
      <w:proofErr w:type="spellStart"/>
      <w:r>
        <w:rPr>
          <w:color w:val="000000"/>
          <w:sz w:val="20"/>
          <w:szCs w:val="20"/>
        </w:rPr>
        <w:t>recent</w:t>
      </w:r>
      <w:proofErr w:type="spellEnd"/>
      <w:r>
        <w:rPr>
          <w:color w:val="000000"/>
          <w:sz w:val="20"/>
          <w:szCs w:val="20"/>
        </w:rPr>
        <w:t xml:space="preserve"> </w:t>
      </w:r>
      <w:proofErr w:type="spellStart"/>
      <w:r>
        <w:rPr>
          <w:color w:val="000000"/>
          <w:sz w:val="20"/>
          <w:szCs w:val="20"/>
        </w:rPr>
        <w:t>academic</w:t>
      </w:r>
      <w:proofErr w:type="spellEnd"/>
      <w:r>
        <w:rPr>
          <w:color w:val="000000"/>
          <w:sz w:val="20"/>
          <w:szCs w:val="20"/>
        </w:rPr>
        <w:t xml:space="preserve"> </w:t>
      </w:r>
      <w:proofErr w:type="spellStart"/>
      <w:r>
        <w:rPr>
          <w:color w:val="000000"/>
          <w:sz w:val="20"/>
          <w:szCs w:val="20"/>
        </w:rPr>
        <w:t>production</w:t>
      </w:r>
      <w:proofErr w:type="spellEnd"/>
      <w:r>
        <w:rPr>
          <w:color w:val="000000"/>
          <w:sz w:val="20"/>
          <w:szCs w:val="20"/>
        </w:rPr>
        <w:t xml:space="preserve">. </w:t>
      </w:r>
      <w:proofErr w:type="spellStart"/>
      <w:r>
        <w:rPr>
          <w:color w:val="000000"/>
          <w:sz w:val="20"/>
          <w:szCs w:val="20"/>
        </w:rPr>
        <w:t>Through</w:t>
      </w:r>
      <w:proofErr w:type="spellEnd"/>
      <w:r>
        <w:rPr>
          <w:color w:val="000000"/>
          <w:sz w:val="20"/>
          <w:szCs w:val="20"/>
        </w:rPr>
        <w:t xml:space="preserve"> a </w:t>
      </w:r>
      <w:proofErr w:type="spellStart"/>
      <w:r>
        <w:rPr>
          <w:color w:val="000000"/>
          <w:sz w:val="20"/>
          <w:szCs w:val="20"/>
        </w:rPr>
        <w:t>Marxian</w:t>
      </w:r>
      <w:proofErr w:type="spellEnd"/>
      <w:r>
        <w:rPr>
          <w:color w:val="000000"/>
          <w:sz w:val="20"/>
          <w:szCs w:val="20"/>
        </w:rPr>
        <w:t xml:space="preserve"> </w:t>
      </w:r>
      <w:proofErr w:type="spellStart"/>
      <w:r>
        <w:rPr>
          <w:color w:val="000000"/>
          <w:sz w:val="20"/>
          <w:szCs w:val="20"/>
        </w:rPr>
        <w:t>dialectical</w:t>
      </w:r>
      <w:proofErr w:type="spellEnd"/>
      <w:r>
        <w:rPr>
          <w:color w:val="000000"/>
          <w:sz w:val="20"/>
          <w:szCs w:val="20"/>
        </w:rPr>
        <w:t xml:space="preserve"> </w:t>
      </w:r>
      <w:proofErr w:type="spellStart"/>
      <w:r>
        <w:rPr>
          <w:color w:val="000000"/>
          <w:sz w:val="20"/>
          <w:szCs w:val="20"/>
        </w:rPr>
        <w:t>lens</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school</w:t>
      </w:r>
      <w:proofErr w:type="spellEnd"/>
      <w:r>
        <w:rPr>
          <w:color w:val="000000"/>
          <w:sz w:val="20"/>
          <w:szCs w:val="20"/>
        </w:rPr>
        <w:t xml:space="preserve"> </w:t>
      </w:r>
      <w:proofErr w:type="spellStart"/>
      <w:r>
        <w:rPr>
          <w:color w:val="000000"/>
          <w:sz w:val="20"/>
          <w:szCs w:val="20"/>
        </w:rPr>
        <w:t>is</w:t>
      </w:r>
      <w:proofErr w:type="spellEnd"/>
      <w:r>
        <w:rPr>
          <w:color w:val="000000"/>
          <w:sz w:val="20"/>
          <w:szCs w:val="20"/>
        </w:rPr>
        <w:t xml:space="preserve"> </w:t>
      </w:r>
      <w:proofErr w:type="spellStart"/>
      <w:r>
        <w:rPr>
          <w:color w:val="000000"/>
          <w:sz w:val="20"/>
          <w:szCs w:val="20"/>
        </w:rPr>
        <w:t>understood</w:t>
      </w:r>
      <w:proofErr w:type="spellEnd"/>
      <w:r>
        <w:rPr>
          <w:color w:val="000000"/>
          <w:sz w:val="20"/>
          <w:szCs w:val="20"/>
        </w:rPr>
        <w:t xml:space="preserve"> as </w:t>
      </w:r>
      <w:proofErr w:type="spellStart"/>
      <w:r>
        <w:rPr>
          <w:color w:val="000000"/>
          <w:sz w:val="20"/>
          <w:szCs w:val="20"/>
        </w:rPr>
        <w:t>an</w:t>
      </w:r>
      <w:proofErr w:type="spellEnd"/>
      <w:r>
        <w:rPr>
          <w:color w:val="000000"/>
          <w:sz w:val="20"/>
          <w:szCs w:val="20"/>
        </w:rPr>
        <w:t xml:space="preserve"> </w:t>
      </w:r>
      <w:proofErr w:type="spellStart"/>
      <w:r>
        <w:rPr>
          <w:color w:val="000000"/>
          <w:sz w:val="20"/>
          <w:szCs w:val="20"/>
        </w:rPr>
        <w:t>ideological</w:t>
      </w:r>
      <w:proofErr w:type="spellEnd"/>
      <w:r>
        <w:rPr>
          <w:color w:val="000000"/>
          <w:sz w:val="20"/>
          <w:szCs w:val="20"/>
        </w:rPr>
        <w:t xml:space="preserve"> </w:t>
      </w:r>
      <w:proofErr w:type="spellStart"/>
      <w:r>
        <w:rPr>
          <w:color w:val="000000"/>
          <w:sz w:val="20"/>
          <w:szCs w:val="20"/>
        </w:rPr>
        <w:t>apparatus</w:t>
      </w:r>
      <w:proofErr w:type="spellEnd"/>
      <w:r>
        <w:rPr>
          <w:color w:val="000000"/>
          <w:sz w:val="20"/>
          <w:szCs w:val="20"/>
        </w:rPr>
        <w:t xml:space="preserve"> </w:t>
      </w:r>
      <w:proofErr w:type="spellStart"/>
      <w:r>
        <w:rPr>
          <w:color w:val="000000"/>
          <w:sz w:val="20"/>
          <w:szCs w:val="20"/>
        </w:rPr>
        <w:t>where</w:t>
      </w:r>
      <w:proofErr w:type="spellEnd"/>
      <w:r>
        <w:rPr>
          <w:color w:val="000000"/>
          <w:sz w:val="20"/>
          <w:szCs w:val="20"/>
        </w:rPr>
        <w:t xml:space="preserve"> </w:t>
      </w:r>
      <w:proofErr w:type="spellStart"/>
      <w:r>
        <w:rPr>
          <w:color w:val="000000"/>
          <w:sz w:val="20"/>
          <w:szCs w:val="20"/>
        </w:rPr>
        <w:t>capitalist</w:t>
      </w:r>
      <w:proofErr w:type="spellEnd"/>
      <w:r>
        <w:rPr>
          <w:color w:val="000000"/>
          <w:sz w:val="20"/>
          <w:szCs w:val="20"/>
        </w:rPr>
        <w:t xml:space="preserve"> </w:t>
      </w:r>
      <w:proofErr w:type="spellStart"/>
      <w:r>
        <w:rPr>
          <w:color w:val="000000"/>
          <w:sz w:val="20"/>
          <w:szCs w:val="20"/>
        </w:rPr>
        <w:t>reproduction</w:t>
      </w:r>
      <w:proofErr w:type="spellEnd"/>
      <w:r>
        <w:rPr>
          <w:color w:val="000000"/>
          <w:sz w:val="20"/>
          <w:szCs w:val="20"/>
        </w:rPr>
        <w:t xml:space="preserve"> </w:t>
      </w:r>
      <w:proofErr w:type="spellStart"/>
      <w:r>
        <w:rPr>
          <w:color w:val="000000"/>
          <w:sz w:val="20"/>
          <w:szCs w:val="20"/>
        </w:rPr>
        <w:t>mechanisms</w:t>
      </w:r>
      <w:proofErr w:type="spellEnd"/>
      <w:r>
        <w:rPr>
          <w:color w:val="000000"/>
          <w:sz w:val="20"/>
          <w:szCs w:val="20"/>
        </w:rPr>
        <w:t xml:space="preserve"> </w:t>
      </w:r>
      <w:proofErr w:type="spellStart"/>
      <w:r>
        <w:rPr>
          <w:color w:val="000000"/>
          <w:sz w:val="20"/>
          <w:szCs w:val="20"/>
        </w:rPr>
        <w:t>collide</w:t>
      </w:r>
      <w:proofErr w:type="spellEnd"/>
      <w:r>
        <w:rPr>
          <w:color w:val="000000"/>
          <w:sz w:val="20"/>
          <w:szCs w:val="20"/>
        </w:rPr>
        <w:t xml:space="preserve"> </w:t>
      </w:r>
      <w:proofErr w:type="spellStart"/>
      <w:r>
        <w:rPr>
          <w:color w:val="000000"/>
          <w:sz w:val="20"/>
          <w:szCs w:val="20"/>
        </w:rPr>
        <w:t>with</w:t>
      </w:r>
      <w:proofErr w:type="spellEnd"/>
      <w:r>
        <w:rPr>
          <w:color w:val="000000"/>
          <w:sz w:val="20"/>
          <w:szCs w:val="20"/>
        </w:rPr>
        <w:t xml:space="preserve"> </w:t>
      </w:r>
      <w:proofErr w:type="spellStart"/>
      <w:r>
        <w:rPr>
          <w:color w:val="000000"/>
          <w:sz w:val="20"/>
          <w:szCs w:val="20"/>
        </w:rPr>
        <w:t>acts</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resistance</w:t>
      </w:r>
      <w:proofErr w:type="spellEnd"/>
      <w:r>
        <w:rPr>
          <w:color w:val="000000"/>
          <w:sz w:val="20"/>
          <w:szCs w:val="20"/>
        </w:rPr>
        <w:t xml:space="preserve"> </w:t>
      </w:r>
      <w:proofErr w:type="spellStart"/>
      <w:r>
        <w:rPr>
          <w:color w:val="000000"/>
          <w:sz w:val="20"/>
          <w:szCs w:val="20"/>
        </w:rPr>
        <w:t>led</w:t>
      </w:r>
      <w:proofErr w:type="spellEnd"/>
      <w:r>
        <w:rPr>
          <w:color w:val="000000"/>
          <w:sz w:val="20"/>
          <w:szCs w:val="20"/>
        </w:rPr>
        <w:t xml:space="preserve"> </w:t>
      </w:r>
      <w:proofErr w:type="spellStart"/>
      <w:r>
        <w:rPr>
          <w:color w:val="000000"/>
          <w:sz w:val="20"/>
          <w:szCs w:val="20"/>
        </w:rPr>
        <w:t>by</w:t>
      </w:r>
      <w:proofErr w:type="spellEnd"/>
      <w:r>
        <w:rPr>
          <w:color w:val="000000"/>
          <w:sz w:val="20"/>
          <w:szCs w:val="20"/>
        </w:rPr>
        <w:t xml:space="preserve"> </w:t>
      </w:r>
      <w:proofErr w:type="spellStart"/>
      <w:r>
        <w:rPr>
          <w:color w:val="000000"/>
          <w:sz w:val="20"/>
          <w:szCs w:val="20"/>
        </w:rPr>
        <w:t>historically</w:t>
      </w:r>
      <w:proofErr w:type="spellEnd"/>
      <w:r>
        <w:rPr>
          <w:color w:val="000000"/>
          <w:sz w:val="20"/>
          <w:szCs w:val="20"/>
        </w:rPr>
        <w:t xml:space="preserve"> </w:t>
      </w:r>
      <w:proofErr w:type="spellStart"/>
      <w:r>
        <w:rPr>
          <w:color w:val="000000"/>
          <w:sz w:val="20"/>
          <w:szCs w:val="20"/>
        </w:rPr>
        <w:t>marginalized</w:t>
      </w:r>
      <w:proofErr w:type="spellEnd"/>
      <w:r>
        <w:rPr>
          <w:color w:val="000000"/>
          <w:sz w:val="20"/>
          <w:szCs w:val="20"/>
        </w:rPr>
        <w:t xml:space="preserve"> </w:t>
      </w:r>
      <w:proofErr w:type="spellStart"/>
      <w:r>
        <w:rPr>
          <w:color w:val="000000"/>
          <w:sz w:val="20"/>
          <w:szCs w:val="20"/>
        </w:rPr>
        <w:t>subjects</w:t>
      </w:r>
      <w:proofErr w:type="spellEnd"/>
      <w:r>
        <w:rPr>
          <w:color w:val="000000"/>
          <w:sz w:val="20"/>
          <w:szCs w:val="20"/>
        </w:rPr>
        <w:t xml:space="preserve">. </w:t>
      </w:r>
      <w:proofErr w:type="spellStart"/>
      <w:r>
        <w:rPr>
          <w:color w:val="000000"/>
          <w:sz w:val="20"/>
          <w:szCs w:val="20"/>
        </w:rPr>
        <w:t>Findings</w:t>
      </w:r>
      <w:proofErr w:type="spellEnd"/>
      <w:r>
        <w:rPr>
          <w:color w:val="000000"/>
          <w:sz w:val="20"/>
          <w:szCs w:val="20"/>
        </w:rPr>
        <w:t xml:space="preserve"> </w:t>
      </w:r>
      <w:proofErr w:type="spellStart"/>
      <w:r>
        <w:rPr>
          <w:color w:val="000000"/>
          <w:sz w:val="20"/>
          <w:szCs w:val="20"/>
        </w:rPr>
        <w:t>suggest</w:t>
      </w:r>
      <w:proofErr w:type="spellEnd"/>
      <w:r>
        <w:rPr>
          <w:color w:val="000000"/>
          <w:sz w:val="20"/>
          <w:szCs w:val="20"/>
        </w:rPr>
        <w:t xml:space="preserve"> </w:t>
      </w:r>
      <w:proofErr w:type="spellStart"/>
      <w:r>
        <w:rPr>
          <w:color w:val="000000"/>
          <w:sz w:val="20"/>
          <w:szCs w:val="20"/>
        </w:rPr>
        <w:t>that</w:t>
      </w:r>
      <w:proofErr w:type="spellEnd"/>
      <w:r>
        <w:rPr>
          <w:color w:val="000000"/>
          <w:sz w:val="20"/>
          <w:szCs w:val="20"/>
        </w:rPr>
        <w:t xml:space="preserve">, </w:t>
      </w:r>
      <w:proofErr w:type="spellStart"/>
      <w:r>
        <w:rPr>
          <w:color w:val="000000"/>
          <w:sz w:val="20"/>
          <w:szCs w:val="20"/>
        </w:rPr>
        <w:t>while</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law</w:t>
      </w:r>
      <w:proofErr w:type="spellEnd"/>
      <w:r>
        <w:rPr>
          <w:color w:val="000000"/>
          <w:sz w:val="20"/>
          <w:szCs w:val="20"/>
        </w:rPr>
        <w:t xml:space="preserve"> </w:t>
      </w:r>
      <w:proofErr w:type="spellStart"/>
      <w:r>
        <w:rPr>
          <w:color w:val="000000"/>
          <w:sz w:val="20"/>
          <w:szCs w:val="20"/>
        </w:rPr>
        <w:t>represents</w:t>
      </w:r>
      <w:proofErr w:type="spellEnd"/>
      <w:r>
        <w:rPr>
          <w:color w:val="000000"/>
          <w:sz w:val="20"/>
          <w:szCs w:val="20"/>
        </w:rPr>
        <w:t xml:space="preserve"> a </w:t>
      </w:r>
      <w:proofErr w:type="spellStart"/>
      <w:r>
        <w:rPr>
          <w:color w:val="000000"/>
          <w:sz w:val="20"/>
          <w:szCs w:val="20"/>
        </w:rPr>
        <w:t>symbolic</w:t>
      </w:r>
      <w:proofErr w:type="spellEnd"/>
      <w:r>
        <w:rPr>
          <w:color w:val="000000"/>
          <w:sz w:val="20"/>
          <w:szCs w:val="20"/>
        </w:rPr>
        <w:t xml:space="preserve"> </w:t>
      </w:r>
      <w:proofErr w:type="spellStart"/>
      <w:r>
        <w:rPr>
          <w:color w:val="000000"/>
          <w:sz w:val="20"/>
          <w:szCs w:val="20"/>
        </w:rPr>
        <w:t>and</w:t>
      </w:r>
      <w:proofErr w:type="spellEnd"/>
      <w:r>
        <w:rPr>
          <w:color w:val="000000"/>
          <w:sz w:val="20"/>
          <w:szCs w:val="20"/>
        </w:rPr>
        <w:t xml:space="preserve"> legal </w:t>
      </w:r>
      <w:proofErr w:type="spellStart"/>
      <w:r>
        <w:rPr>
          <w:color w:val="000000"/>
          <w:sz w:val="20"/>
          <w:szCs w:val="20"/>
        </w:rPr>
        <w:t>achievement</w:t>
      </w:r>
      <w:proofErr w:type="spellEnd"/>
      <w:r>
        <w:rPr>
          <w:color w:val="000000"/>
          <w:sz w:val="20"/>
          <w:szCs w:val="20"/>
        </w:rPr>
        <w:t xml:space="preserve">, its </w:t>
      </w:r>
      <w:proofErr w:type="spellStart"/>
      <w:r>
        <w:rPr>
          <w:color w:val="000000"/>
          <w:sz w:val="20"/>
          <w:szCs w:val="20"/>
        </w:rPr>
        <w:t>effectiveness</w:t>
      </w:r>
      <w:proofErr w:type="spellEnd"/>
      <w:r>
        <w:rPr>
          <w:color w:val="000000"/>
          <w:sz w:val="20"/>
          <w:szCs w:val="20"/>
        </w:rPr>
        <w:t xml:space="preserve"> </w:t>
      </w:r>
      <w:proofErr w:type="spellStart"/>
      <w:r>
        <w:rPr>
          <w:color w:val="000000"/>
          <w:sz w:val="20"/>
          <w:szCs w:val="20"/>
        </w:rPr>
        <w:t>is</w:t>
      </w:r>
      <w:proofErr w:type="spellEnd"/>
      <w:r>
        <w:rPr>
          <w:color w:val="000000"/>
          <w:sz w:val="20"/>
          <w:szCs w:val="20"/>
        </w:rPr>
        <w:t xml:space="preserve"> </w:t>
      </w:r>
      <w:proofErr w:type="spellStart"/>
      <w:r>
        <w:rPr>
          <w:color w:val="000000"/>
          <w:sz w:val="20"/>
          <w:szCs w:val="20"/>
        </w:rPr>
        <w:t>obstructed</w:t>
      </w:r>
      <w:proofErr w:type="spellEnd"/>
      <w:r>
        <w:rPr>
          <w:color w:val="000000"/>
          <w:sz w:val="20"/>
          <w:szCs w:val="20"/>
        </w:rPr>
        <w:t xml:space="preserve"> </w:t>
      </w:r>
      <w:proofErr w:type="spellStart"/>
      <w:r>
        <w:rPr>
          <w:color w:val="000000"/>
          <w:sz w:val="20"/>
          <w:szCs w:val="20"/>
        </w:rPr>
        <w:t>by</w:t>
      </w:r>
      <w:proofErr w:type="spellEnd"/>
      <w:r>
        <w:rPr>
          <w:color w:val="000000"/>
          <w:sz w:val="20"/>
          <w:szCs w:val="20"/>
        </w:rPr>
        <w:t xml:space="preserve"> </w:t>
      </w:r>
      <w:proofErr w:type="spellStart"/>
      <w:r>
        <w:rPr>
          <w:color w:val="000000"/>
          <w:sz w:val="20"/>
          <w:szCs w:val="20"/>
        </w:rPr>
        <w:t>institutional</w:t>
      </w:r>
      <w:proofErr w:type="spellEnd"/>
      <w:r>
        <w:rPr>
          <w:color w:val="000000"/>
          <w:sz w:val="20"/>
          <w:szCs w:val="20"/>
        </w:rPr>
        <w:t xml:space="preserve"> </w:t>
      </w:r>
      <w:proofErr w:type="spellStart"/>
      <w:r>
        <w:rPr>
          <w:color w:val="000000"/>
          <w:sz w:val="20"/>
          <w:szCs w:val="20"/>
        </w:rPr>
        <w:t>racism</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devaluation</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teaching</w:t>
      </w:r>
      <w:proofErr w:type="spellEnd"/>
      <w:r>
        <w:rPr>
          <w:color w:val="000000"/>
          <w:sz w:val="20"/>
          <w:szCs w:val="20"/>
        </w:rPr>
        <w:t xml:space="preserve"> labor,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absence</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continued</w:t>
      </w:r>
      <w:proofErr w:type="spellEnd"/>
      <w:r>
        <w:rPr>
          <w:color w:val="000000"/>
          <w:sz w:val="20"/>
          <w:szCs w:val="20"/>
        </w:rPr>
        <w:t xml:space="preserve"> training </w:t>
      </w:r>
      <w:proofErr w:type="spellStart"/>
      <w:r>
        <w:rPr>
          <w:color w:val="000000"/>
          <w:sz w:val="20"/>
          <w:szCs w:val="20"/>
        </w:rPr>
        <w:t>on</w:t>
      </w:r>
      <w:proofErr w:type="spellEnd"/>
      <w:r>
        <w:rPr>
          <w:color w:val="000000"/>
          <w:sz w:val="20"/>
          <w:szCs w:val="20"/>
        </w:rPr>
        <w:t xml:space="preserve"> </w:t>
      </w:r>
      <w:proofErr w:type="spellStart"/>
      <w:r>
        <w:rPr>
          <w:color w:val="000000"/>
          <w:sz w:val="20"/>
          <w:szCs w:val="20"/>
        </w:rPr>
        <w:t>ethnic</w:t>
      </w:r>
      <w:proofErr w:type="spellEnd"/>
      <w:r>
        <w:rPr>
          <w:color w:val="000000"/>
          <w:sz w:val="20"/>
          <w:szCs w:val="20"/>
        </w:rPr>
        <w:t xml:space="preserve">-racial </w:t>
      </w:r>
      <w:proofErr w:type="spellStart"/>
      <w:r>
        <w:rPr>
          <w:color w:val="000000"/>
          <w:sz w:val="20"/>
          <w:szCs w:val="20"/>
        </w:rPr>
        <w:t>issues</w:t>
      </w:r>
      <w:proofErr w:type="spellEnd"/>
      <w:r>
        <w:rPr>
          <w:color w:val="000000"/>
          <w:sz w:val="20"/>
          <w:szCs w:val="20"/>
        </w:rPr>
        <w:t xml:space="preserve">. The </w:t>
      </w:r>
      <w:proofErr w:type="spellStart"/>
      <w:r>
        <w:rPr>
          <w:color w:val="000000"/>
          <w:sz w:val="20"/>
          <w:szCs w:val="20"/>
        </w:rPr>
        <w:t>study</w:t>
      </w:r>
      <w:proofErr w:type="spellEnd"/>
      <w:r>
        <w:rPr>
          <w:color w:val="000000"/>
          <w:sz w:val="20"/>
          <w:szCs w:val="20"/>
        </w:rPr>
        <w:t xml:space="preserve"> </w:t>
      </w:r>
      <w:proofErr w:type="spellStart"/>
      <w:r>
        <w:rPr>
          <w:color w:val="000000"/>
          <w:sz w:val="20"/>
          <w:szCs w:val="20"/>
        </w:rPr>
        <w:t>concludes</w:t>
      </w:r>
      <w:proofErr w:type="spellEnd"/>
      <w:r>
        <w:rPr>
          <w:color w:val="000000"/>
          <w:sz w:val="20"/>
          <w:szCs w:val="20"/>
        </w:rPr>
        <w:t xml:space="preserve"> </w:t>
      </w:r>
      <w:proofErr w:type="spellStart"/>
      <w:r>
        <w:rPr>
          <w:color w:val="000000"/>
          <w:sz w:val="20"/>
          <w:szCs w:val="20"/>
        </w:rPr>
        <w:t>that</w:t>
      </w:r>
      <w:proofErr w:type="spellEnd"/>
      <w:r>
        <w:rPr>
          <w:color w:val="000000"/>
          <w:sz w:val="20"/>
          <w:szCs w:val="20"/>
        </w:rPr>
        <w:t xml:space="preserve"> </w:t>
      </w:r>
      <w:proofErr w:type="spellStart"/>
      <w:r>
        <w:rPr>
          <w:color w:val="000000"/>
          <w:sz w:val="20"/>
          <w:szCs w:val="20"/>
        </w:rPr>
        <w:t>overcoming</w:t>
      </w:r>
      <w:proofErr w:type="spellEnd"/>
      <w:r>
        <w:rPr>
          <w:color w:val="000000"/>
          <w:sz w:val="20"/>
          <w:szCs w:val="20"/>
        </w:rPr>
        <w:t xml:space="preserve"> </w:t>
      </w:r>
      <w:proofErr w:type="spellStart"/>
      <w:r>
        <w:rPr>
          <w:color w:val="000000"/>
          <w:sz w:val="20"/>
          <w:szCs w:val="20"/>
        </w:rPr>
        <w:t>these</w:t>
      </w:r>
      <w:proofErr w:type="spellEnd"/>
      <w:r>
        <w:rPr>
          <w:color w:val="000000"/>
          <w:sz w:val="20"/>
          <w:szCs w:val="20"/>
        </w:rPr>
        <w:t xml:space="preserve"> </w:t>
      </w:r>
      <w:proofErr w:type="spellStart"/>
      <w:r>
        <w:rPr>
          <w:color w:val="000000"/>
          <w:sz w:val="20"/>
          <w:szCs w:val="20"/>
        </w:rPr>
        <w:t>structural</w:t>
      </w:r>
      <w:proofErr w:type="spellEnd"/>
      <w:r>
        <w:rPr>
          <w:color w:val="000000"/>
          <w:sz w:val="20"/>
          <w:szCs w:val="20"/>
        </w:rPr>
        <w:t xml:space="preserve"> </w:t>
      </w:r>
      <w:proofErr w:type="spellStart"/>
      <w:r>
        <w:rPr>
          <w:color w:val="000000"/>
          <w:sz w:val="20"/>
          <w:szCs w:val="20"/>
        </w:rPr>
        <w:t>limitations</w:t>
      </w:r>
      <w:proofErr w:type="spellEnd"/>
      <w:r>
        <w:rPr>
          <w:color w:val="000000"/>
          <w:sz w:val="20"/>
          <w:szCs w:val="20"/>
        </w:rPr>
        <w:t xml:space="preserve"> </w:t>
      </w:r>
      <w:proofErr w:type="spellStart"/>
      <w:r>
        <w:rPr>
          <w:color w:val="000000"/>
          <w:sz w:val="20"/>
          <w:szCs w:val="20"/>
        </w:rPr>
        <w:t>requires</w:t>
      </w:r>
      <w:proofErr w:type="spellEnd"/>
      <w:r>
        <w:rPr>
          <w:color w:val="000000"/>
          <w:sz w:val="20"/>
          <w:szCs w:val="20"/>
        </w:rPr>
        <w:t xml:space="preserve"> </w:t>
      </w:r>
      <w:proofErr w:type="spellStart"/>
      <w:r>
        <w:rPr>
          <w:color w:val="000000"/>
          <w:sz w:val="20"/>
          <w:szCs w:val="20"/>
        </w:rPr>
        <w:t>solid</w:t>
      </w:r>
      <w:proofErr w:type="spellEnd"/>
      <w:r>
        <w:rPr>
          <w:color w:val="000000"/>
          <w:sz w:val="20"/>
          <w:szCs w:val="20"/>
        </w:rPr>
        <w:t xml:space="preserve"> </w:t>
      </w:r>
      <w:proofErr w:type="spellStart"/>
      <w:r>
        <w:rPr>
          <w:color w:val="000000"/>
          <w:sz w:val="20"/>
          <w:szCs w:val="20"/>
        </w:rPr>
        <w:t>public</w:t>
      </w:r>
      <w:proofErr w:type="spellEnd"/>
      <w:r>
        <w:rPr>
          <w:color w:val="000000"/>
          <w:sz w:val="20"/>
          <w:szCs w:val="20"/>
        </w:rPr>
        <w:t xml:space="preserve"> policies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formative</w:t>
      </w:r>
      <w:proofErr w:type="spellEnd"/>
      <w:r>
        <w:rPr>
          <w:color w:val="000000"/>
          <w:sz w:val="20"/>
          <w:szCs w:val="20"/>
        </w:rPr>
        <w:t xml:space="preserve"> processes </w:t>
      </w:r>
      <w:proofErr w:type="spellStart"/>
      <w:r>
        <w:rPr>
          <w:color w:val="000000"/>
          <w:sz w:val="20"/>
          <w:szCs w:val="20"/>
        </w:rPr>
        <w:t>that</w:t>
      </w:r>
      <w:proofErr w:type="spellEnd"/>
      <w:r>
        <w:rPr>
          <w:color w:val="000000"/>
          <w:sz w:val="20"/>
          <w:szCs w:val="20"/>
        </w:rPr>
        <w:t xml:space="preserve"> merge </w:t>
      </w:r>
      <w:proofErr w:type="spellStart"/>
      <w:r>
        <w:rPr>
          <w:color w:val="000000"/>
          <w:sz w:val="20"/>
          <w:szCs w:val="20"/>
        </w:rPr>
        <w:t>revolutionary</w:t>
      </w:r>
      <w:proofErr w:type="spellEnd"/>
      <w:r>
        <w:rPr>
          <w:color w:val="000000"/>
          <w:sz w:val="20"/>
          <w:szCs w:val="20"/>
        </w:rPr>
        <w:t xml:space="preserve"> </w:t>
      </w:r>
      <w:proofErr w:type="spellStart"/>
      <w:r>
        <w:rPr>
          <w:color w:val="000000"/>
          <w:sz w:val="20"/>
          <w:szCs w:val="20"/>
        </w:rPr>
        <w:t>praxis</w:t>
      </w:r>
      <w:proofErr w:type="spellEnd"/>
      <w:r>
        <w:rPr>
          <w:color w:val="000000"/>
          <w:sz w:val="20"/>
          <w:szCs w:val="20"/>
        </w:rPr>
        <w:t xml:space="preserve">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critical</w:t>
      </w:r>
      <w:proofErr w:type="spellEnd"/>
      <w:r>
        <w:rPr>
          <w:color w:val="000000"/>
          <w:sz w:val="20"/>
          <w:szCs w:val="20"/>
        </w:rPr>
        <w:t xml:space="preserve"> </w:t>
      </w:r>
      <w:proofErr w:type="spellStart"/>
      <w:r>
        <w:rPr>
          <w:color w:val="000000"/>
          <w:sz w:val="20"/>
          <w:szCs w:val="20"/>
        </w:rPr>
        <w:t>theory</w:t>
      </w:r>
      <w:proofErr w:type="spellEnd"/>
      <w:r>
        <w:rPr>
          <w:color w:val="000000"/>
          <w:sz w:val="20"/>
          <w:szCs w:val="20"/>
        </w:rPr>
        <w:t xml:space="preserve">, </w:t>
      </w:r>
      <w:proofErr w:type="spellStart"/>
      <w:r>
        <w:rPr>
          <w:color w:val="000000"/>
          <w:sz w:val="20"/>
          <w:szCs w:val="20"/>
        </w:rPr>
        <w:t>transforming</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school</w:t>
      </w:r>
      <w:proofErr w:type="spellEnd"/>
      <w:r>
        <w:rPr>
          <w:color w:val="000000"/>
          <w:sz w:val="20"/>
          <w:szCs w:val="20"/>
        </w:rPr>
        <w:t xml:space="preserve"> </w:t>
      </w:r>
      <w:proofErr w:type="spellStart"/>
      <w:r>
        <w:rPr>
          <w:color w:val="000000"/>
          <w:sz w:val="20"/>
          <w:szCs w:val="20"/>
        </w:rPr>
        <w:t>into</w:t>
      </w:r>
      <w:proofErr w:type="spellEnd"/>
      <w:r>
        <w:rPr>
          <w:color w:val="000000"/>
          <w:sz w:val="20"/>
          <w:szCs w:val="20"/>
        </w:rPr>
        <w:t xml:space="preserve"> a </w:t>
      </w:r>
      <w:proofErr w:type="spellStart"/>
      <w:r>
        <w:rPr>
          <w:color w:val="000000"/>
          <w:sz w:val="20"/>
          <w:szCs w:val="20"/>
        </w:rPr>
        <w:t>space</w:t>
      </w:r>
      <w:proofErr w:type="spellEnd"/>
      <w:r>
        <w:rPr>
          <w:color w:val="000000"/>
          <w:sz w:val="20"/>
          <w:szCs w:val="20"/>
        </w:rPr>
        <w:t xml:space="preserve"> for </w:t>
      </w:r>
      <w:proofErr w:type="spellStart"/>
      <w:r>
        <w:rPr>
          <w:color w:val="000000"/>
          <w:sz w:val="20"/>
          <w:szCs w:val="20"/>
        </w:rPr>
        <w:t>counter-hegemonic</w:t>
      </w:r>
      <w:proofErr w:type="spellEnd"/>
      <w:r>
        <w:rPr>
          <w:color w:val="000000"/>
          <w:sz w:val="20"/>
          <w:szCs w:val="20"/>
        </w:rPr>
        <w:t xml:space="preserve"> </w:t>
      </w:r>
      <w:proofErr w:type="spellStart"/>
      <w:r>
        <w:rPr>
          <w:color w:val="000000"/>
          <w:sz w:val="20"/>
          <w:szCs w:val="20"/>
        </w:rPr>
        <w:t>meaning-making</w:t>
      </w:r>
      <w:proofErr w:type="spellEnd"/>
      <w:r>
        <w:rPr>
          <w:color w:val="000000"/>
          <w:sz w:val="20"/>
          <w:szCs w:val="20"/>
        </w:rPr>
        <w:t xml:space="preserve">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struggle</w:t>
      </w:r>
      <w:proofErr w:type="spellEnd"/>
      <w:r>
        <w:rPr>
          <w:color w:val="000000"/>
          <w:sz w:val="20"/>
          <w:szCs w:val="20"/>
        </w:rPr>
        <w:t xml:space="preserve"> </w:t>
      </w:r>
      <w:proofErr w:type="spellStart"/>
      <w:r>
        <w:rPr>
          <w:color w:val="000000"/>
          <w:sz w:val="20"/>
          <w:szCs w:val="20"/>
        </w:rPr>
        <w:t>against</w:t>
      </w:r>
      <w:proofErr w:type="spellEnd"/>
      <w:r>
        <w:rPr>
          <w:color w:val="000000"/>
          <w:sz w:val="20"/>
          <w:szCs w:val="20"/>
        </w:rPr>
        <w:t xml:space="preserve"> </w:t>
      </w:r>
      <w:proofErr w:type="spellStart"/>
      <w:r>
        <w:rPr>
          <w:color w:val="000000"/>
          <w:sz w:val="20"/>
          <w:szCs w:val="20"/>
        </w:rPr>
        <w:t>structural</w:t>
      </w:r>
      <w:proofErr w:type="spellEnd"/>
      <w:r>
        <w:rPr>
          <w:color w:val="000000"/>
          <w:sz w:val="20"/>
          <w:szCs w:val="20"/>
        </w:rPr>
        <w:t xml:space="preserve"> </w:t>
      </w:r>
      <w:proofErr w:type="spellStart"/>
      <w:r>
        <w:rPr>
          <w:color w:val="000000"/>
          <w:sz w:val="20"/>
          <w:szCs w:val="20"/>
        </w:rPr>
        <w:t>inequalities</w:t>
      </w:r>
      <w:proofErr w:type="spellEnd"/>
      <w:r>
        <w:rPr>
          <w:color w:val="000000"/>
          <w:sz w:val="20"/>
          <w:szCs w:val="20"/>
        </w:rPr>
        <w:t>.</w:t>
      </w:r>
    </w:p>
    <w:p w:rsidR="00802312" w:rsidRDefault="00802312">
      <w:pPr>
        <w:pBdr>
          <w:top w:val="nil"/>
          <w:left w:val="nil"/>
          <w:bottom w:val="nil"/>
          <w:right w:val="nil"/>
          <w:between w:val="nil"/>
        </w:pBdr>
        <w:spacing w:line="240" w:lineRule="auto"/>
        <w:ind w:left="0" w:hanging="2"/>
        <w:jc w:val="both"/>
        <w:rPr>
          <w:b/>
          <w:color w:val="000000"/>
          <w:sz w:val="20"/>
          <w:szCs w:val="20"/>
        </w:rPr>
      </w:pPr>
    </w:p>
    <w:p w:rsidR="00802312" w:rsidRDefault="00333B57">
      <w:pPr>
        <w:pBdr>
          <w:top w:val="nil"/>
          <w:left w:val="nil"/>
          <w:bottom w:val="nil"/>
          <w:right w:val="nil"/>
          <w:between w:val="nil"/>
        </w:pBdr>
        <w:spacing w:line="240" w:lineRule="auto"/>
        <w:ind w:left="0" w:hanging="2"/>
        <w:jc w:val="both"/>
        <w:rPr>
          <w:color w:val="000000"/>
          <w:sz w:val="20"/>
          <w:szCs w:val="20"/>
        </w:rPr>
      </w:pPr>
      <w:proofErr w:type="spellStart"/>
      <w:r>
        <w:rPr>
          <w:b/>
          <w:color w:val="000000"/>
          <w:sz w:val="20"/>
          <w:szCs w:val="20"/>
        </w:rPr>
        <w:t>Keywords</w:t>
      </w:r>
      <w:proofErr w:type="spellEnd"/>
      <w:r>
        <w:rPr>
          <w:color w:val="000000"/>
          <w:sz w:val="20"/>
          <w:szCs w:val="20"/>
        </w:rPr>
        <w:t xml:space="preserve">: </w:t>
      </w:r>
      <w:proofErr w:type="spellStart"/>
      <w:r>
        <w:rPr>
          <w:color w:val="000000"/>
          <w:sz w:val="20"/>
          <w:szCs w:val="20"/>
        </w:rPr>
        <w:t>Education</w:t>
      </w:r>
      <w:proofErr w:type="spellEnd"/>
      <w:r>
        <w:rPr>
          <w:color w:val="000000"/>
          <w:sz w:val="20"/>
          <w:szCs w:val="20"/>
        </w:rPr>
        <w:t xml:space="preserve">; </w:t>
      </w:r>
      <w:proofErr w:type="spellStart"/>
      <w:r>
        <w:rPr>
          <w:color w:val="000000"/>
          <w:sz w:val="20"/>
          <w:szCs w:val="20"/>
        </w:rPr>
        <w:t>Critical</w:t>
      </w:r>
      <w:proofErr w:type="spellEnd"/>
      <w:r>
        <w:rPr>
          <w:color w:val="000000"/>
          <w:sz w:val="20"/>
          <w:szCs w:val="20"/>
        </w:rPr>
        <w:t xml:space="preserve"> </w:t>
      </w:r>
      <w:proofErr w:type="spellStart"/>
      <w:r>
        <w:rPr>
          <w:color w:val="000000"/>
          <w:sz w:val="20"/>
          <w:szCs w:val="20"/>
        </w:rPr>
        <w:t>awareness</w:t>
      </w:r>
      <w:proofErr w:type="spellEnd"/>
      <w:r>
        <w:rPr>
          <w:color w:val="000000"/>
          <w:sz w:val="20"/>
          <w:szCs w:val="20"/>
        </w:rPr>
        <w:t>; Class.</w:t>
      </w:r>
    </w:p>
    <w:p w:rsidR="002B022F" w:rsidRDefault="002B022F">
      <w:pPr>
        <w:pBdr>
          <w:top w:val="nil"/>
          <w:left w:val="nil"/>
          <w:bottom w:val="nil"/>
          <w:right w:val="nil"/>
          <w:between w:val="nil"/>
        </w:pBdr>
        <w:spacing w:line="240" w:lineRule="auto"/>
        <w:ind w:left="0" w:hanging="2"/>
        <w:jc w:val="both"/>
        <w:rPr>
          <w:color w:val="000000"/>
          <w:sz w:val="20"/>
          <w:szCs w:val="20"/>
        </w:rPr>
      </w:pPr>
    </w:p>
    <w:p w:rsidR="00FC1979" w:rsidRDefault="00FC1979">
      <w:pPr>
        <w:spacing w:line="360" w:lineRule="auto"/>
        <w:ind w:left="0" w:hanging="2"/>
        <w:rPr>
          <w:b/>
          <w:sz w:val="24"/>
          <w:szCs w:val="24"/>
        </w:rPr>
      </w:pPr>
    </w:p>
    <w:p w:rsidR="00802312" w:rsidRDefault="00333B57">
      <w:pPr>
        <w:spacing w:line="360" w:lineRule="auto"/>
        <w:ind w:left="0" w:hanging="2"/>
        <w:rPr>
          <w:sz w:val="24"/>
          <w:szCs w:val="24"/>
        </w:rPr>
      </w:pPr>
      <w:r>
        <w:rPr>
          <w:b/>
          <w:sz w:val="24"/>
          <w:szCs w:val="24"/>
        </w:rPr>
        <w:lastRenderedPageBreak/>
        <w:t>1INTRODUÇÃO</w:t>
      </w:r>
    </w:p>
    <w:p w:rsidR="00802312" w:rsidRDefault="00802312">
      <w:pPr>
        <w:spacing w:line="360" w:lineRule="auto"/>
        <w:ind w:left="0" w:hanging="2"/>
        <w:rPr>
          <w:sz w:val="24"/>
          <w:szCs w:val="24"/>
        </w:rPr>
      </w:pPr>
    </w:p>
    <w:p w:rsidR="00802312" w:rsidRPr="00FC1979" w:rsidRDefault="00333B57" w:rsidP="00FC1979">
      <w:pPr>
        <w:pBdr>
          <w:top w:val="nil"/>
          <w:left w:val="nil"/>
          <w:bottom w:val="nil"/>
          <w:right w:val="nil"/>
          <w:between w:val="nil"/>
        </w:pBdr>
        <w:spacing w:line="360" w:lineRule="auto"/>
        <w:ind w:left="-2" w:firstLineChars="150" w:firstLine="360"/>
        <w:jc w:val="both"/>
        <w:rPr>
          <w:color w:val="000000"/>
          <w:sz w:val="24"/>
          <w:szCs w:val="24"/>
        </w:rPr>
      </w:pPr>
      <w:r w:rsidRPr="00FC1979">
        <w:rPr>
          <w:color w:val="000000"/>
          <w:sz w:val="24"/>
          <w:szCs w:val="24"/>
        </w:rPr>
        <w:t xml:space="preserve">A urgência de decifrar por que a Lei 10.639/03, apesar de seu inegável alcance jurídico, encontra obstáculos na sala de aula inspira o presente </w:t>
      </w:r>
      <w:proofErr w:type="spellStart"/>
      <w:r w:rsidRPr="00FC1979">
        <w:rPr>
          <w:color w:val="000000"/>
          <w:sz w:val="24"/>
          <w:szCs w:val="24"/>
        </w:rPr>
        <w:t>artigo,o</w:t>
      </w:r>
      <w:proofErr w:type="spellEnd"/>
      <w:r w:rsidRPr="00FC1979">
        <w:rPr>
          <w:color w:val="000000"/>
          <w:sz w:val="24"/>
          <w:szCs w:val="24"/>
        </w:rPr>
        <w:t xml:space="preserve"> ponto de partida é a constatação empírica: nas escolas públicas brasileiras, marcadas por profundas clivagens de raça e classe, as temáticas africanas e afro-brasileiras continuam periféricas e culturais, quando não ausentes, tal lacuna evidencia um paradoxo: uma política pensada para combater desigualdades acaba, muitas vezes, absorvida pela própria engrenagem que as reproduz.</w:t>
      </w:r>
    </w:p>
    <w:p w:rsidR="00802312" w:rsidRPr="00FC1979" w:rsidRDefault="00333B57" w:rsidP="00FC1979">
      <w:pPr>
        <w:pBdr>
          <w:top w:val="nil"/>
          <w:left w:val="nil"/>
          <w:bottom w:val="nil"/>
          <w:right w:val="nil"/>
          <w:between w:val="nil"/>
        </w:pBdr>
        <w:spacing w:line="360" w:lineRule="auto"/>
        <w:ind w:left="-2" w:firstLineChars="150" w:firstLine="360"/>
        <w:jc w:val="both"/>
        <w:rPr>
          <w:color w:val="000000"/>
          <w:sz w:val="24"/>
          <w:szCs w:val="24"/>
        </w:rPr>
      </w:pPr>
      <w:r w:rsidRPr="00FC1979">
        <w:rPr>
          <w:color w:val="000000"/>
          <w:sz w:val="24"/>
          <w:szCs w:val="24"/>
        </w:rPr>
        <w:t xml:space="preserve">Diante desse cenário, perseguimos três objetivos centrais, primeiro, problematizar as razões estruturais que inviabilizam a plena execução da lei, enfatizando o papel do racismo institucional, da precarização docente e da lógica </w:t>
      </w:r>
      <w:proofErr w:type="spellStart"/>
      <w:r w:rsidRPr="00FC1979">
        <w:rPr>
          <w:color w:val="000000"/>
          <w:sz w:val="24"/>
          <w:szCs w:val="24"/>
        </w:rPr>
        <w:t>meritocrática</w:t>
      </w:r>
      <w:proofErr w:type="spellEnd"/>
      <w:r w:rsidRPr="00FC1979">
        <w:rPr>
          <w:color w:val="000000"/>
          <w:sz w:val="24"/>
          <w:szCs w:val="24"/>
        </w:rPr>
        <w:t xml:space="preserve"> que permeia os sistemas de ensino, segundo, mapear práticas </w:t>
      </w:r>
      <w:proofErr w:type="spellStart"/>
      <w:r w:rsidRPr="00FC1979">
        <w:rPr>
          <w:color w:val="000000"/>
          <w:sz w:val="24"/>
          <w:szCs w:val="24"/>
        </w:rPr>
        <w:t>contra-hegemônicas</w:t>
      </w:r>
      <w:proofErr w:type="spellEnd"/>
      <w:r w:rsidRPr="00FC1979">
        <w:rPr>
          <w:color w:val="000000"/>
          <w:sz w:val="24"/>
          <w:szCs w:val="24"/>
        </w:rPr>
        <w:t xml:space="preserve"> que emergem no interior das escolas e que podem apontar caminhos de ruptura, terceiro, oferecer subsídios para a construção de processos formativos capazes de articular teoria crítica e intervenção pedagógica transformadora.</w:t>
      </w:r>
    </w:p>
    <w:p w:rsidR="00802312" w:rsidRPr="00FC1979" w:rsidRDefault="00333B57" w:rsidP="00FC1979">
      <w:pPr>
        <w:pBdr>
          <w:top w:val="nil"/>
          <w:left w:val="nil"/>
          <w:bottom w:val="nil"/>
          <w:right w:val="nil"/>
          <w:between w:val="nil"/>
        </w:pBdr>
        <w:spacing w:line="360" w:lineRule="auto"/>
        <w:ind w:left="-2" w:firstLineChars="150" w:firstLine="360"/>
        <w:jc w:val="both"/>
        <w:rPr>
          <w:rFonts w:eastAsia="Times New Roman"/>
          <w:color w:val="000000"/>
          <w:sz w:val="24"/>
          <w:szCs w:val="24"/>
        </w:rPr>
      </w:pPr>
      <w:r w:rsidRPr="00FC1979">
        <w:rPr>
          <w:color w:val="000000"/>
          <w:sz w:val="24"/>
          <w:szCs w:val="24"/>
        </w:rPr>
        <w:t>A investigação se ancora no materialismo histórico-dialético, entendendo a escola como aparelho ideológico em permanente tensão entre forças de reprodução capitalista e iniciativas de resistência protagonizadas por sujeitos subalternizados. Metodologicamente, realizamos uma revisão bibliográfica qualitativa, submetendo a produção acadêmica recente a procedimentos de análise de conteúdo. Essa abordagem permite captar não apenas a dimensão normativa da lei, mas as mediações concretas, econômicas, políticas e culturais, que condicionam sua efetividade. Ao fim, defendemos que a transformação curricular só ganha densidade quando acompanhada de mudanças nas condições de trabalho e de uma formação continuada que, inspirada na filosofia marxista, vincule a crítica às desigualdades à luta por sua superação prática</w:t>
      </w:r>
      <w:r w:rsidRPr="00FC1979">
        <w:rPr>
          <w:rFonts w:eastAsia="Times New Roman"/>
          <w:color w:val="000000"/>
          <w:sz w:val="24"/>
          <w:szCs w:val="24"/>
        </w:rPr>
        <w:t>.</w:t>
      </w:r>
    </w:p>
    <w:p w:rsidR="00802312" w:rsidRDefault="00802312" w:rsidP="00FC1979">
      <w:pPr>
        <w:pBdr>
          <w:top w:val="nil"/>
          <w:left w:val="nil"/>
          <w:bottom w:val="nil"/>
          <w:right w:val="nil"/>
          <w:between w:val="nil"/>
        </w:pBdr>
        <w:spacing w:line="360" w:lineRule="auto"/>
        <w:ind w:left="-2" w:firstLineChars="150" w:firstLine="360"/>
        <w:jc w:val="both"/>
        <w:rPr>
          <w:rFonts w:eastAsia="Times New Roman"/>
          <w:color w:val="000000"/>
          <w:sz w:val="24"/>
          <w:szCs w:val="24"/>
        </w:rPr>
      </w:pPr>
    </w:p>
    <w:p w:rsidR="00FC1979" w:rsidRDefault="00FC1979" w:rsidP="00FC1979">
      <w:pPr>
        <w:spacing w:line="360" w:lineRule="auto"/>
        <w:ind w:left="0" w:hanging="2"/>
        <w:jc w:val="both"/>
        <w:rPr>
          <w:b/>
          <w:sz w:val="24"/>
          <w:szCs w:val="24"/>
        </w:rPr>
      </w:pPr>
      <w:r>
        <w:rPr>
          <w:b/>
          <w:sz w:val="24"/>
          <w:szCs w:val="24"/>
        </w:rPr>
        <w:t>2</w:t>
      </w:r>
      <w:r>
        <w:rPr>
          <w:b/>
          <w:sz w:val="24"/>
          <w:szCs w:val="24"/>
        </w:rPr>
        <w:tab/>
        <w:t>A LEI 10.639/03 E OS LIMITES DA REPRESENTAÇÃO</w:t>
      </w:r>
    </w:p>
    <w:p w:rsidR="00FC1979" w:rsidRPr="00FC1979" w:rsidRDefault="00FC1979" w:rsidP="00FC1979">
      <w:pPr>
        <w:pBdr>
          <w:top w:val="nil"/>
          <w:left w:val="nil"/>
          <w:bottom w:val="nil"/>
          <w:right w:val="nil"/>
          <w:between w:val="nil"/>
        </w:pBdr>
        <w:spacing w:line="360" w:lineRule="auto"/>
        <w:ind w:left="-2" w:firstLineChars="150" w:firstLine="360"/>
        <w:jc w:val="both"/>
        <w:rPr>
          <w:rFonts w:eastAsia="Times New Roman"/>
          <w:color w:val="000000"/>
          <w:sz w:val="24"/>
          <w:szCs w:val="24"/>
        </w:rPr>
      </w:pPr>
    </w:p>
    <w:p w:rsidR="00FC1979" w:rsidRDefault="00333B57" w:rsidP="00FC1979">
      <w:pPr>
        <w:spacing w:line="360" w:lineRule="auto"/>
        <w:ind w:left="0" w:hanging="2"/>
        <w:jc w:val="both"/>
        <w:rPr>
          <w:b/>
          <w:sz w:val="24"/>
          <w:szCs w:val="24"/>
        </w:rPr>
      </w:pPr>
      <w:r w:rsidRPr="00FC1979">
        <w:rPr>
          <w:b/>
          <w:sz w:val="24"/>
          <w:szCs w:val="24"/>
        </w:rPr>
        <w:t>2</w:t>
      </w:r>
      <w:r w:rsidR="00FC1979">
        <w:rPr>
          <w:b/>
          <w:sz w:val="24"/>
          <w:szCs w:val="24"/>
        </w:rPr>
        <w:t xml:space="preserve">.1 </w:t>
      </w:r>
      <w:r w:rsidR="00FC1979" w:rsidRPr="007F2870">
        <w:rPr>
          <w:b/>
          <w:sz w:val="24"/>
          <w:szCs w:val="24"/>
        </w:rPr>
        <w:t>A luta de classes no currículo: contradições e resistências marxistas na implementação da educação afro-brasileira</w:t>
      </w:r>
    </w:p>
    <w:p w:rsidR="00802312" w:rsidRPr="00FC1979" w:rsidRDefault="00802312" w:rsidP="00FC1979">
      <w:pPr>
        <w:pBdr>
          <w:top w:val="nil"/>
          <w:left w:val="nil"/>
          <w:bottom w:val="nil"/>
          <w:right w:val="nil"/>
          <w:between w:val="nil"/>
        </w:pBdr>
        <w:spacing w:line="360" w:lineRule="auto"/>
        <w:ind w:left="-2" w:firstLineChars="150" w:firstLine="360"/>
        <w:jc w:val="both"/>
        <w:rPr>
          <w:color w:val="000000"/>
          <w:sz w:val="24"/>
          <w:szCs w:val="24"/>
        </w:rPr>
      </w:pPr>
    </w:p>
    <w:p w:rsidR="00802312" w:rsidRPr="00FC1979" w:rsidRDefault="00333B57" w:rsidP="00FC1979">
      <w:pPr>
        <w:pBdr>
          <w:top w:val="nil"/>
          <w:left w:val="nil"/>
          <w:bottom w:val="nil"/>
          <w:right w:val="nil"/>
          <w:between w:val="nil"/>
        </w:pBdr>
        <w:spacing w:line="360" w:lineRule="auto"/>
        <w:ind w:left="-2" w:firstLineChars="150" w:firstLine="360"/>
        <w:jc w:val="both"/>
        <w:rPr>
          <w:color w:val="000000"/>
          <w:sz w:val="24"/>
          <w:szCs w:val="24"/>
        </w:rPr>
      </w:pPr>
      <w:r w:rsidRPr="00FC1979">
        <w:rPr>
          <w:color w:val="000000"/>
          <w:sz w:val="24"/>
          <w:szCs w:val="24"/>
        </w:rPr>
        <w:t>Ao analisarmos a aplicação da Lei 10.639/03, observamos que sua efetividade encontra obstáculos não apenas na ausência de formação docente adequada ou no despreparo curricular, mas principalmente na estrutura material que conforma as relações escolares, a ausência de imagens positivas sobre a população negra nos livros didáticos, nas paredes das salas de aula e nos discursos pedagógicos não é casual, mas expressão de uma estrutura de poder que naturaliza a exclusão racial.</w:t>
      </w:r>
    </w:p>
    <w:p w:rsidR="00802312" w:rsidRPr="00FC1979" w:rsidRDefault="00333B57" w:rsidP="00FC1979">
      <w:pPr>
        <w:pBdr>
          <w:top w:val="nil"/>
          <w:left w:val="nil"/>
          <w:bottom w:val="nil"/>
          <w:right w:val="nil"/>
          <w:between w:val="nil"/>
        </w:pBdr>
        <w:spacing w:line="360" w:lineRule="auto"/>
        <w:ind w:left="-2" w:firstLineChars="150" w:firstLine="360"/>
        <w:jc w:val="both"/>
        <w:rPr>
          <w:color w:val="000000"/>
          <w:sz w:val="24"/>
          <w:szCs w:val="24"/>
        </w:rPr>
      </w:pPr>
      <w:r w:rsidRPr="00FC1979">
        <w:rPr>
          <w:color w:val="000000"/>
          <w:sz w:val="24"/>
          <w:szCs w:val="24"/>
        </w:rPr>
        <w:t>A construção da subjetividade do aluno negro, portanto, não pode ser compreendida fora de sua inserção nas relações sociais historicamente desiguais, como afirmam Marx e Engels, os homens não produzem apenas suas ideias, mas a sua própria vida material, logo, a escola que silencia a história negra contribui para a alienação do aluno negro de sua identidade e história.</w:t>
      </w:r>
    </w:p>
    <w:p w:rsidR="00802312" w:rsidRPr="00FC1979" w:rsidRDefault="00333B57" w:rsidP="00FC1979">
      <w:pPr>
        <w:spacing w:line="360" w:lineRule="auto"/>
        <w:ind w:left="-2" w:firstLineChars="150" w:firstLine="360"/>
        <w:jc w:val="both"/>
        <w:rPr>
          <w:sz w:val="24"/>
          <w:szCs w:val="24"/>
        </w:rPr>
      </w:pPr>
      <w:r w:rsidRPr="00FC1979">
        <w:rPr>
          <w:sz w:val="24"/>
          <w:szCs w:val="24"/>
        </w:rPr>
        <w:t>A promulgação da Lei nº 10.639/03 representou uma conquista histórica das lutas dos movimentos negros, ao tornar obrigatória a inclusão da história e da cultura afro-brasileira e africana no currículo da educação básica, contudo, passadas mais de duas décadas, a efetivação dessa lei enfrenta limites concretos de aplicação e profundos entraves estruturais, esses limites estão fortemente vinculados à lógica reprodutiva do sistema capitalista, que mantém o racismo como um dos pilares da dominação de classe.</w:t>
      </w:r>
    </w:p>
    <w:p w:rsidR="00802312" w:rsidRPr="00FC1979" w:rsidRDefault="00333B57" w:rsidP="00FC1979">
      <w:pPr>
        <w:spacing w:line="360" w:lineRule="auto"/>
        <w:ind w:left="-2" w:firstLineChars="150" w:firstLine="360"/>
        <w:jc w:val="both"/>
        <w:rPr>
          <w:sz w:val="24"/>
          <w:szCs w:val="24"/>
        </w:rPr>
      </w:pPr>
      <w:r w:rsidRPr="00FC1979">
        <w:rPr>
          <w:sz w:val="24"/>
          <w:szCs w:val="24"/>
        </w:rPr>
        <w:t xml:space="preserve">Ferreira (2024), ao investigar a presença da Lei 10.639/03 nas aulas de Matemática e nos livros didáticos do PNLD 2021, revela um cenário marcado pela </w:t>
      </w:r>
      <w:proofErr w:type="spellStart"/>
      <w:r w:rsidRPr="00FC1979">
        <w:rPr>
          <w:sz w:val="24"/>
          <w:szCs w:val="24"/>
        </w:rPr>
        <w:t>invisibilização</w:t>
      </w:r>
      <w:proofErr w:type="spellEnd"/>
      <w:r w:rsidRPr="00FC1979">
        <w:rPr>
          <w:sz w:val="24"/>
          <w:szCs w:val="24"/>
        </w:rPr>
        <w:t xml:space="preserve"> dos sujeitos negros e pela negação de seus saberes, a análise de duas coleções amplamente utilizadas no ensino médio demonstrou que a produção matemática continua sendo atribuída majoritariamente a autores brancos e europeus, o apagamento das contribuições africanas e afro-brasileiras reforça a ideologia da neutralidade da ciência, ocultando o caráter socialmente construído do conhecimento.</w:t>
      </w:r>
    </w:p>
    <w:p w:rsidR="00802312" w:rsidRPr="00FC1979" w:rsidRDefault="00333B57" w:rsidP="00FC1979">
      <w:pPr>
        <w:spacing w:line="360" w:lineRule="auto"/>
        <w:ind w:left="-2" w:firstLineChars="150" w:firstLine="360"/>
        <w:jc w:val="both"/>
        <w:rPr>
          <w:sz w:val="24"/>
          <w:szCs w:val="24"/>
        </w:rPr>
      </w:pPr>
      <w:r w:rsidRPr="00FC1979">
        <w:rPr>
          <w:sz w:val="24"/>
          <w:szCs w:val="24"/>
        </w:rPr>
        <w:lastRenderedPageBreak/>
        <w:t xml:space="preserve">A autora observa: “a maioria das imagens de pessoas negras aparece em situações de vulnerabilidade ou de cotidiano, dando a entender que essas pessoas não têm contribuição alguma para áreas da sociedade, para a Matemática” (FERREIRA, 2024, p. 09). Esta representação limitada não é casual, ela cumpre uma função ideológica: desumanizar e subalternizar sujeitos </w:t>
      </w:r>
      <w:proofErr w:type="spellStart"/>
      <w:r w:rsidRPr="00FC1979">
        <w:rPr>
          <w:sz w:val="24"/>
          <w:szCs w:val="24"/>
        </w:rPr>
        <w:t>racializados</w:t>
      </w:r>
      <w:proofErr w:type="spellEnd"/>
      <w:r w:rsidRPr="00FC1979">
        <w:rPr>
          <w:sz w:val="24"/>
          <w:szCs w:val="24"/>
        </w:rPr>
        <w:t>, naturalizando a sua exclusão das esferas do saber, da ciência e do poder, a falsa universalidade do conhecimento eurocêntrico é, portanto, uma estratégia de manutenção das desigualdades estruturais que beneficiam as classes dominantes brancas.</w:t>
      </w:r>
    </w:p>
    <w:p w:rsidR="00802312" w:rsidRPr="00FC1979" w:rsidRDefault="00333B57" w:rsidP="00FC1979">
      <w:pPr>
        <w:spacing w:line="360" w:lineRule="auto"/>
        <w:ind w:left="-2" w:firstLineChars="150" w:firstLine="360"/>
        <w:jc w:val="both"/>
        <w:rPr>
          <w:sz w:val="24"/>
          <w:szCs w:val="24"/>
        </w:rPr>
      </w:pPr>
      <w:r w:rsidRPr="00FC1979">
        <w:rPr>
          <w:sz w:val="24"/>
          <w:szCs w:val="24"/>
        </w:rPr>
        <w:t>A escola, nesse contexto, opera como um aparelho ideológico de Estado (Althusser), que contribui para a reprodução das relações de dominação racial e de classe, a ausência de representações afirmativas da população negra nos livros e nos conteúdos curriculares contribui diretamente para a formação de uma consciência alienada nos estudantes negros, como destaca Ferreira (2024), os livros didáticos analisados silenciam autores negros e negam sua existência enquanto produtores de ciência, assim, mesmo a tentativa de “inclusão” corre o risco de ser simbólica, superficial e funcional à manutenção do status quo.</w:t>
      </w:r>
    </w:p>
    <w:p w:rsidR="00802312" w:rsidRPr="00FC1979" w:rsidRDefault="00333B57" w:rsidP="00FC1979">
      <w:pPr>
        <w:spacing w:line="360" w:lineRule="auto"/>
        <w:ind w:left="-2" w:firstLineChars="150" w:firstLine="360"/>
        <w:jc w:val="both"/>
        <w:rPr>
          <w:sz w:val="24"/>
          <w:szCs w:val="24"/>
        </w:rPr>
      </w:pPr>
      <w:r w:rsidRPr="00FC1979">
        <w:rPr>
          <w:sz w:val="24"/>
          <w:szCs w:val="24"/>
        </w:rPr>
        <w:t>A formação docente é outro ponto crítico, a maioria dos professores entrevistados pela autora declarou nunca ter discutido a Lei 10.639/03 durante sua formação inicial, a autora aponta: “na formação inicial e continuada, a maioria não teve qualquer contato com a Lei 10.639/03 ou com a discussão sobre educação das relações étnico-raciais” (FERREIRA, 2024, p. 90), sem preparo crítico e histórico, os docentes acabam por reforçar a lógica hegemônica e por reproduzir práticas que excluem saberes não brancos.</w:t>
      </w:r>
    </w:p>
    <w:p w:rsidR="00802312" w:rsidRPr="00FC1979" w:rsidRDefault="00333B57" w:rsidP="00FC1979">
      <w:pPr>
        <w:spacing w:line="360" w:lineRule="auto"/>
        <w:ind w:left="-2" w:firstLineChars="150" w:firstLine="360"/>
        <w:jc w:val="both"/>
        <w:rPr>
          <w:sz w:val="24"/>
          <w:szCs w:val="24"/>
        </w:rPr>
      </w:pPr>
      <w:r w:rsidRPr="00FC1979">
        <w:rPr>
          <w:sz w:val="24"/>
          <w:szCs w:val="24"/>
        </w:rPr>
        <w:t xml:space="preserve">A luta pela efetivação da Lei 10.639/03, portanto, precisa ir além da simples menção de conteúdos afro-brasileiros em determinadas datas comemorativas. Trata-se de uma disputa profunda por representatividade crítica, que exige uma ruptura epistemológica e política com o modelo educacional eurocêntrico e neoliberal, a autora propõe que os saberes africanos e afro-brasileiros sejam incorporados ao ensino de </w:t>
      </w:r>
      <w:r w:rsidRPr="00FC1979">
        <w:rPr>
          <w:sz w:val="24"/>
          <w:szCs w:val="24"/>
        </w:rPr>
        <w:lastRenderedPageBreak/>
        <w:t xml:space="preserve">Matemática por meio de práticas pedagógicas que envolvam a </w:t>
      </w:r>
      <w:proofErr w:type="spellStart"/>
      <w:r w:rsidRPr="00FC1979">
        <w:rPr>
          <w:sz w:val="24"/>
          <w:szCs w:val="24"/>
        </w:rPr>
        <w:t>etnomatemática</w:t>
      </w:r>
      <w:proofErr w:type="spellEnd"/>
      <w:r w:rsidRPr="00FC1979">
        <w:rPr>
          <w:sz w:val="24"/>
          <w:szCs w:val="24"/>
        </w:rPr>
        <w:t>, os jogos africanos e a valorização das tecnologias ancestrais negras (FERREIRA, 2024).</w:t>
      </w:r>
    </w:p>
    <w:p w:rsidR="00802312" w:rsidRPr="00FC1979" w:rsidRDefault="00333B57" w:rsidP="00FC1979">
      <w:pPr>
        <w:spacing w:line="360" w:lineRule="auto"/>
        <w:ind w:left="-2" w:firstLineChars="150" w:firstLine="360"/>
        <w:jc w:val="both"/>
        <w:rPr>
          <w:sz w:val="24"/>
          <w:szCs w:val="24"/>
        </w:rPr>
      </w:pPr>
      <w:r w:rsidRPr="00FC1979">
        <w:rPr>
          <w:sz w:val="24"/>
          <w:szCs w:val="24"/>
        </w:rPr>
        <w:t xml:space="preserve">Por essa via, a aplicação da lei pode contribuir para a construção de uma consciência crítica, que articule raça, classe e conhecimento, e que desmonte a lógica da </w:t>
      </w:r>
      <w:proofErr w:type="spellStart"/>
      <w:r w:rsidRPr="00FC1979">
        <w:rPr>
          <w:sz w:val="24"/>
          <w:szCs w:val="24"/>
        </w:rPr>
        <w:t>inferiorização</w:t>
      </w:r>
      <w:proofErr w:type="spellEnd"/>
      <w:r w:rsidRPr="00FC1979">
        <w:rPr>
          <w:sz w:val="24"/>
          <w:szCs w:val="24"/>
        </w:rPr>
        <w:t xml:space="preserve"> da população negra, como aponta Ferreira, é fundamental que os livros didáticos sejam revistos para que “enfraqueçam o racismo e reforcem a luta por uma educação antirracista” (FERREIRA, 2024, p. 70).</w:t>
      </w:r>
    </w:p>
    <w:p w:rsidR="00802312" w:rsidRPr="00FC1979" w:rsidRDefault="00333B57" w:rsidP="00FC1979">
      <w:pPr>
        <w:spacing w:line="360" w:lineRule="auto"/>
        <w:ind w:left="-2" w:firstLineChars="150" w:firstLine="360"/>
        <w:jc w:val="both"/>
        <w:rPr>
          <w:sz w:val="24"/>
          <w:szCs w:val="24"/>
        </w:rPr>
      </w:pPr>
      <w:r w:rsidRPr="00FC1979">
        <w:rPr>
          <w:sz w:val="24"/>
          <w:szCs w:val="24"/>
        </w:rPr>
        <w:t xml:space="preserve">Portanto, a Lei 10.639/03, se aplicada de maneira crítica e dialética, pode ser um instrumento poderoso de transformação, contudo, enquanto for implementada de forma burocrática e sem romper com os fundamentos ideológicos da </w:t>
      </w:r>
      <w:proofErr w:type="spellStart"/>
      <w:r w:rsidRPr="00FC1979">
        <w:rPr>
          <w:sz w:val="24"/>
          <w:szCs w:val="24"/>
        </w:rPr>
        <w:t>branquitude</w:t>
      </w:r>
      <w:proofErr w:type="spellEnd"/>
      <w:r w:rsidRPr="00FC1979">
        <w:rPr>
          <w:sz w:val="24"/>
          <w:szCs w:val="24"/>
        </w:rPr>
        <w:t xml:space="preserve"> e da classe dominante, seus efeitos continuarão limitados, a superação desses limites depende da organização política dos trabalhadores, da formação crítica dos educadores e da construção de um projeto de educação verdadeiramente emancipador.</w:t>
      </w:r>
    </w:p>
    <w:p w:rsidR="00802312" w:rsidRPr="00FC1979" w:rsidRDefault="00333B57" w:rsidP="00FC1979">
      <w:pPr>
        <w:spacing w:line="360" w:lineRule="auto"/>
        <w:ind w:left="-2" w:firstLineChars="150" w:firstLine="360"/>
        <w:jc w:val="both"/>
        <w:rPr>
          <w:sz w:val="24"/>
          <w:szCs w:val="24"/>
        </w:rPr>
      </w:pPr>
      <w:r w:rsidRPr="00FC1979">
        <w:rPr>
          <w:sz w:val="24"/>
          <w:szCs w:val="24"/>
        </w:rPr>
        <w:t>A construção das nossas subjetividades não é um processo natural ou neutro, mas se dá nas encruzilhadas entre história, cultura, classe, raça, gênero e território, desde cedo, aprendemos a nos enxergar a partir dos olhos do outro, seja na família, na escola, na televisão ou nas ruas do bairro, somos atravessados por discursos que nos dizem o que é bonito, certo, aceitável ou inteligente, e é nesse emaranhado de vozes e silêncios que vamos os construindo, nos reconhecendo (ou nos negando).</w:t>
      </w:r>
    </w:p>
    <w:p w:rsidR="00802312" w:rsidRPr="00FC1979" w:rsidRDefault="00333B57" w:rsidP="00FC1979">
      <w:pPr>
        <w:spacing w:line="360" w:lineRule="auto"/>
        <w:ind w:left="-2" w:firstLineChars="150" w:firstLine="360"/>
        <w:jc w:val="both"/>
        <w:rPr>
          <w:sz w:val="24"/>
          <w:szCs w:val="24"/>
        </w:rPr>
      </w:pPr>
      <w:r w:rsidRPr="00FC1979">
        <w:rPr>
          <w:sz w:val="24"/>
          <w:szCs w:val="24"/>
        </w:rPr>
        <w:t>A escola, por exemplo, ao silenciar saberes negros ou indígenas, ao exaltar apenas autores brancos e europeus, participa ativamente na fabricação de subjetividades colonizadas, da mesma forma, o racismo, o machismo e a desigualdade social moldam nossas formas de sentir, sonhar e agir, muitas vezes nos impondo limites invisíveis, romper com essas imposições é tarefa coletiva, exige que reconheçamos os mecanismos que nos constroem e, a partir deles, inventemos novas formas de existir, mais nossas, mais livres, mais plurais.</w:t>
      </w:r>
    </w:p>
    <w:p w:rsidR="00802312" w:rsidRPr="00FC1979" w:rsidRDefault="00802312" w:rsidP="00FC1979">
      <w:pPr>
        <w:spacing w:line="360" w:lineRule="auto"/>
        <w:ind w:left="-2" w:firstLineChars="150" w:firstLine="360"/>
        <w:jc w:val="both"/>
        <w:rPr>
          <w:sz w:val="24"/>
          <w:szCs w:val="24"/>
        </w:rPr>
      </w:pPr>
    </w:p>
    <w:p w:rsidR="00802312" w:rsidRPr="00FC1979" w:rsidRDefault="00FC1979" w:rsidP="00FC1979">
      <w:pPr>
        <w:keepNext/>
        <w:keepLines/>
        <w:pBdr>
          <w:top w:val="nil"/>
          <w:left w:val="nil"/>
          <w:bottom w:val="nil"/>
          <w:right w:val="nil"/>
          <w:between w:val="nil"/>
        </w:pBdr>
        <w:spacing w:line="360" w:lineRule="auto"/>
        <w:ind w:left="-2" w:firstLineChars="150" w:firstLine="361"/>
        <w:jc w:val="both"/>
        <w:rPr>
          <w:b/>
          <w:color w:val="000000"/>
          <w:sz w:val="24"/>
          <w:szCs w:val="24"/>
        </w:rPr>
      </w:pPr>
      <w:r>
        <w:rPr>
          <w:b/>
          <w:color w:val="000000"/>
          <w:sz w:val="24"/>
          <w:szCs w:val="24"/>
        </w:rPr>
        <w:lastRenderedPageBreak/>
        <w:t>2.2</w:t>
      </w:r>
      <w:r w:rsidR="00333B57" w:rsidRPr="00FC1979">
        <w:rPr>
          <w:b/>
          <w:color w:val="000000"/>
          <w:sz w:val="24"/>
          <w:szCs w:val="24"/>
        </w:rPr>
        <w:t xml:space="preserve"> A Produção da Subjetividade e a Luta Contra a Alienação</w:t>
      </w:r>
    </w:p>
    <w:p w:rsidR="00802312" w:rsidRPr="00FC1979" w:rsidRDefault="00802312" w:rsidP="00FC1979">
      <w:pPr>
        <w:spacing w:line="360" w:lineRule="auto"/>
        <w:ind w:left="-2" w:firstLineChars="150" w:firstLine="360"/>
        <w:jc w:val="both"/>
        <w:rPr>
          <w:sz w:val="24"/>
          <w:szCs w:val="24"/>
        </w:rPr>
      </w:pPr>
    </w:p>
    <w:p w:rsidR="00802312" w:rsidRPr="00FC1979" w:rsidRDefault="00333B57" w:rsidP="00FC1979">
      <w:pPr>
        <w:pBdr>
          <w:top w:val="nil"/>
          <w:left w:val="nil"/>
          <w:bottom w:val="nil"/>
          <w:right w:val="nil"/>
          <w:between w:val="nil"/>
        </w:pBdr>
        <w:spacing w:line="360" w:lineRule="auto"/>
        <w:ind w:left="-2" w:firstLineChars="150" w:firstLine="360"/>
        <w:jc w:val="both"/>
        <w:rPr>
          <w:color w:val="000000"/>
          <w:sz w:val="24"/>
          <w:szCs w:val="24"/>
        </w:rPr>
      </w:pPr>
      <w:r w:rsidRPr="00FC1979">
        <w:rPr>
          <w:color w:val="000000"/>
          <w:sz w:val="24"/>
          <w:szCs w:val="24"/>
        </w:rPr>
        <w:t>A representação do negro na escola está intimamente ligada à produção de subjetividades, quando o aluno negro não se vê nos conteúdos escolares, nas imagens expostas ou nas figuras de autoridade, ele aprende que seu lugar social é o da invisibilidade, isso não é resultado de uma falha pontual, mas da lógica estrutural de uma sociedade fundada sobre a escravidão e mantida pelo racismo estrutural.</w:t>
      </w:r>
    </w:p>
    <w:p w:rsidR="00802312" w:rsidRPr="00FC1979" w:rsidRDefault="00333B57" w:rsidP="00FC1979">
      <w:pPr>
        <w:pBdr>
          <w:top w:val="nil"/>
          <w:left w:val="nil"/>
          <w:bottom w:val="nil"/>
          <w:right w:val="nil"/>
          <w:between w:val="nil"/>
        </w:pBdr>
        <w:spacing w:line="360" w:lineRule="auto"/>
        <w:ind w:left="-2" w:firstLineChars="150" w:firstLine="360"/>
        <w:jc w:val="both"/>
        <w:rPr>
          <w:color w:val="000000"/>
          <w:sz w:val="24"/>
          <w:szCs w:val="24"/>
        </w:rPr>
      </w:pPr>
      <w:r w:rsidRPr="00FC1979">
        <w:rPr>
          <w:color w:val="000000"/>
          <w:sz w:val="24"/>
          <w:szCs w:val="24"/>
        </w:rPr>
        <w:t>O método materialista histórico-dialético permite compreender que a transformação da consciência, no caso, o reconhecimento da identidade negra como legítima e valorizada, depende da transformação das condições sociais concretas, não é suficiente que a escola declare-se antirracista; é preciso que ela modifique suas práticas e representações a partir de uma nova base material e simbólica.</w:t>
      </w:r>
    </w:p>
    <w:p w:rsidR="00802312" w:rsidRPr="00FC1979" w:rsidRDefault="00333B57" w:rsidP="00FC1979">
      <w:pPr>
        <w:pBdr>
          <w:top w:val="nil"/>
          <w:left w:val="nil"/>
          <w:bottom w:val="nil"/>
          <w:right w:val="nil"/>
          <w:between w:val="nil"/>
        </w:pBdr>
        <w:spacing w:line="360" w:lineRule="auto"/>
        <w:ind w:left="-2" w:firstLineChars="150" w:firstLine="360"/>
        <w:jc w:val="both"/>
        <w:rPr>
          <w:color w:val="000000"/>
          <w:sz w:val="24"/>
          <w:szCs w:val="24"/>
        </w:rPr>
      </w:pPr>
      <w:r w:rsidRPr="00FC1979">
        <w:rPr>
          <w:color w:val="000000"/>
          <w:sz w:val="24"/>
          <w:szCs w:val="24"/>
        </w:rPr>
        <w:t>A construção da subjetividade de professores e estudantes em contextos escolares está intrinsecamente ligada à história de exclusão, apagamento e opressão estruturada pelas marcas do colonialismo e pela reprodução do sistema, a  Lei 10.639/03, ao propor a obrigatoriedade do ensino da história e cultura afro-brasileira e africana, surge como uma possibilidade concreta de romper com os dispositivos alienantes impostos pela monocultura eurocêntrica que domina os currículos escolares, no entanto, como demonstram os trabalhos de Moreira (2022) , essa implementação enfrenta limites que exigem reflexão e ação crítica.</w:t>
      </w:r>
    </w:p>
    <w:p w:rsidR="00802312" w:rsidRPr="00FC1979" w:rsidRDefault="00333B57" w:rsidP="00FC1979">
      <w:pPr>
        <w:pBdr>
          <w:top w:val="nil"/>
          <w:left w:val="nil"/>
          <w:bottom w:val="nil"/>
          <w:right w:val="nil"/>
          <w:between w:val="nil"/>
        </w:pBdr>
        <w:spacing w:line="360" w:lineRule="auto"/>
        <w:ind w:left="-2" w:firstLineChars="150" w:firstLine="360"/>
        <w:jc w:val="both"/>
        <w:rPr>
          <w:color w:val="000000"/>
          <w:sz w:val="24"/>
          <w:szCs w:val="24"/>
        </w:rPr>
      </w:pPr>
      <w:r w:rsidRPr="00FC1979">
        <w:rPr>
          <w:color w:val="000000"/>
          <w:sz w:val="24"/>
          <w:szCs w:val="24"/>
        </w:rPr>
        <w:t xml:space="preserve">Moreira (2022) reconhece que sua própria formação docente esteve inserida em uma lógica padronizadora e conservadora, marcada por uma educação “alienante, padronizadora de mentes e de comportamento”, que a treinou para atender às exigências do mercado capitalista e do pensamento único da ciência europeia (p. 15), o reconhecimento de sua condição de “ser inacabado”, conforme o pensamento </w:t>
      </w:r>
      <w:proofErr w:type="spellStart"/>
      <w:r w:rsidRPr="00FC1979">
        <w:rPr>
          <w:color w:val="000000"/>
          <w:sz w:val="24"/>
          <w:szCs w:val="24"/>
        </w:rPr>
        <w:t>freiriano</w:t>
      </w:r>
      <w:proofErr w:type="spellEnd"/>
      <w:r w:rsidRPr="00FC1979">
        <w:rPr>
          <w:color w:val="000000"/>
          <w:sz w:val="24"/>
          <w:szCs w:val="24"/>
        </w:rPr>
        <w:t xml:space="preserve">, foi um marco em sua trajetória de reconstrução </w:t>
      </w:r>
      <w:proofErr w:type="spellStart"/>
      <w:r w:rsidRPr="00FC1979">
        <w:rPr>
          <w:color w:val="000000"/>
          <w:sz w:val="24"/>
          <w:szCs w:val="24"/>
        </w:rPr>
        <w:t>identitária</w:t>
      </w:r>
      <w:proofErr w:type="spellEnd"/>
      <w:r w:rsidRPr="00FC1979">
        <w:rPr>
          <w:color w:val="000000"/>
          <w:sz w:val="24"/>
          <w:szCs w:val="24"/>
        </w:rPr>
        <w:t xml:space="preserve"> e pedagógica, a autora afirma que só ao entrar em contato com os saberes antirracistas e com os princípios da pedagogia libertadora de Paulo Freire passou a compreender os limites </w:t>
      </w:r>
      <w:r w:rsidRPr="00FC1979">
        <w:rPr>
          <w:color w:val="000000"/>
          <w:sz w:val="24"/>
          <w:szCs w:val="24"/>
        </w:rPr>
        <w:lastRenderedPageBreak/>
        <w:t xml:space="preserve">da própria subjetividade construída sob os pilares da </w:t>
      </w:r>
      <w:proofErr w:type="spellStart"/>
      <w:r w:rsidRPr="00FC1979">
        <w:rPr>
          <w:color w:val="000000"/>
          <w:sz w:val="24"/>
          <w:szCs w:val="24"/>
        </w:rPr>
        <w:t>branquitude</w:t>
      </w:r>
      <w:proofErr w:type="spellEnd"/>
      <w:r w:rsidRPr="00FC1979">
        <w:rPr>
          <w:color w:val="000000"/>
          <w:sz w:val="24"/>
          <w:szCs w:val="24"/>
        </w:rPr>
        <w:t xml:space="preserve"> e do colonialismo (MOREIRA, 2022, p. 21).</w:t>
      </w:r>
    </w:p>
    <w:p w:rsidR="00802312" w:rsidRPr="00FC1979" w:rsidRDefault="00333B57" w:rsidP="00FC1979">
      <w:pPr>
        <w:pBdr>
          <w:top w:val="nil"/>
          <w:left w:val="nil"/>
          <w:bottom w:val="nil"/>
          <w:right w:val="nil"/>
          <w:between w:val="nil"/>
        </w:pBdr>
        <w:spacing w:line="360" w:lineRule="auto"/>
        <w:ind w:left="-2" w:firstLineChars="150" w:firstLine="360"/>
        <w:jc w:val="both"/>
        <w:rPr>
          <w:color w:val="000000"/>
          <w:sz w:val="24"/>
          <w:szCs w:val="24"/>
        </w:rPr>
      </w:pPr>
      <w:r w:rsidRPr="00FC1979">
        <w:rPr>
          <w:color w:val="000000"/>
          <w:sz w:val="24"/>
          <w:szCs w:val="24"/>
        </w:rPr>
        <w:t>A autora denuncia que, historicamente, o currículo de Química silenciou os saberes dos povos africanos, contribuindo para a alienação do sujeito negro, que não se vê representado nos livros, nos exemplos científicos ou na formação dos próprios docentes (MOREIRA, 2022, p. 26). Para superar essa alienação, ela propõe o uso das temáticas afro-brasileira como tema gerador para a construção de uma nova subjetividade, crítica e ativa, que valorize as raízes culturais da população negra e as relacione com os conteúdos científicos.</w:t>
      </w:r>
    </w:p>
    <w:p w:rsidR="00802312" w:rsidRPr="00FC1979" w:rsidRDefault="00333B57" w:rsidP="00FC1979">
      <w:pPr>
        <w:pBdr>
          <w:top w:val="nil"/>
          <w:left w:val="nil"/>
          <w:bottom w:val="nil"/>
          <w:right w:val="nil"/>
          <w:between w:val="nil"/>
        </w:pBdr>
        <w:spacing w:line="360" w:lineRule="auto"/>
        <w:ind w:left="-2" w:firstLineChars="150" w:firstLine="360"/>
        <w:jc w:val="both"/>
        <w:rPr>
          <w:color w:val="000000"/>
          <w:sz w:val="24"/>
          <w:szCs w:val="24"/>
        </w:rPr>
      </w:pPr>
      <w:r w:rsidRPr="00FC1979">
        <w:rPr>
          <w:color w:val="000000"/>
          <w:sz w:val="24"/>
          <w:szCs w:val="24"/>
        </w:rPr>
        <w:t xml:space="preserve">Lima(2023) amplia essa análise ao discutir como as práticas escolares contribuem para o </w:t>
      </w:r>
      <w:proofErr w:type="spellStart"/>
      <w:r w:rsidRPr="00FC1979">
        <w:rPr>
          <w:color w:val="000000"/>
          <w:sz w:val="24"/>
          <w:szCs w:val="24"/>
        </w:rPr>
        <w:t>epistemicídio</w:t>
      </w:r>
      <w:proofErr w:type="spellEnd"/>
      <w:r w:rsidRPr="00FC1979">
        <w:rPr>
          <w:color w:val="000000"/>
          <w:sz w:val="24"/>
          <w:szCs w:val="24"/>
        </w:rPr>
        <w:t xml:space="preserve"> e a negação dos saberes das mulheres quilombolas, a </w:t>
      </w:r>
      <w:proofErr w:type="spellStart"/>
      <w:r w:rsidRPr="00FC1979">
        <w:rPr>
          <w:color w:val="000000"/>
          <w:sz w:val="24"/>
          <w:szCs w:val="24"/>
        </w:rPr>
        <w:t>invisibilização</w:t>
      </w:r>
      <w:proofErr w:type="spellEnd"/>
      <w:r w:rsidRPr="00FC1979">
        <w:rPr>
          <w:color w:val="000000"/>
          <w:sz w:val="24"/>
          <w:szCs w:val="24"/>
        </w:rPr>
        <w:t xml:space="preserve"> dessas vozes é um dos mecanismos mais violentos de produção da alienação, pois silencia histórias, culturas e epistemologias próprias, ela propõe o “letramento racial” como saber fundamental a ser desenvolvido na escola para que as novas gerações compreendam como o racismo se estrutura e se naturaliza no cotidiano escolar (p. 98).</w:t>
      </w:r>
    </w:p>
    <w:p w:rsidR="00802312" w:rsidRPr="00FC1979" w:rsidRDefault="00333B57" w:rsidP="00FC1979">
      <w:pPr>
        <w:pBdr>
          <w:top w:val="nil"/>
          <w:left w:val="nil"/>
          <w:bottom w:val="nil"/>
          <w:right w:val="nil"/>
          <w:between w:val="nil"/>
        </w:pBdr>
        <w:spacing w:line="360" w:lineRule="auto"/>
        <w:ind w:left="-2" w:firstLineChars="150" w:firstLine="360"/>
        <w:jc w:val="both"/>
        <w:rPr>
          <w:color w:val="000000"/>
          <w:sz w:val="24"/>
          <w:szCs w:val="24"/>
        </w:rPr>
      </w:pPr>
      <w:r w:rsidRPr="00FC1979">
        <w:rPr>
          <w:color w:val="000000"/>
          <w:sz w:val="24"/>
          <w:szCs w:val="24"/>
        </w:rPr>
        <w:t xml:space="preserve">Percebemos então a  evidência que o combate à alienação exige a descolonização dos currículos, o reconhecimento da pluralidade epistêmica e a atuação pedagógica consciente do professor como sujeito político, a transformação da subjetividade não é um ato isolado, mas um movimento coletivo que implica em ação-reflexão-ação, como destaca Moreira (2022), ao relatar sua experiência com o Coletivo CIATA e as intervenções pedagógicas em Química baseadas nos pilares </w:t>
      </w:r>
      <w:proofErr w:type="spellStart"/>
      <w:r w:rsidRPr="00FC1979">
        <w:rPr>
          <w:color w:val="000000"/>
          <w:sz w:val="24"/>
          <w:szCs w:val="24"/>
        </w:rPr>
        <w:t>freirianos</w:t>
      </w:r>
      <w:proofErr w:type="spellEnd"/>
      <w:r w:rsidRPr="00FC1979">
        <w:rPr>
          <w:color w:val="000000"/>
          <w:sz w:val="24"/>
          <w:szCs w:val="24"/>
        </w:rPr>
        <w:t xml:space="preserve"> de </w:t>
      </w:r>
      <w:proofErr w:type="spellStart"/>
      <w:r w:rsidRPr="00FC1979">
        <w:rPr>
          <w:color w:val="000000"/>
          <w:sz w:val="24"/>
          <w:szCs w:val="24"/>
        </w:rPr>
        <w:t>dialogicidade</w:t>
      </w:r>
      <w:proofErr w:type="spellEnd"/>
      <w:r w:rsidRPr="00FC1979">
        <w:rPr>
          <w:color w:val="000000"/>
          <w:sz w:val="24"/>
          <w:szCs w:val="24"/>
        </w:rPr>
        <w:t xml:space="preserve">, </w:t>
      </w:r>
      <w:proofErr w:type="spellStart"/>
      <w:r w:rsidRPr="00FC1979">
        <w:rPr>
          <w:color w:val="000000"/>
          <w:sz w:val="24"/>
          <w:szCs w:val="24"/>
        </w:rPr>
        <w:t>politicidade</w:t>
      </w:r>
      <w:proofErr w:type="spellEnd"/>
      <w:r w:rsidRPr="00FC1979">
        <w:rPr>
          <w:color w:val="000000"/>
          <w:sz w:val="24"/>
          <w:szCs w:val="24"/>
        </w:rPr>
        <w:t xml:space="preserve"> e </w:t>
      </w:r>
      <w:proofErr w:type="spellStart"/>
      <w:r w:rsidRPr="00FC1979">
        <w:rPr>
          <w:color w:val="000000"/>
          <w:sz w:val="24"/>
          <w:szCs w:val="24"/>
        </w:rPr>
        <w:t>culturalidade</w:t>
      </w:r>
      <w:proofErr w:type="spellEnd"/>
      <w:r w:rsidRPr="00FC1979">
        <w:rPr>
          <w:color w:val="000000"/>
          <w:sz w:val="24"/>
          <w:szCs w:val="24"/>
        </w:rPr>
        <w:t xml:space="preserve"> (p. 50).</w:t>
      </w:r>
    </w:p>
    <w:p w:rsidR="00802312" w:rsidRPr="00FC1979" w:rsidRDefault="00333B57" w:rsidP="00FC1979">
      <w:pPr>
        <w:pBdr>
          <w:top w:val="nil"/>
          <w:left w:val="nil"/>
          <w:bottom w:val="nil"/>
          <w:right w:val="nil"/>
          <w:between w:val="nil"/>
        </w:pBdr>
        <w:spacing w:line="360" w:lineRule="auto"/>
        <w:ind w:left="-2" w:firstLineChars="150" w:firstLine="360"/>
        <w:jc w:val="both"/>
        <w:rPr>
          <w:color w:val="000000"/>
          <w:sz w:val="24"/>
          <w:szCs w:val="24"/>
        </w:rPr>
      </w:pPr>
      <w:r w:rsidRPr="00FC1979">
        <w:rPr>
          <w:color w:val="000000"/>
          <w:sz w:val="24"/>
          <w:szCs w:val="24"/>
        </w:rPr>
        <w:t xml:space="preserve">Portanto, a luta contra a alienação passa pela reconstrução da identidade étnico-racial dos sujeitos históricos da escola, isso significa romper com o discurso hegemônico que inferioriza os saberes africanos e legitima apenas os conhecimentos produzidos pela </w:t>
      </w:r>
      <w:proofErr w:type="spellStart"/>
      <w:r w:rsidRPr="00FC1979">
        <w:rPr>
          <w:color w:val="000000"/>
          <w:sz w:val="24"/>
          <w:szCs w:val="24"/>
        </w:rPr>
        <w:t>branquitude</w:t>
      </w:r>
      <w:proofErr w:type="spellEnd"/>
      <w:r w:rsidRPr="00FC1979">
        <w:rPr>
          <w:color w:val="000000"/>
          <w:sz w:val="24"/>
          <w:szCs w:val="24"/>
        </w:rPr>
        <w:t>, significa também valorizar a estética negra como forma de resistência simbólica e afetiva, como apontado na valorização dos corpos e dos cabelos naturais das mulheres negras nas comunidades quilombolas (2023, p. 99).</w:t>
      </w:r>
    </w:p>
    <w:p w:rsidR="00802312" w:rsidRPr="00FC1979" w:rsidRDefault="00333B57" w:rsidP="00FC1979">
      <w:pPr>
        <w:pBdr>
          <w:top w:val="nil"/>
          <w:left w:val="nil"/>
          <w:bottom w:val="nil"/>
          <w:right w:val="nil"/>
          <w:between w:val="nil"/>
        </w:pBdr>
        <w:spacing w:line="360" w:lineRule="auto"/>
        <w:ind w:left="-2" w:firstLineChars="150" w:firstLine="360"/>
        <w:jc w:val="both"/>
        <w:rPr>
          <w:color w:val="000000"/>
          <w:sz w:val="24"/>
          <w:szCs w:val="24"/>
        </w:rPr>
      </w:pPr>
      <w:r w:rsidRPr="00FC1979">
        <w:rPr>
          <w:color w:val="000000"/>
          <w:sz w:val="24"/>
          <w:szCs w:val="24"/>
        </w:rPr>
        <w:lastRenderedPageBreak/>
        <w:t xml:space="preserve">O enfrentamento da alienação exige coragem pedagógica, como ensina </w:t>
      </w:r>
      <w:proofErr w:type="spellStart"/>
      <w:r w:rsidRPr="00FC1979">
        <w:rPr>
          <w:color w:val="000000"/>
          <w:sz w:val="24"/>
          <w:szCs w:val="24"/>
        </w:rPr>
        <w:t>Hooks</w:t>
      </w:r>
      <w:proofErr w:type="spellEnd"/>
      <w:r w:rsidRPr="00FC1979">
        <w:rPr>
          <w:color w:val="000000"/>
          <w:sz w:val="24"/>
          <w:szCs w:val="24"/>
        </w:rPr>
        <w:t>, ao propor que a sala de aula seja um espaço de transgressão, onde o conhecimento seja instrumento de liberdade e consciência crítica, somente por meio da superação da alienação e da produção de uma subjetividade autônoma é possível efetivar, de fato, os princípios da Lei 10.639/03, para além da mera formalidade institucional.</w:t>
      </w:r>
    </w:p>
    <w:p w:rsidR="00802312" w:rsidRPr="00FC1979" w:rsidRDefault="00802312" w:rsidP="00FC1979">
      <w:pPr>
        <w:spacing w:line="360" w:lineRule="auto"/>
        <w:ind w:left="-2" w:firstLineChars="150" w:firstLine="360"/>
        <w:jc w:val="both"/>
        <w:rPr>
          <w:sz w:val="24"/>
          <w:szCs w:val="24"/>
        </w:rPr>
      </w:pPr>
    </w:p>
    <w:p w:rsidR="00802312" w:rsidRPr="00FC1979" w:rsidRDefault="00333B57" w:rsidP="00FC1979">
      <w:pPr>
        <w:spacing w:line="360" w:lineRule="auto"/>
        <w:ind w:left="-2" w:firstLineChars="150" w:firstLine="361"/>
        <w:jc w:val="both"/>
        <w:rPr>
          <w:sz w:val="24"/>
          <w:szCs w:val="24"/>
        </w:rPr>
      </w:pPr>
      <w:r w:rsidRPr="00FC1979">
        <w:rPr>
          <w:b/>
          <w:sz w:val="24"/>
          <w:szCs w:val="24"/>
        </w:rPr>
        <w:t>3</w:t>
      </w:r>
      <w:r w:rsidRPr="00FC1979">
        <w:rPr>
          <w:b/>
          <w:sz w:val="24"/>
          <w:szCs w:val="24"/>
        </w:rPr>
        <w:tab/>
        <w:t>CONCLUSÃO</w:t>
      </w:r>
    </w:p>
    <w:p w:rsidR="00802312" w:rsidRPr="00FC1979" w:rsidRDefault="00802312" w:rsidP="00FC1979">
      <w:pPr>
        <w:spacing w:line="360" w:lineRule="auto"/>
        <w:ind w:left="-2" w:firstLineChars="150" w:firstLine="360"/>
        <w:jc w:val="both"/>
        <w:rPr>
          <w:sz w:val="24"/>
          <w:szCs w:val="24"/>
        </w:rPr>
      </w:pPr>
    </w:p>
    <w:p w:rsidR="00802312" w:rsidRPr="00FC1979" w:rsidRDefault="00333B57" w:rsidP="00FC1979">
      <w:pPr>
        <w:spacing w:line="360" w:lineRule="auto"/>
        <w:ind w:left="-2" w:firstLineChars="150" w:firstLine="360"/>
        <w:jc w:val="both"/>
        <w:rPr>
          <w:rFonts w:eastAsia="Times New Roman"/>
          <w:sz w:val="24"/>
          <w:szCs w:val="24"/>
        </w:rPr>
      </w:pPr>
      <w:r w:rsidRPr="00FC1979">
        <w:rPr>
          <w:rFonts w:eastAsia="Times New Roman"/>
          <w:sz w:val="24"/>
          <w:szCs w:val="24"/>
        </w:rPr>
        <w:t xml:space="preserve">A análise empreendida neste artigo evidenciou que a Lei 10.639/03, embora represente um marco jurídico na disputa por reconhecimento da população negra, permanece capturada por uma engrenagem escolar que tende a reproduzir as hierarquias de raça e de classe historicamente construídas no capitalismo brasileiro. A partir de uma perspectiva marxista, demonstramos que a escola, enquanto aparelho ideológico do Estado, atua simultaneamente como veículo de reprodução da ordem dominante e como possível trincheira de resistência coletiva. Identificamos, de um lado, barreiras estruturais — racismo institucional, precarização do trabalho docente, currículos eurocêntricos — que limitam o alcance da legislação; de outro, experiências insurgentes que, mesmo fragmentárias, apontam para práticas pedagógicas </w:t>
      </w:r>
      <w:proofErr w:type="spellStart"/>
      <w:r w:rsidRPr="00FC1979">
        <w:rPr>
          <w:rFonts w:eastAsia="Times New Roman"/>
          <w:sz w:val="24"/>
          <w:szCs w:val="24"/>
        </w:rPr>
        <w:t>contra-hegemônicas</w:t>
      </w:r>
      <w:proofErr w:type="spellEnd"/>
      <w:r w:rsidRPr="00FC1979">
        <w:rPr>
          <w:rFonts w:eastAsia="Times New Roman"/>
          <w:sz w:val="24"/>
          <w:szCs w:val="24"/>
        </w:rPr>
        <w:t xml:space="preserve"> capazes de </w:t>
      </w:r>
      <w:proofErr w:type="spellStart"/>
      <w:r w:rsidRPr="00FC1979">
        <w:rPr>
          <w:rFonts w:eastAsia="Times New Roman"/>
          <w:sz w:val="24"/>
          <w:szCs w:val="24"/>
        </w:rPr>
        <w:t>tensionar</w:t>
      </w:r>
      <w:proofErr w:type="spellEnd"/>
      <w:r w:rsidRPr="00FC1979">
        <w:rPr>
          <w:rFonts w:eastAsia="Times New Roman"/>
          <w:sz w:val="24"/>
          <w:szCs w:val="24"/>
        </w:rPr>
        <w:t xml:space="preserve"> a lógica capitalista no interior da sala de aula.</w:t>
      </w:r>
    </w:p>
    <w:p w:rsidR="00802312" w:rsidRPr="00FC1979" w:rsidRDefault="00333B57" w:rsidP="00FC1979">
      <w:pPr>
        <w:spacing w:line="360" w:lineRule="auto"/>
        <w:ind w:left="-2" w:firstLineChars="150" w:firstLine="360"/>
        <w:jc w:val="both"/>
        <w:rPr>
          <w:rFonts w:eastAsia="Times New Roman"/>
          <w:sz w:val="24"/>
          <w:szCs w:val="24"/>
        </w:rPr>
      </w:pPr>
      <w:r w:rsidRPr="00FC1979">
        <w:rPr>
          <w:rFonts w:eastAsia="Times New Roman"/>
          <w:sz w:val="24"/>
          <w:szCs w:val="24"/>
        </w:rPr>
        <w:t>Nesse sentido, a efetivação da Lei 10.639/03 não pode ser pensada como mero ajuste curricular, mas como parte de um processo mais amplo de luta de classes, exigindo transformações nas condições materiais de trabalho dos profissionais da educação e a construção de uma consciência histórica crítica entre educadores, estudantes e comunidade. Entre as propostas imediatas, destacamos: (i) instituir programas permanentes de formação continuada, financiados pelo Estado, com ênfase na teoria crítica africana e afro-brasileira; (</w:t>
      </w:r>
      <w:proofErr w:type="spellStart"/>
      <w:r w:rsidRPr="00FC1979">
        <w:rPr>
          <w:rFonts w:eastAsia="Times New Roman"/>
          <w:sz w:val="24"/>
          <w:szCs w:val="24"/>
        </w:rPr>
        <w:t>ii</w:t>
      </w:r>
      <w:proofErr w:type="spellEnd"/>
      <w:r w:rsidRPr="00FC1979">
        <w:rPr>
          <w:rFonts w:eastAsia="Times New Roman"/>
          <w:sz w:val="24"/>
          <w:szCs w:val="24"/>
        </w:rPr>
        <w:t>) criar núcleos de pesquisa-ação que articulem universidades, sindicatos e movimentos negros para produzir materiais didáticos, avaliar práticas e difundir experiências exitosas; (</w:t>
      </w:r>
      <w:proofErr w:type="spellStart"/>
      <w:r w:rsidRPr="00FC1979">
        <w:rPr>
          <w:rFonts w:eastAsia="Times New Roman"/>
          <w:sz w:val="24"/>
          <w:szCs w:val="24"/>
        </w:rPr>
        <w:t>iii</w:t>
      </w:r>
      <w:proofErr w:type="spellEnd"/>
      <w:r w:rsidRPr="00FC1979">
        <w:rPr>
          <w:rFonts w:eastAsia="Times New Roman"/>
          <w:sz w:val="24"/>
          <w:szCs w:val="24"/>
        </w:rPr>
        <w:t xml:space="preserve">) vincular repasses de </w:t>
      </w:r>
      <w:r w:rsidRPr="00FC1979">
        <w:rPr>
          <w:rFonts w:eastAsia="Times New Roman"/>
          <w:sz w:val="24"/>
          <w:szCs w:val="24"/>
        </w:rPr>
        <w:lastRenderedPageBreak/>
        <w:t>recursos públicos a indicadores de adoção efetiva de conteúdos afro-referenciados, evitando que a lei se transforme em letra morta nos documentos oficiais.</w:t>
      </w:r>
    </w:p>
    <w:p w:rsidR="00802312" w:rsidRPr="00FC1979" w:rsidRDefault="00333B57" w:rsidP="00FC1979">
      <w:pPr>
        <w:spacing w:line="360" w:lineRule="auto"/>
        <w:ind w:left="-2" w:firstLineChars="150" w:firstLine="360"/>
        <w:jc w:val="both"/>
        <w:rPr>
          <w:rFonts w:eastAsia="Times New Roman"/>
          <w:sz w:val="24"/>
          <w:szCs w:val="24"/>
        </w:rPr>
      </w:pPr>
      <w:r w:rsidRPr="00FC1979">
        <w:rPr>
          <w:rFonts w:eastAsia="Times New Roman"/>
          <w:sz w:val="24"/>
          <w:szCs w:val="24"/>
        </w:rPr>
        <w:t xml:space="preserve">Todavia, tais iniciativas só ganharão substância se acompanhadas de uma política de valorização do trabalho escolar que rompa com a lógica de sobrecarga e baixos salários. É necessário garantir jornadas compatíveis com a elaboração de projetos pedagógicos críticos, o que implica concursos públicos, planos de carreira dignos e liberdade de cátedra resguardada contra pressões conservadoras. Nossa análise indica que a precariedade objetiva da docência constitui um dos principais gargalos para a materialização de propostas transformadoras: um trabalhador exaurido dificilmente encontra condições para reinventar o currículo a partir de perspectivas </w:t>
      </w:r>
      <w:proofErr w:type="spellStart"/>
      <w:r w:rsidRPr="00FC1979">
        <w:rPr>
          <w:rFonts w:eastAsia="Times New Roman"/>
          <w:sz w:val="24"/>
          <w:szCs w:val="24"/>
        </w:rPr>
        <w:t>contra-hegemônicas</w:t>
      </w:r>
      <w:proofErr w:type="spellEnd"/>
      <w:r w:rsidRPr="00FC1979">
        <w:rPr>
          <w:rFonts w:eastAsia="Times New Roman"/>
          <w:sz w:val="24"/>
          <w:szCs w:val="24"/>
        </w:rPr>
        <w:t>.</w:t>
      </w:r>
    </w:p>
    <w:p w:rsidR="00802312" w:rsidRPr="00FC1979" w:rsidRDefault="00333B57" w:rsidP="00FC1979">
      <w:pPr>
        <w:spacing w:line="360" w:lineRule="auto"/>
        <w:ind w:left="-2" w:firstLineChars="150" w:firstLine="360"/>
        <w:jc w:val="both"/>
        <w:rPr>
          <w:rFonts w:eastAsia="Times New Roman"/>
          <w:sz w:val="24"/>
          <w:szCs w:val="24"/>
        </w:rPr>
      </w:pPr>
      <w:r w:rsidRPr="00FC1979">
        <w:rPr>
          <w:rFonts w:eastAsia="Times New Roman"/>
          <w:sz w:val="24"/>
          <w:szCs w:val="24"/>
        </w:rPr>
        <w:t xml:space="preserve">Do ponto de vista científico, o estudo aponta lacunas que </w:t>
      </w:r>
      <w:r w:rsidR="00A16E95">
        <w:rPr>
          <w:rFonts w:eastAsia="Times New Roman"/>
          <w:sz w:val="24"/>
          <w:szCs w:val="24"/>
        </w:rPr>
        <w:t>convidam a novas investigações, u</w:t>
      </w:r>
      <w:r w:rsidRPr="00FC1979">
        <w:rPr>
          <w:rFonts w:eastAsia="Times New Roman"/>
          <w:sz w:val="24"/>
          <w:szCs w:val="24"/>
        </w:rPr>
        <w:t>rge realizar pesquisas longitudinais que acompanhem escolas onde a lei tenha sido implementada de forma consistente, mapeando impactos sobre o rendimento e a autoimagem dos estudantes negros. Estudos etnográficos em comunidades quilombolas, indígenas e periferias urbanas também podem revelar estratégias locais de resistência que escapam às estatísticas oficiais. Ademais, análises quantitativas sobre correlação entre investimento em formação antirracista e indicadores de aprendizagem permitiriam dimensionar com maior precisão os efeitos das políticas de valorização docente.</w:t>
      </w:r>
    </w:p>
    <w:p w:rsidR="00A16E95" w:rsidRDefault="00333B57" w:rsidP="00A16E95">
      <w:pPr>
        <w:spacing w:line="360" w:lineRule="auto"/>
        <w:ind w:left="-2" w:firstLineChars="150" w:firstLine="360"/>
        <w:jc w:val="both"/>
        <w:rPr>
          <w:rFonts w:eastAsia="Times New Roman"/>
          <w:sz w:val="24"/>
          <w:szCs w:val="24"/>
        </w:rPr>
      </w:pPr>
      <w:r w:rsidRPr="00FC1979">
        <w:rPr>
          <w:rFonts w:eastAsia="Times New Roman"/>
          <w:sz w:val="24"/>
          <w:szCs w:val="24"/>
        </w:rPr>
        <w:t xml:space="preserve">Outro campo promissor envolve a comparação internacional: examinar leis semelhantes em países latino-americanos pode oferecer elementos para uma agenda regional de educação antirracista. Além disso, pesquisas sobre a apropriação de tecnologias digitais para difusão de saberes afro-referenciados — </w:t>
      </w:r>
      <w:proofErr w:type="spellStart"/>
      <w:r w:rsidRPr="00FC1979">
        <w:rPr>
          <w:rFonts w:eastAsia="Times New Roman"/>
          <w:sz w:val="24"/>
          <w:szCs w:val="24"/>
        </w:rPr>
        <w:t>podcasts</w:t>
      </w:r>
      <w:proofErr w:type="spellEnd"/>
      <w:r w:rsidRPr="00FC1979">
        <w:rPr>
          <w:rFonts w:eastAsia="Times New Roman"/>
          <w:sz w:val="24"/>
          <w:szCs w:val="24"/>
        </w:rPr>
        <w:t>, plataformas de audiovisual e jogos sérios — podem ampliar as trincheiras de disputa cultural para além dos muros escolares.</w:t>
      </w:r>
      <w:r w:rsidR="00A16E95">
        <w:rPr>
          <w:rFonts w:eastAsia="Times New Roman"/>
          <w:sz w:val="24"/>
          <w:szCs w:val="24"/>
        </w:rPr>
        <w:t xml:space="preserve"> </w:t>
      </w:r>
    </w:p>
    <w:p w:rsidR="00802312" w:rsidRPr="00FC1979" w:rsidRDefault="00A16E95" w:rsidP="00A16E95">
      <w:pPr>
        <w:spacing w:line="360" w:lineRule="auto"/>
        <w:ind w:left="-2" w:firstLineChars="150" w:firstLine="360"/>
        <w:jc w:val="both"/>
        <w:rPr>
          <w:rFonts w:eastAsia="Times New Roman"/>
          <w:sz w:val="24"/>
          <w:szCs w:val="24"/>
        </w:rPr>
      </w:pPr>
      <w:r>
        <w:rPr>
          <w:rFonts w:eastAsia="Times New Roman"/>
          <w:sz w:val="24"/>
          <w:szCs w:val="24"/>
        </w:rPr>
        <w:t>R</w:t>
      </w:r>
      <w:r w:rsidR="00333B57" w:rsidRPr="00FC1979">
        <w:rPr>
          <w:rFonts w:eastAsia="Times New Roman"/>
          <w:sz w:val="24"/>
          <w:szCs w:val="24"/>
        </w:rPr>
        <w:t>eafirmamos que a Lei 10.639/03, compreendida à luz da filosofia marxista, só se realiza plenamente quando articulada a processos de transformação estrutural que coloquem em xeque a ordem capitalista que sus</w:t>
      </w:r>
      <w:r>
        <w:rPr>
          <w:rFonts w:eastAsia="Times New Roman"/>
          <w:sz w:val="24"/>
          <w:szCs w:val="24"/>
        </w:rPr>
        <w:t>tenta as desigualdades raciais, a</w:t>
      </w:r>
      <w:r w:rsidR="00333B57" w:rsidRPr="00FC1979">
        <w:rPr>
          <w:rFonts w:eastAsia="Times New Roman"/>
          <w:sz w:val="24"/>
          <w:szCs w:val="24"/>
        </w:rPr>
        <w:t xml:space="preserve"> </w:t>
      </w:r>
      <w:r w:rsidR="00333B57" w:rsidRPr="00FC1979">
        <w:rPr>
          <w:rFonts w:eastAsia="Times New Roman"/>
          <w:sz w:val="24"/>
          <w:szCs w:val="24"/>
        </w:rPr>
        <w:lastRenderedPageBreak/>
        <w:t xml:space="preserve">escola, enquanto espaço contraditório, não substitui a luta nas ruas, mas pode potencializá-la ao formar sujeitos capazes de reconhecer as raízes históricas da opressão e de se organizar </w:t>
      </w:r>
      <w:r>
        <w:rPr>
          <w:rFonts w:eastAsia="Times New Roman"/>
          <w:sz w:val="24"/>
          <w:szCs w:val="24"/>
        </w:rPr>
        <w:t>coletivamente por sua superação, q</w:t>
      </w:r>
      <w:r w:rsidR="00333B57" w:rsidRPr="00FC1979">
        <w:rPr>
          <w:rFonts w:eastAsia="Times New Roman"/>
          <w:sz w:val="24"/>
          <w:szCs w:val="24"/>
        </w:rPr>
        <w:t>ue este trabalho sirva de convite a pesquisadores, educadores e movimentos sociais para avançar na construção de uma práxis pedagógica que, ao mesmo tempo, denuncie a reprodução das injustiças e anuncie um projeto de sociedade calcado na igualdade substantiva.</w:t>
      </w:r>
    </w:p>
    <w:p w:rsidR="00802312" w:rsidRPr="00FC1979" w:rsidRDefault="00802312" w:rsidP="00FC1979">
      <w:pPr>
        <w:spacing w:line="360" w:lineRule="auto"/>
        <w:ind w:left="-2" w:firstLineChars="150" w:firstLine="360"/>
        <w:jc w:val="both"/>
        <w:rPr>
          <w:sz w:val="24"/>
          <w:szCs w:val="24"/>
        </w:rPr>
      </w:pPr>
    </w:p>
    <w:p w:rsidR="00802312" w:rsidRDefault="00802312">
      <w:pPr>
        <w:spacing w:line="360" w:lineRule="auto"/>
        <w:ind w:left="0" w:hanging="2"/>
        <w:jc w:val="center"/>
        <w:rPr>
          <w:sz w:val="24"/>
          <w:szCs w:val="24"/>
        </w:rPr>
      </w:pPr>
    </w:p>
    <w:p w:rsidR="00802312" w:rsidRDefault="00333B57" w:rsidP="00FC1979">
      <w:pPr>
        <w:spacing w:line="360" w:lineRule="auto"/>
        <w:ind w:left="0" w:hanging="2"/>
        <w:rPr>
          <w:b/>
          <w:sz w:val="24"/>
          <w:szCs w:val="24"/>
        </w:rPr>
      </w:pPr>
      <w:r>
        <w:rPr>
          <w:b/>
          <w:sz w:val="24"/>
          <w:szCs w:val="24"/>
        </w:rPr>
        <w:t xml:space="preserve">REFERÊNCIAS </w:t>
      </w:r>
    </w:p>
    <w:p w:rsidR="00FC1979" w:rsidRDefault="00FC1979" w:rsidP="00FC1979">
      <w:pPr>
        <w:pBdr>
          <w:top w:val="nil"/>
          <w:left w:val="nil"/>
          <w:bottom w:val="nil"/>
          <w:right w:val="nil"/>
          <w:between w:val="nil"/>
        </w:pBdr>
        <w:spacing w:before="240" w:after="240" w:line="360" w:lineRule="auto"/>
        <w:ind w:left="0" w:hanging="2"/>
        <w:jc w:val="both"/>
        <w:rPr>
          <w:color w:val="000000"/>
          <w:sz w:val="24"/>
          <w:szCs w:val="24"/>
        </w:rPr>
      </w:pPr>
      <w:r>
        <w:rPr>
          <w:color w:val="000000"/>
          <w:sz w:val="24"/>
          <w:szCs w:val="24"/>
        </w:rPr>
        <w:t xml:space="preserve">MARX, Karl; ENGELS, Friedrich. </w:t>
      </w:r>
      <w:r w:rsidRPr="007F2870">
        <w:rPr>
          <w:b/>
          <w:color w:val="000000"/>
          <w:sz w:val="24"/>
          <w:szCs w:val="24"/>
        </w:rPr>
        <w:t>A ideologia alemã</w:t>
      </w:r>
      <w:r>
        <w:rPr>
          <w:color w:val="000000"/>
          <w:sz w:val="24"/>
          <w:szCs w:val="24"/>
        </w:rPr>
        <w:t xml:space="preserve">. Tradução de Rubens </w:t>
      </w:r>
      <w:proofErr w:type="spellStart"/>
      <w:r>
        <w:rPr>
          <w:color w:val="000000"/>
          <w:sz w:val="24"/>
          <w:szCs w:val="24"/>
        </w:rPr>
        <w:t>Enderle</w:t>
      </w:r>
      <w:proofErr w:type="spellEnd"/>
      <w:r>
        <w:rPr>
          <w:color w:val="000000"/>
          <w:sz w:val="24"/>
          <w:szCs w:val="24"/>
        </w:rPr>
        <w:t xml:space="preserve">. São Paulo: </w:t>
      </w:r>
      <w:proofErr w:type="spellStart"/>
      <w:r>
        <w:rPr>
          <w:color w:val="000000"/>
          <w:sz w:val="24"/>
          <w:szCs w:val="24"/>
        </w:rPr>
        <w:t>Boitempo</w:t>
      </w:r>
      <w:proofErr w:type="spellEnd"/>
      <w:r>
        <w:rPr>
          <w:color w:val="000000"/>
          <w:sz w:val="24"/>
          <w:szCs w:val="24"/>
        </w:rPr>
        <w:t>, 2007.</w:t>
      </w:r>
    </w:p>
    <w:p w:rsidR="00FC1979" w:rsidRDefault="00FC1979" w:rsidP="00FC1979">
      <w:pPr>
        <w:pBdr>
          <w:top w:val="nil"/>
          <w:left w:val="nil"/>
          <w:bottom w:val="nil"/>
          <w:right w:val="nil"/>
          <w:between w:val="nil"/>
        </w:pBdr>
        <w:spacing w:before="240" w:after="240" w:line="360" w:lineRule="auto"/>
        <w:ind w:left="0" w:hanging="2"/>
        <w:jc w:val="both"/>
        <w:rPr>
          <w:color w:val="000000"/>
          <w:sz w:val="24"/>
          <w:szCs w:val="24"/>
        </w:rPr>
      </w:pPr>
      <w:r>
        <w:rPr>
          <w:color w:val="000000"/>
          <w:sz w:val="24"/>
          <w:szCs w:val="24"/>
        </w:rPr>
        <w:t xml:space="preserve">MOREIRA, Marilene Barcelos. </w:t>
      </w:r>
      <w:r w:rsidRPr="007F2870">
        <w:rPr>
          <w:b/>
          <w:color w:val="000000"/>
          <w:sz w:val="24"/>
          <w:szCs w:val="24"/>
        </w:rPr>
        <w:t>A boniteza da implementação da Lei 10.639/03 no ensino de Química: esperançando criticamente superar os estigmas étnico-raciais do ambiente escolar.</w:t>
      </w:r>
      <w:r>
        <w:rPr>
          <w:color w:val="000000"/>
          <w:sz w:val="24"/>
          <w:szCs w:val="24"/>
        </w:rPr>
        <w:t xml:space="preserve"> 2022. Tese (Doutorado em Química) – Universidade Federal de Goiás, Instituto de Química, Programa de Pós-Graduação em Química, Goiânia, 2022.</w:t>
      </w:r>
    </w:p>
    <w:p w:rsidR="00FC1979" w:rsidRDefault="00FC1979" w:rsidP="00FC1979">
      <w:pPr>
        <w:pBdr>
          <w:top w:val="nil"/>
          <w:left w:val="nil"/>
          <w:bottom w:val="nil"/>
          <w:right w:val="nil"/>
          <w:between w:val="nil"/>
        </w:pBdr>
        <w:spacing w:before="240" w:after="240" w:line="360" w:lineRule="auto"/>
        <w:ind w:left="0" w:hanging="2"/>
        <w:jc w:val="both"/>
        <w:rPr>
          <w:color w:val="000000"/>
          <w:sz w:val="24"/>
          <w:szCs w:val="24"/>
        </w:rPr>
      </w:pPr>
      <w:r>
        <w:rPr>
          <w:color w:val="000000"/>
          <w:sz w:val="24"/>
          <w:szCs w:val="24"/>
        </w:rPr>
        <w:t xml:space="preserve">LIMA, </w:t>
      </w:r>
      <w:proofErr w:type="gramStart"/>
      <w:r>
        <w:rPr>
          <w:color w:val="000000"/>
          <w:sz w:val="24"/>
          <w:szCs w:val="24"/>
        </w:rPr>
        <w:t xml:space="preserve">Márcia  </w:t>
      </w:r>
      <w:proofErr w:type="spellStart"/>
      <w:r>
        <w:rPr>
          <w:color w:val="000000"/>
          <w:sz w:val="24"/>
          <w:szCs w:val="24"/>
        </w:rPr>
        <w:t>Paroque</w:t>
      </w:r>
      <w:proofErr w:type="spellEnd"/>
      <w:proofErr w:type="gramEnd"/>
      <w:r>
        <w:rPr>
          <w:color w:val="000000"/>
          <w:sz w:val="24"/>
          <w:szCs w:val="24"/>
        </w:rPr>
        <w:t xml:space="preserve"> de . </w:t>
      </w:r>
      <w:r w:rsidRPr="007F2870">
        <w:rPr>
          <w:b/>
          <w:color w:val="000000"/>
          <w:sz w:val="24"/>
          <w:szCs w:val="24"/>
        </w:rPr>
        <w:t>ARTE-EDUCAÇÃO ESTÉTICA E ÉTICA: uma proposta de fortalecimento da Lei 10.639/03.</w:t>
      </w:r>
      <w:r>
        <w:rPr>
          <w:color w:val="000000"/>
          <w:sz w:val="24"/>
          <w:szCs w:val="24"/>
        </w:rPr>
        <w:t xml:space="preserve"> São Paulo: Faculdades Conectadas ,2023.</w:t>
      </w:r>
    </w:p>
    <w:p w:rsidR="00FC1979" w:rsidRDefault="00FC1979" w:rsidP="00FC1979">
      <w:pPr>
        <w:spacing w:before="240" w:after="240" w:line="360" w:lineRule="auto"/>
        <w:ind w:left="0" w:hanging="2"/>
        <w:jc w:val="both"/>
        <w:rPr>
          <w:sz w:val="24"/>
          <w:szCs w:val="24"/>
        </w:rPr>
      </w:pPr>
      <w:r>
        <w:rPr>
          <w:sz w:val="24"/>
          <w:szCs w:val="24"/>
        </w:rPr>
        <w:t xml:space="preserve">ALMEIDA, Silvio Luiz de. </w:t>
      </w:r>
      <w:r w:rsidRPr="007F2870">
        <w:rPr>
          <w:b/>
          <w:sz w:val="24"/>
          <w:szCs w:val="24"/>
        </w:rPr>
        <w:t>Racismo estrutural.</w:t>
      </w:r>
      <w:r>
        <w:rPr>
          <w:sz w:val="24"/>
          <w:szCs w:val="24"/>
        </w:rPr>
        <w:t xml:space="preserve"> São Paulo: Pólen, 2018.</w:t>
      </w:r>
      <w:r>
        <w:rPr>
          <w:sz w:val="24"/>
          <w:szCs w:val="24"/>
        </w:rPr>
        <w:br/>
        <w:t xml:space="preserve">GOMES, </w:t>
      </w:r>
      <w:proofErr w:type="spellStart"/>
      <w:r>
        <w:rPr>
          <w:sz w:val="24"/>
          <w:szCs w:val="24"/>
        </w:rPr>
        <w:t>Nilma</w:t>
      </w:r>
      <w:proofErr w:type="spellEnd"/>
      <w:r>
        <w:rPr>
          <w:sz w:val="24"/>
          <w:szCs w:val="24"/>
        </w:rPr>
        <w:t xml:space="preserve"> Lino. Políticas da diferença na educação brasileira: a Lei 10.639/03. In: Revista Educação &amp; Sociedade, v. 33, n. 120, 2012.</w:t>
      </w:r>
    </w:p>
    <w:p w:rsidR="00FC1979" w:rsidRDefault="00FC1979" w:rsidP="00FC1979">
      <w:pPr>
        <w:spacing w:before="240" w:after="240" w:line="360" w:lineRule="auto"/>
        <w:ind w:left="0" w:hanging="2"/>
        <w:jc w:val="both"/>
        <w:rPr>
          <w:sz w:val="24"/>
          <w:szCs w:val="24"/>
        </w:rPr>
      </w:pPr>
      <w:r>
        <w:rPr>
          <w:sz w:val="24"/>
          <w:szCs w:val="24"/>
        </w:rPr>
        <w:t xml:space="preserve">MUNANGA, </w:t>
      </w:r>
      <w:proofErr w:type="spellStart"/>
      <w:r>
        <w:rPr>
          <w:sz w:val="24"/>
          <w:szCs w:val="24"/>
        </w:rPr>
        <w:t>Kabengele</w:t>
      </w:r>
      <w:proofErr w:type="spellEnd"/>
      <w:r>
        <w:rPr>
          <w:sz w:val="24"/>
          <w:szCs w:val="24"/>
        </w:rPr>
        <w:t xml:space="preserve">. </w:t>
      </w:r>
      <w:r w:rsidRPr="007F2870">
        <w:rPr>
          <w:b/>
          <w:sz w:val="24"/>
          <w:szCs w:val="24"/>
        </w:rPr>
        <w:t>Rediscutindo a mestiçagem no Brasil.</w:t>
      </w:r>
      <w:r>
        <w:rPr>
          <w:sz w:val="24"/>
          <w:szCs w:val="24"/>
        </w:rPr>
        <w:t xml:space="preserve"> Petrópolis: Vozes, 2005.</w:t>
      </w:r>
      <w:r>
        <w:rPr>
          <w:sz w:val="24"/>
          <w:szCs w:val="24"/>
        </w:rPr>
        <w:br/>
        <w:t xml:space="preserve">SAVIANI, </w:t>
      </w:r>
      <w:proofErr w:type="spellStart"/>
      <w:r>
        <w:rPr>
          <w:sz w:val="24"/>
          <w:szCs w:val="24"/>
        </w:rPr>
        <w:t>Dermeval</w:t>
      </w:r>
      <w:proofErr w:type="spellEnd"/>
      <w:r>
        <w:rPr>
          <w:sz w:val="24"/>
          <w:szCs w:val="24"/>
        </w:rPr>
        <w:t xml:space="preserve">. </w:t>
      </w:r>
      <w:r w:rsidRPr="007F2870">
        <w:rPr>
          <w:b/>
          <w:sz w:val="24"/>
          <w:szCs w:val="24"/>
        </w:rPr>
        <w:t>História das ideias pedagógicas no Brasil.</w:t>
      </w:r>
      <w:r>
        <w:rPr>
          <w:sz w:val="24"/>
          <w:szCs w:val="24"/>
        </w:rPr>
        <w:t xml:space="preserve"> Campinas: Autores Associados, 2007.</w:t>
      </w:r>
    </w:p>
    <w:p w:rsidR="00FC1979" w:rsidRDefault="00FC1979" w:rsidP="00FC1979">
      <w:pPr>
        <w:spacing w:before="240" w:after="240" w:line="360" w:lineRule="auto"/>
        <w:ind w:left="0" w:hanging="2"/>
        <w:jc w:val="both"/>
        <w:rPr>
          <w:sz w:val="24"/>
          <w:szCs w:val="24"/>
        </w:rPr>
      </w:pPr>
      <w:r>
        <w:rPr>
          <w:sz w:val="24"/>
          <w:szCs w:val="24"/>
        </w:rPr>
        <w:lastRenderedPageBreak/>
        <w:t xml:space="preserve">BRASIL. Ministério da Educação. </w:t>
      </w:r>
      <w:r w:rsidRPr="007F2870">
        <w:rPr>
          <w:b/>
          <w:sz w:val="24"/>
          <w:szCs w:val="24"/>
        </w:rPr>
        <w:t>Censo Escolar da Educação Básica 2022</w:t>
      </w:r>
      <w:r>
        <w:rPr>
          <w:sz w:val="24"/>
          <w:szCs w:val="24"/>
        </w:rPr>
        <w:t>. Brasília: INEP, 2022.</w:t>
      </w:r>
    </w:p>
    <w:p w:rsidR="00FC1979" w:rsidRDefault="00FC1979" w:rsidP="00FC1979">
      <w:pPr>
        <w:spacing w:before="240" w:after="240" w:line="360" w:lineRule="auto"/>
        <w:ind w:left="0" w:hanging="2"/>
        <w:jc w:val="both"/>
        <w:rPr>
          <w:sz w:val="24"/>
          <w:szCs w:val="24"/>
        </w:rPr>
      </w:pPr>
      <w:r>
        <w:rPr>
          <w:sz w:val="24"/>
          <w:szCs w:val="24"/>
        </w:rPr>
        <w:t>BRASIL. Lei nº 10.639, de 9 de janeiro de 2003. Diário Oficial da União, 2003.</w:t>
      </w:r>
    </w:p>
    <w:p w:rsidR="00FC1979" w:rsidRDefault="00FC1979" w:rsidP="00FC1979">
      <w:pPr>
        <w:spacing w:before="240" w:after="240" w:line="360" w:lineRule="auto"/>
        <w:ind w:left="0" w:hanging="2"/>
        <w:jc w:val="both"/>
      </w:pPr>
      <w:r>
        <w:rPr>
          <w:sz w:val="24"/>
          <w:szCs w:val="24"/>
        </w:rPr>
        <w:t xml:space="preserve">FERREIRA, </w:t>
      </w:r>
      <w:proofErr w:type="spellStart"/>
      <w:r>
        <w:rPr>
          <w:sz w:val="24"/>
          <w:szCs w:val="24"/>
        </w:rPr>
        <w:t>Jaíne</w:t>
      </w:r>
      <w:proofErr w:type="spellEnd"/>
      <w:r>
        <w:rPr>
          <w:sz w:val="24"/>
          <w:szCs w:val="24"/>
        </w:rPr>
        <w:t xml:space="preserve"> Macêdo. </w:t>
      </w:r>
      <w:r w:rsidRPr="007F2870">
        <w:rPr>
          <w:b/>
          <w:sz w:val="24"/>
          <w:szCs w:val="24"/>
        </w:rPr>
        <w:t>A efetivação da Lei nº 10.639/03: na visão do(a) professor(a) de ensino médio e em sua presença nos livros didáticos do PNLD 2021.</w:t>
      </w:r>
      <w:r>
        <w:rPr>
          <w:sz w:val="24"/>
          <w:szCs w:val="24"/>
        </w:rPr>
        <w:t xml:space="preserve"> 2024. 138 f. Dissertação Mestrado em Educação em Ciências e Matemática – Universidade Federal de Pernambuco, Centro Acadêmico do Agreste, Caruaru, 2024</w:t>
      </w:r>
      <w:r>
        <w:t>.</w:t>
      </w:r>
    </w:p>
    <w:p w:rsidR="00FC1979" w:rsidRDefault="00FC1979" w:rsidP="00FC1979">
      <w:pPr>
        <w:spacing w:line="360" w:lineRule="auto"/>
        <w:ind w:left="1" w:hanging="3"/>
        <w:rPr>
          <w:sz w:val="27"/>
          <w:szCs w:val="27"/>
        </w:rPr>
      </w:pPr>
    </w:p>
    <w:sectPr w:rsidR="00FC1979">
      <w:headerReference w:type="even" r:id="rId7"/>
      <w:headerReference w:type="default" r:id="rId8"/>
      <w:footerReference w:type="even" r:id="rId9"/>
      <w:footerReference w:type="default" r:id="rId10"/>
      <w:headerReference w:type="first" r:id="rId11"/>
      <w:footerReference w:type="first" r:id="rId12"/>
      <w:pgSz w:w="11909" w:h="16834"/>
      <w:pgMar w:top="1701" w:right="1134" w:bottom="1134" w:left="1701" w:header="3401"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16F7" w:rsidRDefault="00FA16F7">
      <w:pPr>
        <w:spacing w:line="240" w:lineRule="auto"/>
        <w:ind w:left="0" w:hanging="2"/>
      </w:pPr>
      <w:r>
        <w:separator/>
      </w:r>
    </w:p>
  </w:endnote>
  <w:endnote w:type="continuationSeparator" w:id="0">
    <w:p w:rsidR="00FA16F7" w:rsidRDefault="00FA16F7">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022F" w:rsidRDefault="002B022F">
    <w:pPr>
      <w:pStyle w:val="Rodap"/>
      <w:ind w:left="0" w:hanging="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022F" w:rsidRDefault="002B022F">
    <w:pPr>
      <w:pStyle w:val="Rodap"/>
      <w:ind w:left="0" w:hanging="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022F" w:rsidRDefault="002B022F">
    <w:pPr>
      <w:pStyle w:val="Rodap"/>
      <w:ind w:left="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16F7" w:rsidRDefault="00FA16F7">
      <w:pPr>
        <w:spacing w:line="240" w:lineRule="auto"/>
        <w:ind w:left="0" w:hanging="2"/>
      </w:pPr>
      <w:r>
        <w:separator/>
      </w:r>
    </w:p>
  </w:footnote>
  <w:footnote w:type="continuationSeparator" w:id="0">
    <w:p w:rsidR="00FA16F7" w:rsidRDefault="00FA16F7">
      <w:pPr>
        <w:spacing w:line="240" w:lineRule="auto"/>
        <w:ind w:left="0" w:hanging="2"/>
      </w:pPr>
      <w:r>
        <w:continuationSeparator/>
      </w:r>
    </w:p>
  </w:footnote>
  <w:footnote w:id="1">
    <w:p w:rsidR="00802312" w:rsidRPr="002B022F" w:rsidRDefault="00333B57" w:rsidP="002B022F">
      <w:pPr>
        <w:spacing w:line="240" w:lineRule="auto"/>
        <w:ind w:left="0" w:hanging="2"/>
        <w:jc w:val="both"/>
        <w:rPr>
          <w:color w:val="0000FF"/>
          <w:sz w:val="20"/>
          <w:szCs w:val="20"/>
        </w:rPr>
      </w:pPr>
      <w:r w:rsidRPr="002B022F">
        <w:rPr>
          <w:sz w:val="20"/>
          <w:szCs w:val="20"/>
          <w:vertAlign w:val="superscript"/>
        </w:rPr>
        <w:footnoteRef/>
      </w:r>
      <w:r w:rsidRPr="002B022F">
        <w:rPr>
          <w:sz w:val="20"/>
          <w:szCs w:val="20"/>
        </w:rPr>
        <w:t xml:space="preserve"> </w:t>
      </w:r>
      <w:proofErr w:type="spellStart"/>
      <w:proofErr w:type="gramStart"/>
      <w:r w:rsidRPr="002B022F">
        <w:rPr>
          <w:sz w:val="20"/>
          <w:szCs w:val="20"/>
        </w:rPr>
        <w:t>Doutorando,Doutorando</w:t>
      </w:r>
      <w:proofErr w:type="spellEnd"/>
      <w:proofErr w:type="gramEnd"/>
      <w:r w:rsidRPr="002B022F">
        <w:rPr>
          <w:sz w:val="20"/>
          <w:szCs w:val="20"/>
        </w:rPr>
        <w:t xml:space="preserve"> em Políticas Públicas, Mestre em Planejamento e Políticas Públicas, Pós-Graduado em Psicopedagogia, Pós-Graduado em Métodos do Ensino de Arte, Pós-Graduado em História e Literatura Afrodescendente, Graduado em Artes, Plásticas, Autor  de vários livros. E-mail: </w:t>
      </w:r>
      <w:r w:rsidRPr="002B022F">
        <w:rPr>
          <w:color w:val="1155CC"/>
          <w:sz w:val="20"/>
          <w:szCs w:val="20"/>
        </w:rPr>
        <w:t>ivaldo-sousa@uol.com.br/</w:t>
      </w:r>
      <w:r w:rsidRPr="002B022F">
        <w:rPr>
          <w:color w:val="0000FF"/>
          <w:sz w:val="20"/>
          <w:szCs w:val="20"/>
        </w:rPr>
        <w:t xml:space="preserve">     </w:t>
      </w:r>
      <w:r w:rsidRPr="002B022F">
        <w:rPr>
          <w:color w:val="0000FF"/>
          <w:sz w:val="20"/>
          <w:szCs w:val="20"/>
        </w:rPr>
        <w:tab/>
        <w:t>mestreivaldo@gmail.com</w:t>
      </w:r>
    </w:p>
    <w:p w:rsidR="00802312" w:rsidRPr="002B022F" w:rsidRDefault="00802312" w:rsidP="002B022F">
      <w:pPr>
        <w:spacing w:line="240" w:lineRule="auto"/>
        <w:ind w:left="0" w:hanging="2"/>
        <w:rPr>
          <w:sz w:val="20"/>
          <w:szCs w:val="20"/>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022F" w:rsidRDefault="002B022F">
    <w:pPr>
      <w:pStyle w:val="Cabealho"/>
      <w:ind w:left="0" w:hanging="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2312" w:rsidRDefault="00333B57">
    <w:pPr>
      <w:ind w:left="0" w:hanging="2"/>
    </w:pPr>
    <w:r>
      <w:rPr>
        <w:noProof/>
      </w:rPr>
      <w:drawing>
        <wp:anchor distT="0" distB="0" distL="0" distR="0" simplePos="0" relativeHeight="251658240" behindDoc="1" locked="0" layoutInCell="1" hidden="0" allowOverlap="1">
          <wp:simplePos x="0" y="0"/>
          <wp:positionH relativeFrom="page">
            <wp:posOffset>0</wp:posOffset>
          </wp:positionH>
          <wp:positionV relativeFrom="page">
            <wp:posOffset>6985</wp:posOffset>
          </wp:positionV>
          <wp:extent cx="7563485" cy="1072769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3485" cy="10727690"/>
                  </a:xfrm>
                  <a:prstGeom prst="rect">
                    <a:avLst/>
                  </a:prstGeom>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022F" w:rsidRDefault="002B022F">
    <w:pPr>
      <w:pStyle w:val="Cabealho"/>
      <w:ind w:left="0" w:hanging="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2312"/>
    <w:rsid w:val="0022287B"/>
    <w:rsid w:val="002B022F"/>
    <w:rsid w:val="002D311B"/>
    <w:rsid w:val="00333B57"/>
    <w:rsid w:val="00802312"/>
    <w:rsid w:val="00861CFE"/>
    <w:rsid w:val="00902931"/>
    <w:rsid w:val="00A16E95"/>
    <w:rsid w:val="00EB60E8"/>
    <w:rsid w:val="00FA16F7"/>
    <w:rsid w:val="00FC197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3B5AE23-9DF9-475E-B4E1-ACAD69225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ind w:leftChars="-1" w:left="-1" w:hangingChars="1" w:hanging="1"/>
      <w:textDirection w:val="btLr"/>
      <w:textAlignment w:val="top"/>
      <w:outlineLvl w:val="0"/>
    </w:pPr>
    <w:rPr>
      <w:position w:val="-1"/>
    </w:rPr>
  </w:style>
  <w:style w:type="paragraph" w:styleId="Ttulo1">
    <w:name w:val="heading 1"/>
    <w:basedOn w:val="Normal"/>
    <w:next w:val="Normal"/>
    <w:pPr>
      <w:keepNext/>
      <w:keepLines/>
      <w:spacing w:before="400" w:after="120"/>
    </w:pPr>
    <w:rPr>
      <w:sz w:val="40"/>
      <w:szCs w:val="40"/>
    </w:rPr>
  </w:style>
  <w:style w:type="paragraph" w:styleId="Ttulo2">
    <w:name w:val="heading 2"/>
    <w:basedOn w:val="Normal"/>
    <w:next w:val="Normal"/>
    <w:qFormat/>
    <w:pPr>
      <w:keepNext/>
      <w:keepLines/>
      <w:spacing w:before="360" w:after="120"/>
      <w:outlineLvl w:val="1"/>
    </w:pPr>
    <w:rPr>
      <w:sz w:val="32"/>
      <w:szCs w:val="32"/>
    </w:rPr>
  </w:style>
  <w:style w:type="paragraph" w:styleId="Ttulo3">
    <w:name w:val="heading 3"/>
    <w:basedOn w:val="Normal"/>
    <w:next w:val="Normal"/>
    <w:qFormat/>
    <w:pPr>
      <w:keepNext/>
      <w:keepLines/>
      <w:spacing w:before="320" w:after="80"/>
      <w:outlineLvl w:val="2"/>
    </w:pPr>
    <w:rPr>
      <w:color w:val="434343"/>
      <w:sz w:val="28"/>
      <w:szCs w:val="28"/>
    </w:rPr>
  </w:style>
  <w:style w:type="paragraph" w:styleId="Ttulo4">
    <w:name w:val="heading 4"/>
    <w:basedOn w:val="Normal"/>
    <w:next w:val="Normal"/>
    <w:qFormat/>
    <w:pPr>
      <w:keepNext/>
      <w:keepLines/>
      <w:spacing w:before="280" w:after="80"/>
      <w:outlineLvl w:val="3"/>
    </w:pPr>
    <w:rPr>
      <w:color w:val="666666"/>
      <w:sz w:val="24"/>
      <w:szCs w:val="24"/>
    </w:rPr>
  </w:style>
  <w:style w:type="paragraph" w:styleId="Ttulo5">
    <w:name w:val="heading 5"/>
    <w:basedOn w:val="Normal"/>
    <w:next w:val="Normal"/>
    <w:qFormat/>
    <w:pPr>
      <w:keepNext/>
      <w:keepLines/>
      <w:spacing w:before="240" w:after="80"/>
      <w:outlineLvl w:val="4"/>
    </w:pPr>
    <w:rPr>
      <w:color w:val="666666"/>
    </w:rPr>
  </w:style>
  <w:style w:type="paragraph" w:styleId="Ttulo6">
    <w:name w:val="heading 6"/>
    <w:basedOn w:val="Normal"/>
    <w:next w:val="Normal"/>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table" w:customStyle="1" w:styleId="TableNormal0">
    <w:name w:val="Table Normal"/>
    <w:next w:val="TableNormal"/>
    <w:pPr>
      <w:suppressAutoHyphens/>
      <w:ind w:leftChars="-1" w:left="-1" w:hangingChars="1" w:hanging="1"/>
      <w:textDirection w:val="btLr"/>
      <w:textAlignment w:val="top"/>
      <w:outlineLvl w:val="0"/>
    </w:pPr>
    <w:rPr>
      <w:position w:val="-1"/>
    </w:rPr>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Cabealho">
    <w:name w:val="header"/>
    <w:basedOn w:val="Normal"/>
    <w:qFormat/>
    <w:pPr>
      <w:tabs>
        <w:tab w:val="center" w:pos="4252"/>
        <w:tab w:val="right" w:pos="8504"/>
      </w:tabs>
      <w:spacing w:line="240" w:lineRule="auto"/>
    </w:pPr>
  </w:style>
  <w:style w:type="character" w:customStyle="1" w:styleId="CabealhoChar">
    <w:name w:val="Cabeçalho Char"/>
    <w:basedOn w:val="Fontepargpadro"/>
    <w:rPr>
      <w:w w:val="100"/>
      <w:position w:val="-1"/>
      <w:effect w:val="none"/>
      <w:vertAlign w:val="baseline"/>
      <w:cs w:val="0"/>
      <w:em w:val="none"/>
    </w:rPr>
  </w:style>
  <w:style w:type="paragraph" w:styleId="Rodap">
    <w:name w:val="footer"/>
    <w:basedOn w:val="Normal"/>
    <w:qFormat/>
    <w:pPr>
      <w:tabs>
        <w:tab w:val="center" w:pos="4252"/>
        <w:tab w:val="right" w:pos="8504"/>
      </w:tabs>
      <w:spacing w:line="240" w:lineRule="auto"/>
    </w:pPr>
  </w:style>
  <w:style w:type="character" w:customStyle="1" w:styleId="RodapChar">
    <w:name w:val="Rodapé Char"/>
    <w:basedOn w:val="Fontepargpadro"/>
    <w:rPr>
      <w:w w:val="100"/>
      <w:position w:val="-1"/>
      <w:effect w:val="none"/>
      <w:vertAlign w:val="baseline"/>
      <w:cs w:val="0"/>
      <w:em w:val="none"/>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rPr>
      <w:b/>
      <w:bCs/>
      <w:w w:val="100"/>
      <w:position w:val="-1"/>
      <w:effect w:val="none"/>
      <w:vertAlign w:val="baseline"/>
      <w:cs w:val="0"/>
      <w:em w:val="none"/>
    </w:rPr>
  </w:style>
  <w:style w:type="paragraph" w:styleId="PargrafodaLista">
    <w:name w:val="List Paragraph"/>
    <w:basedOn w:val="Normal"/>
    <w:pPr>
      <w:spacing w:after="200"/>
      <w:ind w:left="720"/>
      <w:contextualSpacing/>
    </w:pPr>
    <w:rPr>
      <w:rFonts w:ascii="Times New Roman" w:eastAsia="MS Mincho" w:hAnsi="Times New Roman" w:cs="Times New Roman"/>
      <w:sz w:val="24"/>
      <w:lang w:val="en-US" w:eastAsia="en-US"/>
    </w:rPr>
  </w:style>
  <w:style w:type="character" w:styleId="nfase">
    <w:name w:val="Emphasis"/>
    <w:rPr>
      <w:i/>
      <w:iCs/>
      <w:w w:val="100"/>
      <w:position w:val="-1"/>
      <w:effect w:val="none"/>
      <w:vertAlign w:val="baseline"/>
      <w:cs w:val="0"/>
      <w:em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gf1frn+iQLR89doGTboIrbHwTA==">CgMxLjA4AHIhMWNKdWVoY1Z2dFZpV0NZU1BINUZHcHlsc2gyY3VnSjdY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3327</Words>
  <Characters>17970</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Zaira Sabry</cp:lastModifiedBy>
  <cp:revision>2</cp:revision>
  <dcterms:created xsi:type="dcterms:W3CDTF">2025-08-18T13:17:00Z</dcterms:created>
  <dcterms:modified xsi:type="dcterms:W3CDTF">2025-08-18T13:17:00Z</dcterms:modified>
</cp:coreProperties>
</file>