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74484" w14:textId="77777777" w:rsidR="00234E2E" w:rsidRDefault="00000000">
      <w:pPr>
        <w:pStyle w:val="Ttulo2"/>
        <w:keepNext w:val="0"/>
        <w:keepLines w:val="0"/>
        <w:jc w:val="center"/>
        <w:rPr>
          <w:b w:val="0"/>
          <w:sz w:val="24"/>
          <w:szCs w:val="24"/>
        </w:rPr>
      </w:pPr>
      <w:bookmarkStart w:id="0" w:name="_y4vq3b846fmh" w:colFirst="0" w:colLast="0"/>
      <w:bookmarkEnd w:id="0"/>
      <w:r>
        <w:rPr>
          <w:sz w:val="24"/>
          <w:szCs w:val="24"/>
        </w:rPr>
        <w:t>A MEDIAÇÃO COMO INSTRUMENTO DE ACESSO À JUSTIÇA PARA MULHERES CHEFES DE FAMÍLIA EM VULNERABILIDADE SOCIAL</w:t>
      </w:r>
    </w:p>
    <w:p w14:paraId="1E7C3161" w14:textId="77777777" w:rsidR="00234E2E" w:rsidRDefault="00234E2E"/>
    <w:p w14:paraId="1D7F1D46" w14:textId="77777777" w:rsidR="00234E2E" w:rsidRDefault="00000000">
      <w:pPr>
        <w:spacing w:line="360" w:lineRule="auto"/>
        <w:jc w:val="right"/>
        <w:rPr>
          <w:sz w:val="20"/>
          <w:szCs w:val="20"/>
        </w:rPr>
      </w:pPr>
      <w:r>
        <w:rPr>
          <w:sz w:val="24"/>
          <w:szCs w:val="24"/>
        </w:rPr>
        <w:t>Ana Júlia Cavalcante Vieira</w:t>
      </w:r>
      <w:r>
        <w:rPr>
          <w:sz w:val="24"/>
          <w:szCs w:val="24"/>
          <w:vertAlign w:val="superscript"/>
        </w:rPr>
        <w:t>1</w:t>
      </w:r>
      <w:r>
        <w:rPr>
          <w:sz w:val="24"/>
          <w:szCs w:val="24"/>
        </w:rPr>
        <w:t>, Eliza Celi Heringer Soares</w:t>
      </w:r>
      <w:r>
        <w:rPr>
          <w:sz w:val="24"/>
          <w:szCs w:val="24"/>
          <w:vertAlign w:val="superscript"/>
        </w:rPr>
        <w:t>2</w:t>
      </w:r>
      <w:r>
        <w:rPr>
          <w:sz w:val="24"/>
          <w:szCs w:val="24"/>
        </w:rPr>
        <w:t>, Giovana Fonseca Almeida</w:t>
      </w:r>
      <w:r>
        <w:rPr>
          <w:sz w:val="24"/>
          <w:szCs w:val="24"/>
          <w:vertAlign w:val="superscript"/>
        </w:rPr>
        <w:t>3</w:t>
      </w:r>
      <w:r>
        <w:rPr>
          <w:sz w:val="24"/>
          <w:szCs w:val="24"/>
        </w:rPr>
        <w:t>, Isadora Alves Borges</w:t>
      </w:r>
      <w:r>
        <w:rPr>
          <w:sz w:val="24"/>
          <w:szCs w:val="24"/>
          <w:vertAlign w:val="superscript"/>
        </w:rPr>
        <w:t>4</w:t>
      </w:r>
      <w:r>
        <w:rPr>
          <w:sz w:val="24"/>
          <w:szCs w:val="24"/>
        </w:rPr>
        <w:t>, Marcos Raniere Gomes Fialho Júnior</w:t>
      </w:r>
      <w:r>
        <w:rPr>
          <w:sz w:val="24"/>
          <w:szCs w:val="24"/>
          <w:vertAlign w:val="superscript"/>
        </w:rPr>
        <w:t xml:space="preserve"> 5</w:t>
      </w:r>
    </w:p>
    <w:p w14:paraId="3092C166" w14:textId="77777777" w:rsidR="00234E2E" w:rsidRDefault="00000000">
      <w:pPr>
        <w:spacing w:line="240" w:lineRule="auto"/>
        <w:ind w:left="2835"/>
        <w:jc w:val="both"/>
        <w:rPr>
          <w:sz w:val="20"/>
          <w:szCs w:val="20"/>
        </w:rPr>
      </w:pPr>
      <w:r>
        <w:rPr>
          <w:b/>
          <w:sz w:val="20"/>
          <w:szCs w:val="20"/>
        </w:rPr>
        <w:t>Resumo</w:t>
      </w:r>
    </w:p>
    <w:p w14:paraId="09123E06" w14:textId="77777777" w:rsidR="00234E2E" w:rsidRDefault="00000000">
      <w:pPr>
        <w:spacing w:line="240" w:lineRule="auto"/>
        <w:ind w:left="2835"/>
        <w:jc w:val="both"/>
        <w:rPr>
          <w:sz w:val="20"/>
          <w:szCs w:val="20"/>
        </w:rPr>
      </w:pPr>
      <w:r>
        <w:rPr>
          <w:sz w:val="20"/>
          <w:szCs w:val="20"/>
        </w:rPr>
        <w:t xml:space="preserve">O presente resumo analisa a mediação como instrumento de acesso à justiça para mulheres em posição de chefia familiar em situação de vulnerabilidade social. A partir de uma abordagem teórica e normativa, discute-se como a mediação pode oferecer uma via mais acessível, célere e humanizada para a resolução de conflitos, especialmente diante das limitações estruturais do sistema judicial tradicional. Fundamentado nas contribuições de autores como </w:t>
      </w:r>
      <w:proofErr w:type="spellStart"/>
      <w:r>
        <w:rPr>
          <w:sz w:val="20"/>
          <w:szCs w:val="20"/>
        </w:rPr>
        <w:t>Cappelletti</w:t>
      </w:r>
      <w:proofErr w:type="spellEnd"/>
      <w:r>
        <w:rPr>
          <w:sz w:val="20"/>
          <w:szCs w:val="20"/>
        </w:rPr>
        <w:t xml:space="preserve"> e Garth, bem como artigos científicos que tratam do tema, o estudo evidencia que, embora promissora, a mediação exige estrutura institucional adequada, formação técnica com perspectiva de gênero e atenção às desigualdades de poder. Conclui-se que a mediação, quando aplicada com responsabilidade e sensibilidade social, contribui para o fortalecimento da cidadania e a efetivação dos direitos fundamentais das mulheres em contextos de exclusão.</w:t>
      </w:r>
    </w:p>
    <w:p w14:paraId="1BE22919" w14:textId="77777777" w:rsidR="00234E2E" w:rsidRDefault="00000000">
      <w:pPr>
        <w:spacing w:line="240" w:lineRule="auto"/>
        <w:ind w:left="2835"/>
        <w:jc w:val="both"/>
        <w:rPr>
          <w:sz w:val="20"/>
          <w:szCs w:val="20"/>
        </w:rPr>
      </w:pPr>
      <w:r>
        <w:rPr>
          <w:b/>
          <w:sz w:val="20"/>
          <w:szCs w:val="20"/>
        </w:rPr>
        <w:t>Palavras-chave:</w:t>
      </w:r>
      <w:r>
        <w:rPr>
          <w:sz w:val="20"/>
          <w:szCs w:val="20"/>
        </w:rPr>
        <w:t xml:space="preserve"> Mediação; Vulnerabilidade social; Acesso à justiça; Mulheres.</w:t>
      </w:r>
    </w:p>
    <w:p w14:paraId="4E4F7168" w14:textId="77777777" w:rsidR="00234E2E" w:rsidRDefault="00234E2E">
      <w:pPr>
        <w:spacing w:line="240" w:lineRule="auto"/>
        <w:jc w:val="both"/>
        <w:rPr>
          <w:sz w:val="20"/>
          <w:szCs w:val="20"/>
        </w:rPr>
      </w:pPr>
    </w:p>
    <w:p w14:paraId="58BE8E01" w14:textId="77777777" w:rsidR="00234E2E" w:rsidRDefault="00000000">
      <w:pPr>
        <w:spacing w:line="240" w:lineRule="auto"/>
        <w:ind w:left="2835"/>
        <w:jc w:val="both"/>
        <w:rPr>
          <w:sz w:val="20"/>
          <w:szCs w:val="20"/>
        </w:rPr>
      </w:pPr>
      <w:r>
        <w:rPr>
          <w:b/>
          <w:sz w:val="20"/>
          <w:szCs w:val="20"/>
        </w:rPr>
        <w:t>Abstract</w:t>
      </w:r>
    </w:p>
    <w:p w14:paraId="215A936F" w14:textId="77777777" w:rsidR="00234E2E" w:rsidRDefault="00000000">
      <w:pPr>
        <w:spacing w:line="240" w:lineRule="auto"/>
        <w:ind w:left="2835"/>
        <w:jc w:val="both"/>
        <w:rPr>
          <w:sz w:val="20"/>
          <w:szCs w:val="20"/>
        </w:rPr>
      </w:pPr>
      <w:proofErr w:type="spellStart"/>
      <w:r>
        <w:rPr>
          <w:sz w:val="20"/>
          <w:szCs w:val="20"/>
        </w:rPr>
        <w:t>This</w:t>
      </w:r>
      <w:proofErr w:type="spellEnd"/>
      <w:r>
        <w:rPr>
          <w:sz w:val="20"/>
          <w:szCs w:val="20"/>
        </w:rPr>
        <w:t xml:space="preserve"> abstract </w:t>
      </w:r>
      <w:proofErr w:type="spellStart"/>
      <w:r>
        <w:rPr>
          <w:sz w:val="20"/>
          <w:szCs w:val="20"/>
        </w:rPr>
        <w:t>analyzes</w:t>
      </w:r>
      <w:proofErr w:type="spellEnd"/>
      <w:r>
        <w:rPr>
          <w:sz w:val="20"/>
          <w:szCs w:val="20"/>
        </w:rPr>
        <w:t xml:space="preserve"> </w:t>
      </w:r>
      <w:proofErr w:type="spellStart"/>
      <w:r>
        <w:rPr>
          <w:sz w:val="20"/>
          <w:szCs w:val="20"/>
        </w:rPr>
        <w:t>mediation</w:t>
      </w:r>
      <w:proofErr w:type="spellEnd"/>
      <w:r>
        <w:rPr>
          <w:sz w:val="20"/>
          <w:szCs w:val="20"/>
        </w:rPr>
        <w:t xml:space="preserve"> as a tool for </w:t>
      </w:r>
      <w:proofErr w:type="spellStart"/>
      <w:r>
        <w:rPr>
          <w:sz w:val="20"/>
          <w:szCs w:val="20"/>
        </w:rPr>
        <w:t>access</w:t>
      </w:r>
      <w:proofErr w:type="spellEnd"/>
      <w:r>
        <w:rPr>
          <w:sz w:val="20"/>
          <w:szCs w:val="20"/>
        </w:rPr>
        <w:t xml:space="preserve"> </w:t>
      </w:r>
      <w:proofErr w:type="spellStart"/>
      <w:r>
        <w:rPr>
          <w:sz w:val="20"/>
          <w:szCs w:val="20"/>
        </w:rPr>
        <w:t>to</w:t>
      </w:r>
      <w:proofErr w:type="spellEnd"/>
      <w:r>
        <w:rPr>
          <w:sz w:val="20"/>
          <w:szCs w:val="20"/>
        </w:rPr>
        <w:t xml:space="preserve"> justice for </w:t>
      </w:r>
      <w:proofErr w:type="spellStart"/>
      <w:r>
        <w:rPr>
          <w:sz w:val="20"/>
          <w:szCs w:val="20"/>
        </w:rPr>
        <w:t>women</w:t>
      </w:r>
      <w:proofErr w:type="spellEnd"/>
      <w:r>
        <w:rPr>
          <w:sz w:val="20"/>
          <w:szCs w:val="20"/>
        </w:rPr>
        <w:t xml:space="preserve"> as </w:t>
      </w:r>
      <w:proofErr w:type="spellStart"/>
      <w:r>
        <w:rPr>
          <w:sz w:val="20"/>
          <w:szCs w:val="20"/>
        </w:rPr>
        <w:t>heads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household</w:t>
      </w:r>
      <w:proofErr w:type="spellEnd"/>
      <w:r>
        <w:rPr>
          <w:sz w:val="20"/>
          <w:szCs w:val="20"/>
        </w:rPr>
        <w:t xml:space="preserve"> </w:t>
      </w:r>
      <w:proofErr w:type="spellStart"/>
      <w:r>
        <w:rPr>
          <w:sz w:val="20"/>
          <w:szCs w:val="20"/>
        </w:rPr>
        <w:t>that</w:t>
      </w:r>
      <w:proofErr w:type="spellEnd"/>
      <w:r>
        <w:rPr>
          <w:sz w:val="20"/>
          <w:szCs w:val="20"/>
        </w:rPr>
        <w:t xml:space="preserve"> live in </w:t>
      </w:r>
      <w:proofErr w:type="spellStart"/>
      <w:r>
        <w:rPr>
          <w:sz w:val="20"/>
          <w:szCs w:val="20"/>
        </w:rPr>
        <w:t>situations</w:t>
      </w:r>
      <w:proofErr w:type="spellEnd"/>
      <w:r>
        <w:rPr>
          <w:sz w:val="20"/>
          <w:szCs w:val="20"/>
        </w:rPr>
        <w:t xml:space="preserve"> </w:t>
      </w:r>
      <w:proofErr w:type="spellStart"/>
      <w:r>
        <w:rPr>
          <w:sz w:val="20"/>
          <w:szCs w:val="20"/>
        </w:rPr>
        <w:t>of</w:t>
      </w:r>
      <w:proofErr w:type="spellEnd"/>
      <w:r>
        <w:rPr>
          <w:sz w:val="20"/>
          <w:szCs w:val="20"/>
        </w:rPr>
        <w:t xml:space="preserve"> social </w:t>
      </w:r>
      <w:proofErr w:type="spellStart"/>
      <w:r>
        <w:rPr>
          <w:sz w:val="20"/>
          <w:szCs w:val="20"/>
        </w:rPr>
        <w:t>vulnerability</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a </w:t>
      </w:r>
      <w:proofErr w:type="spellStart"/>
      <w:r>
        <w:rPr>
          <w:sz w:val="20"/>
          <w:szCs w:val="20"/>
        </w:rPr>
        <w:t>theoretical</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normative</w:t>
      </w:r>
      <w:proofErr w:type="spellEnd"/>
      <w:r>
        <w:rPr>
          <w:sz w:val="20"/>
          <w:szCs w:val="20"/>
        </w:rPr>
        <w:t xml:space="preserve"> approach, it </w:t>
      </w:r>
      <w:proofErr w:type="spellStart"/>
      <w:r>
        <w:rPr>
          <w:sz w:val="20"/>
          <w:szCs w:val="20"/>
        </w:rPr>
        <w:t>discusses</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mediation</w:t>
      </w:r>
      <w:proofErr w:type="spellEnd"/>
      <w:r>
        <w:rPr>
          <w:sz w:val="20"/>
          <w:szCs w:val="20"/>
        </w:rPr>
        <w:t xml:space="preserve"> </w:t>
      </w:r>
      <w:proofErr w:type="spellStart"/>
      <w:r>
        <w:rPr>
          <w:sz w:val="20"/>
          <w:szCs w:val="20"/>
        </w:rPr>
        <w:t>can</w:t>
      </w:r>
      <w:proofErr w:type="spellEnd"/>
      <w:r>
        <w:rPr>
          <w:sz w:val="20"/>
          <w:szCs w:val="20"/>
        </w:rPr>
        <w:t xml:space="preserve"> </w:t>
      </w:r>
      <w:proofErr w:type="spellStart"/>
      <w:r>
        <w:rPr>
          <w:sz w:val="20"/>
          <w:szCs w:val="20"/>
        </w:rPr>
        <w:t>offer</w:t>
      </w:r>
      <w:proofErr w:type="spellEnd"/>
      <w:r>
        <w:rPr>
          <w:sz w:val="20"/>
          <w:szCs w:val="20"/>
        </w:rPr>
        <w:t xml:space="preserve"> a more </w:t>
      </w:r>
      <w:proofErr w:type="spellStart"/>
      <w:r>
        <w:rPr>
          <w:sz w:val="20"/>
          <w:szCs w:val="20"/>
        </w:rPr>
        <w:t>accessible</w:t>
      </w:r>
      <w:proofErr w:type="spellEnd"/>
      <w:r>
        <w:rPr>
          <w:sz w:val="20"/>
          <w:szCs w:val="20"/>
        </w:rPr>
        <w:t xml:space="preserve">, </w:t>
      </w:r>
      <w:proofErr w:type="spellStart"/>
      <w:r>
        <w:rPr>
          <w:sz w:val="20"/>
          <w:szCs w:val="20"/>
        </w:rPr>
        <w:t>swift</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humanized</w:t>
      </w:r>
      <w:proofErr w:type="spellEnd"/>
      <w:r>
        <w:rPr>
          <w:sz w:val="20"/>
          <w:szCs w:val="20"/>
        </w:rPr>
        <w:t xml:space="preserve"> path for </w:t>
      </w:r>
      <w:proofErr w:type="spellStart"/>
      <w:r>
        <w:rPr>
          <w:sz w:val="20"/>
          <w:szCs w:val="20"/>
        </w:rPr>
        <w:t>conflict</w:t>
      </w:r>
      <w:proofErr w:type="spellEnd"/>
      <w:r>
        <w:rPr>
          <w:sz w:val="20"/>
          <w:szCs w:val="20"/>
        </w:rPr>
        <w:t xml:space="preserve"> </w:t>
      </w:r>
      <w:proofErr w:type="spellStart"/>
      <w:r>
        <w:rPr>
          <w:sz w:val="20"/>
          <w:szCs w:val="20"/>
        </w:rPr>
        <w:t>resolution</w:t>
      </w:r>
      <w:proofErr w:type="spellEnd"/>
      <w:r>
        <w:rPr>
          <w:sz w:val="20"/>
          <w:szCs w:val="20"/>
        </w:rPr>
        <w:t xml:space="preserve">, </w:t>
      </w:r>
      <w:proofErr w:type="spellStart"/>
      <w:r>
        <w:rPr>
          <w:sz w:val="20"/>
          <w:szCs w:val="20"/>
        </w:rPr>
        <w:t>especially</w:t>
      </w:r>
      <w:proofErr w:type="spellEnd"/>
      <w:r>
        <w:rPr>
          <w:sz w:val="20"/>
          <w:szCs w:val="20"/>
        </w:rPr>
        <w:t xml:space="preserve"> </w:t>
      </w:r>
      <w:proofErr w:type="spellStart"/>
      <w:r>
        <w:rPr>
          <w:sz w:val="20"/>
          <w:szCs w:val="20"/>
        </w:rPr>
        <w:t>given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structural</w:t>
      </w:r>
      <w:proofErr w:type="spellEnd"/>
      <w:r>
        <w:rPr>
          <w:sz w:val="20"/>
          <w:szCs w:val="20"/>
        </w:rPr>
        <w:t xml:space="preserve"> </w:t>
      </w:r>
      <w:proofErr w:type="spellStart"/>
      <w:r>
        <w:rPr>
          <w:sz w:val="20"/>
          <w:szCs w:val="20"/>
        </w:rPr>
        <w:t>limitations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traditional</w:t>
      </w:r>
      <w:proofErr w:type="spellEnd"/>
      <w:r>
        <w:rPr>
          <w:sz w:val="20"/>
          <w:szCs w:val="20"/>
        </w:rPr>
        <w:t xml:space="preserve"> judicial system. </w:t>
      </w:r>
      <w:proofErr w:type="spellStart"/>
      <w:r>
        <w:rPr>
          <w:sz w:val="20"/>
          <w:szCs w:val="20"/>
        </w:rPr>
        <w:t>Grounded</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contributions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authors</w:t>
      </w:r>
      <w:proofErr w:type="spellEnd"/>
      <w:r>
        <w:rPr>
          <w:sz w:val="20"/>
          <w:szCs w:val="20"/>
        </w:rPr>
        <w:t xml:space="preserve"> </w:t>
      </w:r>
      <w:proofErr w:type="spellStart"/>
      <w:r>
        <w:rPr>
          <w:sz w:val="20"/>
          <w:szCs w:val="20"/>
        </w:rPr>
        <w:t>such</w:t>
      </w:r>
      <w:proofErr w:type="spellEnd"/>
      <w:r>
        <w:rPr>
          <w:sz w:val="20"/>
          <w:szCs w:val="20"/>
        </w:rPr>
        <w:t xml:space="preserve"> as </w:t>
      </w:r>
      <w:proofErr w:type="spellStart"/>
      <w:r>
        <w:rPr>
          <w:sz w:val="20"/>
          <w:szCs w:val="20"/>
        </w:rPr>
        <w:t>Cappelletti</w:t>
      </w:r>
      <w:proofErr w:type="spellEnd"/>
      <w:r>
        <w:rPr>
          <w:sz w:val="20"/>
          <w:szCs w:val="20"/>
        </w:rPr>
        <w:t xml:space="preserve"> </w:t>
      </w:r>
      <w:proofErr w:type="spellStart"/>
      <w:r>
        <w:rPr>
          <w:sz w:val="20"/>
          <w:szCs w:val="20"/>
        </w:rPr>
        <w:t>and</w:t>
      </w:r>
      <w:proofErr w:type="spellEnd"/>
      <w:r>
        <w:rPr>
          <w:sz w:val="20"/>
          <w:szCs w:val="20"/>
        </w:rPr>
        <w:t xml:space="preserve"> Garth, as </w:t>
      </w:r>
      <w:proofErr w:type="spellStart"/>
      <w:r>
        <w:rPr>
          <w:sz w:val="20"/>
          <w:szCs w:val="20"/>
        </w:rPr>
        <w:t>well</w:t>
      </w:r>
      <w:proofErr w:type="spellEnd"/>
      <w:r>
        <w:rPr>
          <w:sz w:val="20"/>
          <w:szCs w:val="20"/>
        </w:rPr>
        <w:t xml:space="preserve"> as </w:t>
      </w:r>
      <w:proofErr w:type="spellStart"/>
      <w:r>
        <w:rPr>
          <w:sz w:val="20"/>
          <w:szCs w:val="20"/>
        </w:rPr>
        <w:t>academic</w:t>
      </w:r>
      <w:proofErr w:type="spellEnd"/>
      <w:r>
        <w:rPr>
          <w:sz w:val="20"/>
          <w:szCs w:val="20"/>
        </w:rPr>
        <w:t xml:space="preserve"> </w:t>
      </w:r>
      <w:proofErr w:type="spellStart"/>
      <w:r>
        <w:rPr>
          <w:sz w:val="20"/>
          <w:szCs w:val="20"/>
        </w:rPr>
        <w:t>articles</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subject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highlights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although</w:t>
      </w:r>
      <w:proofErr w:type="spellEnd"/>
      <w:r>
        <w:rPr>
          <w:sz w:val="20"/>
          <w:szCs w:val="20"/>
        </w:rPr>
        <w:t xml:space="preserve"> </w:t>
      </w:r>
      <w:proofErr w:type="spellStart"/>
      <w:r>
        <w:rPr>
          <w:sz w:val="20"/>
          <w:szCs w:val="20"/>
        </w:rPr>
        <w:t>promising</w:t>
      </w:r>
      <w:proofErr w:type="spellEnd"/>
      <w:r>
        <w:rPr>
          <w:sz w:val="20"/>
          <w:szCs w:val="20"/>
        </w:rPr>
        <w:t xml:space="preserve">, </w:t>
      </w:r>
      <w:proofErr w:type="spellStart"/>
      <w:r>
        <w:rPr>
          <w:sz w:val="20"/>
          <w:szCs w:val="20"/>
        </w:rPr>
        <w:t>mediation</w:t>
      </w:r>
      <w:proofErr w:type="spellEnd"/>
      <w:r>
        <w:rPr>
          <w:sz w:val="20"/>
          <w:szCs w:val="20"/>
        </w:rPr>
        <w:t xml:space="preserve"> requires </w:t>
      </w:r>
      <w:proofErr w:type="spellStart"/>
      <w:r>
        <w:rPr>
          <w:sz w:val="20"/>
          <w:szCs w:val="20"/>
        </w:rPr>
        <w:t>an</w:t>
      </w:r>
      <w:proofErr w:type="spellEnd"/>
      <w:r>
        <w:rPr>
          <w:sz w:val="20"/>
          <w:szCs w:val="20"/>
        </w:rPr>
        <w:t xml:space="preserve"> </w:t>
      </w:r>
      <w:proofErr w:type="spellStart"/>
      <w:r>
        <w:rPr>
          <w:sz w:val="20"/>
          <w:szCs w:val="20"/>
        </w:rPr>
        <w:t>adequate</w:t>
      </w:r>
      <w:proofErr w:type="spellEnd"/>
      <w:r>
        <w:rPr>
          <w:sz w:val="20"/>
          <w:szCs w:val="20"/>
        </w:rPr>
        <w:t xml:space="preserve"> </w:t>
      </w:r>
      <w:proofErr w:type="spellStart"/>
      <w:r>
        <w:rPr>
          <w:sz w:val="20"/>
          <w:szCs w:val="20"/>
        </w:rPr>
        <w:t>institutional</w:t>
      </w:r>
      <w:proofErr w:type="spellEnd"/>
      <w:r>
        <w:rPr>
          <w:sz w:val="20"/>
          <w:szCs w:val="20"/>
        </w:rPr>
        <w:t xml:space="preserve"> </w:t>
      </w:r>
      <w:proofErr w:type="spellStart"/>
      <w:r>
        <w:rPr>
          <w:sz w:val="20"/>
          <w:szCs w:val="20"/>
        </w:rPr>
        <w:t>structure</w:t>
      </w:r>
      <w:proofErr w:type="spellEnd"/>
      <w:r>
        <w:rPr>
          <w:sz w:val="20"/>
          <w:szCs w:val="20"/>
        </w:rPr>
        <w:t xml:space="preserve">, </w:t>
      </w:r>
      <w:proofErr w:type="spellStart"/>
      <w:r>
        <w:rPr>
          <w:sz w:val="20"/>
          <w:szCs w:val="20"/>
        </w:rPr>
        <w:t>technical</w:t>
      </w:r>
      <w:proofErr w:type="spellEnd"/>
      <w:r>
        <w:rPr>
          <w:sz w:val="20"/>
          <w:szCs w:val="20"/>
        </w:rPr>
        <w:t xml:space="preserve"> training </w:t>
      </w:r>
      <w:proofErr w:type="spellStart"/>
      <w:r>
        <w:rPr>
          <w:sz w:val="20"/>
          <w:szCs w:val="20"/>
        </w:rPr>
        <w:t>with</w:t>
      </w:r>
      <w:proofErr w:type="spellEnd"/>
      <w:r>
        <w:rPr>
          <w:sz w:val="20"/>
          <w:szCs w:val="20"/>
        </w:rPr>
        <w:t xml:space="preserve"> a </w:t>
      </w:r>
      <w:proofErr w:type="spellStart"/>
      <w:r>
        <w:rPr>
          <w:sz w:val="20"/>
          <w:szCs w:val="20"/>
        </w:rPr>
        <w:t>gender-sensitive</w:t>
      </w:r>
      <w:proofErr w:type="spellEnd"/>
      <w:r>
        <w:rPr>
          <w:sz w:val="20"/>
          <w:szCs w:val="20"/>
        </w:rPr>
        <w:t xml:space="preserve"> perspective, </w:t>
      </w:r>
      <w:proofErr w:type="spellStart"/>
      <w:r>
        <w:rPr>
          <w:sz w:val="20"/>
          <w:szCs w:val="20"/>
        </w:rPr>
        <w:t>and</w:t>
      </w:r>
      <w:proofErr w:type="spellEnd"/>
      <w:r>
        <w:rPr>
          <w:sz w:val="20"/>
          <w:szCs w:val="20"/>
        </w:rPr>
        <w:t xml:space="preserve"> </w:t>
      </w:r>
      <w:proofErr w:type="spellStart"/>
      <w:r>
        <w:rPr>
          <w:sz w:val="20"/>
          <w:szCs w:val="20"/>
        </w:rPr>
        <w:t>attention</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power</w:t>
      </w:r>
      <w:proofErr w:type="spellEnd"/>
      <w:r>
        <w:rPr>
          <w:sz w:val="20"/>
          <w:szCs w:val="20"/>
        </w:rPr>
        <w:t xml:space="preserve"> </w:t>
      </w:r>
      <w:proofErr w:type="spellStart"/>
      <w:r>
        <w:rPr>
          <w:sz w:val="20"/>
          <w:szCs w:val="20"/>
        </w:rPr>
        <w:t>imbalances</w:t>
      </w:r>
      <w:proofErr w:type="spellEnd"/>
      <w:r>
        <w:rPr>
          <w:sz w:val="20"/>
          <w:szCs w:val="20"/>
        </w:rPr>
        <w:t xml:space="preserve">. It </w:t>
      </w:r>
      <w:proofErr w:type="spellStart"/>
      <w:r>
        <w:rPr>
          <w:sz w:val="20"/>
          <w:szCs w:val="20"/>
        </w:rPr>
        <w:t>concludes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mediation</w:t>
      </w:r>
      <w:proofErr w:type="spellEnd"/>
      <w:r>
        <w:rPr>
          <w:sz w:val="20"/>
          <w:szCs w:val="20"/>
        </w:rPr>
        <w:t xml:space="preserve">, </w:t>
      </w:r>
      <w:proofErr w:type="spellStart"/>
      <w:r>
        <w:rPr>
          <w:sz w:val="20"/>
          <w:szCs w:val="20"/>
        </w:rPr>
        <w:t>when</w:t>
      </w:r>
      <w:proofErr w:type="spellEnd"/>
      <w:r>
        <w:rPr>
          <w:sz w:val="20"/>
          <w:szCs w:val="20"/>
        </w:rPr>
        <w:t xml:space="preserve"> </w:t>
      </w:r>
      <w:proofErr w:type="spellStart"/>
      <w:r>
        <w:rPr>
          <w:sz w:val="20"/>
          <w:szCs w:val="20"/>
        </w:rPr>
        <w:t>applied</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responsibility</w:t>
      </w:r>
      <w:proofErr w:type="spellEnd"/>
      <w:r>
        <w:rPr>
          <w:sz w:val="20"/>
          <w:szCs w:val="20"/>
        </w:rPr>
        <w:t xml:space="preserve"> </w:t>
      </w:r>
      <w:proofErr w:type="spellStart"/>
      <w:r>
        <w:rPr>
          <w:sz w:val="20"/>
          <w:szCs w:val="20"/>
        </w:rPr>
        <w:t>and</w:t>
      </w:r>
      <w:proofErr w:type="spellEnd"/>
      <w:r>
        <w:rPr>
          <w:sz w:val="20"/>
          <w:szCs w:val="20"/>
        </w:rPr>
        <w:t xml:space="preserve"> social </w:t>
      </w:r>
      <w:proofErr w:type="spellStart"/>
      <w:r>
        <w:rPr>
          <w:sz w:val="20"/>
          <w:szCs w:val="20"/>
        </w:rPr>
        <w:t>sensitivity</w:t>
      </w:r>
      <w:proofErr w:type="spellEnd"/>
      <w:r>
        <w:rPr>
          <w:sz w:val="20"/>
          <w:szCs w:val="20"/>
        </w:rPr>
        <w:t xml:space="preserve">, </w:t>
      </w:r>
      <w:proofErr w:type="spellStart"/>
      <w:r>
        <w:rPr>
          <w:sz w:val="20"/>
          <w:szCs w:val="20"/>
        </w:rPr>
        <w:t>contributes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strengthening</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citizenship</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enforcement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fundamental </w:t>
      </w:r>
      <w:proofErr w:type="spellStart"/>
      <w:r>
        <w:rPr>
          <w:sz w:val="20"/>
          <w:szCs w:val="20"/>
        </w:rPr>
        <w:t>rights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women</w:t>
      </w:r>
      <w:proofErr w:type="spellEnd"/>
      <w:r>
        <w:rPr>
          <w:sz w:val="20"/>
          <w:szCs w:val="20"/>
        </w:rPr>
        <w:t xml:space="preserve"> in </w:t>
      </w:r>
      <w:proofErr w:type="spellStart"/>
      <w:r>
        <w:rPr>
          <w:sz w:val="20"/>
          <w:szCs w:val="20"/>
        </w:rPr>
        <w:t>contexts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exclusion</w:t>
      </w:r>
      <w:proofErr w:type="spellEnd"/>
      <w:r>
        <w:rPr>
          <w:sz w:val="20"/>
          <w:szCs w:val="20"/>
        </w:rPr>
        <w:t>.</w:t>
      </w:r>
    </w:p>
    <w:p w14:paraId="2AD6BF59" w14:textId="77777777" w:rsidR="00234E2E" w:rsidRDefault="00000000">
      <w:pPr>
        <w:spacing w:line="240" w:lineRule="auto"/>
        <w:ind w:left="2835"/>
        <w:jc w:val="both"/>
        <w:rPr>
          <w:sz w:val="20"/>
          <w:szCs w:val="20"/>
        </w:rPr>
      </w:pPr>
      <w:r>
        <w:rPr>
          <w:b/>
          <w:sz w:val="20"/>
          <w:szCs w:val="20"/>
        </w:rPr>
        <w:t>Keywords</w:t>
      </w:r>
      <w:r>
        <w:rPr>
          <w:sz w:val="20"/>
          <w:szCs w:val="20"/>
        </w:rPr>
        <w:t xml:space="preserve">: </w:t>
      </w:r>
      <w:proofErr w:type="spellStart"/>
      <w:r>
        <w:rPr>
          <w:sz w:val="20"/>
          <w:szCs w:val="20"/>
        </w:rPr>
        <w:t>Mediation</w:t>
      </w:r>
      <w:proofErr w:type="spellEnd"/>
      <w:r>
        <w:rPr>
          <w:sz w:val="20"/>
          <w:szCs w:val="20"/>
        </w:rPr>
        <w:t xml:space="preserve">; </w:t>
      </w:r>
      <w:proofErr w:type="gramStart"/>
      <w:r>
        <w:rPr>
          <w:sz w:val="20"/>
          <w:szCs w:val="20"/>
        </w:rPr>
        <w:t>Social</w:t>
      </w:r>
      <w:proofErr w:type="gramEnd"/>
      <w:r>
        <w:rPr>
          <w:sz w:val="20"/>
          <w:szCs w:val="20"/>
        </w:rPr>
        <w:t xml:space="preserve"> </w:t>
      </w:r>
      <w:proofErr w:type="spellStart"/>
      <w:r>
        <w:rPr>
          <w:sz w:val="20"/>
          <w:szCs w:val="20"/>
        </w:rPr>
        <w:t>vulnerability</w:t>
      </w:r>
      <w:proofErr w:type="spellEnd"/>
      <w:r>
        <w:rPr>
          <w:sz w:val="20"/>
          <w:szCs w:val="20"/>
        </w:rPr>
        <w:t xml:space="preserve">; Access </w:t>
      </w:r>
      <w:proofErr w:type="spellStart"/>
      <w:r>
        <w:rPr>
          <w:sz w:val="20"/>
          <w:szCs w:val="20"/>
        </w:rPr>
        <w:t>to</w:t>
      </w:r>
      <w:proofErr w:type="spellEnd"/>
      <w:r>
        <w:rPr>
          <w:sz w:val="20"/>
          <w:szCs w:val="20"/>
        </w:rPr>
        <w:t xml:space="preserve"> justice, </w:t>
      </w:r>
      <w:proofErr w:type="spellStart"/>
      <w:r>
        <w:rPr>
          <w:sz w:val="20"/>
          <w:szCs w:val="20"/>
        </w:rPr>
        <w:t>Women</w:t>
      </w:r>
      <w:proofErr w:type="spellEnd"/>
      <w:r>
        <w:rPr>
          <w:sz w:val="20"/>
          <w:szCs w:val="20"/>
        </w:rPr>
        <w:t>.</w:t>
      </w:r>
    </w:p>
    <w:p w14:paraId="0B7791C0" w14:textId="77777777" w:rsidR="00234E2E" w:rsidRDefault="00234E2E">
      <w:pPr>
        <w:spacing w:line="240" w:lineRule="auto"/>
        <w:ind w:left="2835"/>
        <w:jc w:val="both"/>
        <w:rPr>
          <w:sz w:val="20"/>
          <w:szCs w:val="20"/>
        </w:rPr>
      </w:pPr>
    </w:p>
    <w:p w14:paraId="051F331E" w14:textId="77777777" w:rsidR="00234E2E" w:rsidRDefault="00000000">
      <w:pPr>
        <w:spacing w:line="360" w:lineRule="auto"/>
        <w:rPr>
          <w:b/>
          <w:sz w:val="24"/>
          <w:szCs w:val="24"/>
        </w:rPr>
      </w:pPr>
      <w:r>
        <w:rPr>
          <w:b/>
          <w:sz w:val="24"/>
          <w:szCs w:val="24"/>
        </w:rPr>
        <w:lastRenderedPageBreak/>
        <w:t>1</w:t>
      </w:r>
      <w:r>
        <w:rPr>
          <w:b/>
          <w:sz w:val="24"/>
          <w:szCs w:val="24"/>
        </w:rPr>
        <w:tab/>
        <w:t>INTRODUÇÃO</w:t>
      </w:r>
    </w:p>
    <w:p w14:paraId="18F8BA80" w14:textId="77777777" w:rsidR="00234E2E" w:rsidRDefault="00234E2E">
      <w:pPr>
        <w:spacing w:line="360" w:lineRule="auto"/>
        <w:rPr>
          <w:b/>
          <w:sz w:val="24"/>
          <w:szCs w:val="24"/>
        </w:rPr>
      </w:pPr>
    </w:p>
    <w:p w14:paraId="1917879C" w14:textId="77777777" w:rsidR="00234E2E" w:rsidRDefault="00000000">
      <w:pPr>
        <w:spacing w:line="360" w:lineRule="auto"/>
        <w:ind w:firstLine="709"/>
        <w:jc w:val="both"/>
        <w:rPr>
          <w:sz w:val="24"/>
          <w:szCs w:val="24"/>
        </w:rPr>
      </w:pPr>
      <w:r>
        <w:rPr>
          <w:sz w:val="24"/>
          <w:szCs w:val="24"/>
        </w:rPr>
        <w:t>O acesso à justiça configura-se como um direito fundamental e um elemento estruturante do Estado Democrático de Direito, sendo essencial para a efetivação de todos os demais direitos (CAPPELLETTI; GARTH, 1998). Entretanto, na prática, esse acesso não se realiza de forma igualitária para todos os cidadãos. Entre os grupos que mais enfrentam obstáculos para usufruir desse direito estão as mulheres chefes de família em situação de vulnerabilidade social, marcadas por múltiplas formas de opressão decorrentes de gênero, classe e, em muitos casos, raça.</w:t>
      </w:r>
    </w:p>
    <w:p w14:paraId="36BA2D9C" w14:textId="77777777" w:rsidR="00234E2E" w:rsidRDefault="00000000">
      <w:pPr>
        <w:spacing w:line="360" w:lineRule="auto"/>
        <w:ind w:firstLine="709"/>
        <w:jc w:val="both"/>
        <w:rPr>
          <w:sz w:val="24"/>
          <w:szCs w:val="24"/>
        </w:rPr>
      </w:pPr>
      <w:r>
        <w:rPr>
          <w:sz w:val="24"/>
          <w:szCs w:val="24"/>
        </w:rPr>
        <w:t>A realidade brasileira evidencia uma crescente feminização da chefia familiar, fenômeno que revela transformações profundas nos arranjos domésticos e nas dinâmicas sociais. Esse contexto, frequentemente associado à precariedade econômica e à ausência de políticas públicas efetivas, está intrinsecamente ligado ao conceito de “feminização da pobreza”, cunhado por Diane Pearce (1978), que denuncia a desproporcional presença de mulheres entre os segmentos mais empobrecidos da sociedade.</w:t>
      </w:r>
    </w:p>
    <w:p w14:paraId="1F748D85" w14:textId="77777777" w:rsidR="00234E2E" w:rsidRDefault="00000000">
      <w:pPr>
        <w:spacing w:line="360" w:lineRule="auto"/>
        <w:ind w:firstLine="709"/>
        <w:jc w:val="both"/>
        <w:rPr>
          <w:sz w:val="24"/>
          <w:szCs w:val="24"/>
        </w:rPr>
      </w:pPr>
      <w:r>
        <w:rPr>
          <w:sz w:val="24"/>
          <w:szCs w:val="24"/>
        </w:rPr>
        <w:t>Diante das barreiras estruturais impostas pelo sistema de justiça formal - como a burocratização excessiva, os altos custos processuais e a linguagem técnica inacessível -, muitas dessas mulheres acabam desistindo de reivindicar seus direitos ou enfrentam processos judiciais exaustivos e desumanizadores (DINAMARCO, 1987; MARTINS, 2012). Nesse cenário, os métodos alternativos de resolução de conflitos, especialmente a mediação, surgem como vias promissoras para promover a democratização do acesso à justiça de maneira mais adequada às necessidades reais da população vulnerável.</w:t>
      </w:r>
    </w:p>
    <w:p w14:paraId="5565E49B" w14:textId="77777777" w:rsidR="00234E2E" w:rsidRDefault="00000000">
      <w:pPr>
        <w:spacing w:line="360" w:lineRule="auto"/>
        <w:ind w:firstLine="709"/>
        <w:jc w:val="both"/>
        <w:rPr>
          <w:sz w:val="24"/>
          <w:szCs w:val="24"/>
        </w:rPr>
      </w:pPr>
      <w:r>
        <w:rPr>
          <w:sz w:val="24"/>
          <w:szCs w:val="24"/>
        </w:rPr>
        <w:t xml:space="preserve">A mediação, enquanto mecanismo dialógico e desburocratizado, valoriza a participação das partes, a oralidade e a construção conjunta de soluções, aproximando-se dos ideais de justiça substancial defendidos por </w:t>
      </w:r>
      <w:proofErr w:type="spellStart"/>
      <w:r>
        <w:rPr>
          <w:sz w:val="24"/>
          <w:szCs w:val="24"/>
        </w:rPr>
        <w:t>Cappelletti</w:t>
      </w:r>
      <w:proofErr w:type="spellEnd"/>
      <w:r>
        <w:rPr>
          <w:sz w:val="24"/>
          <w:szCs w:val="24"/>
        </w:rPr>
        <w:t xml:space="preserve"> e Garth (1998). Para os autores, o verdadeiro acesso à justiça não se limita à possibilidade formal de ingressar no Judiciário, mas pressupõe condições reais e igualitárias para a </w:t>
      </w:r>
      <w:r>
        <w:rPr>
          <w:sz w:val="24"/>
          <w:szCs w:val="24"/>
        </w:rPr>
        <w:lastRenderedPageBreak/>
        <w:t>defesa de direitos, sendo necessário repensar os instrumentos institucionais sob uma ótica inclusiva e sensível às desigualdades sociais.</w:t>
      </w:r>
    </w:p>
    <w:p w14:paraId="40FFFE7A" w14:textId="77777777" w:rsidR="00234E2E" w:rsidRDefault="00000000">
      <w:pPr>
        <w:spacing w:line="360" w:lineRule="auto"/>
        <w:ind w:firstLine="709"/>
        <w:jc w:val="both"/>
        <w:rPr>
          <w:sz w:val="24"/>
          <w:szCs w:val="24"/>
        </w:rPr>
      </w:pPr>
      <w:r>
        <w:rPr>
          <w:sz w:val="24"/>
          <w:szCs w:val="24"/>
        </w:rPr>
        <w:t>Diante desse contexto, o presente estudo propõe-se a investigar de que forma a mediação, enquanto método alternativo de resolução de conflitos (MASC), pode atuar como instrumento de promoção do acesso à justiça para mulheres chefes de família em situação de vulnerabilidade social. A escolha dessa temática parte do reconhecimento de um problema central: embora exista previsão normativa e institucional para o uso da mediação, ainda são limitadas as análises que avaliem sua efetividade a partir de uma perspectiva interseccional, que considere gênero, classe e raça como fatores estruturantes da desigualdade jurídica.</w:t>
      </w:r>
    </w:p>
    <w:p w14:paraId="37D264F0" w14:textId="77777777" w:rsidR="00234E2E" w:rsidRDefault="00000000">
      <w:pPr>
        <w:spacing w:line="360" w:lineRule="auto"/>
        <w:ind w:firstLine="709"/>
        <w:jc w:val="both"/>
        <w:rPr>
          <w:sz w:val="24"/>
          <w:szCs w:val="24"/>
        </w:rPr>
      </w:pPr>
      <w:r>
        <w:rPr>
          <w:sz w:val="24"/>
          <w:szCs w:val="24"/>
        </w:rPr>
        <w:t>O objetivo geral do trabalho é analisar o potencial emancipatório da mediação na garantia de direitos dessas mulheres, identificando tanto os avanços quanto os desafios ainda existentes para a consolidação desse mecanismo como política pública efetiva. Especificamente, busca-se compreender em que medida a mediação pode oferecer uma alternativa mais acessível, célere e humanizada frente às barreiras enfrentadas no sistema judicial tradicional.</w:t>
      </w:r>
    </w:p>
    <w:p w14:paraId="1D772421" w14:textId="77777777" w:rsidR="00234E2E" w:rsidRDefault="00000000">
      <w:pPr>
        <w:spacing w:line="360" w:lineRule="auto"/>
        <w:ind w:firstLine="709"/>
        <w:jc w:val="both"/>
        <w:rPr>
          <w:sz w:val="24"/>
          <w:szCs w:val="24"/>
        </w:rPr>
      </w:pPr>
      <w:r>
        <w:rPr>
          <w:sz w:val="24"/>
          <w:szCs w:val="24"/>
        </w:rPr>
        <w:t>A metodologia utilizada é de natureza teórico-normativa, com base em revisão bibliográfica e análise crítica de produções científicas e normativas nacionais sobre o tema que subsidiam a reflexão sobre o papel da mediação como parte da “terceira onda” do acesso à justiça, a qual demanda, para além da simples assistência judiciária, mecanismos que ampliem a participação cidadã e adaptem o sistema jurídico às reais necessidades sociais.</w:t>
      </w:r>
    </w:p>
    <w:p w14:paraId="7EB1D0C3" w14:textId="77777777" w:rsidR="00234E2E" w:rsidRDefault="00000000">
      <w:pPr>
        <w:spacing w:line="360" w:lineRule="auto"/>
        <w:ind w:firstLine="709"/>
        <w:jc w:val="both"/>
        <w:rPr>
          <w:sz w:val="24"/>
          <w:szCs w:val="24"/>
        </w:rPr>
      </w:pPr>
      <w:r>
        <w:rPr>
          <w:sz w:val="24"/>
          <w:szCs w:val="24"/>
        </w:rPr>
        <w:t>Ao discutir a mediação nesse recorte específico, pretende-se contribuir com o debate acadêmico e institucional sobre a democratização da justiça, destacando a importância de políticas públicas sensíveis às desigualdades estruturais e comprometidas com a promoção da dignidade humana de mulheres historicamente marginalizadas.</w:t>
      </w:r>
    </w:p>
    <w:p w14:paraId="06A2D3B0" w14:textId="77777777" w:rsidR="00234E2E" w:rsidRDefault="00234E2E">
      <w:pPr>
        <w:spacing w:line="360" w:lineRule="auto"/>
        <w:ind w:firstLine="709"/>
        <w:jc w:val="both"/>
        <w:rPr>
          <w:sz w:val="24"/>
          <w:szCs w:val="24"/>
        </w:rPr>
      </w:pPr>
    </w:p>
    <w:p w14:paraId="2F9FAA61" w14:textId="77777777" w:rsidR="00234E2E" w:rsidRDefault="00000000">
      <w:pPr>
        <w:spacing w:line="360" w:lineRule="auto"/>
        <w:jc w:val="both"/>
        <w:rPr>
          <w:b/>
          <w:sz w:val="24"/>
          <w:szCs w:val="24"/>
        </w:rPr>
      </w:pPr>
      <w:r>
        <w:rPr>
          <w:b/>
          <w:sz w:val="24"/>
          <w:szCs w:val="24"/>
        </w:rPr>
        <w:lastRenderedPageBreak/>
        <w:t>2</w:t>
      </w:r>
      <w:r>
        <w:rPr>
          <w:b/>
          <w:sz w:val="24"/>
          <w:szCs w:val="24"/>
        </w:rPr>
        <w:tab/>
        <w:t>MULHERES CHEFES DE FAMÍLIA E OS OBSTÁCULOS NO ACESSO À JUSTIÇA</w:t>
      </w:r>
    </w:p>
    <w:p w14:paraId="1B5821DC" w14:textId="77777777" w:rsidR="00234E2E" w:rsidRDefault="00234E2E">
      <w:pPr>
        <w:spacing w:line="360" w:lineRule="auto"/>
        <w:jc w:val="both"/>
        <w:rPr>
          <w:b/>
          <w:sz w:val="24"/>
          <w:szCs w:val="24"/>
        </w:rPr>
      </w:pPr>
    </w:p>
    <w:p w14:paraId="1F17A780" w14:textId="77777777" w:rsidR="00234E2E" w:rsidRDefault="00000000">
      <w:pPr>
        <w:spacing w:line="360" w:lineRule="auto"/>
        <w:ind w:firstLine="709"/>
        <w:jc w:val="both"/>
        <w:rPr>
          <w:sz w:val="24"/>
          <w:szCs w:val="24"/>
        </w:rPr>
      </w:pPr>
      <w:r>
        <w:rPr>
          <w:sz w:val="24"/>
          <w:szCs w:val="24"/>
        </w:rPr>
        <w:t xml:space="preserve">Nesta seção, apresentamos um panorama sobre a realidade de mulheres em posição de chefia familiar em situação de vulnerabilidade social e sua relação com o acesso à justiça, com base em autores como Maria Helena Diniz, Diane Pearce, Dinamarco, Martins e </w:t>
      </w:r>
      <w:proofErr w:type="spellStart"/>
      <w:r>
        <w:rPr>
          <w:sz w:val="24"/>
          <w:szCs w:val="24"/>
        </w:rPr>
        <w:t>Aquilera</w:t>
      </w:r>
      <w:proofErr w:type="spellEnd"/>
      <w:r>
        <w:rPr>
          <w:sz w:val="24"/>
          <w:szCs w:val="24"/>
        </w:rPr>
        <w:t xml:space="preserve"> e Correia.</w:t>
      </w:r>
    </w:p>
    <w:p w14:paraId="6981A447" w14:textId="77777777" w:rsidR="00234E2E" w:rsidRDefault="00000000">
      <w:pPr>
        <w:spacing w:line="360" w:lineRule="auto"/>
        <w:ind w:firstLine="709"/>
        <w:jc w:val="both"/>
        <w:rPr>
          <w:sz w:val="24"/>
          <w:szCs w:val="24"/>
        </w:rPr>
      </w:pPr>
      <w:r>
        <w:rPr>
          <w:sz w:val="24"/>
          <w:szCs w:val="24"/>
        </w:rPr>
        <w:t>A composição familiar no Brasil tem se diversificado, e um dos arranjos mais expressivos atualmente é o da família monoparental feminina, ou seja, lares compostos por uma mulher e seus filhos. Segundo Maria Helena Diniz (2002), esse tipo de família, também chamado unilinear, pode resultar de divórcio, viuvez, adoção unilateral, ausência de reconhecimento paterno ou produção independente.</w:t>
      </w:r>
    </w:p>
    <w:p w14:paraId="2D881C46" w14:textId="77777777" w:rsidR="00234E2E" w:rsidRDefault="00000000">
      <w:pPr>
        <w:spacing w:line="360" w:lineRule="auto"/>
        <w:ind w:firstLine="709"/>
        <w:jc w:val="both"/>
        <w:rPr>
          <w:sz w:val="24"/>
          <w:szCs w:val="24"/>
        </w:rPr>
      </w:pPr>
      <w:r>
        <w:rPr>
          <w:sz w:val="24"/>
          <w:szCs w:val="24"/>
        </w:rPr>
        <w:t>A Constituição Federal de 1988 reconheceu esse modelo, ao estabelecer no art. 226, § 4º, que a entidade familiar compreende a comunidade formada por qualquer dos pais e seus descendentes (BRASIL, 1988). Com isso, a Lei Magna rompeu-se com a concepção tradicional de núcleo familiar centrado exclusivamente no casamento.</w:t>
      </w:r>
    </w:p>
    <w:p w14:paraId="59B17328" w14:textId="77777777" w:rsidR="00234E2E" w:rsidRDefault="00000000">
      <w:pPr>
        <w:spacing w:line="360" w:lineRule="auto"/>
        <w:ind w:firstLine="709"/>
        <w:jc w:val="both"/>
        <w:rPr>
          <w:sz w:val="24"/>
          <w:szCs w:val="24"/>
        </w:rPr>
      </w:pPr>
      <w:r>
        <w:rPr>
          <w:sz w:val="24"/>
          <w:szCs w:val="24"/>
        </w:rPr>
        <w:t>Contudo, apesar da proteção constitucional, às mulheres responsáveis por lares monoparentais ainda enfrentam obstáculos significativos para fazer valer seus direitos, mesmo representando quase metade dos lares brasileiros. De acordo com o Censo Demográfico de 2022, 49,1% dos 72,5 milhões de domicílios do país tinham uma mulher como pessoa responsável.</w:t>
      </w:r>
    </w:p>
    <w:p w14:paraId="079BBB8C" w14:textId="77777777" w:rsidR="00234E2E" w:rsidRDefault="00000000">
      <w:pPr>
        <w:spacing w:line="360" w:lineRule="auto"/>
        <w:ind w:firstLine="709"/>
        <w:jc w:val="both"/>
        <w:rPr>
          <w:sz w:val="24"/>
          <w:szCs w:val="24"/>
        </w:rPr>
      </w:pPr>
      <w:r>
        <w:rPr>
          <w:sz w:val="24"/>
          <w:szCs w:val="24"/>
        </w:rPr>
        <w:t>Grande parte dessas mulheres acumula a responsabilidade pelo sustento do lar com o cuidado integral dos filhos, muitas vezes sem rede de apoio e em contextos de instabilidade econômica. Esse cenário está diretamente ligado ao fenômeno descrito por Diane Pearce (1978) como “feminização da pobreza”, que revela a presença desproporcional de mulheres, especialmente mães solo, entre os grupos mais empobrecidos e vulneráveis socialmente.</w:t>
      </w:r>
    </w:p>
    <w:p w14:paraId="7C76A08E" w14:textId="77777777" w:rsidR="00234E2E" w:rsidRDefault="00000000">
      <w:pPr>
        <w:spacing w:line="360" w:lineRule="auto"/>
        <w:ind w:firstLine="709"/>
        <w:jc w:val="both"/>
        <w:rPr>
          <w:sz w:val="24"/>
          <w:szCs w:val="24"/>
        </w:rPr>
      </w:pPr>
      <w:r>
        <w:rPr>
          <w:sz w:val="24"/>
          <w:szCs w:val="24"/>
        </w:rPr>
        <w:lastRenderedPageBreak/>
        <w:t>Assim, garantir direitos básicos como pensão alimentícia, benefícios assistenciais ou regularização documental exige que essas mulheres recorram ao Poder Judiciário. No entanto, deparam-se com entraves como burocracia excessiva, custos processuais e ausência de assistência jurídica eficaz.</w:t>
      </w:r>
    </w:p>
    <w:p w14:paraId="6DFA585A" w14:textId="77777777" w:rsidR="00234E2E" w:rsidRDefault="00000000">
      <w:pPr>
        <w:spacing w:line="360" w:lineRule="auto"/>
        <w:ind w:firstLine="709"/>
        <w:jc w:val="both"/>
        <w:rPr>
          <w:sz w:val="24"/>
          <w:szCs w:val="24"/>
        </w:rPr>
      </w:pPr>
      <w:r>
        <w:rPr>
          <w:sz w:val="24"/>
          <w:szCs w:val="24"/>
        </w:rPr>
        <w:t>Essa frustração é bem retratada por Dinamarco (1987), o qual afirma que em um Estado de Direito, o cidadão deposita no Judiciário suas últimas esperanças, que, muitas vezes, se convertem em decepção diante de uma estrutura sobrecarregada e distante das necessidades reais da população. A respeito disso, Martins (2012) reforça que a crise do Direito decorre justamente da incapacidade institucional de acompanhar as transformações sociais, comprometendo sua função de garantir justiça material.</w:t>
      </w:r>
    </w:p>
    <w:p w14:paraId="381C5CC6" w14:textId="77777777" w:rsidR="00234E2E" w:rsidRDefault="00000000">
      <w:pPr>
        <w:spacing w:line="360" w:lineRule="auto"/>
        <w:ind w:firstLine="709"/>
        <w:jc w:val="both"/>
        <w:rPr>
          <w:sz w:val="24"/>
          <w:szCs w:val="24"/>
        </w:rPr>
      </w:pPr>
      <w:r>
        <w:rPr>
          <w:sz w:val="24"/>
          <w:szCs w:val="24"/>
        </w:rPr>
        <w:t>Dessa forma, muitas mulheres chefes de família acabam desistindo de buscar soluções legais, desestimuladas pela morosidade e pela ineficiência do sistema.</w:t>
      </w:r>
    </w:p>
    <w:p w14:paraId="331FD6F2" w14:textId="77777777" w:rsidR="00234E2E" w:rsidRDefault="00000000">
      <w:pPr>
        <w:spacing w:line="360" w:lineRule="auto"/>
        <w:ind w:firstLine="709"/>
        <w:jc w:val="both"/>
        <w:rPr>
          <w:sz w:val="24"/>
          <w:szCs w:val="24"/>
        </w:rPr>
      </w:pPr>
      <w:r>
        <w:rPr>
          <w:sz w:val="24"/>
          <w:szCs w:val="24"/>
        </w:rPr>
        <w:t>Nesse contexto, a mediação, enquanto método alternativo de resolução de conflitos (MASC), surge como uma possibilidade mais acessível e condizente com a realidade dessas mulheres. Por valorizar a oralidade, a celeridade e o diálogo direto entre as partes, a mediação favorece soluções mais rápidas, com menor custo e maior participação, além de humanizar o processo (AQUILERA; CORREIA, 2018).</w:t>
      </w:r>
    </w:p>
    <w:p w14:paraId="6785D289" w14:textId="77777777" w:rsidR="00234E2E" w:rsidRDefault="00000000">
      <w:pPr>
        <w:spacing w:line="360" w:lineRule="auto"/>
        <w:ind w:firstLine="709"/>
        <w:jc w:val="both"/>
        <w:rPr>
          <w:sz w:val="24"/>
          <w:szCs w:val="24"/>
        </w:rPr>
      </w:pPr>
      <w:r>
        <w:rPr>
          <w:sz w:val="24"/>
          <w:szCs w:val="24"/>
        </w:rPr>
        <w:t>Portanto, garantir o acesso à justiça para mulheres chefes de família exige mais do que previsões legais abstratas. É necessário repensar a estrutura e a linguagem do sistema jurídico, para que este dialogue com as desigualdades sociais e ofereça respostas concretas. Do contrário, os direitos assegurados pela Constituição continuarão restritos ao papel, afastados da vida de quem mais precisa.</w:t>
      </w:r>
    </w:p>
    <w:p w14:paraId="13EABCB2" w14:textId="77777777" w:rsidR="00234E2E" w:rsidRDefault="00234E2E">
      <w:pPr>
        <w:spacing w:line="360" w:lineRule="auto"/>
        <w:ind w:firstLine="709"/>
        <w:jc w:val="both"/>
        <w:rPr>
          <w:sz w:val="24"/>
          <w:szCs w:val="24"/>
        </w:rPr>
      </w:pPr>
    </w:p>
    <w:p w14:paraId="2F55B3DC" w14:textId="77777777" w:rsidR="00234E2E" w:rsidRDefault="00000000">
      <w:pPr>
        <w:spacing w:line="360" w:lineRule="auto"/>
        <w:jc w:val="both"/>
        <w:rPr>
          <w:b/>
          <w:sz w:val="24"/>
          <w:szCs w:val="24"/>
        </w:rPr>
      </w:pPr>
      <w:r>
        <w:rPr>
          <w:b/>
          <w:sz w:val="24"/>
          <w:szCs w:val="24"/>
        </w:rPr>
        <w:t>3</w:t>
      </w:r>
      <w:r>
        <w:rPr>
          <w:b/>
          <w:sz w:val="24"/>
          <w:szCs w:val="24"/>
        </w:rPr>
        <w:tab/>
        <w:t xml:space="preserve">A MEDIAÇÃO COMO FERRAMENTA ACESSÍVEL DE ACESSO À JUSTIÇA </w:t>
      </w:r>
    </w:p>
    <w:p w14:paraId="05E1C56F" w14:textId="77777777" w:rsidR="00234E2E" w:rsidRDefault="00234E2E">
      <w:pPr>
        <w:spacing w:line="360" w:lineRule="auto"/>
        <w:ind w:firstLine="709"/>
        <w:jc w:val="both"/>
        <w:rPr>
          <w:sz w:val="24"/>
          <w:szCs w:val="24"/>
        </w:rPr>
      </w:pPr>
    </w:p>
    <w:p w14:paraId="415FE3E1" w14:textId="77777777" w:rsidR="00234E2E" w:rsidRDefault="00000000">
      <w:pPr>
        <w:spacing w:line="360" w:lineRule="auto"/>
        <w:ind w:firstLine="709"/>
        <w:jc w:val="both"/>
        <w:rPr>
          <w:sz w:val="24"/>
          <w:szCs w:val="24"/>
        </w:rPr>
      </w:pPr>
      <w:r>
        <w:rPr>
          <w:sz w:val="24"/>
          <w:szCs w:val="24"/>
        </w:rPr>
        <w:t xml:space="preserve">A mediação como caminho mais acessível à justiça é um tema que ganha relevância crescente, especialmente quando analisado à luz das contribuições de Mauro </w:t>
      </w:r>
      <w:proofErr w:type="spellStart"/>
      <w:r>
        <w:rPr>
          <w:sz w:val="24"/>
          <w:szCs w:val="24"/>
        </w:rPr>
        <w:t>Cappelletti</w:t>
      </w:r>
      <w:proofErr w:type="spellEnd"/>
      <w:r>
        <w:rPr>
          <w:sz w:val="24"/>
          <w:szCs w:val="24"/>
        </w:rPr>
        <w:t xml:space="preserve"> e Bryant Garth em sua obra clássica Acesso à Justiça. Nesse </w:t>
      </w:r>
      <w:r>
        <w:rPr>
          <w:sz w:val="24"/>
          <w:szCs w:val="24"/>
        </w:rPr>
        <w:lastRenderedPageBreak/>
        <w:t xml:space="preserve">contexto, é possível compreender a mediação não apenas como um método alternativo de resolução de conflitos, mas como uma resposta concreta às limitações estruturais dos sistemas judiciais tradicionais, sobretudo para os grupos mais vulneráveis da sociedade. </w:t>
      </w:r>
    </w:p>
    <w:p w14:paraId="16B5FD31" w14:textId="77777777" w:rsidR="00234E2E" w:rsidRDefault="00000000">
      <w:pPr>
        <w:spacing w:line="360" w:lineRule="auto"/>
        <w:ind w:firstLine="709"/>
        <w:jc w:val="both"/>
        <w:rPr>
          <w:sz w:val="24"/>
          <w:szCs w:val="24"/>
        </w:rPr>
      </w:pPr>
      <w:proofErr w:type="spellStart"/>
      <w:r>
        <w:rPr>
          <w:sz w:val="24"/>
          <w:szCs w:val="24"/>
        </w:rPr>
        <w:t>Cappelletti</w:t>
      </w:r>
      <w:proofErr w:type="spellEnd"/>
      <w:r>
        <w:rPr>
          <w:sz w:val="24"/>
          <w:szCs w:val="24"/>
        </w:rPr>
        <w:t xml:space="preserve"> e Garth afirmam que “o acesso à justiça pode […] ser encarado como o requisito fundamental — o mais básico dos direitos humanos — de um sistema jurídico moderno e igualitário” (Cappelletti,1998, p. 5). A partir dessa premissa, observa-se que o sistema judicial convencional, além de ser formalista e oneroso, impõe barreiras econômicas, culturais e psicológicas que inviabilizam, na prática, a tutela de direitos por parte da população mais carente. </w:t>
      </w:r>
    </w:p>
    <w:p w14:paraId="5EBEFB18" w14:textId="77777777" w:rsidR="00234E2E" w:rsidRDefault="00000000">
      <w:pPr>
        <w:spacing w:line="360" w:lineRule="auto"/>
        <w:ind w:firstLine="709"/>
        <w:jc w:val="both"/>
        <w:rPr>
          <w:sz w:val="24"/>
          <w:szCs w:val="24"/>
        </w:rPr>
      </w:pPr>
      <w:r>
        <w:rPr>
          <w:sz w:val="24"/>
          <w:szCs w:val="24"/>
        </w:rPr>
        <w:t xml:space="preserve">Nesse cenário, a mediação se apresenta como uma alternativa mais democrática e </w:t>
      </w:r>
      <w:proofErr w:type="gramStart"/>
      <w:r>
        <w:rPr>
          <w:sz w:val="24"/>
          <w:szCs w:val="24"/>
        </w:rPr>
        <w:t>inclusiva,  rompe</w:t>
      </w:r>
      <w:proofErr w:type="gramEnd"/>
      <w:r>
        <w:rPr>
          <w:sz w:val="24"/>
          <w:szCs w:val="24"/>
        </w:rPr>
        <w:t xml:space="preserve"> com a lógica adversarial do processo judicial e propõe um modelo de solução baseado no diálogo, na escuta ativa e na busca por consensos, elementos que resgatam a autonomia dos envolvidos. É justamente essa estrutura dialógica que permite maior acessibilidade. </w:t>
      </w:r>
    </w:p>
    <w:p w14:paraId="5FB3ADB2" w14:textId="77777777" w:rsidR="00234E2E" w:rsidRDefault="00000000">
      <w:pPr>
        <w:spacing w:line="360" w:lineRule="auto"/>
        <w:ind w:firstLine="709"/>
        <w:jc w:val="both"/>
        <w:rPr>
          <w:sz w:val="24"/>
          <w:szCs w:val="24"/>
        </w:rPr>
      </w:pPr>
      <w:r>
        <w:rPr>
          <w:sz w:val="24"/>
          <w:szCs w:val="24"/>
        </w:rPr>
        <w:t xml:space="preserve">Conforme argumenta </w:t>
      </w:r>
      <w:proofErr w:type="spellStart"/>
      <w:r>
        <w:rPr>
          <w:sz w:val="24"/>
          <w:szCs w:val="24"/>
        </w:rPr>
        <w:t>Cappelletti</w:t>
      </w:r>
      <w:proofErr w:type="spellEnd"/>
      <w:r>
        <w:rPr>
          <w:sz w:val="24"/>
          <w:szCs w:val="24"/>
        </w:rPr>
        <w:t xml:space="preserve">, muitos indivíduos, especialmente os mais pobres, sequer conseguem reconhecer que possuem um direito a ser exigido, em virtude da ausência de conhecimento jurídico ou da intimidação provocada pelo aparato judicial tradicional (Cappelletti,1998). A mediação, ao flexibilizar procedimentos e promover ambientes mais acolhedores, contribui para superar tais barreiras. </w:t>
      </w:r>
    </w:p>
    <w:p w14:paraId="0B1B67AC" w14:textId="77777777" w:rsidR="00234E2E" w:rsidRDefault="00000000">
      <w:pPr>
        <w:spacing w:line="360" w:lineRule="auto"/>
        <w:ind w:firstLine="709"/>
        <w:jc w:val="both"/>
        <w:rPr>
          <w:sz w:val="24"/>
          <w:szCs w:val="24"/>
        </w:rPr>
      </w:pPr>
      <w:r>
        <w:rPr>
          <w:sz w:val="24"/>
          <w:szCs w:val="24"/>
        </w:rPr>
        <w:t xml:space="preserve">Além disso, a mediação é especialmente útil em demandas que envolvem relações continuadas e questões sensíveis, como aquelas que atingem mulheres chefes de família em situação de vulnerabilidade social, público que enfrenta desafios adicionais no enfrentamento do sistema judicial formal, tais como a falta de tempo, recursos e apoio institucional. A informalidade da mediação, somada à possibilidade de construção de soluções personalizadas, confere maior efetividade à proteção dos direitos desse grupo. </w:t>
      </w:r>
    </w:p>
    <w:p w14:paraId="3564FB71" w14:textId="77777777" w:rsidR="00234E2E" w:rsidRDefault="00000000">
      <w:pPr>
        <w:spacing w:line="360" w:lineRule="auto"/>
        <w:ind w:firstLine="709"/>
        <w:jc w:val="both"/>
        <w:rPr>
          <w:sz w:val="24"/>
          <w:szCs w:val="24"/>
        </w:rPr>
      </w:pPr>
      <w:r>
        <w:rPr>
          <w:sz w:val="24"/>
          <w:szCs w:val="24"/>
        </w:rPr>
        <w:lastRenderedPageBreak/>
        <w:t xml:space="preserve">De forma coerente com a abordagem contemporânea do acesso à justiça proposta por </w:t>
      </w:r>
      <w:proofErr w:type="spellStart"/>
      <w:r>
        <w:rPr>
          <w:sz w:val="24"/>
          <w:szCs w:val="24"/>
        </w:rPr>
        <w:t>Cappelletti</w:t>
      </w:r>
      <w:proofErr w:type="spellEnd"/>
      <w:r>
        <w:rPr>
          <w:sz w:val="24"/>
          <w:szCs w:val="24"/>
        </w:rPr>
        <w:t>, a mediação atende à exigência de se pensar mecanismos que não apenas formalizam direitos, mas que os tornem efetivamente exercitáveis. Ela integra aquilo que os autores denominam como “terceira onda” de reformas: a superação da simples assistência judiciária e a incorporação de métodos que “ampliem os canais de participação no sistema jurídico” e adaptem à justiça às necessidades sociais reais (</w:t>
      </w:r>
      <w:proofErr w:type="spellStart"/>
      <w:r>
        <w:rPr>
          <w:sz w:val="24"/>
          <w:szCs w:val="24"/>
        </w:rPr>
        <w:t>Cappelletti</w:t>
      </w:r>
      <w:proofErr w:type="spellEnd"/>
      <w:r>
        <w:rPr>
          <w:sz w:val="24"/>
          <w:szCs w:val="24"/>
        </w:rPr>
        <w:t xml:space="preserve">, 1998). </w:t>
      </w:r>
    </w:p>
    <w:p w14:paraId="7E0EDC3D" w14:textId="77777777" w:rsidR="00234E2E" w:rsidRDefault="00000000">
      <w:pPr>
        <w:spacing w:line="360" w:lineRule="auto"/>
        <w:ind w:firstLine="709"/>
        <w:jc w:val="both"/>
        <w:rPr>
          <w:sz w:val="24"/>
          <w:szCs w:val="24"/>
        </w:rPr>
      </w:pPr>
      <w:r>
        <w:rPr>
          <w:sz w:val="24"/>
          <w:szCs w:val="24"/>
        </w:rPr>
        <w:t xml:space="preserve">Em análise, ao considerar o contexto brasileiro, marcado por desigualdades históricas, a mediação deve ser compreendida como uma estratégia de empoderamento social e redistribuição simbólica do poder jurídico. Ela viabiliza que sujeitos tradicionalmente marginalizados, como mulheres em situação de vulnerabilidade, tenham voz ativa na resolução de seus conflitos, rompendo com a lógica impositiva e muitas vezes insensível do Estado-juiz. </w:t>
      </w:r>
    </w:p>
    <w:p w14:paraId="1B240739" w14:textId="77777777" w:rsidR="00234E2E" w:rsidRDefault="00000000">
      <w:pPr>
        <w:spacing w:line="360" w:lineRule="auto"/>
        <w:ind w:firstLine="709"/>
        <w:jc w:val="both"/>
        <w:rPr>
          <w:sz w:val="24"/>
          <w:szCs w:val="24"/>
        </w:rPr>
      </w:pPr>
      <w:r>
        <w:rPr>
          <w:sz w:val="24"/>
          <w:szCs w:val="24"/>
        </w:rPr>
        <w:t xml:space="preserve">Portanto, a mediação não é apenas mais rápida e barata: ela é, sobretudo, mais justa no sentido substancial do termo. Trata-se de um instrumento alinhado com os valores democráticos, capaz de proporcionar não apenas a resolução de litígios, mas a reconstrução das relações sociais e a promoção da dignidade humana. </w:t>
      </w:r>
    </w:p>
    <w:p w14:paraId="5035E14F" w14:textId="77777777" w:rsidR="00234E2E" w:rsidRDefault="00000000">
      <w:pPr>
        <w:spacing w:line="360" w:lineRule="auto"/>
        <w:ind w:firstLine="709"/>
        <w:jc w:val="both"/>
        <w:rPr>
          <w:sz w:val="24"/>
          <w:szCs w:val="24"/>
        </w:rPr>
      </w:pPr>
      <w:r>
        <w:rPr>
          <w:sz w:val="24"/>
          <w:szCs w:val="24"/>
        </w:rPr>
        <w:t xml:space="preserve">Em suma, conforme ensinamento de </w:t>
      </w:r>
      <w:proofErr w:type="spellStart"/>
      <w:r>
        <w:rPr>
          <w:sz w:val="24"/>
          <w:szCs w:val="24"/>
        </w:rPr>
        <w:t>Cappelletti</w:t>
      </w:r>
      <w:proofErr w:type="spellEnd"/>
      <w:r>
        <w:rPr>
          <w:sz w:val="24"/>
          <w:szCs w:val="24"/>
        </w:rPr>
        <w:t xml:space="preserve"> e Garth, o verdadeiro acesso à justiça não pode estar restrito à mera possibilidade de recorrer ao Judiciário, mas deve significar a oportunidade de obter soluções equitativas, eficientes e culturalmente adequadas e é nesse espaço que a mediação encontra sua vocação transformadora.</w:t>
      </w:r>
    </w:p>
    <w:p w14:paraId="3E11781B" w14:textId="77777777" w:rsidR="00234E2E" w:rsidRDefault="00234E2E">
      <w:pPr>
        <w:spacing w:line="360" w:lineRule="auto"/>
        <w:jc w:val="both"/>
        <w:rPr>
          <w:b/>
          <w:sz w:val="24"/>
          <w:szCs w:val="24"/>
        </w:rPr>
      </w:pPr>
    </w:p>
    <w:p w14:paraId="3F396692" w14:textId="77777777" w:rsidR="00234E2E" w:rsidRDefault="00000000">
      <w:pPr>
        <w:spacing w:line="360" w:lineRule="auto"/>
        <w:jc w:val="both"/>
        <w:rPr>
          <w:b/>
          <w:sz w:val="24"/>
          <w:szCs w:val="24"/>
        </w:rPr>
      </w:pPr>
      <w:r>
        <w:rPr>
          <w:b/>
          <w:sz w:val="24"/>
          <w:szCs w:val="24"/>
        </w:rPr>
        <w:t>4</w:t>
      </w:r>
      <w:r>
        <w:rPr>
          <w:b/>
          <w:sz w:val="24"/>
          <w:szCs w:val="24"/>
        </w:rPr>
        <w:tab/>
        <w:t> DESAFIOS E IMPORTÂNCIA DA MEDIAÇÃO NO CONTEXTO DE MULHERES EM CONDIÇÕES DE VULNERABILIDADE</w:t>
      </w:r>
    </w:p>
    <w:p w14:paraId="1820C2D0" w14:textId="77777777" w:rsidR="00234E2E" w:rsidRDefault="00234E2E">
      <w:pPr>
        <w:spacing w:line="360" w:lineRule="auto"/>
        <w:jc w:val="both"/>
        <w:rPr>
          <w:b/>
          <w:sz w:val="24"/>
          <w:szCs w:val="24"/>
        </w:rPr>
      </w:pPr>
    </w:p>
    <w:p w14:paraId="3BDE5BE3" w14:textId="77777777" w:rsidR="00234E2E" w:rsidRDefault="00000000">
      <w:pPr>
        <w:spacing w:line="360" w:lineRule="auto"/>
        <w:ind w:firstLine="709"/>
        <w:jc w:val="both"/>
        <w:rPr>
          <w:sz w:val="24"/>
          <w:szCs w:val="24"/>
        </w:rPr>
      </w:pPr>
      <w:r>
        <w:rPr>
          <w:sz w:val="24"/>
          <w:szCs w:val="24"/>
        </w:rPr>
        <w:t xml:space="preserve"> A mediação pode ser uma via eficaz de acesso à justiça para mulheres chefes de família em situação de vulnerabilidade social. Por ser mais simples, célere e dialógica, apresenta-se como alternativa viável diante de um Judiciário formalista e distante. Para Mantovani e Spengler (2024), a mediação comunitária aproxima o </w:t>
      </w:r>
      <w:r>
        <w:rPr>
          <w:sz w:val="24"/>
          <w:szCs w:val="24"/>
        </w:rPr>
        <w:lastRenderedPageBreak/>
        <w:t>sistema de justiça das populações excluídas, promovendo participação ativa e soluções mais adequadas à realidade vivida.</w:t>
      </w:r>
    </w:p>
    <w:p w14:paraId="5C77E164" w14:textId="77777777" w:rsidR="00234E2E" w:rsidRDefault="00000000">
      <w:pPr>
        <w:spacing w:line="360" w:lineRule="auto"/>
        <w:ind w:firstLine="709"/>
        <w:jc w:val="both"/>
        <w:rPr>
          <w:sz w:val="24"/>
          <w:szCs w:val="24"/>
        </w:rPr>
      </w:pPr>
      <w:r>
        <w:rPr>
          <w:sz w:val="24"/>
          <w:szCs w:val="24"/>
        </w:rPr>
        <w:t>O método é especialmente útil em conflitos familiares, de vizinhança ou consumo, comuns na rotina de mulheres responsáveis pelo lar. Maffei dos Santos e Silva de Freitas (2024) ressaltam que é preciso considerar as interseções entre gênero, classe e raça, pois a ausência dessa perspectiva pode reproduzir exclusões institucionais e comprometer a efetividade da mediação.</w:t>
      </w:r>
    </w:p>
    <w:p w14:paraId="7E0E8F91" w14:textId="77777777" w:rsidR="00234E2E" w:rsidRDefault="00000000">
      <w:pPr>
        <w:spacing w:line="360" w:lineRule="auto"/>
        <w:ind w:firstLine="709"/>
        <w:jc w:val="both"/>
        <w:rPr>
          <w:sz w:val="24"/>
          <w:szCs w:val="24"/>
        </w:rPr>
      </w:pPr>
      <w:r>
        <w:rPr>
          <w:sz w:val="24"/>
          <w:szCs w:val="24"/>
        </w:rPr>
        <w:t xml:space="preserve">Contudo, para que esse potencial se concretize, é necessário que existam condições institucionais adequadas. Mulheres em vulnerabilidade enfrentam múltiplas jornadas, falta de apoio e baixa compreensão jurídica, o que dificulta sua participação nos processos. Freitas e Gonçalves (2024) alertam que, sem estrutura de acolhimento, a mediação pode acabar reproduzindo desigualdades: “sem a devida estrutura de acolhimento, a mediação tende a reproduzir desigualdades, e não a saná-las” (p. 8). Assim, investir na qualificação dos profissionais e em linguagem acessível é fundamental para o êxito do </w:t>
      </w:r>
      <w:proofErr w:type="gramStart"/>
      <w:r>
        <w:rPr>
          <w:sz w:val="24"/>
          <w:szCs w:val="24"/>
        </w:rPr>
        <w:t>método..</w:t>
      </w:r>
      <w:proofErr w:type="gramEnd"/>
    </w:p>
    <w:p w14:paraId="0FA6B081" w14:textId="77777777" w:rsidR="00234E2E" w:rsidRDefault="00000000">
      <w:pPr>
        <w:spacing w:line="360" w:lineRule="auto"/>
        <w:ind w:firstLine="709"/>
        <w:jc w:val="both"/>
        <w:rPr>
          <w:sz w:val="24"/>
          <w:szCs w:val="24"/>
        </w:rPr>
      </w:pPr>
      <w:r>
        <w:rPr>
          <w:sz w:val="24"/>
          <w:szCs w:val="24"/>
        </w:rPr>
        <w:t>Por exemplo, em casos de violência doméstica, a mediação deve ser aplicada com cautela e jamais imposta. Conforme Moura et al. (2022), a imposição da mediação nesses contextos pode violar princípios fundamentais como a isonomia e a autonomia da vontade, levando à revitimização e à perda de dignidade da mulher. Por isso, é necessário avaliar o caso concreto e garantir a proteção da parte vulnerável.</w:t>
      </w:r>
    </w:p>
    <w:p w14:paraId="08CDFE0A" w14:textId="77777777" w:rsidR="00234E2E" w:rsidRDefault="00000000">
      <w:pPr>
        <w:spacing w:line="360" w:lineRule="auto"/>
        <w:ind w:firstLine="709"/>
        <w:jc w:val="both"/>
        <w:rPr>
          <w:sz w:val="24"/>
          <w:szCs w:val="24"/>
        </w:rPr>
      </w:pPr>
      <w:r>
        <w:rPr>
          <w:sz w:val="24"/>
          <w:szCs w:val="24"/>
        </w:rPr>
        <w:t>Por fim, Silva (2019) defende que acesso à justiça não é apenas ingressar no Judiciário, mas ter meios efetivos de resolver conflitos com dignidade. A mediação, quando bem aplicada, pode garantir essa efetividade, desde que respeite as vulnerabilidades envolvidas.</w:t>
      </w:r>
    </w:p>
    <w:p w14:paraId="61976972" w14:textId="77777777" w:rsidR="00234E2E" w:rsidRDefault="00234E2E">
      <w:pPr>
        <w:spacing w:line="360" w:lineRule="auto"/>
        <w:ind w:firstLine="709"/>
        <w:jc w:val="both"/>
        <w:rPr>
          <w:sz w:val="24"/>
          <w:szCs w:val="24"/>
        </w:rPr>
      </w:pPr>
    </w:p>
    <w:p w14:paraId="08B533E0" w14:textId="77777777" w:rsidR="00234E2E" w:rsidRDefault="00234E2E">
      <w:pPr>
        <w:spacing w:line="360" w:lineRule="auto"/>
        <w:ind w:firstLine="709"/>
        <w:jc w:val="both"/>
        <w:rPr>
          <w:sz w:val="24"/>
          <w:szCs w:val="24"/>
        </w:rPr>
      </w:pPr>
    </w:p>
    <w:p w14:paraId="2A93DCB6" w14:textId="77777777" w:rsidR="00234E2E" w:rsidRDefault="00234E2E">
      <w:pPr>
        <w:spacing w:line="360" w:lineRule="auto"/>
        <w:ind w:firstLine="720"/>
        <w:jc w:val="both"/>
        <w:rPr>
          <w:sz w:val="24"/>
          <w:szCs w:val="24"/>
        </w:rPr>
      </w:pPr>
    </w:p>
    <w:p w14:paraId="0586FEC6" w14:textId="77777777" w:rsidR="00234E2E" w:rsidRDefault="00000000">
      <w:pPr>
        <w:spacing w:line="360" w:lineRule="auto"/>
        <w:jc w:val="both"/>
        <w:rPr>
          <w:b/>
          <w:sz w:val="24"/>
          <w:szCs w:val="24"/>
        </w:rPr>
      </w:pPr>
      <w:r>
        <w:rPr>
          <w:b/>
          <w:sz w:val="24"/>
          <w:szCs w:val="24"/>
        </w:rPr>
        <w:t>5</w:t>
      </w:r>
      <w:r>
        <w:rPr>
          <w:b/>
          <w:sz w:val="24"/>
          <w:szCs w:val="24"/>
        </w:rPr>
        <w:tab/>
        <w:t>CONCLUSÃO</w:t>
      </w:r>
    </w:p>
    <w:p w14:paraId="26E89E70" w14:textId="77777777" w:rsidR="00234E2E" w:rsidRDefault="00234E2E">
      <w:pPr>
        <w:spacing w:line="360" w:lineRule="auto"/>
        <w:jc w:val="both"/>
        <w:rPr>
          <w:b/>
          <w:sz w:val="24"/>
          <w:szCs w:val="24"/>
        </w:rPr>
      </w:pPr>
    </w:p>
    <w:p w14:paraId="4513047B" w14:textId="77777777" w:rsidR="00234E2E" w:rsidRDefault="00000000">
      <w:pPr>
        <w:spacing w:line="360" w:lineRule="auto"/>
        <w:ind w:firstLine="709"/>
        <w:jc w:val="both"/>
        <w:rPr>
          <w:sz w:val="24"/>
          <w:szCs w:val="24"/>
        </w:rPr>
      </w:pPr>
      <w:r>
        <w:rPr>
          <w:sz w:val="24"/>
          <w:szCs w:val="24"/>
        </w:rPr>
        <w:lastRenderedPageBreak/>
        <w:t>A mediação, quando compreendida como instrumento de democratização do acesso à justiça, revela-se especialmente promissora para mulheres chefes de família em situação de vulnerabilidade social. Ao romper com a lógica formalista e adversarial do Judiciário tradicional, esse método dialógico promove a escuta ativa, a autonomia das partes e a construção de soluções personalizadas, alinhando-se à concepção substancial de justiça.</w:t>
      </w:r>
    </w:p>
    <w:p w14:paraId="059FBBB4" w14:textId="77777777" w:rsidR="00234E2E" w:rsidRDefault="00000000">
      <w:pPr>
        <w:spacing w:line="360" w:lineRule="auto"/>
        <w:ind w:firstLine="709"/>
        <w:jc w:val="both"/>
        <w:rPr>
          <w:sz w:val="24"/>
          <w:szCs w:val="24"/>
        </w:rPr>
      </w:pPr>
      <w:r>
        <w:rPr>
          <w:sz w:val="24"/>
          <w:szCs w:val="24"/>
        </w:rPr>
        <w:t xml:space="preserve">Conforme destacado por </w:t>
      </w:r>
      <w:proofErr w:type="spellStart"/>
      <w:r>
        <w:rPr>
          <w:sz w:val="24"/>
          <w:szCs w:val="24"/>
        </w:rPr>
        <w:t>Cappelletti</w:t>
      </w:r>
      <w:proofErr w:type="spellEnd"/>
      <w:r>
        <w:rPr>
          <w:sz w:val="24"/>
          <w:szCs w:val="24"/>
        </w:rPr>
        <w:t xml:space="preserve"> e Garth (1998), o acesso à justiça deve ser entendido como um direito humano fundamental e um requisito essencial para a efetivação de todos os demais direitos. Nesse sentido, a mediação integra a chamada “terceira onda” de reformas, ao propor mecanismos que ampliem os canais de participação jurídica e tornem os direitos exercitáveis na prática.</w:t>
      </w:r>
    </w:p>
    <w:p w14:paraId="5BF093C6" w14:textId="77777777" w:rsidR="00234E2E" w:rsidRDefault="00000000">
      <w:pPr>
        <w:spacing w:line="360" w:lineRule="auto"/>
        <w:ind w:firstLine="709"/>
        <w:jc w:val="both"/>
        <w:rPr>
          <w:sz w:val="24"/>
          <w:szCs w:val="24"/>
        </w:rPr>
      </w:pPr>
      <w:r>
        <w:rPr>
          <w:sz w:val="24"/>
          <w:szCs w:val="24"/>
        </w:rPr>
        <w:t>Contudo, é imprescindível reconhecer que a eficácia da mediação depende da existência de estruturas institucionais que respeitem as especificidades de gênero, classe e raça. Como advertem Freitas e Gonçalves (2024), sem acolhimento adequado e preparo técnico dos profissionais, a mediação pode reproduzir as mesmas desigualdades que pretende enfrentar.</w:t>
      </w:r>
    </w:p>
    <w:p w14:paraId="3761F34A" w14:textId="77777777" w:rsidR="00234E2E" w:rsidRDefault="00000000">
      <w:pPr>
        <w:spacing w:line="360" w:lineRule="auto"/>
        <w:ind w:firstLine="709"/>
        <w:jc w:val="both"/>
        <w:rPr>
          <w:sz w:val="24"/>
          <w:szCs w:val="24"/>
        </w:rPr>
      </w:pPr>
      <w:r>
        <w:rPr>
          <w:sz w:val="24"/>
          <w:szCs w:val="24"/>
        </w:rPr>
        <w:t>Dessa forma, é necessário investir em políticas públicas que fortaleçam os espaços de mediação, com atenção às condições materiais e simbólicas das mulheres em vulnerabilidade. Também se faz essencial a adoção de linguagem acessível, formação humanizada dos mediadores e protocolos de proteção em situações de risco, como nos casos de violência doméstica (MOURA et al., 2022).</w:t>
      </w:r>
    </w:p>
    <w:p w14:paraId="43BF27FD" w14:textId="77777777" w:rsidR="00234E2E" w:rsidRDefault="00000000">
      <w:pPr>
        <w:spacing w:line="360" w:lineRule="auto"/>
        <w:ind w:firstLine="709"/>
        <w:jc w:val="both"/>
        <w:rPr>
          <w:sz w:val="24"/>
          <w:szCs w:val="24"/>
        </w:rPr>
      </w:pPr>
      <w:r>
        <w:rPr>
          <w:sz w:val="24"/>
          <w:szCs w:val="24"/>
        </w:rPr>
        <w:t>Conclui-se, portanto, que a mediação, aplicada com responsabilidade, sensibilidade social e perspectiva interseccional, não apenas facilita a resolução de conflitos cotidianos, como contribui para o empoderamento feminino, a cidadania ativa e a efetivação de direitos fundamentais. Trata-se de um caminho legítimo e necessário para a promoção de justiça substantiva, especialmente para aquelas que historicamente estiveram à margem do sistema judicial.</w:t>
      </w:r>
    </w:p>
    <w:p w14:paraId="176DE10A" w14:textId="77777777" w:rsidR="00234E2E" w:rsidRDefault="00234E2E">
      <w:pPr>
        <w:spacing w:line="360" w:lineRule="auto"/>
        <w:rPr>
          <w:b/>
          <w:sz w:val="24"/>
          <w:szCs w:val="24"/>
        </w:rPr>
      </w:pPr>
    </w:p>
    <w:p w14:paraId="6D5F0516" w14:textId="77777777" w:rsidR="00234E2E" w:rsidRDefault="00000000">
      <w:pPr>
        <w:spacing w:line="360" w:lineRule="auto"/>
        <w:jc w:val="center"/>
        <w:rPr>
          <w:b/>
          <w:sz w:val="24"/>
          <w:szCs w:val="24"/>
        </w:rPr>
      </w:pPr>
      <w:r>
        <w:rPr>
          <w:b/>
          <w:sz w:val="24"/>
          <w:szCs w:val="24"/>
        </w:rPr>
        <w:t>REFERÊNCIAS</w:t>
      </w:r>
    </w:p>
    <w:p w14:paraId="71530FA1" w14:textId="77777777" w:rsidR="00234E2E" w:rsidRDefault="00234E2E">
      <w:pPr>
        <w:spacing w:line="360" w:lineRule="auto"/>
        <w:jc w:val="center"/>
        <w:rPr>
          <w:b/>
          <w:sz w:val="24"/>
          <w:szCs w:val="24"/>
        </w:rPr>
      </w:pPr>
    </w:p>
    <w:p w14:paraId="1A8B9065" w14:textId="77777777" w:rsidR="00234E2E" w:rsidRDefault="00000000">
      <w:pPr>
        <w:spacing w:line="240" w:lineRule="auto"/>
        <w:rPr>
          <w:sz w:val="24"/>
          <w:szCs w:val="24"/>
        </w:rPr>
      </w:pPr>
      <w:r>
        <w:rPr>
          <w:sz w:val="24"/>
          <w:szCs w:val="24"/>
        </w:rPr>
        <w:t xml:space="preserve">AQUILERA URQUIZA, A.H.; CORREIA, A. L. ACESSO À JUSTIÇA EM CAPPELLETTI/GARTH E BOAVENTURA DE SOUZA SANTOS. Revista de Direito Brasileira, Florianópolis, Brasil, v. 20, n. 8, p. 305–319, 2018. </w:t>
      </w:r>
    </w:p>
    <w:p w14:paraId="772F44BC" w14:textId="77777777" w:rsidR="00234E2E" w:rsidRDefault="00234E2E">
      <w:pPr>
        <w:spacing w:line="240" w:lineRule="auto"/>
        <w:rPr>
          <w:sz w:val="24"/>
          <w:szCs w:val="24"/>
        </w:rPr>
      </w:pPr>
    </w:p>
    <w:p w14:paraId="6B6CDC87" w14:textId="77777777" w:rsidR="00234E2E" w:rsidRDefault="00000000">
      <w:pPr>
        <w:spacing w:line="240" w:lineRule="auto"/>
        <w:rPr>
          <w:sz w:val="24"/>
          <w:szCs w:val="24"/>
        </w:rPr>
      </w:pPr>
      <w:r>
        <w:rPr>
          <w:sz w:val="24"/>
          <w:szCs w:val="24"/>
        </w:rPr>
        <w:t>BRASIL. [Constituição (1988)]. Constituição da República Federativa do Brasil de 1988. Brasília, DF: Presidência da República, [2016]. Disponível em</w:t>
      </w:r>
      <w:proofErr w:type="gramStart"/>
      <w:r>
        <w:rPr>
          <w:sz w:val="24"/>
          <w:szCs w:val="24"/>
        </w:rPr>
        <w:t>: .</w:t>
      </w:r>
      <w:proofErr w:type="gramEnd"/>
      <w:r>
        <w:rPr>
          <w:sz w:val="24"/>
          <w:szCs w:val="24"/>
        </w:rPr>
        <w:t xml:space="preserve"> Acesso em: 01 jun. 2025.</w:t>
      </w:r>
    </w:p>
    <w:p w14:paraId="4A55072D" w14:textId="77777777" w:rsidR="00234E2E" w:rsidRDefault="00234E2E">
      <w:pPr>
        <w:spacing w:line="240" w:lineRule="auto"/>
        <w:rPr>
          <w:sz w:val="24"/>
          <w:szCs w:val="24"/>
        </w:rPr>
      </w:pPr>
    </w:p>
    <w:p w14:paraId="3B0124FC" w14:textId="77777777" w:rsidR="00234E2E" w:rsidRDefault="00000000">
      <w:pPr>
        <w:spacing w:line="240" w:lineRule="auto"/>
        <w:rPr>
          <w:sz w:val="24"/>
          <w:szCs w:val="24"/>
        </w:rPr>
      </w:pPr>
      <w:r>
        <w:rPr>
          <w:sz w:val="24"/>
          <w:szCs w:val="24"/>
        </w:rPr>
        <w:t xml:space="preserve">CAPPELLETTI, Mauro; GARTH, Bryant. Acesso à justiça. Tradução de Ellen Gracie </w:t>
      </w:r>
      <w:proofErr w:type="spellStart"/>
      <w:r>
        <w:rPr>
          <w:sz w:val="24"/>
          <w:szCs w:val="24"/>
        </w:rPr>
        <w:t>Northfleet</w:t>
      </w:r>
      <w:proofErr w:type="spellEnd"/>
      <w:r>
        <w:rPr>
          <w:sz w:val="24"/>
          <w:szCs w:val="24"/>
        </w:rPr>
        <w:t xml:space="preserve">. Porto Alegre: Sergio </w:t>
      </w:r>
      <w:proofErr w:type="spellStart"/>
      <w:r>
        <w:rPr>
          <w:sz w:val="24"/>
          <w:szCs w:val="24"/>
        </w:rPr>
        <w:t>Antonio</w:t>
      </w:r>
      <w:proofErr w:type="spellEnd"/>
      <w:r>
        <w:rPr>
          <w:sz w:val="24"/>
          <w:szCs w:val="24"/>
        </w:rPr>
        <w:t xml:space="preserve"> Fabris Editor, 1998.</w:t>
      </w:r>
    </w:p>
    <w:p w14:paraId="35F4B702" w14:textId="77777777" w:rsidR="00234E2E" w:rsidRDefault="00234E2E">
      <w:pPr>
        <w:spacing w:line="240" w:lineRule="auto"/>
        <w:rPr>
          <w:sz w:val="24"/>
          <w:szCs w:val="24"/>
        </w:rPr>
      </w:pPr>
    </w:p>
    <w:p w14:paraId="081D8AF1" w14:textId="77777777" w:rsidR="00234E2E" w:rsidRDefault="00000000">
      <w:pPr>
        <w:spacing w:line="240" w:lineRule="auto"/>
        <w:rPr>
          <w:sz w:val="24"/>
          <w:szCs w:val="24"/>
        </w:rPr>
      </w:pPr>
      <w:r>
        <w:rPr>
          <w:sz w:val="24"/>
          <w:szCs w:val="24"/>
        </w:rPr>
        <w:t>DINAMARCO, Cândido Rangel. A instrumentalidade do processo. São Paulo: Editora Revista dos Tribunais, 1987, p. XIV.</w:t>
      </w:r>
    </w:p>
    <w:p w14:paraId="7067F067" w14:textId="77777777" w:rsidR="00234E2E" w:rsidRDefault="00234E2E">
      <w:pPr>
        <w:spacing w:line="240" w:lineRule="auto"/>
        <w:rPr>
          <w:sz w:val="24"/>
          <w:szCs w:val="24"/>
        </w:rPr>
      </w:pPr>
    </w:p>
    <w:p w14:paraId="5E7E89BD" w14:textId="77777777" w:rsidR="00234E2E" w:rsidRDefault="00000000">
      <w:pPr>
        <w:spacing w:line="240" w:lineRule="auto"/>
        <w:rPr>
          <w:sz w:val="24"/>
          <w:szCs w:val="24"/>
        </w:rPr>
      </w:pPr>
      <w:r>
        <w:rPr>
          <w:sz w:val="24"/>
          <w:szCs w:val="24"/>
        </w:rPr>
        <w:t xml:space="preserve">DINIZ, Maria Helena. Curso de Direito Civil Brasileiro: Direito de Família. 17. ed. São Paulo: Saraiva, 2002. v. 5. </w:t>
      </w:r>
    </w:p>
    <w:p w14:paraId="37770E46" w14:textId="77777777" w:rsidR="00234E2E" w:rsidRDefault="00234E2E">
      <w:pPr>
        <w:spacing w:line="240" w:lineRule="auto"/>
        <w:rPr>
          <w:sz w:val="24"/>
          <w:szCs w:val="24"/>
        </w:rPr>
      </w:pPr>
    </w:p>
    <w:p w14:paraId="6D6B5B82" w14:textId="77777777" w:rsidR="00234E2E" w:rsidRDefault="00000000">
      <w:pPr>
        <w:spacing w:line="240" w:lineRule="auto"/>
        <w:rPr>
          <w:sz w:val="24"/>
          <w:szCs w:val="24"/>
        </w:rPr>
      </w:pPr>
      <w:r>
        <w:rPr>
          <w:sz w:val="24"/>
          <w:szCs w:val="24"/>
        </w:rPr>
        <w:t>FREITAS, M. E. S.; GONÇALVES, J. R. O acesso à justiça: como as pessoas vulneráveis são prejudicadas no âmbito jurídico. Revista Processus de Políticas Públicas e Desenvolvimento Social, v. 6, n. 12, 2024. Disponível em: https://periodicos.processus.com.br/index.php/ppds/article/view/1235. Acesso em: 06 jul. 2025.</w:t>
      </w:r>
    </w:p>
    <w:p w14:paraId="4AA28063" w14:textId="77777777" w:rsidR="00234E2E" w:rsidRDefault="00234E2E">
      <w:pPr>
        <w:spacing w:line="240" w:lineRule="auto"/>
        <w:rPr>
          <w:sz w:val="24"/>
          <w:szCs w:val="24"/>
        </w:rPr>
      </w:pPr>
    </w:p>
    <w:p w14:paraId="57244109" w14:textId="77777777" w:rsidR="00234E2E" w:rsidRDefault="00000000">
      <w:pPr>
        <w:spacing w:line="240" w:lineRule="auto"/>
        <w:rPr>
          <w:sz w:val="24"/>
          <w:szCs w:val="24"/>
        </w:rPr>
      </w:pPr>
      <w:r>
        <w:rPr>
          <w:sz w:val="24"/>
          <w:szCs w:val="24"/>
        </w:rPr>
        <w:t>MAFFEI DOS SANTOS, G.; SILVA DE FREITAS, T. Interseccionalidade e acesso à justiça: mulheres negras e baixa renda em situação de violência doméstica. Revista Direitos Fundamentais e Alteridade, v. 8, n. 1–2, 2024. Disponível em: https://cadernosdoceas.ucsal.br/index.php/direitosfundamentaisealteridade/article/view/1423. Acesso em: 06 jul. 2025.</w:t>
      </w:r>
    </w:p>
    <w:p w14:paraId="24DFE5C4" w14:textId="77777777" w:rsidR="00234E2E" w:rsidRDefault="00234E2E">
      <w:pPr>
        <w:spacing w:line="240" w:lineRule="auto"/>
        <w:rPr>
          <w:sz w:val="24"/>
          <w:szCs w:val="24"/>
        </w:rPr>
      </w:pPr>
    </w:p>
    <w:p w14:paraId="3C7E4E78" w14:textId="77777777" w:rsidR="00234E2E" w:rsidRDefault="00000000">
      <w:pPr>
        <w:spacing w:line="240" w:lineRule="auto"/>
        <w:rPr>
          <w:sz w:val="24"/>
          <w:szCs w:val="24"/>
        </w:rPr>
      </w:pPr>
      <w:r>
        <w:rPr>
          <w:sz w:val="24"/>
          <w:szCs w:val="24"/>
        </w:rPr>
        <w:t>MANTOVANI, W. P.; SPENGLER, F. M. Mediação comunitária como mecanismo de acesso à justiça. Revista Direitos Humanos e Democracia, v. 12, n. 24, 2024. Disponível em: https://www.revistas.unijui.edu.br/index.php/direitoshumanosedemocracia/article/view/14270. Acesso em: 06 jul. 2025.</w:t>
      </w:r>
    </w:p>
    <w:p w14:paraId="54952942" w14:textId="77777777" w:rsidR="00234E2E" w:rsidRDefault="00234E2E">
      <w:pPr>
        <w:spacing w:line="240" w:lineRule="auto"/>
        <w:rPr>
          <w:sz w:val="24"/>
          <w:szCs w:val="24"/>
        </w:rPr>
      </w:pPr>
    </w:p>
    <w:p w14:paraId="795CB6BE" w14:textId="77777777" w:rsidR="00234E2E" w:rsidRDefault="00000000">
      <w:pPr>
        <w:spacing w:line="240" w:lineRule="auto"/>
        <w:rPr>
          <w:sz w:val="24"/>
          <w:szCs w:val="24"/>
        </w:rPr>
      </w:pPr>
      <w:r>
        <w:rPr>
          <w:sz w:val="24"/>
          <w:szCs w:val="24"/>
        </w:rPr>
        <w:t xml:space="preserve">MARTINS, Daniela Dias </w:t>
      </w:r>
      <w:proofErr w:type="spellStart"/>
      <w:r>
        <w:rPr>
          <w:sz w:val="24"/>
          <w:szCs w:val="24"/>
        </w:rPr>
        <w:t>Graciotto</w:t>
      </w:r>
      <w:proofErr w:type="spellEnd"/>
      <w:r>
        <w:rPr>
          <w:sz w:val="24"/>
          <w:szCs w:val="24"/>
        </w:rPr>
        <w:t xml:space="preserve">. O acesso à justiça frente às crises do direito, da administração da justiça e do juiz. IN Acesso à Justiça: uma perspectiva da democratização da administração da justiça nas dimensões social, política e econômica/Dirceu Siqueira, Flávio </w:t>
      </w:r>
      <w:proofErr w:type="spellStart"/>
      <w:r>
        <w:rPr>
          <w:sz w:val="24"/>
          <w:szCs w:val="24"/>
        </w:rPr>
        <w:t>Luis</w:t>
      </w:r>
      <w:proofErr w:type="spellEnd"/>
      <w:r>
        <w:rPr>
          <w:sz w:val="24"/>
          <w:szCs w:val="24"/>
        </w:rPr>
        <w:t xml:space="preserve"> de Oliveira, organizadores. São Paulo: Boreal Editora, 2012.</w:t>
      </w:r>
    </w:p>
    <w:p w14:paraId="74DB9B32" w14:textId="77777777" w:rsidR="00234E2E" w:rsidRDefault="00234E2E">
      <w:pPr>
        <w:spacing w:line="240" w:lineRule="auto"/>
        <w:rPr>
          <w:sz w:val="24"/>
          <w:szCs w:val="24"/>
        </w:rPr>
      </w:pPr>
    </w:p>
    <w:p w14:paraId="27DDB6E4" w14:textId="77777777" w:rsidR="00234E2E" w:rsidRDefault="00000000">
      <w:pPr>
        <w:spacing w:line="240" w:lineRule="auto"/>
        <w:rPr>
          <w:sz w:val="24"/>
          <w:szCs w:val="24"/>
        </w:rPr>
      </w:pPr>
      <w:r>
        <w:rPr>
          <w:sz w:val="24"/>
          <w:szCs w:val="24"/>
        </w:rPr>
        <w:lastRenderedPageBreak/>
        <w:t xml:space="preserve">MOURA, Renata Helena </w:t>
      </w:r>
      <w:proofErr w:type="spellStart"/>
      <w:r>
        <w:rPr>
          <w:sz w:val="24"/>
          <w:szCs w:val="24"/>
        </w:rPr>
        <w:t>Paganoto</w:t>
      </w:r>
      <w:proofErr w:type="spellEnd"/>
      <w:r>
        <w:rPr>
          <w:sz w:val="24"/>
          <w:szCs w:val="24"/>
        </w:rPr>
        <w:t xml:space="preserve"> et al. A (in)aplicabilidade da mediação em litígios familiares que envolvam mulheres em situação de violência doméstica. Revista Eletrônica de Direito Processual – REDP, Rio de Janeiro, v. 23, n. 1, p. 1266–1295, jan./abr. 2022. Disponível em: http://www.redp.uerj.br. Acesso em: 06 jul. 2025.</w:t>
      </w:r>
    </w:p>
    <w:p w14:paraId="7FBE07B0" w14:textId="77777777" w:rsidR="00234E2E" w:rsidRDefault="00234E2E">
      <w:pPr>
        <w:spacing w:line="240" w:lineRule="auto"/>
        <w:rPr>
          <w:sz w:val="24"/>
          <w:szCs w:val="24"/>
        </w:rPr>
      </w:pPr>
    </w:p>
    <w:p w14:paraId="3839FA5A" w14:textId="77777777" w:rsidR="00234E2E" w:rsidRDefault="00000000">
      <w:pPr>
        <w:spacing w:line="240" w:lineRule="auto"/>
        <w:rPr>
          <w:sz w:val="24"/>
          <w:szCs w:val="24"/>
        </w:rPr>
      </w:pPr>
      <w:r>
        <w:rPr>
          <w:sz w:val="24"/>
          <w:szCs w:val="24"/>
        </w:rPr>
        <w:t>PEARCE, Diane. A feminização da pobreza: mulheres, trabalho e bem-estar. Revisão da Mudança Urbana e Social, 1978.</w:t>
      </w:r>
    </w:p>
    <w:p w14:paraId="23461BA6" w14:textId="77777777" w:rsidR="00234E2E" w:rsidRDefault="00000000">
      <w:pPr>
        <w:spacing w:line="240" w:lineRule="auto"/>
        <w:rPr>
          <w:rFonts w:ascii="Calibri" w:eastAsia="Calibri" w:hAnsi="Calibri" w:cs="Calibri"/>
          <w:sz w:val="24"/>
          <w:szCs w:val="24"/>
        </w:rPr>
      </w:pPr>
      <w:r>
        <w:rPr>
          <w:sz w:val="24"/>
          <w:szCs w:val="24"/>
        </w:rPr>
        <w:t>SILVA, S. M. da. Empoderamento jurídico das mulheres: para fortalecer o acesso à justiça e ampliar a cidadania feminina. Interfaces Científicas – Direito, v. 7, n. 3, p. 174–197, 2019. Disponível em:         https://periodicos.set.edu.br/direito/article/view/7675. Acesso em: 06 jul. 2025.</w:t>
      </w:r>
    </w:p>
    <w:sectPr w:rsidR="00234E2E">
      <w:headerReference w:type="default" r:id="rId6"/>
      <w:footerReference w:type="default" r:id="rId7"/>
      <w:headerReference w:type="first" r:id="rId8"/>
      <w:footerReference w:type="first" r:id="rId9"/>
      <w:pgSz w:w="11909" w:h="16834"/>
      <w:pgMar w:top="1701" w:right="1134" w:bottom="1134" w:left="1701" w:header="2777"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9B530" w14:textId="77777777" w:rsidR="002360D3" w:rsidRDefault="002360D3">
      <w:pPr>
        <w:spacing w:line="240" w:lineRule="auto"/>
      </w:pPr>
      <w:r>
        <w:separator/>
      </w:r>
    </w:p>
  </w:endnote>
  <w:endnote w:type="continuationSeparator" w:id="0">
    <w:p w14:paraId="3E327FD2" w14:textId="77777777" w:rsidR="002360D3" w:rsidRDefault="002360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0710" w14:textId="77777777" w:rsidR="00234E2E" w:rsidRDefault="00234E2E">
    <w:pPr>
      <w:spacing w:line="240" w:lineRule="auto"/>
      <w:jc w:val="both"/>
      <w:rPr>
        <w:sz w:val="20"/>
        <w:szCs w:val="20"/>
      </w:rPr>
    </w:pPr>
  </w:p>
  <w:p w14:paraId="6CD2B478" w14:textId="77777777" w:rsidR="00234E2E" w:rsidRDefault="00234E2E"/>
  <w:p w14:paraId="6A62609E" w14:textId="77777777" w:rsidR="00234E2E" w:rsidRDefault="00234E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179B5" w14:textId="77777777" w:rsidR="00234E2E" w:rsidRDefault="00000000">
    <w:pPr>
      <w:widowControl w:val="0"/>
      <w:spacing w:line="240" w:lineRule="auto"/>
      <w:jc w:val="both"/>
      <w:rPr>
        <w:sz w:val="20"/>
        <w:szCs w:val="20"/>
      </w:rPr>
    </w:pPr>
    <w:r>
      <w:rPr>
        <w:sz w:val="20"/>
        <w:szCs w:val="20"/>
        <w:vertAlign w:val="superscript"/>
      </w:rPr>
      <w:t>1</w:t>
    </w:r>
    <w:r>
      <w:rPr>
        <w:sz w:val="20"/>
        <w:szCs w:val="20"/>
      </w:rPr>
      <w:t>Acadêmica do curso de Direito da Universidade Federal do Maranhão - CCIM, anajuliacavalcantev@gmail.com</w:t>
    </w:r>
  </w:p>
  <w:p w14:paraId="2B170393" w14:textId="77777777" w:rsidR="00234E2E" w:rsidRDefault="00000000">
    <w:pPr>
      <w:widowControl w:val="0"/>
      <w:spacing w:line="240" w:lineRule="auto"/>
      <w:jc w:val="both"/>
      <w:rPr>
        <w:sz w:val="20"/>
        <w:szCs w:val="20"/>
      </w:rPr>
    </w:pPr>
    <w:r>
      <w:rPr>
        <w:sz w:val="20"/>
        <w:szCs w:val="20"/>
        <w:vertAlign w:val="superscript"/>
      </w:rPr>
      <w:t>2</w:t>
    </w:r>
    <w:r>
      <w:rPr>
        <w:sz w:val="20"/>
        <w:szCs w:val="20"/>
      </w:rPr>
      <w:t>Acadêmica do curso de Direito da Universidade Federal do Maranhão - CCIM, eliza.heringer@discente.ufma.com.br</w:t>
    </w:r>
  </w:p>
  <w:p w14:paraId="2CF0EAAE" w14:textId="77777777" w:rsidR="00234E2E" w:rsidRDefault="00000000">
    <w:pPr>
      <w:widowControl w:val="0"/>
      <w:spacing w:line="240" w:lineRule="auto"/>
      <w:jc w:val="both"/>
      <w:rPr>
        <w:sz w:val="20"/>
        <w:szCs w:val="20"/>
      </w:rPr>
    </w:pPr>
    <w:r>
      <w:rPr>
        <w:sz w:val="20"/>
        <w:szCs w:val="20"/>
        <w:vertAlign w:val="superscript"/>
      </w:rPr>
      <w:t>3</w:t>
    </w:r>
    <w:r>
      <w:rPr>
        <w:sz w:val="20"/>
        <w:szCs w:val="20"/>
      </w:rPr>
      <w:t xml:space="preserve">Acadêmica do curso de Direito da Universidade Federal do Maranhão - CCIM, gf.almeida05@gmail.com </w:t>
    </w:r>
  </w:p>
  <w:p w14:paraId="3167EB9B" w14:textId="77777777" w:rsidR="00234E2E" w:rsidRDefault="00000000">
    <w:pPr>
      <w:widowControl w:val="0"/>
      <w:spacing w:line="240" w:lineRule="auto"/>
      <w:jc w:val="both"/>
      <w:rPr>
        <w:sz w:val="20"/>
        <w:szCs w:val="20"/>
      </w:rPr>
    </w:pPr>
    <w:r>
      <w:rPr>
        <w:sz w:val="20"/>
        <w:szCs w:val="20"/>
        <w:vertAlign w:val="superscript"/>
      </w:rPr>
      <w:t>4</w:t>
    </w:r>
    <w:r>
      <w:rPr>
        <w:sz w:val="20"/>
        <w:szCs w:val="20"/>
      </w:rPr>
      <w:t>Acadêmica do curso de Direito da Universidade Federal do Maranhão - CCIM,</w:t>
    </w:r>
  </w:p>
  <w:p w14:paraId="7AC65D57" w14:textId="77777777" w:rsidR="00234E2E" w:rsidRDefault="00000000">
    <w:pPr>
      <w:widowControl w:val="0"/>
      <w:spacing w:line="240" w:lineRule="auto"/>
      <w:jc w:val="both"/>
      <w:rPr>
        <w:sz w:val="20"/>
        <w:szCs w:val="20"/>
      </w:rPr>
    </w:pPr>
    <w:r>
      <w:rPr>
        <w:sz w:val="20"/>
        <w:szCs w:val="20"/>
      </w:rPr>
      <w:t xml:space="preserve">borges.isadora@discente.ufma.br  </w:t>
    </w:r>
  </w:p>
  <w:p w14:paraId="0BF7A59B" w14:textId="552F7588" w:rsidR="00234E2E" w:rsidRDefault="00000000">
    <w:pPr>
      <w:widowControl w:val="0"/>
      <w:spacing w:line="240" w:lineRule="auto"/>
      <w:jc w:val="both"/>
      <w:rPr>
        <w:sz w:val="20"/>
        <w:szCs w:val="20"/>
      </w:rPr>
    </w:pPr>
    <w:r>
      <w:rPr>
        <w:sz w:val="20"/>
        <w:szCs w:val="20"/>
        <w:vertAlign w:val="superscript"/>
      </w:rPr>
      <w:t>5</w:t>
    </w:r>
    <w:r>
      <w:rPr>
        <w:sz w:val="20"/>
        <w:szCs w:val="20"/>
      </w:rPr>
      <w:t>Acadêmico do curso de Direito da Universidade Federal do Maranhão - CCIM, mrgf.junior@discente.ufma.br</w:t>
    </w:r>
  </w:p>
  <w:p w14:paraId="3698E035" w14:textId="77777777" w:rsidR="00234E2E" w:rsidRDefault="00234E2E">
    <w:pPr>
      <w:spacing w:line="240" w:lineRule="auto"/>
      <w:jc w:val="both"/>
      <w:rPr>
        <w:sz w:val="20"/>
        <w:szCs w:val="20"/>
      </w:rPr>
    </w:pPr>
  </w:p>
  <w:p w14:paraId="21DE343D" w14:textId="77777777" w:rsidR="00234E2E" w:rsidRDefault="00234E2E">
    <w:pPr>
      <w:spacing w:line="240" w:lineRule="auto"/>
      <w:jc w:val="both"/>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2A5A9" w14:textId="77777777" w:rsidR="002360D3" w:rsidRDefault="002360D3">
      <w:pPr>
        <w:spacing w:line="240" w:lineRule="auto"/>
      </w:pPr>
      <w:r>
        <w:separator/>
      </w:r>
    </w:p>
  </w:footnote>
  <w:footnote w:type="continuationSeparator" w:id="0">
    <w:p w14:paraId="0DB61E23" w14:textId="77777777" w:rsidR="002360D3" w:rsidRDefault="002360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7EB2" w14:textId="77777777" w:rsidR="00234E2E" w:rsidRDefault="00000000">
    <w:r>
      <w:rPr>
        <w:noProof/>
      </w:rPr>
      <w:drawing>
        <wp:anchor distT="0" distB="0" distL="0" distR="0" simplePos="0" relativeHeight="251658240" behindDoc="1" locked="0" layoutInCell="1" hidden="0" allowOverlap="1" wp14:anchorId="48550BCE" wp14:editId="01B2C850">
          <wp:simplePos x="0" y="0"/>
          <wp:positionH relativeFrom="page">
            <wp:posOffset>0</wp:posOffset>
          </wp:positionH>
          <wp:positionV relativeFrom="page">
            <wp:posOffset>6985</wp:posOffset>
          </wp:positionV>
          <wp:extent cx="7562850" cy="1080600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2850" cy="1080600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AC96" w14:textId="77777777" w:rsidR="00234E2E" w:rsidRDefault="00000000">
    <w:pPr>
      <w:rPr>
        <w:vertAlign w:val="superscript"/>
      </w:rPr>
    </w:pPr>
    <w:r>
      <w:rPr>
        <w:noProof/>
        <w:vertAlign w:val="superscript"/>
      </w:rPr>
      <w:drawing>
        <wp:anchor distT="0" distB="0" distL="0" distR="0" simplePos="0" relativeHeight="251659264" behindDoc="1" locked="0" layoutInCell="1" hidden="0" allowOverlap="1" wp14:anchorId="42BB5CCF" wp14:editId="2620D8F2">
          <wp:simplePos x="0" y="0"/>
          <wp:positionH relativeFrom="margin">
            <wp:posOffset>-1083310</wp:posOffset>
          </wp:positionH>
          <wp:positionV relativeFrom="margin">
            <wp:posOffset>-2001520</wp:posOffset>
          </wp:positionV>
          <wp:extent cx="7562850" cy="10953487"/>
          <wp:effectExtent l="0" t="0" r="0" b="635"/>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095348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E2E"/>
    <w:rsid w:val="001B06C2"/>
    <w:rsid w:val="00234E2E"/>
    <w:rsid w:val="002360D3"/>
    <w:rsid w:val="00665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01A27"/>
  <w15:docId w15:val="{D1AC2D31-F978-4729-95AF-9725D591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665C02"/>
    <w:pPr>
      <w:tabs>
        <w:tab w:val="center" w:pos="4252"/>
        <w:tab w:val="right" w:pos="8504"/>
      </w:tabs>
      <w:spacing w:line="240" w:lineRule="auto"/>
    </w:pPr>
  </w:style>
  <w:style w:type="character" w:customStyle="1" w:styleId="CabealhoChar">
    <w:name w:val="Cabeçalho Char"/>
    <w:basedOn w:val="Fontepargpadro"/>
    <w:link w:val="Cabealho"/>
    <w:uiPriority w:val="99"/>
    <w:rsid w:val="00665C02"/>
  </w:style>
  <w:style w:type="paragraph" w:styleId="Rodap">
    <w:name w:val="footer"/>
    <w:basedOn w:val="Normal"/>
    <w:link w:val="RodapChar"/>
    <w:uiPriority w:val="99"/>
    <w:unhideWhenUsed/>
    <w:rsid w:val="00665C02"/>
    <w:pPr>
      <w:tabs>
        <w:tab w:val="center" w:pos="4252"/>
        <w:tab w:val="right" w:pos="8504"/>
      </w:tabs>
      <w:spacing w:line="240" w:lineRule="auto"/>
    </w:pPr>
  </w:style>
  <w:style w:type="character" w:customStyle="1" w:styleId="RodapChar">
    <w:name w:val="Rodapé Char"/>
    <w:basedOn w:val="Fontepargpadro"/>
    <w:link w:val="Rodap"/>
    <w:uiPriority w:val="99"/>
    <w:rsid w:val="00665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3227</Words>
  <Characters>17430</Characters>
  <Application>Microsoft Office Word</Application>
  <DocSecurity>0</DocSecurity>
  <Lines>145</Lines>
  <Paragraphs>41</Paragraphs>
  <ScaleCrop>false</ScaleCrop>
  <Company/>
  <LinksUpToDate>false</LinksUpToDate>
  <CharactersWithSpaces>20616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Giovana Fonseca Almeida</cp:lastModifiedBy>
  <cp:revision>2</cp:revision>
  <dcterms:created xsi:type="dcterms:W3CDTF">2025-07-07T02:17:00Z</dcterms:created>
  <dcterms:modified xsi:type="dcterms:W3CDTF">2025-07-07T02:18:00Z</dcterms:modified>
</cp:coreProperties>
</file>