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CRISE DA DITADURA EMPRESARIAL-MILITAR NO BRASIL: a teoria marxista da dependência em debate. </w:t>
      </w:r>
      <w:r w:rsidDel="00000000" w:rsidR="00000000" w:rsidRPr="00000000">
        <w:rPr>
          <w:rtl w:val="0"/>
        </w:rPr>
      </w:r>
    </w:p>
    <w:p w:rsidR="00000000" w:rsidDel="00000000" w:rsidP="00000000" w:rsidRDefault="00000000" w:rsidRPr="00000000" w14:paraId="00000002">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3">
      <w:pPr>
        <w:spacing w:line="240" w:lineRule="auto"/>
        <w:jc w:val="right"/>
        <w:rPr>
          <w:sz w:val="20"/>
          <w:szCs w:val="20"/>
          <w:vertAlign w:val="baseline"/>
        </w:rPr>
      </w:pPr>
      <w:r w:rsidDel="00000000" w:rsidR="00000000" w:rsidRPr="00000000">
        <w:rPr>
          <w:sz w:val="20"/>
          <w:szCs w:val="20"/>
          <w:rtl w:val="0"/>
        </w:rPr>
        <w:t xml:space="preserve">Erick José Gonçalves dos Santos Silva. </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Esse estudo objetiva reconstruir historicamente a crise de hegemonia da ditadura empresarial-militar com o aporte teórico de intelectuais orgânicos da época. Compreendendo a importância desse contexto histórico para a reorganização do Estado brasileiro em 1988, assim como um cenário de concessões à classe trabalhadora, buscamos um arcabouço teórico-metodológico que polemiza ao revelar o véu burguês e militar das “conquistas” obtidas nessa transição. Dessa forma, a partir da teoria marxista da dependência resgatamos a disputa que ocorreu dentro da sociedade organizada para direcionar a “abertura”, constatando uma organização e avanço burguês em manter seus privilégios mesmo numa nova sociabilidade.</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Capitalismo dependente; Ditadura empresarial-militar; sociedade civil. </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This study aims to historically reconstruct the crisis of hegemony experienced during Brazil’s business-military dictatorship, incorporating theoretical insights from the organic intellectuals of that era. Recognizing the historical significance of this period—particularly its role in enabling the reorganization of the Brazilian state in 1988 and the ostensible concessions made to the working class—the study develops a theoretical-methodological framework that critically exposes the bourgeois and military façade underlying the so-called “achievements” of the transition. Using Marxist dependency theory, the analysis delves into the internal societal struggle to guide the opening (abertura), uncovering how the bourgeoisie strategically mobilized to preserve its privileges even within a newly formed social order. </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dependent capitalism; business-military dictatorship; civil society.</w:t>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ind w:firstLine="850"/>
        <w:jc w:val="both"/>
        <w:rPr>
          <w:sz w:val="24"/>
          <w:szCs w:val="24"/>
        </w:rPr>
      </w:pPr>
      <w:r w:rsidDel="00000000" w:rsidR="00000000" w:rsidRPr="00000000">
        <w:rPr>
          <w:sz w:val="24"/>
          <w:szCs w:val="24"/>
          <w:rtl w:val="0"/>
        </w:rPr>
        <w:t xml:space="preserve">O contexto da década de 1970 representou uma alta movimentação na sociedade organizada brasileira. Com a alta da inflação e do desemprego, o esgotamento do “milagre econômico” deixou a ditadura empresarial-militar numa encruzilhada ao comprometer o principal instrumento de hegemonia numa forma de Estado baseada na repressão política. </w:t>
      </w:r>
    </w:p>
    <w:p w:rsidR="00000000" w:rsidDel="00000000" w:rsidP="00000000" w:rsidRDefault="00000000" w:rsidRPr="00000000" w14:paraId="00000012">
      <w:pPr>
        <w:spacing w:line="360" w:lineRule="auto"/>
        <w:ind w:firstLine="850"/>
        <w:jc w:val="both"/>
        <w:rPr>
          <w:sz w:val="24"/>
          <w:szCs w:val="24"/>
        </w:rPr>
      </w:pPr>
      <w:r w:rsidDel="00000000" w:rsidR="00000000" w:rsidRPr="00000000">
        <w:rPr>
          <w:sz w:val="24"/>
          <w:szCs w:val="24"/>
          <w:rtl w:val="0"/>
        </w:rPr>
        <w:t xml:space="preserve">Observamos com esse processo a construção de uma paulatina agenda conciliatória capitaneada pela burguesia e tutelada pelos militares que, ao ser desenvolvida nos ditames institucionais, significou uma forma da burguesia manter seu padrão de dominação enquanto reprimia e cooptava o avanço da esquerda em nosso país.</w:t>
      </w:r>
    </w:p>
    <w:p w:rsidR="00000000" w:rsidDel="00000000" w:rsidP="00000000" w:rsidRDefault="00000000" w:rsidRPr="00000000" w14:paraId="00000013">
      <w:pPr>
        <w:spacing w:line="360" w:lineRule="auto"/>
        <w:ind w:firstLine="850"/>
        <w:jc w:val="both"/>
        <w:rPr>
          <w:sz w:val="24"/>
          <w:szCs w:val="24"/>
        </w:rPr>
      </w:pPr>
      <w:r w:rsidDel="00000000" w:rsidR="00000000" w:rsidRPr="00000000">
        <w:rPr>
          <w:sz w:val="24"/>
          <w:szCs w:val="24"/>
          <w:rtl w:val="0"/>
        </w:rPr>
        <w:t xml:space="preserve">Dessa forma, a “abertura” da ditadura para a Nova República no Brasil permitiu que diversas conquistas históricas da classe trabalhadora fossem tomadas à força por grande movimentação popular. A nova Constituição Federal permitiu a construção do Sistema Único de Saúde (SUS), avançou na reforma agrária, estruturou a noção de seguridade social, direcionou a política de assistência social no Brasil e etc. Esse período é alvo de grande celebração dentro do Serviço Social, por representar um levante da classe trabalhadora e resultar num conjunto de diretrizes para as políticas sociais que rompem com a perspectiva assistencialista e constroem princípios como a universalidade e descentralização. </w:t>
      </w:r>
    </w:p>
    <w:p w:rsidR="00000000" w:rsidDel="00000000" w:rsidP="00000000" w:rsidRDefault="00000000" w:rsidRPr="00000000" w14:paraId="00000014">
      <w:pPr>
        <w:spacing w:line="360" w:lineRule="auto"/>
        <w:ind w:firstLine="850"/>
        <w:jc w:val="both"/>
        <w:rPr>
          <w:sz w:val="24"/>
          <w:szCs w:val="24"/>
        </w:rPr>
      </w:pPr>
      <w:r w:rsidDel="00000000" w:rsidR="00000000" w:rsidRPr="00000000">
        <w:rPr>
          <w:sz w:val="24"/>
          <w:szCs w:val="24"/>
          <w:rtl w:val="0"/>
        </w:rPr>
        <w:t xml:space="preserve">Ainda assim, a propriedade privada burguesa manteve-se intocada, a Anistia se ampliou aos militares, as </w:t>
      </w:r>
      <w:r w:rsidDel="00000000" w:rsidR="00000000" w:rsidRPr="00000000">
        <w:rPr>
          <w:i w:val="1"/>
          <w:sz w:val="24"/>
          <w:szCs w:val="24"/>
          <w:rtl w:val="0"/>
        </w:rPr>
        <w:t xml:space="preserve">Diretas-já</w:t>
      </w:r>
      <w:r w:rsidDel="00000000" w:rsidR="00000000" w:rsidRPr="00000000">
        <w:rPr>
          <w:sz w:val="24"/>
          <w:szCs w:val="24"/>
          <w:rtl w:val="0"/>
        </w:rPr>
        <w:t xml:space="preserve"> não lograram sucesso e a burguesia garantiu que seus interesses fossem mantidos mesmo num contexto de alta radicalização na sociedade brasileira. </w:t>
      </w:r>
    </w:p>
    <w:p w:rsidR="00000000" w:rsidDel="00000000" w:rsidP="00000000" w:rsidRDefault="00000000" w:rsidRPr="00000000" w14:paraId="00000015">
      <w:pPr>
        <w:spacing w:line="360" w:lineRule="auto"/>
        <w:ind w:firstLine="850"/>
        <w:jc w:val="both"/>
        <w:rPr>
          <w:sz w:val="24"/>
          <w:szCs w:val="24"/>
        </w:rPr>
      </w:pPr>
      <w:r w:rsidDel="00000000" w:rsidR="00000000" w:rsidRPr="00000000">
        <w:rPr>
          <w:sz w:val="24"/>
          <w:szCs w:val="24"/>
          <w:rtl w:val="0"/>
        </w:rPr>
        <w:t xml:space="preserve">Esse trabalho tem como objetivo uma reconstrução histórica da crise de hegemonia da ditadura empresarial-militar tendo o aporte teórico de intelectuais orgânicos da época, buscando sintetizar, a partir da Teoria Marxista da Dependência (TMD), a disputa que ocorreu dentro da sociedade organizada para direcionar a “abertura”. </w:t>
      </w:r>
    </w:p>
    <w:p w:rsidR="00000000" w:rsidDel="00000000" w:rsidP="00000000" w:rsidRDefault="00000000" w:rsidRPr="00000000" w14:paraId="00000016">
      <w:pPr>
        <w:spacing w:line="360" w:lineRule="auto"/>
        <w:ind w:firstLine="850"/>
        <w:jc w:val="both"/>
        <w:rPr>
          <w:sz w:val="24"/>
          <w:szCs w:val="24"/>
        </w:rPr>
      </w:pPr>
      <w:r w:rsidDel="00000000" w:rsidR="00000000" w:rsidRPr="00000000">
        <w:rPr>
          <w:sz w:val="24"/>
          <w:szCs w:val="24"/>
          <w:rtl w:val="0"/>
        </w:rPr>
        <w:t xml:space="preserve">Na primeira seção, buscamos uma reconstrução das teses desses autores em volta da crise da ditadura, analisando da descompressão controlada à vitória da Aliança Democrática no Colégio Eleitoral, investigando os fatores econômicos, sociais e políticos que possibilitaram o fim da ditadura empresarial-militar no Brasil na interpretação dos autores da Teoria Marxista da Dependência.</w:t>
      </w:r>
    </w:p>
    <w:p w:rsidR="00000000" w:rsidDel="00000000" w:rsidP="00000000" w:rsidRDefault="00000000" w:rsidRPr="00000000" w14:paraId="00000017">
      <w:pPr>
        <w:spacing w:line="360" w:lineRule="auto"/>
        <w:ind w:firstLine="850"/>
        <w:jc w:val="both"/>
        <w:rPr>
          <w:sz w:val="24"/>
          <w:szCs w:val="24"/>
        </w:rPr>
      </w:pPr>
      <w:r w:rsidDel="00000000" w:rsidR="00000000" w:rsidRPr="00000000">
        <w:rPr>
          <w:sz w:val="24"/>
          <w:szCs w:val="24"/>
          <w:rtl w:val="0"/>
        </w:rPr>
        <w:t xml:space="preserve">Na segunda seção, prosseguimos com os autores para uma análise em volta da Assembleia Nacional Constituinte, numa visão que atesta uma organização e avanço do bloco dominante em dirigir a mesma a seus interesses. Centraremos nossa análise na conjuntura da década de 1980 que possibilitou a formação da Assembleia Nacional Constituinte, centro da produção da TMD do período.  </w:t>
      </w:r>
    </w:p>
    <w:p w:rsidR="00000000" w:rsidDel="00000000" w:rsidP="00000000" w:rsidRDefault="00000000" w:rsidRPr="00000000" w14:paraId="00000018">
      <w:pPr>
        <w:spacing w:line="360" w:lineRule="auto"/>
        <w:jc w:val="both"/>
        <w:rPr>
          <w:sz w:val="24"/>
          <w:szCs w:val="24"/>
        </w:rPr>
      </w:pPr>
      <w:r w:rsidDel="00000000" w:rsidR="00000000" w:rsidRPr="00000000">
        <w:rPr>
          <w:rtl w:val="0"/>
        </w:rPr>
      </w:r>
    </w:p>
    <w:p w:rsidR="00000000" w:rsidDel="00000000" w:rsidP="00000000" w:rsidRDefault="00000000" w:rsidRPr="00000000" w14:paraId="00000019">
      <w:pPr>
        <w:spacing w:line="360" w:lineRule="auto"/>
        <w:ind w:left="0" w:firstLine="0"/>
        <w:jc w:val="both"/>
        <w:rPr>
          <w:b w:val="1"/>
          <w:sz w:val="24"/>
          <w:szCs w:val="24"/>
        </w:rPr>
      </w:pPr>
      <w:r w:rsidDel="00000000" w:rsidR="00000000" w:rsidRPr="00000000">
        <w:rPr>
          <w:b w:val="1"/>
          <w:sz w:val="24"/>
          <w:szCs w:val="24"/>
          <w:rtl w:val="0"/>
        </w:rPr>
        <w:t xml:space="preserve">2 A TRANSIÇÃO PARA A NOVA REPÚBLICA: A DITADURA NA ENCRUZILHADA.</w:t>
      </w:r>
    </w:p>
    <w:p w:rsidR="00000000" w:rsidDel="00000000" w:rsidP="00000000" w:rsidRDefault="00000000" w:rsidRPr="00000000" w14:paraId="0000001A">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1B">
      <w:pPr>
        <w:spacing w:line="360" w:lineRule="auto"/>
        <w:ind w:firstLine="850"/>
        <w:jc w:val="both"/>
        <w:rPr>
          <w:sz w:val="24"/>
          <w:szCs w:val="24"/>
        </w:rPr>
      </w:pPr>
      <w:r w:rsidDel="00000000" w:rsidR="00000000" w:rsidRPr="00000000">
        <w:rPr>
          <w:sz w:val="24"/>
          <w:szCs w:val="24"/>
          <w:rtl w:val="0"/>
        </w:rPr>
        <w:t xml:space="preserve">É dentro desse contexto de uma reorganização ideológica a partir de uma nova conjuntura no capitalismo global que Ruy Mauro Marini ([1985] 2022 e [1978] 2018) atesta uma intenção dentro do Estado tecnocrático-militar brasileiro de construir o momento de institucionalização da democracia liberal. Observando as tensões entre a burguesia industrial de bens de consumo e a burguesia industrial de bens de capital, o autor afirma que se fazia necessário uma flexibilização do aparato coercitivo do Estado e um fortalecimento do parlamento para que os debates em torno de uma mudança no padrão de reprodução do capital fossem possíveis. Ainda assim, era necessário para o bloco burguês uma ação constante desse aparato violento contra a crescente organização da classe trabalhadora nos movimentos sociais de massa, preservando a supremacia dos interesses burgueses dentro da gestão econômica do Estado. </w:t>
      </w:r>
    </w:p>
    <w:p w:rsidR="00000000" w:rsidDel="00000000" w:rsidP="00000000" w:rsidRDefault="00000000" w:rsidRPr="00000000" w14:paraId="0000001C">
      <w:pPr>
        <w:spacing w:line="360" w:lineRule="auto"/>
        <w:ind w:firstLine="850"/>
        <w:jc w:val="both"/>
        <w:rPr>
          <w:sz w:val="24"/>
          <w:szCs w:val="24"/>
        </w:rPr>
      </w:pPr>
      <w:r w:rsidDel="00000000" w:rsidR="00000000" w:rsidRPr="00000000">
        <w:rPr>
          <w:sz w:val="24"/>
          <w:szCs w:val="24"/>
          <w:rtl w:val="0"/>
        </w:rPr>
        <w:t xml:space="preserve">A partir desse momento, seguindo a orientação estadunidense de democracia viável (ou governável), os militares partem para uma formulação ideológica de uma abertura que ao mesmo tempo que submete os Poderes da República sob seu controle, também estabelece uma relação de submissão com a burguesia monopolista, garantindo o seu controle na gestão da economia. Em outras palavras, a preservação da essência da ditadura empresarial-militar, com os militares agindo numa espécie de quarto poder (em referência ao período monarquista brasileiro), onde os mesmos teriam liberdade para intervenção direta no exercício do poder, utilizando de aparelhos institucionais destacando o Conselho de Segurança Nacional. </w:t>
      </w:r>
    </w:p>
    <w:p w:rsidR="00000000" w:rsidDel="00000000" w:rsidP="00000000" w:rsidRDefault="00000000" w:rsidRPr="00000000" w14:paraId="0000001D">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1E">
      <w:pPr>
        <w:spacing w:line="240" w:lineRule="auto"/>
        <w:ind w:left="2267" w:firstLine="0"/>
        <w:jc w:val="both"/>
        <w:rPr>
          <w:sz w:val="20"/>
          <w:szCs w:val="20"/>
        </w:rPr>
      </w:pPr>
      <w:r w:rsidDel="00000000" w:rsidR="00000000" w:rsidRPr="00000000">
        <w:rPr>
          <w:sz w:val="20"/>
          <w:szCs w:val="20"/>
          <w:rtl w:val="0"/>
        </w:rPr>
        <w:t xml:space="preserve">Trata-se, pois, agora, de levar a cabo uma “abertura” política que preserve o essencial do Estado de contrainsurgência. Em que consiste isto? Na institucionalização da participação direta do grande capital na gestão econômica e na subordinação dos poderes do Estado às Forças Armadas, através dos órgãos estatais que foram criados, em particular o Conselho de Segurança Nacional (Marini, [1978] 2018], p.13).</w:t>
      </w:r>
    </w:p>
    <w:p w:rsidR="00000000" w:rsidDel="00000000" w:rsidP="00000000" w:rsidRDefault="00000000" w:rsidRPr="00000000" w14:paraId="0000001F">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20">
      <w:pPr>
        <w:spacing w:line="360" w:lineRule="auto"/>
        <w:ind w:firstLine="850"/>
        <w:jc w:val="both"/>
        <w:rPr>
          <w:sz w:val="24"/>
          <w:szCs w:val="24"/>
        </w:rPr>
      </w:pPr>
      <w:r w:rsidDel="00000000" w:rsidR="00000000" w:rsidRPr="00000000">
        <w:rPr>
          <w:sz w:val="24"/>
          <w:szCs w:val="24"/>
          <w:rtl w:val="0"/>
        </w:rPr>
        <w:t xml:space="preserve">É inserido nesse contexto de crise econômica e política que Ernesto Geisel chega ao poder em 1974. Após dois governos da chamada “linha dura” dos militares (Costa e Silva e Médici) , o general e seu ministro da casa civil Golbery do Couto e Silva iniciam sua administração tendo como objetivo a construção das bases para a abertura. Dessa forma, o projeto de descompressão controlada se dá num duplo movimento contraditório de início de uma abertura e aprofundamento da ditadura, chamado por Bambirra (1985) de projeto liberal-conservador. Marini (1991) constata que esse mandato frente a ditadura representou a rearticulação do grupo de poder dominante frente à organização dos movimentos sociais.</w:t>
      </w:r>
    </w:p>
    <w:p w:rsidR="00000000" w:rsidDel="00000000" w:rsidP="00000000" w:rsidRDefault="00000000" w:rsidRPr="00000000" w14:paraId="00000021">
      <w:pPr>
        <w:spacing w:line="360" w:lineRule="auto"/>
        <w:ind w:firstLine="850"/>
        <w:jc w:val="both"/>
        <w:rPr>
          <w:sz w:val="24"/>
          <w:szCs w:val="24"/>
        </w:rPr>
      </w:pPr>
      <w:r w:rsidDel="00000000" w:rsidR="00000000" w:rsidRPr="00000000">
        <w:rPr>
          <w:sz w:val="24"/>
          <w:szCs w:val="24"/>
          <w:rtl w:val="0"/>
        </w:rPr>
        <w:t xml:space="preserve">Assim, o que podemos assinalar como principal avanço do governo Geisel é o desmonte do aparato coercitivo do regime, tendo como principal medida o fim do Ato Institucional nº5 (AI-5). Para além disso, o governo foi capaz de fortalecer o legislativo e judiciário em detrimento do poder executivo, com uma reforma em 1977 estabelecendo para o judiciário a função de salvaguardas das “ameaças” contra a “ordem”.</w:t>
      </w:r>
    </w:p>
    <w:p w:rsidR="00000000" w:rsidDel="00000000" w:rsidP="00000000" w:rsidRDefault="00000000" w:rsidRPr="00000000" w14:paraId="00000022">
      <w:pPr>
        <w:spacing w:line="360" w:lineRule="auto"/>
        <w:ind w:firstLine="850"/>
        <w:jc w:val="both"/>
        <w:rPr>
          <w:sz w:val="24"/>
          <w:szCs w:val="24"/>
        </w:rPr>
      </w:pPr>
      <w:r w:rsidDel="00000000" w:rsidR="00000000" w:rsidRPr="00000000">
        <w:rPr>
          <w:sz w:val="24"/>
          <w:szCs w:val="24"/>
          <w:rtl w:val="0"/>
        </w:rPr>
        <w:t xml:space="preserve">Mesmo com um mandato marcado por uma direção para abertura política, o governo manteve a postura autoritária. Antes de dar fim ao AI-5, Geisel editou um conjunto de medidas antecipando a possível derrota com as eleições de 1978. Com o pacote de abril o general ordenou o fechamento do Congresso e criou um conjunto de casuísmos que permitiriam amenizar os danos eleitorais, como a suspensão de eleições diretas para os governos dos estados, o aumento de vagas para a Câmara nos Estados com menor população (o que favorecia a ARENA) e o aumento do mandato do próximo presidente para seis anos, mantendo o controle militar da abertura. O pacote ainda foi responsável por garantir a maioria no Colégio Eleitoral para a eleição de 85, através dos senadores biônicos.</w:t>
      </w:r>
    </w:p>
    <w:p w:rsidR="00000000" w:rsidDel="00000000" w:rsidP="00000000" w:rsidRDefault="00000000" w:rsidRPr="00000000" w14:paraId="00000023">
      <w:pPr>
        <w:spacing w:line="360" w:lineRule="auto"/>
        <w:ind w:firstLine="850"/>
        <w:jc w:val="both"/>
        <w:rPr>
          <w:sz w:val="24"/>
          <w:szCs w:val="24"/>
        </w:rPr>
      </w:pPr>
      <w:r w:rsidDel="00000000" w:rsidR="00000000" w:rsidRPr="00000000">
        <w:rPr>
          <w:sz w:val="24"/>
          <w:szCs w:val="24"/>
          <w:rtl w:val="0"/>
        </w:rPr>
        <w:t xml:space="preserve">Essa dialética que articula repressão e liberalização é o que marca, nas palavras de Vânia Bambirra, o projeto liberal-conservador. Para a autora esse é o aspecto que marca todas as reformas da institucionalidade empresarial-militar, com o governo Figueiredo prosseguindo nesse projeto que tinha como direção a manutenção da função dos militares como “guardiões” da ordem nacional sem participação direta no Poder Executivo.</w:t>
      </w:r>
    </w:p>
    <w:p w:rsidR="00000000" w:rsidDel="00000000" w:rsidP="00000000" w:rsidRDefault="00000000" w:rsidRPr="00000000" w14:paraId="00000024">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25">
      <w:pPr>
        <w:spacing w:line="240" w:lineRule="auto"/>
        <w:ind w:left="2267" w:firstLine="0"/>
        <w:jc w:val="both"/>
        <w:rPr>
          <w:sz w:val="20"/>
          <w:szCs w:val="20"/>
        </w:rPr>
      </w:pPr>
      <w:r w:rsidDel="00000000" w:rsidR="00000000" w:rsidRPr="00000000">
        <w:rPr>
          <w:sz w:val="20"/>
          <w:szCs w:val="20"/>
          <w:rtl w:val="0"/>
        </w:rPr>
        <w:t xml:space="preserve">O projeto liberal-conservador pode, assim, ser definido como conformador de um regime constitucional, no qual o papel reservado às Forças Armadas é o de guardiãs e zeladoras da unidade nacional, sem participação direta na direção do Estado, assumindo somente a função de força de reserva do sistema, podendo ser utilizadas para intervir em qualquer eventualidade que ameace a “ordem” (Bambirra, 1984, p.18).</w:t>
      </w:r>
    </w:p>
    <w:p w:rsidR="00000000" w:rsidDel="00000000" w:rsidP="00000000" w:rsidRDefault="00000000" w:rsidRPr="00000000" w14:paraId="00000026">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27">
      <w:pPr>
        <w:spacing w:line="360" w:lineRule="auto"/>
        <w:ind w:firstLine="850"/>
        <w:jc w:val="both"/>
        <w:rPr>
          <w:sz w:val="20"/>
          <w:szCs w:val="20"/>
        </w:rPr>
      </w:pPr>
      <w:r w:rsidDel="00000000" w:rsidR="00000000" w:rsidRPr="00000000">
        <w:rPr>
          <w:sz w:val="24"/>
          <w:szCs w:val="24"/>
          <w:rtl w:val="0"/>
        </w:rPr>
        <w:t xml:space="preserve">Identificando o governo Figueiredo como o início da abertura, Theotônio dos Santos afirma que o dilema que marca o governo Figueiredo era o atendimento ou não das aspirações populares. Com o crescimento dos movimentos de massa em nosso país e a constante vitória da oposição nas eleições de 1974, 76 e 78, era palpável a insatisfação com a ditadura. Para Theotônio, com a radicalização do movimento operário nas greves do ABC paulista e do movimento de construção civil em Minas Gerais, o governo não teria escolha a não ser gestar o processo de redemocratização, mantendo a institucionalidade militar e burguesa ao prevenir uma hegemonia radical na oposição. </w:t>
      </w:r>
      <w:r w:rsidDel="00000000" w:rsidR="00000000" w:rsidRPr="00000000">
        <w:rPr>
          <w:rtl w:val="0"/>
        </w:rPr>
      </w:r>
    </w:p>
    <w:p w:rsidR="00000000" w:rsidDel="00000000" w:rsidP="00000000" w:rsidRDefault="00000000" w:rsidRPr="00000000" w14:paraId="00000028">
      <w:pPr>
        <w:widowControl w:val="0"/>
        <w:spacing w:before="29" w:line="344" w:lineRule="auto"/>
        <w:ind w:left="22" w:right="30" w:firstLine="855"/>
        <w:jc w:val="both"/>
        <w:rPr>
          <w:sz w:val="24"/>
          <w:szCs w:val="24"/>
        </w:rPr>
      </w:pPr>
      <w:r w:rsidDel="00000000" w:rsidR="00000000" w:rsidRPr="00000000">
        <w:rPr>
          <w:sz w:val="24"/>
          <w:szCs w:val="24"/>
          <w:rtl w:val="0"/>
        </w:rPr>
        <w:t xml:space="preserve">Dessa forma, os militares caminham nesse projeto organizando a anistia geral e a reforma partidária. Objetivando enfraquecer a oposição à ditadura, o governo aderiu a um projeto de anistia que, diferente do proposto pelo MDB, incluía as lideranças políticas que já tinham visibilidade antes de 1964, como Luís Carlos Prestes e Miguel Arraes, impactando no caráter unificado da oposição dentro do MDB (Dos Santos, [1995] 2021). </w:t>
      </w:r>
    </w:p>
    <w:p w:rsidR="00000000" w:rsidDel="00000000" w:rsidP="00000000" w:rsidRDefault="00000000" w:rsidRPr="00000000" w14:paraId="00000029">
      <w:pPr>
        <w:widowControl w:val="0"/>
        <w:spacing w:before="29" w:line="344" w:lineRule="auto"/>
        <w:ind w:left="22" w:right="30" w:firstLine="855"/>
        <w:jc w:val="both"/>
        <w:rPr>
          <w:sz w:val="24"/>
          <w:szCs w:val="24"/>
        </w:rPr>
      </w:pPr>
      <w:r w:rsidDel="00000000" w:rsidR="00000000" w:rsidRPr="00000000">
        <w:rPr>
          <w:sz w:val="24"/>
          <w:szCs w:val="24"/>
          <w:rtl w:val="0"/>
        </w:rPr>
        <w:t xml:space="preserve">A abertura partidária partiu na mesma direção, alimentando uma diferenciação intra oposição, com a reestruturação do trabalhismo no PDT (Partido Democrático-Trabalhista) capitaneado por Leonel Brizola e a fundação do Partido dos Trabalhadores (PT), agregando as grandes figuras do movimento sindical, da teologia da libertação e da intelectualidade brasileira. Vale ressaltar que com o advento da pluripartidarização os autores da TMD destacam que houve um empenho na criação de obstáculos para a criação das legendas que dificultou a emergência dos partidos de esquerda. </w:t>
      </w:r>
    </w:p>
    <w:p w:rsidR="00000000" w:rsidDel="00000000" w:rsidP="00000000" w:rsidRDefault="00000000" w:rsidRPr="00000000" w14:paraId="0000002A">
      <w:pPr>
        <w:widowControl w:val="0"/>
        <w:spacing w:before="29" w:line="344" w:lineRule="auto"/>
        <w:ind w:left="22" w:right="30" w:firstLine="855"/>
        <w:jc w:val="both"/>
        <w:rPr>
          <w:sz w:val="24"/>
          <w:szCs w:val="24"/>
        </w:rPr>
      </w:pPr>
      <w:r w:rsidDel="00000000" w:rsidR="00000000" w:rsidRPr="00000000">
        <w:rPr>
          <w:sz w:val="24"/>
          <w:szCs w:val="24"/>
          <w:rtl w:val="0"/>
        </w:rPr>
        <w:t xml:space="preserve">Outro avanço do desmonte da institucionalidade empresarial-militar, Bambirra (1984) destaca a revogação da Lei de Segurança Nacional em 1982, que, mesmo sendo um avanço, mantém o papel aos militares de salvaguardas da ordem, assim como competência deles a instauração do Estado de sítio sem consulta prévia ao parlamento.</w:t>
      </w:r>
    </w:p>
    <w:p w:rsidR="00000000" w:rsidDel="00000000" w:rsidP="00000000" w:rsidRDefault="00000000" w:rsidRPr="00000000" w14:paraId="0000002B">
      <w:pPr>
        <w:widowControl w:val="0"/>
        <w:spacing w:before="29" w:line="344" w:lineRule="auto"/>
        <w:ind w:left="23" w:right="22" w:firstLine="858"/>
        <w:jc w:val="both"/>
        <w:rPr>
          <w:sz w:val="24"/>
          <w:szCs w:val="24"/>
        </w:rPr>
      </w:pPr>
      <w:r w:rsidDel="00000000" w:rsidR="00000000" w:rsidRPr="00000000">
        <w:rPr>
          <w:sz w:val="24"/>
          <w:szCs w:val="24"/>
          <w:rtl w:val="0"/>
        </w:rPr>
        <w:t xml:space="preserve">A dialética do projeto liberal-conservador também se expressou no tratamento do governo federal com o movimento sindical. Marini (1991) atesta que mesmo flexibilizando a legislação sindical e possibilitando a criação da Central Única de Trabalhadores (CUT) e a Central Geral de Trabalhadores (CGT), o governo Figueiredo também foi marcado por uma repressão maciça ao movimento, principalmente na greve geral de 1980.</w:t>
      </w:r>
    </w:p>
    <w:p w:rsidR="00000000" w:rsidDel="00000000" w:rsidP="00000000" w:rsidRDefault="00000000" w:rsidRPr="00000000" w14:paraId="0000002C">
      <w:pPr>
        <w:widowControl w:val="0"/>
        <w:spacing w:before="29" w:line="344" w:lineRule="auto"/>
        <w:ind w:left="23" w:right="22" w:firstLine="858"/>
        <w:jc w:val="both"/>
        <w:rPr>
          <w:sz w:val="24"/>
          <w:szCs w:val="24"/>
        </w:rPr>
      </w:pPr>
      <w:r w:rsidDel="00000000" w:rsidR="00000000" w:rsidRPr="00000000">
        <w:rPr>
          <w:sz w:val="24"/>
          <w:szCs w:val="24"/>
          <w:rtl w:val="0"/>
        </w:rPr>
        <w:t xml:space="preserve">O que podemos observar dessas “reformas” do aparato empresarial-militar é que todas elas contêm em si um aspecto contraditório que mantém a dominação burguesa no Estado. São concessões à classe trabalhadora conservadoras do ponto de vista político, pois além da imposição de dificuldades quanto à organização política, livra o bloco de poder dominante da responsabilidade histórica de 21 anos de violência e coerção. É isso que marca o projeto liberal-conservador, e as dúvidas da classe trabalhadora quanto ao caráter real de uma “abertura democrática”.</w:t>
      </w:r>
    </w:p>
    <w:p w:rsidR="00000000" w:rsidDel="00000000" w:rsidP="00000000" w:rsidRDefault="00000000" w:rsidRPr="00000000" w14:paraId="0000002D">
      <w:pPr>
        <w:spacing w:line="360" w:lineRule="auto"/>
        <w:ind w:firstLine="850"/>
        <w:jc w:val="both"/>
        <w:rPr>
          <w:sz w:val="24"/>
          <w:szCs w:val="24"/>
        </w:rPr>
      </w:pPr>
      <w:r w:rsidDel="00000000" w:rsidR="00000000" w:rsidRPr="00000000">
        <w:rPr>
          <w:sz w:val="24"/>
          <w:szCs w:val="24"/>
          <w:rtl w:val="0"/>
        </w:rPr>
        <w:t xml:space="preserve">Vânia Bambirra ([1986] 2024) destaca que com o fim da ditadura se consolidando através de uma eleição indireta, havia um temor de que o projeto tocado pela chamada Aliança Democrática tivesse cunho continuísta, observando o Ministério montado pelo presidente eleito Tancredo Neves e pela política econômica aliada ao FMI do presidente Sarney, que aposta no arrocho salarial para conter a inflação herdada dos militares.</w:t>
      </w:r>
    </w:p>
    <w:p w:rsidR="00000000" w:rsidDel="00000000" w:rsidP="00000000" w:rsidRDefault="00000000" w:rsidRPr="00000000" w14:paraId="0000002E">
      <w:pPr>
        <w:spacing w:line="360" w:lineRule="auto"/>
        <w:ind w:firstLine="850"/>
        <w:jc w:val="both"/>
        <w:rPr>
          <w:sz w:val="24"/>
          <w:szCs w:val="24"/>
        </w:rPr>
      </w:pPr>
      <w:r w:rsidDel="00000000" w:rsidR="00000000" w:rsidRPr="00000000">
        <w:rPr>
          <w:sz w:val="24"/>
          <w:szCs w:val="24"/>
          <w:rtl w:val="0"/>
        </w:rPr>
        <w:t xml:space="preserve">A autora ainda afirma que, com o temor de novas manifestações de massa, o governo dá conta de uma política econômica efetiva ao aumento de nível consumo através do congelamento de preços, gerando adesão das classes médias e de parte não politizada da classe trabalhadora ao governo Sarney. É a partir dessa conjuntura que são realizadas as eleições para a Assembleia Nacional Constituinte (ANC), objeto da próxima seção.</w:t>
      </w:r>
    </w:p>
    <w:p w:rsidR="00000000" w:rsidDel="00000000" w:rsidP="00000000" w:rsidRDefault="00000000" w:rsidRPr="00000000" w14:paraId="0000002F">
      <w:pPr>
        <w:spacing w:line="360" w:lineRule="auto"/>
        <w:jc w:val="both"/>
        <w:rPr>
          <w:sz w:val="24"/>
          <w:szCs w:val="24"/>
        </w:rPr>
      </w:pPr>
      <w:r w:rsidDel="00000000" w:rsidR="00000000" w:rsidRPr="00000000">
        <w:rPr>
          <w:rtl w:val="0"/>
        </w:rPr>
      </w:r>
    </w:p>
    <w:p w:rsidR="00000000" w:rsidDel="00000000" w:rsidP="00000000" w:rsidRDefault="00000000" w:rsidRPr="00000000" w14:paraId="00000030">
      <w:pPr>
        <w:spacing w:line="360" w:lineRule="auto"/>
        <w:ind w:left="0" w:firstLine="0"/>
        <w:jc w:val="both"/>
        <w:rPr>
          <w:b w:val="1"/>
          <w:sz w:val="24"/>
          <w:szCs w:val="24"/>
        </w:rPr>
      </w:pPr>
      <w:r w:rsidDel="00000000" w:rsidR="00000000" w:rsidRPr="00000000">
        <w:rPr>
          <w:b w:val="1"/>
          <w:sz w:val="24"/>
          <w:szCs w:val="24"/>
          <w:rtl w:val="0"/>
        </w:rPr>
        <w:t xml:space="preserve">3 A ANÁLISE DA TMD DA ASSEMBLEIA NACIONAL CONSTITUINTE.</w:t>
      </w:r>
    </w:p>
    <w:p w:rsidR="00000000" w:rsidDel="00000000" w:rsidP="00000000" w:rsidRDefault="00000000" w:rsidRPr="00000000" w14:paraId="00000031">
      <w:pPr>
        <w:spacing w:line="360" w:lineRule="auto"/>
        <w:ind w:firstLine="850"/>
        <w:jc w:val="both"/>
        <w:rPr>
          <w:sz w:val="24"/>
          <w:szCs w:val="24"/>
        </w:rPr>
      </w:pPr>
      <w:r w:rsidDel="00000000" w:rsidR="00000000" w:rsidRPr="00000000">
        <w:rPr>
          <w:sz w:val="24"/>
          <w:szCs w:val="24"/>
          <w:rtl w:val="0"/>
        </w:rPr>
        <w:t xml:space="preserve">Solidificando o processo de transição democrática e consolidando o fim da ditadura empresarial-militar no Brasil, a emergência da Assembleia Nacional Constituinte (ANC) foi alvo de grande interesse da Teoria Marxista da Dependência. Com o retorno dos autores ao país num contexto de frustração em torno da eleição indireta e expansão dos partidos populares, era necessário a disputa em torno do espaço que construiria a base de uma nova institucionalidade.</w:t>
      </w:r>
    </w:p>
    <w:p w:rsidR="00000000" w:rsidDel="00000000" w:rsidP="00000000" w:rsidRDefault="00000000" w:rsidRPr="00000000" w14:paraId="00000032">
      <w:pPr>
        <w:spacing w:line="360" w:lineRule="auto"/>
        <w:ind w:firstLine="850"/>
        <w:jc w:val="both"/>
        <w:rPr>
          <w:sz w:val="24"/>
          <w:szCs w:val="24"/>
        </w:rPr>
      </w:pPr>
      <w:r w:rsidDel="00000000" w:rsidR="00000000" w:rsidRPr="00000000">
        <w:rPr>
          <w:sz w:val="24"/>
          <w:szCs w:val="24"/>
          <w:rtl w:val="0"/>
        </w:rPr>
        <w:t xml:space="preserve">Com o advento da Aliança Democrática e do falecimento de Tancredo Neves, Marini (1985) e Bambirra ([1986] 2024) demonstram preocupações similares quanto ao caráter que teria o que se chamava de “Nova República”. Diversos são os elementos que manifestaram um temor de que a nova Constituição fosse instrumentalizada pelo grande capital mantendo a base estrutural da ditadura.</w:t>
      </w:r>
    </w:p>
    <w:p w:rsidR="00000000" w:rsidDel="00000000" w:rsidP="00000000" w:rsidRDefault="00000000" w:rsidRPr="00000000" w14:paraId="00000033">
      <w:pPr>
        <w:spacing w:line="360" w:lineRule="auto"/>
        <w:ind w:firstLine="850"/>
        <w:jc w:val="both"/>
        <w:rPr>
          <w:sz w:val="24"/>
          <w:szCs w:val="24"/>
        </w:rPr>
      </w:pPr>
      <w:r w:rsidDel="00000000" w:rsidR="00000000" w:rsidRPr="00000000">
        <w:rPr>
          <w:sz w:val="24"/>
          <w:szCs w:val="24"/>
          <w:rtl w:val="0"/>
        </w:rPr>
        <w:t xml:space="preserve">Nas palavras de Vânia, o início da administração Sarney ficaria marcado por um certo imobilismo. Com a falta de compromisso do governo em dar conta das tão reivindicadas reformas, o Plano Cruzado aparece no cenário nacional como uma estratégia para conter a possibilidade do retorno do movimento de massas. Ainda assim, observou-se que essa política econômica estruturada na compressão salarial mantinha semelhanças com a estratégia de desenvolvimento dos militares.</w:t>
      </w:r>
    </w:p>
    <w:p w:rsidR="00000000" w:rsidDel="00000000" w:rsidP="00000000" w:rsidRDefault="00000000" w:rsidRPr="00000000" w14:paraId="00000034">
      <w:pPr>
        <w:spacing w:line="360" w:lineRule="auto"/>
        <w:ind w:firstLine="850"/>
        <w:jc w:val="both"/>
        <w:rPr>
          <w:sz w:val="24"/>
          <w:szCs w:val="24"/>
        </w:rPr>
      </w:pPr>
      <w:r w:rsidDel="00000000" w:rsidR="00000000" w:rsidRPr="00000000">
        <w:rPr>
          <w:sz w:val="24"/>
          <w:szCs w:val="24"/>
          <w:rtl w:val="0"/>
        </w:rPr>
        <w:t xml:space="preserve">Contribuindo para esse debate Ruy Mauro Marini (1991) afirma que o Plano Cruzado elevou o crescimento econômico através do congelamento de preços e salários, gerando uma legitimação do governo frente à classe trabalhadora e os movimentos sociais. </w:t>
      </w:r>
    </w:p>
    <w:p w:rsidR="00000000" w:rsidDel="00000000" w:rsidP="00000000" w:rsidRDefault="00000000" w:rsidRPr="00000000" w14:paraId="00000035">
      <w:pPr>
        <w:spacing w:line="360" w:lineRule="auto"/>
        <w:ind w:firstLine="850"/>
        <w:jc w:val="both"/>
        <w:rPr>
          <w:sz w:val="24"/>
          <w:szCs w:val="24"/>
        </w:rPr>
      </w:pPr>
      <w:r w:rsidDel="00000000" w:rsidR="00000000" w:rsidRPr="00000000">
        <w:rPr>
          <w:sz w:val="24"/>
          <w:szCs w:val="24"/>
          <w:rtl w:val="0"/>
        </w:rPr>
        <w:t xml:space="preserve">É dentro desse contexto de tensões e incertezas quanto ao caráter da abertura que Theotônio dos Santos (1985) atesta um empenho de frações burguesas imperialistas e locais em dirigir a Assembleia. O autor advoga que com o fim da ditadura a sociedade brasileira se divide em duas correntes para a construção da ANC.</w:t>
      </w:r>
    </w:p>
    <w:p w:rsidR="00000000" w:rsidDel="00000000" w:rsidP="00000000" w:rsidRDefault="00000000" w:rsidRPr="00000000" w14:paraId="00000036">
      <w:pPr>
        <w:spacing w:line="360" w:lineRule="auto"/>
        <w:ind w:firstLine="850"/>
        <w:jc w:val="both"/>
        <w:rPr>
          <w:sz w:val="24"/>
          <w:szCs w:val="24"/>
        </w:rPr>
      </w:pPr>
      <w:r w:rsidDel="00000000" w:rsidR="00000000" w:rsidRPr="00000000">
        <w:rPr>
          <w:sz w:val="24"/>
          <w:szCs w:val="24"/>
          <w:rtl w:val="0"/>
        </w:rPr>
        <w:t xml:space="preserve">De um lado, um bloco representado pelo grande capital internacional e nacional, assim como os latifundiários e sua representação jurídica, defendendo uma visão que combina elementos liberais e conservadores, sob uma base antiestatista e neoliberal.</w:t>
      </w:r>
    </w:p>
    <w:p w:rsidR="00000000" w:rsidDel="00000000" w:rsidP="00000000" w:rsidRDefault="00000000" w:rsidRPr="00000000" w14:paraId="00000037">
      <w:pPr>
        <w:spacing w:line="360" w:lineRule="auto"/>
        <w:ind w:firstLine="850"/>
        <w:jc w:val="both"/>
        <w:rPr>
          <w:sz w:val="24"/>
          <w:szCs w:val="24"/>
        </w:rPr>
      </w:pPr>
      <w:r w:rsidDel="00000000" w:rsidR="00000000" w:rsidRPr="00000000">
        <w:rPr>
          <w:sz w:val="24"/>
          <w:szCs w:val="24"/>
          <w:rtl w:val="0"/>
        </w:rPr>
        <w:t xml:space="preserve">Para Theotônio (1985) há um empenho desse bloco em dirigir e submeter a Assembleia ao seu controle nas eleições de 1986, destacando três estratégias para alcançar esse objetivo: uma grande campanha nos meios de comunicação defendendo os princípios liberalizantes e antiestatais, um anteprojeto de Constituição escrito por uma comissão conservadora e liberal e uma campanha eleitoral distanciada dos grandes temas nacionais de forma que o poder econômico seja hegemônico na composição. </w:t>
      </w:r>
    </w:p>
    <w:p w:rsidR="00000000" w:rsidDel="00000000" w:rsidP="00000000" w:rsidRDefault="00000000" w:rsidRPr="00000000" w14:paraId="00000038">
      <w:pPr>
        <w:spacing w:line="360" w:lineRule="auto"/>
        <w:ind w:firstLine="850"/>
        <w:jc w:val="both"/>
        <w:rPr>
          <w:sz w:val="24"/>
          <w:szCs w:val="24"/>
        </w:rPr>
      </w:pPr>
      <w:r w:rsidDel="00000000" w:rsidR="00000000" w:rsidRPr="00000000">
        <w:rPr>
          <w:sz w:val="24"/>
          <w:szCs w:val="24"/>
          <w:rtl w:val="0"/>
        </w:rPr>
        <w:t xml:space="preserve">Vânia ([1986] 2024) também atesta a importância do poder econômico para as eleições de 1986, principalmente a partir da criação de organizações políticas do empresariado e do latifúndio buscando uma ofensiva ao processo eleitoral constituinte. Dessa forma, identifica uma movimentação financeira entre esses grupos que financiou a campanha de diversos candidatos para a Assembleia e ao governo dos Estados que pautaram seus interesses, assim como a participação direta de empresários e latifundiários na disputa pelos cargos eletivos. </w:t>
      </w:r>
    </w:p>
    <w:p w:rsidR="00000000" w:rsidDel="00000000" w:rsidP="00000000" w:rsidRDefault="00000000" w:rsidRPr="00000000" w14:paraId="00000039">
      <w:pPr>
        <w:spacing w:line="360" w:lineRule="auto"/>
        <w:ind w:firstLine="850"/>
        <w:jc w:val="both"/>
        <w:rPr>
          <w:sz w:val="24"/>
          <w:szCs w:val="24"/>
        </w:rPr>
      </w:pPr>
      <w:r w:rsidDel="00000000" w:rsidR="00000000" w:rsidRPr="00000000">
        <w:rPr>
          <w:sz w:val="24"/>
          <w:szCs w:val="24"/>
          <w:rtl w:val="0"/>
        </w:rPr>
        <w:t xml:space="preserve">A partir dessa interpretação da realidade, Bambirra vê com pessimismo a movimentação em torno da Assembleia Constituinte. Vendo a campanha dos grandes grupos empresariais e latifundiários, a autora prevê que a presença do campo popular será mínima e insuficiente para levar as reformas de base a cabo. Vânia nega o que se convencionou a chamar de “Nova República”, afirmando que a estrutura da ditadura empresarial-militar seria continuada e legitimada pela nova Constituição.</w:t>
      </w:r>
    </w:p>
    <w:p w:rsidR="00000000" w:rsidDel="00000000" w:rsidP="00000000" w:rsidRDefault="00000000" w:rsidRPr="00000000" w14:paraId="0000003A">
      <w:pPr>
        <w:spacing w:line="360" w:lineRule="auto"/>
        <w:ind w:firstLine="850"/>
        <w:jc w:val="both"/>
        <w:rPr>
          <w:sz w:val="24"/>
          <w:szCs w:val="24"/>
          <w:highlight w:val="yellow"/>
        </w:rPr>
      </w:pPr>
      <w:r w:rsidDel="00000000" w:rsidR="00000000" w:rsidRPr="00000000">
        <w:rPr>
          <w:rtl w:val="0"/>
        </w:rPr>
      </w:r>
    </w:p>
    <w:p w:rsidR="00000000" w:rsidDel="00000000" w:rsidP="00000000" w:rsidRDefault="00000000" w:rsidRPr="00000000" w14:paraId="0000003B">
      <w:pPr>
        <w:spacing w:line="240" w:lineRule="auto"/>
        <w:ind w:left="2267" w:firstLine="0"/>
        <w:jc w:val="both"/>
        <w:rPr/>
      </w:pPr>
      <w:r w:rsidDel="00000000" w:rsidR="00000000" w:rsidRPr="00000000">
        <w:rPr>
          <w:rtl w:val="0"/>
        </w:rPr>
        <w:t xml:space="preserve">A reforma agrária a questão do desemprego, da educação (e do analfabetismo em particular), da saúde, da moradia, da ecologia, da dívida externa, da soberania nacional, da solidariedade com os povos que lutam por sua libertação e muitas e muitas outras, jamais serão equacionadas pelo novo Congresso Constituinte, pois a representação autenticamente popular será absolutamente minoritária (Bambirra, [1986] 2024, p.776).</w:t>
      </w:r>
    </w:p>
    <w:p w:rsidR="00000000" w:rsidDel="00000000" w:rsidP="00000000" w:rsidRDefault="00000000" w:rsidRPr="00000000" w14:paraId="0000003C">
      <w:pPr>
        <w:spacing w:line="360" w:lineRule="auto"/>
        <w:ind w:firstLine="850"/>
        <w:jc w:val="both"/>
        <w:rPr>
          <w:sz w:val="24"/>
          <w:szCs w:val="24"/>
          <w:highlight w:val="yellow"/>
        </w:rPr>
      </w:pPr>
      <w:r w:rsidDel="00000000" w:rsidR="00000000" w:rsidRPr="00000000">
        <w:rPr>
          <w:rtl w:val="0"/>
        </w:rPr>
      </w:r>
    </w:p>
    <w:p w:rsidR="00000000" w:rsidDel="00000000" w:rsidP="00000000" w:rsidRDefault="00000000" w:rsidRPr="00000000" w14:paraId="0000003D">
      <w:pPr>
        <w:spacing w:line="360" w:lineRule="auto"/>
        <w:ind w:firstLine="850"/>
        <w:jc w:val="both"/>
        <w:rPr>
          <w:sz w:val="24"/>
          <w:szCs w:val="24"/>
        </w:rPr>
      </w:pPr>
      <w:r w:rsidDel="00000000" w:rsidR="00000000" w:rsidRPr="00000000">
        <w:rPr>
          <w:sz w:val="24"/>
          <w:szCs w:val="24"/>
          <w:rtl w:val="0"/>
        </w:rPr>
        <w:t xml:space="preserve">Reconhecendo o mesmo processo, Marini ([1985] 2022, 1985) advoga que a burguesia desde a Aliança Democrática consolida-se como classe dirigente da transição, manifestando sua hegemonia com duas principais bandeiras: o fortalecimento da democracia parlamentar e a construção de um Estado neoliberal.</w:t>
      </w:r>
    </w:p>
    <w:p w:rsidR="00000000" w:rsidDel="00000000" w:rsidP="00000000" w:rsidRDefault="00000000" w:rsidRPr="00000000" w14:paraId="0000003E">
      <w:pPr>
        <w:spacing w:line="360" w:lineRule="auto"/>
        <w:jc w:val="both"/>
        <w:rPr>
          <w:sz w:val="24"/>
          <w:szCs w:val="24"/>
        </w:rPr>
      </w:pPr>
      <w:r w:rsidDel="00000000" w:rsidR="00000000" w:rsidRPr="00000000">
        <w:rPr>
          <w:rtl w:val="0"/>
        </w:rPr>
      </w:r>
    </w:p>
    <w:p w:rsidR="00000000" w:rsidDel="00000000" w:rsidP="00000000" w:rsidRDefault="00000000" w:rsidRPr="00000000" w14:paraId="0000003F">
      <w:pPr>
        <w:spacing w:line="240" w:lineRule="auto"/>
        <w:ind w:left="2267" w:firstLine="0"/>
        <w:jc w:val="both"/>
        <w:rPr>
          <w:sz w:val="20"/>
          <w:szCs w:val="20"/>
        </w:rPr>
      </w:pPr>
      <w:r w:rsidDel="00000000" w:rsidR="00000000" w:rsidRPr="00000000">
        <w:rPr>
          <w:sz w:val="20"/>
          <w:szCs w:val="20"/>
          <w:rtl w:val="0"/>
        </w:rPr>
        <w:t xml:space="preserve">A concretização do pacto social ficou sujeita, no entanto, à definição do projeto burguês para a reorganização da economia e do Estado. A burguesia propôs, neste sentido, as linhas básicas do seu projeto: a reconstrução da democracia parlamentar e a edificação de um Estado neoliberal. Na sua retórica essas duas linhas aparecem confundidas em uma só, sendo corrente no seu discurso o uso de consignas liberais aplicadas à solução de questões democráticas (Marini, [1985] 2022, p.652).</w:t>
      </w:r>
    </w:p>
    <w:p w:rsidR="00000000" w:rsidDel="00000000" w:rsidP="00000000" w:rsidRDefault="00000000" w:rsidRPr="00000000" w14:paraId="00000040">
      <w:pPr>
        <w:spacing w:line="360" w:lineRule="auto"/>
        <w:ind w:left="2267" w:firstLine="0"/>
        <w:jc w:val="both"/>
        <w:rPr>
          <w:sz w:val="24"/>
          <w:szCs w:val="24"/>
        </w:rPr>
      </w:pPr>
      <w:r w:rsidDel="00000000" w:rsidR="00000000" w:rsidRPr="00000000">
        <w:rPr>
          <w:rtl w:val="0"/>
        </w:rPr>
      </w:r>
    </w:p>
    <w:p w:rsidR="00000000" w:rsidDel="00000000" w:rsidP="00000000" w:rsidRDefault="00000000" w:rsidRPr="00000000" w14:paraId="00000041">
      <w:pPr>
        <w:spacing w:line="360" w:lineRule="auto"/>
        <w:ind w:firstLine="850"/>
        <w:jc w:val="both"/>
        <w:rPr>
          <w:sz w:val="24"/>
          <w:szCs w:val="24"/>
        </w:rPr>
      </w:pPr>
      <w:r w:rsidDel="00000000" w:rsidR="00000000" w:rsidRPr="00000000">
        <w:rPr>
          <w:sz w:val="24"/>
          <w:szCs w:val="24"/>
          <w:rtl w:val="0"/>
        </w:rPr>
        <w:t xml:space="preserve">Para o autor, o fortalecimento da democracia parlamentarista vai tanto contra a perspectiva de uma construção de uma democracia direta (bandeira dos movimentos populares) como de um fortalecimento do executivo. Mesmo com o governo Figueiredo representando o fim da participação direta dos militares no poder, Marini afirma que o papel formal dos militares na nova institucionalidade ainda era uma questão, e que a possibilidade de construção do quarto poder fica como herança para à ANC, principalmente no tratamento de temas como o Conselho Nacional de Segurança e o Sistema Nacional de Informações.</w:t>
      </w:r>
    </w:p>
    <w:p w:rsidR="00000000" w:rsidDel="00000000" w:rsidP="00000000" w:rsidRDefault="00000000" w:rsidRPr="00000000" w14:paraId="00000042">
      <w:pPr>
        <w:spacing w:line="360" w:lineRule="auto"/>
        <w:ind w:firstLine="850"/>
        <w:jc w:val="both"/>
        <w:rPr>
          <w:sz w:val="24"/>
          <w:szCs w:val="24"/>
        </w:rPr>
      </w:pPr>
      <w:r w:rsidDel="00000000" w:rsidR="00000000" w:rsidRPr="00000000">
        <w:rPr>
          <w:sz w:val="24"/>
          <w:szCs w:val="24"/>
          <w:rtl w:val="0"/>
        </w:rPr>
        <w:t xml:space="preserve">Do outro lado, Theotônio dos Santos (1985) reconhece como segunda corrente para a disputa na constituinte a classe trabalhadora, diluída entre os movimentos sociais e partidos, mas sem uma vanguarda. Para o autor, o reformismo característico do fim da ditadura empresarial-militar seria refletido na Assembleia, não havendo espaço para proposições mais radicais do movimento popular.</w:t>
      </w:r>
    </w:p>
    <w:p w:rsidR="00000000" w:rsidDel="00000000" w:rsidP="00000000" w:rsidRDefault="00000000" w:rsidRPr="00000000" w14:paraId="00000043">
      <w:pPr>
        <w:spacing w:line="360" w:lineRule="auto"/>
        <w:ind w:firstLine="850"/>
        <w:jc w:val="both"/>
        <w:rPr>
          <w:sz w:val="24"/>
          <w:szCs w:val="24"/>
        </w:rPr>
      </w:pPr>
      <w:r w:rsidDel="00000000" w:rsidR="00000000" w:rsidRPr="00000000">
        <w:rPr>
          <w:sz w:val="24"/>
          <w:szCs w:val="24"/>
          <w:rtl w:val="0"/>
        </w:rPr>
        <w:t xml:space="preserve">Dessa forma, o economista mineiro ao tentar dirigir os parlamentares de esquerda a partir de um programa nacional-trabalhista, afirma que os debates do plano econômico devem fixar-se numa reforma da empresa pública, que a fortaleça nos setores de maior lucratividade e estabeleça espaços de controle e diálogo com os trabalhadores quanto à gestão e planejamento. Para Theotônio, essa pauta é central para o embate com os neoliberais, principalmente pela delimitação nos setores de interesse do capital monopolista.</w:t>
      </w:r>
    </w:p>
    <w:p w:rsidR="00000000" w:rsidDel="00000000" w:rsidP="00000000" w:rsidRDefault="00000000" w:rsidRPr="00000000" w14:paraId="00000044">
      <w:pPr>
        <w:spacing w:line="360" w:lineRule="auto"/>
        <w:ind w:firstLine="850"/>
        <w:jc w:val="both"/>
        <w:rPr>
          <w:sz w:val="24"/>
          <w:szCs w:val="24"/>
        </w:rPr>
      </w:pPr>
      <w:r w:rsidDel="00000000" w:rsidR="00000000" w:rsidRPr="00000000">
        <w:rPr>
          <w:sz w:val="24"/>
          <w:szCs w:val="24"/>
          <w:rtl w:val="0"/>
        </w:rPr>
        <w:t xml:space="preserve">O autor também reafirma que deve haver uma defesa da propriedade estatal nacional, pautando a defesa da presença do Estado no meio ambiente e na administração dos recursos naturais, aliado a uma ampla reforma agrária que combata a concentração fundiária no Brasil.</w:t>
      </w:r>
    </w:p>
    <w:p w:rsidR="00000000" w:rsidDel="00000000" w:rsidP="00000000" w:rsidRDefault="00000000" w:rsidRPr="00000000" w14:paraId="00000045">
      <w:pPr>
        <w:spacing w:line="360" w:lineRule="auto"/>
        <w:ind w:firstLine="850"/>
        <w:jc w:val="both"/>
        <w:rPr>
          <w:sz w:val="24"/>
          <w:szCs w:val="24"/>
        </w:rPr>
      </w:pPr>
      <w:r w:rsidDel="00000000" w:rsidR="00000000" w:rsidRPr="00000000">
        <w:rPr>
          <w:sz w:val="24"/>
          <w:szCs w:val="24"/>
          <w:rtl w:val="0"/>
        </w:rPr>
        <w:t xml:space="preserve">Os resultados eleitorais para a configuração da Assembleia foram de certa forma esperados pelos autores. A conjuntura inicialmente favorável do plano cruzado não consegue lograr resultados positivos a posteriori, entretanto, beneficia o PMDB como grande vencedor das eleições de 1986, com o partido ganhando o governo de 22 unidades da federação e 260 deputados federais, mais da metade das vagas disputadas. </w:t>
      </w:r>
    </w:p>
    <w:p w:rsidR="00000000" w:rsidDel="00000000" w:rsidP="00000000" w:rsidRDefault="00000000" w:rsidRPr="00000000" w14:paraId="00000046">
      <w:pPr>
        <w:spacing w:line="360" w:lineRule="auto"/>
        <w:ind w:firstLine="850"/>
        <w:jc w:val="both"/>
        <w:rPr>
          <w:sz w:val="24"/>
          <w:szCs w:val="24"/>
        </w:rPr>
      </w:pPr>
      <w:r w:rsidDel="00000000" w:rsidR="00000000" w:rsidRPr="00000000">
        <w:rPr>
          <w:sz w:val="24"/>
          <w:szCs w:val="24"/>
          <w:rtl w:val="0"/>
        </w:rPr>
        <w:t xml:space="preserve">Já os herdeiros da antiga Arena no PFL garantem 118 vagas para a Assembleia, e o antigo PDS 33 vagas legislativas. No campo popular, os partidos de esquerda são minoritários no congresso constituinte, com o PDT garantindo 21 vagas e o Partido dos Trabalhadores 16.</w:t>
      </w:r>
    </w:p>
    <w:p w:rsidR="00000000" w:rsidDel="00000000" w:rsidP="00000000" w:rsidRDefault="00000000" w:rsidRPr="00000000" w14:paraId="00000047">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48">
      <w:pPr>
        <w:spacing w:line="360" w:lineRule="auto"/>
        <w:jc w:val="both"/>
        <w:rPr>
          <w:b w:val="1"/>
          <w:sz w:val="24"/>
          <w:szCs w:val="24"/>
        </w:rPr>
      </w:pPr>
      <w:r w:rsidDel="00000000" w:rsidR="00000000" w:rsidRPr="00000000">
        <w:rPr>
          <w:b w:val="1"/>
          <w:sz w:val="24"/>
          <w:szCs w:val="24"/>
          <w:rtl w:val="0"/>
        </w:rPr>
        <w:t xml:space="preserve">4 CONCLUSÃO</w:t>
      </w:r>
    </w:p>
    <w:p w:rsidR="00000000" w:rsidDel="00000000" w:rsidP="00000000" w:rsidRDefault="00000000" w:rsidRPr="00000000" w14:paraId="00000049">
      <w:pPr>
        <w:spacing w:line="360" w:lineRule="auto"/>
        <w:ind w:firstLine="850"/>
        <w:jc w:val="both"/>
        <w:rPr>
          <w:sz w:val="24"/>
          <w:szCs w:val="24"/>
        </w:rPr>
      </w:pPr>
      <w:r w:rsidDel="00000000" w:rsidR="00000000" w:rsidRPr="00000000">
        <w:rPr>
          <w:sz w:val="24"/>
          <w:szCs w:val="24"/>
          <w:rtl w:val="0"/>
        </w:rPr>
        <w:t xml:space="preserve">O que podemos observar a partir de nossas leituras é que os autores, ao conjecturar a realidade que viviam e dar direção ao expressivo movimento de massas de sua época, fazem uma análise da transição que conseguiu captar os interesses e a disputa que se abria na sociedade, mesmo imersa em diversas contradições. A partir da noção de democracia viável e do projeto liberal-conservador, Marini e Vânia, respectivamente, foram capazes de compreender o movimento dialético tocado pelo bloco de poder dominante que conseguiu manter o privilégio de seus interesses mesmo enfrentando uma classe trabalhadora combatente nas ruas. </w:t>
      </w:r>
    </w:p>
    <w:p w:rsidR="00000000" w:rsidDel="00000000" w:rsidP="00000000" w:rsidRDefault="00000000" w:rsidRPr="00000000" w14:paraId="0000004A">
      <w:pPr>
        <w:spacing w:line="360" w:lineRule="auto"/>
        <w:ind w:firstLine="850"/>
        <w:jc w:val="both"/>
        <w:rPr>
          <w:sz w:val="24"/>
          <w:szCs w:val="24"/>
        </w:rPr>
      </w:pPr>
      <w:r w:rsidDel="00000000" w:rsidR="00000000" w:rsidRPr="00000000">
        <w:rPr>
          <w:sz w:val="24"/>
          <w:szCs w:val="24"/>
          <w:rtl w:val="0"/>
        </w:rPr>
        <w:t xml:space="preserve">Marini, ao representar a incerteza de uma verdadeira ruptura com a ditadura a partir do conceito de quarto poder militar, erra ao prever que o texto constitucional avançaria nessa formulação, principalmente quando observamos o desmonte na Assembleia dos principais aparelhos representativos das forças militares. Entretanto, é perceptível que no texto final perdura o sentido dúbio das Forças Armadas como potencial agente político para a garantia da “ordem” institucional.</w:t>
      </w:r>
    </w:p>
    <w:p w:rsidR="00000000" w:rsidDel="00000000" w:rsidP="00000000" w:rsidRDefault="00000000" w:rsidRPr="00000000" w14:paraId="0000004B">
      <w:pPr>
        <w:spacing w:line="360" w:lineRule="auto"/>
        <w:ind w:firstLine="850"/>
        <w:jc w:val="both"/>
        <w:rPr>
          <w:sz w:val="24"/>
          <w:szCs w:val="24"/>
        </w:rPr>
      </w:pPr>
      <w:r w:rsidDel="00000000" w:rsidR="00000000" w:rsidRPr="00000000">
        <w:rPr>
          <w:sz w:val="24"/>
          <w:szCs w:val="24"/>
          <w:rtl w:val="0"/>
        </w:rPr>
        <w:t xml:space="preserve">Da mesma forma, Theotônio dos Santos foi capaz de compreender a movimentação dentro do bloco de poder dominante e como se deu a ação dos militares na abertura ao responder ao movimento operário. </w:t>
      </w:r>
    </w:p>
    <w:p w:rsidR="00000000" w:rsidDel="00000000" w:rsidP="00000000" w:rsidRDefault="00000000" w:rsidRPr="00000000" w14:paraId="0000004C">
      <w:pPr>
        <w:spacing w:line="360" w:lineRule="auto"/>
        <w:ind w:firstLine="850"/>
        <w:jc w:val="both"/>
        <w:rPr>
          <w:sz w:val="24"/>
          <w:szCs w:val="24"/>
        </w:rPr>
      </w:pPr>
      <w:r w:rsidDel="00000000" w:rsidR="00000000" w:rsidRPr="00000000">
        <w:rPr>
          <w:sz w:val="24"/>
          <w:szCs w:val="24"/>
          <w:rtl w:val="0"/>
        </w:rPr>
        <w:t xml:space="preserve">Dentro desse arcabouço teórico constatamos uma clara compreensão da abertura democrática como uma movimentação das forças armadas e da classe dominante que, ao responder à luta da classe trabalhadora, consegue avançar num complexo de concessões e medidas que, mesmo cedendo a pressão dos de baixo em alguns pontos, consegue construir uma institucionalidade em que a dominação burguesa segue a pleno vapor.</w:t>
      </w:r>
    </w:p>
    <w:p w:rsidR="00000000" w:rsidDel="00000000" w:rsidP="00000000" w:rsidRDefault="00000000" w:rsidRPr="00000000" w14:paraId="0000004D">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4E">
      <w:pPr>
        <w:spacing w:line="360" w:lineRule="auto"/>
        <w:ind w:left="0" w:firstLine="0"/>
        <w:jc w:val="both"/>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F">
      <w:pPr>
        <w:spacing w:before="200" w:line="240" w:lineRule="auto"/>
        <w:jc w:val="both"/>
        <w:rPr>
          <w:sz w:val="24"/>
          <w:szCs w:val="24"/>
        </w:rPr>
      </w:pPr>
      <w:r w:rsidDel="00000000" w:rsidR="00000000" w:rsidRPr="00000000">
        <w:rPr>
          <w:sz w:val="24"/>
          <w:szCs w:val="24"/>
          <w:rtl w:val="0"/>
        </w:rPr>
        <w:t xml:space="preserve">BAMBIRRA, Vânia. O Estado no Brasil: de João Goulart a João Figueiredo. </w:t>
      </w:r>
      <w:r w:rsidDel="00000000" w:rsidR="00000000" w:rsidRPr="00000000">
        <w:rPr>
          <w:i w:val="1"/>
          <w:sz w:val="24"/>
          <w:szCs w:val="24"/>
          <w:rtl w:val="0"/>
        </w:rPr>
        <w:t xml:space="preserve">Terra Firme</w:t>
      </w:r>
      <w:r w:rsidDel="00000000" w:rsidR="00000000" w:rsidRPr="00000000">
        <w:rPr>
          <w:sz w:val="24"/>
          <w:szCs w:val="24"/>
          <w:rtl w:val="0"/>
        </w:rPr>
        <w:t xml:space="preserve">, Rio de Janeiro n.1, p.9-22, 1985. </w:t>
      </w:r>
    </w:p>
    <w:p w:rsidR="00000000" w:rsidDel="00000000" w:rsidP="00000000" w:rsidRDefault="00000000" w:rsidRPr="00000000" w14:paraId="00000050">
      <w:pPr>
        <w:spacing w:before="200" w:line="240" w:lineRule="auto"/>
        <w:rPr>
          <w:sz w:val="24"/>
          <w:szCs w:val="24"/>
        </w:rPr>
      </w:pPr>
      <w:r w:rsidDel="00000000" w:rsidR="00000000" w:rsidRPr="00000000">
        <w:rPr>
          <w:sz w:val="24"/>
          <w:szCs w:val="24"/>
          <w:rtl w:val="0"/>
        </w:rPr>
        <w:t xml:space="preserve">BAMBIRRA, Vânia. A luta pelas “Diretas” e pela constituinte no Brasil. </w:t>
      </w:r>
      <w:r w:rsidDel="00000000" w:rsidR="00000000" w:rsidRPr="00000000">
        <w:rPr>
          <w:i w:val="1"/>
          <w:sz w:val="24"/>
          <w:szCs w:val="24"/>
          <w:rtl w:val="0"/>
        </w:rPr>
        <w:t xml:space="preserve">InSURgência: </w:t>
      </w:r>
      <w:r w:rsidDel="00000000" w:rsidR="00000000" w:rsidRPr="00000000">
        <w:rPr>
          <w:sz w:val="24"/>
          <w:szCs w:val="24"/>
          <w:rtl w:val="0"/>
        </w:rPr>
        <w:t xml:space="preserve">revista de direitos e movimentos sociais, Brasília, v.10, n.2, p.769-781, [1986] jul./dez. 2024.</w:t>
      </w:r>
    </w:p>
    <w:p w:rsidR="00000000" w:rsidDel="00000000" w:rsidP="00000000" w:rsidRDefault="00000000" w:rsidRPr="00000000" w14:paraId="00000051">
      <w:pPr>
        <w:spacing w:before="200" w:line="240" w:lineRule="auto"/>
        <w:rPr>
          <w:sz w:val="24"/>
          <w:szCs w:val="24"/>
        </w:rPr>
      </w:pPr>
      <w:r w:rsidDel="00000000" w:rsidR="00000000" w:rsidRPr="00000000">
        <w:rPr>
          <w:sz w:val="24"/>
          <w:szCs w:val="24"/>
          <w:rtl w:val="0"/>
        </w:rPr>
        <w:t xml:space="preserve">DOS SANTOS, Theotônio. Constituinte: uma agenda para o debate. In: SADER, Emir (Org.). </w:t>
      </w:r>
      <w:r w:rsidDel="00000000" w:rsidR="00000000" w:rsidRPr="00000000">
        <w:rPr>
          <w:i w:val="1"/>
          <w:sz w:val="24"/>
          <w:szCs w:val="24"/>
          <w:rtl w:val="0"/>
        </w:rPr>
        <w:t xml:space="preserve">Constituinte e democracia no Brasil hoje.</w:t>
      </w:r>
      <w:r w:rsidDel="00000000" w:rsidR="00000000" w:rsidRPr="00000000">
        <w:rPr>
          <w:sz w:val="24"/>
          <w:szCs w:val="24"/>
          <w:rtl w:val="0"/>
        </w:rPr>
        <w:t xml:space="preserve"> São Paulo: Editora Brasiliense, 1985, p.157-176.</w:t>
      </w:r>
    </w:p>
    <w:p w:rsidR="00000000" w:rsidDel="00000000" w:rsidP="00000000" w:rsidRDefault="00000000" w:rsidRPr="00000000" w14:paraId="00000052">
      <w:pPr>
        <w:spacing w:before="200" w:line="240" w:lineRule="auto"/>
        <w:rPr>
          <w:sz w:val="24"/>
          <w:szCs w:val="24"/>
        </w:rPr>
      </w:pPr>
      <w:r w:rsidDel="00000000" w:rsidR="00000000" w:rsidRPr="00000000">
        <w:rPr>
          <w:sz w:val="24"/>
          <w:szCs w:val="24"/>
          <w:rtl w:val="0"/>
        </w:rPr>
        <w:t xml:space="preserve">DOS SANTOS, Theotônio. </w:t>
      </w:r>
      <w:r w:rsidDel="00000000" w:rsidR="00000000" w:rsidRPr="00000000">
        <w:rPr>
          <w:i w:val="1"/>
          <w:sz w:val="24"/>
          <w:szCs w:val="24"/>
          <w:rtl w:val="0"/>
        </w:rPr>
        <w:t xml:space="preserve">Evolução histórica do Brasil.</w:t>
      </w:r>
      <w:r w:rsidDel="00000000" w:rsidR="00000000" w:rsidRPr="00000000">
        <w:rPr>
          <w:sz w:val="24"/>
          <w:szCs w:val="24"/>
          <w:rtl w:val="0"/>
        </w:rPr>
        <w:t xml:space="preserve"> São Paulo: Expressão Popular, [1995] 2021.</w:t>
      </w:r>
    </w:p>
    <w:p w:rsidR="00000000" w:rsidDel="00000000" w:rsidP="00000000" w:rsidRDefault="00000000" w:rsidRPr="00000000" w14:paraId="00000053">
      <w:pPr>
        <w:spacing w:before="200" w:line="240" w:lineRule="auto"/>
        <w:rPr>
          <w:sz w:val="24"/>
          <w:szCs w:val="24"/>
        </w:rPr>
      </w:pPr>
      <w:r w:rsidDel="00000000" w:rsidR="00000000" w:rsidRPr="00000000">
        <w:rPr>
          <w:sz w:val="24"/>
          <w:szCs w:val="24"/>
          <w:rtl w:val="0"/>
        </w:rPr>
        <w:t xml:space="preserve">MARINI, Ruy Mauro. A luta pela democracia na América Latina. </w:t>
      </w:r>
      <w:r w:rsidDel="00000000" w:rsidR="00000000" w:rsidRPr="00000000">
        <w:rPr>
          <w:i w:val="1"/>
          <w:sz w:val="24"/>
          <w:szCs w:val="24"/>
          <w:rtl w:val="0"/>
        </w:rPr>
        <w:t xml:space="preserve">Germinal: marxismo e educação em debate</w:t>
      </w:r>
      <w:r w:rsidDel="00000000" w:rsidR="00000000" w:rsidRPr="00000000">
        <w:rPr>
          <w:sz w:val="24"/>
          <w:szCs w:val="24"/>
          <w:rtl w:val="0"/>
        </w:rPr>
        <w:t xml:space="preserve">, Salvador, v.14, n.1, p.646-657, [1985] abr. 2022.</w:t>
      </w:r>
    </w:p>
    <w:p w:rsidR="00000000" w:rsidDel="00000000" w:rsidP="00000000" w:rsidRDefault="00000000" w:rsidRPr="00000000" w14:paraId="00000054">
      <w:pPr>
        <w:spacing w:before="200" w:line="240" w:lineRule="auto"/>
        <w:jc w:val="both"/>
        <w:rPr>
          <w:sz w:val="24"/>
          <w:szCs w:val="24"/>
        </w:rPr>
      </w:pPr>
      <w:r w:rsidDel="00000000" w:rsidR="00000000" w:rsidRPr="00000000">
        <w:rPr>
          <w:sz w:val="24"/>
          <w:szCs w:val="24"/>
          <w:rtl w:val="0"/>
        </w:rPr>
        <w:t xml:space="preserve">MARINI, Ruy Mauro. Possibilidades e limites da Assembleia Constituinte. In: SADER, Emir (Org.). </w:t>
      </w:r>
      <w:r w:rsidDel="00000000" w:rsidR="00000000" w:rsidRPr="00000000">
        <w:rPr>
          <w:i w:val="1"/>
          <w:sz w:val="24"/>
          <w:szCs w:val="24"/>
          <w:rtl w:val="0"/>
        </w:rPr>
        <w:t xml:space="preserve">Constituinte e democracia no Brasil hoje.</w:t>
      </w:r>
      <w:r w:rsidDel="00000000" w:rsidR="00000000" w:rsidRPr="00000000">
        <w:rPr>
          <w:sz w:val="24"/>
          <w:szCs w:val="24"/>
          <w:rtl w:val="0"/>
        </w:rPr>
        <w:t xml:space="preserve"> São Paulo: Editora Brasiliense, 1985, p.17-43.</w:t>
      </w:r>
    </w:p>
    <w:p w:rsidR="00000000" w:rsidDel="00000000" w:rsidP="00000000" w:rsidRDefault="00000000" w:rsidRPr="00000000" w14:paraId="00000055">
      <w:pPr>
        <w:spacing w:before="200" w:line="240" w:lineRule="auto"/>
        <w:rPr>
          <w:sz w:val="24"/>
          <w:szCs w:val="24"/>
        </w:rPr>
      </w:pPr>
      <w:r w:rsidDel="00000000" w:rsidR="00000000" w:rsidRPr="00000000">
        <w:rPr>
          <w:sz w:val="24"/>
          <w:szCs w:val="24"/>
          <w:rtl w:val="0"/>
        </w:rPr>
        <w:t xml:space="preserve">MARINI, Ruy Mauro. O Estado de Contra-insurgência. In: </w:t>
      </w:r>
      <w:r w:rsidDel="00000000" w:rsidR="00000000" w:rsidRPr="00000000">
        <w:rPr>
          <w:i w:val="1"/>
          <w:sz w:val="24"/>
          <w:szCs w:val="24"/>
          <w:rtl w:val="0"/>
        </w:rPr>
        <w:t xml:space="preserve">Revista de Estudos e Pesquisas sobre as Américas</w:t>
      </w:r>
      <w:r w:rsidDel="00000000" w:rsidR="00000000" w:rsidRPr="00000000">
        <w:rPr>
          <w:sz w:val="24"/>
          <w:szCs w:val="24"/>
          <w:rtl w:val="0"/>
        </w:rPr>
        <w:t xml:space="preserve">, Brasília, vol.12, n.3, p.1-15, [1978] 2018.</w:t>
      </w:r>
    </w:p>
    <w:p w:rsidR="00000000" w:rsidDel="00000000" w:rsidP="00000000" w:rsidRDefault="00000000" w:rsidRPr="00000000" w14:paraId="00000056">
      <w:pPr>
        <w:spacing w:before="200" w:line="240" w:lineRule="auto"/>
        <w:rPr>
          <w:sz w:val="24"/>
          <w:szCs w:val="24"/>
        </w:rPr>
      </w:pPr>
      <w:r w:rsidDel="00000000" w:rsidR="00000000" w:rsidRPr="00000000">
        <w:rPr>
          <w:sz w:val="24"/>
          <w:szCs w:val="24"/>
          <w:rtl w:val="0"/>
        </w:rPr>
        <w:t xml:space="preserve">MARINI, Ruy Mauro. Brasil: da ditadura à democracia, 1964-1990. Net, Março de 1991. Disponível em: &lt;</w:t>
      </w:r>
      <w:hyperlink r:id="rId8">
        <w:r w:rsidDel="00000000" w:rsidR="00000000" w:rsidRPr="00000000">
          <w:rPr>
            <w:color w:val="1155cc"/>
            <w:sz w:val="24"/>
            <w:szCs w:val="24"/>
            <w:u w:val="single"/>
            <w:rtl w:val="0"/>
          </w:rPr>
          <w:t xml:space="preserve">https://marini-escritos.unam.mx/?p=1447</w:t>
        </w:r>
      </w:hyperlink>
      <w:r w:rsidDel="00000000" w:rsidR="00000000" w:rsidRPr="00000000">
        <w:rPr>
          <w:sz w:val="24"/>
          <w:szCs w:val="24"/>
          <w:rtl w:val="0"/>
        </w:rPr>
        <w:t xml:space="preserve">&gt; Acesso em: 1 jan. 2025.</w:t>
      </w:r>
    </w:p>
    <w:p w:rsidR="00000000" w:rsidDel="00000000" w:rsidP="00000000" w:rsidRDefault="00000000" w:rsidRPr="00000000" w14:paraId="00000057">
      <w:pPr>
        <w:spacing w:line="360" w:lineRule="auto"/>
        <w:ind w:left="0" w:firstLine="0"/>
        <w:jc w:val="both"/>
        <w:rPr>
          <w:b w:val="1"/>
          <w:sz w:val="24"/>
          <w:szCs w:val="24"/>
        </w:rPr>
      </w:pPr>
      <w:r w:rsidDel="00000000" w:rsidR="00000000" w:rsidRPr="00000000">
        <w:rPr>
          <w:rtl w:val="0"/>
        </w:rPr>
      </w:r>
    </w:p>
    <w:sectPr>
      <w:headerReference r:id="rId9" w:type="default"/>
      <w:foot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Bacharel em Serviço Social pela Universidade Federal do Estado do Rio de Janeiro (UNIRIO). Mestrando em serviço social na Universidade Federal do Rio de Janeiro (UFRJ).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marini-escritos.unam.mx/?p=144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76UtyVRsCZqlmyhzG504Ymfsjg==">CgMxLjA4AHIhMVNTcWtsamk2Nk1JcDhxRy1RY0hnczlkajFyVzItN0oy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