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16C6F" w14:textId="6E09FE63" w:rsidR="00181027" w:rsidRDefault="00C10E6A">
      <w:pPr>
        <w:shd w:val="clear" w:color="auto" w:fill="FFFFFF"/>
        <w:spacing w:line="360" w:lineRule="auto"/>
        <w:jc w:val="center"/>
        <w:rPr>
          <w:sz w:val="24"/>
          <w:szCs w:val="24"/>
        </w:rPr>
      </w:pPr>
      <w:r w:rsidRPr="00C10E6A">
        <w:rPr>
          <w:b/>
          <w:bCs/>
          <w:sz w:val="24"/>
          <w:szCs w:val="24"/>
        </w:rPr>
        <w:t>EDUCAÇÃO PATRIMONIAL DECOLONIAL:</w:t>
      </w:r>
      <w:r w:rsidRPr="00C10E6A">
        <w:rPr>
          <w:sz w:val="24"/>
          <w:szCs w:val="24"/>
        </w:rPr>
        <w:t xml:space="preserve"> </w:t>
      </w:r>
      <w:r w:rsidRPr="00C10E6A">
        <w:rPr>
          <w:sz w:val="24"/>
          <w:szCs w:val="24"/>
        </w:rPr>
        <w:t>Políticas Curriculares, Memórias Locais e os Desafios da Descolonização dos Saberes Patrimoniais</w:t>
      </w:r>
      <w:r>
        <w:rPr>
          <w:sz w:val="24"/>
          <w:szCs w:val="24"/>
        </w:rPr>
        <w:t>.</w:t>
      </w:r>
    </w:p>
    <w:p w14:paraId="2F89A9B4" w14:textId="77777777" w:rsidR="00181027" w:rsidRDefault="00181027">
      <w:pPr>
        <w:shd w:val="clear" w:color="auto" w:fill="FFFFFF"/>
        <w:spacing w:line="360" w:lineRule="auto"/>
        <w:jc w:val="right"/>
        <w:rPr>
          <w:sz w:val="24"/>
          <w:szCs w:val="24"/>
        </w:rPr>
      </w:pPr>
    </w:p>
    <w:p w14:paraId="4F402DE4" w14:textId="0848E9C3" w:rsidR="00181027" w:rsidRDefault="006C3552">
      <w:pPr>
        <w:shd w:val="clear" w:color="auto" w:fill="FFFFFF"/>
        <w:spacing w:line="360" w:lineRule="auto"/>
        <w:jc w:val="right"/>
        <w:rPr>
          <w:sz w:val="24"/>
          <w:szCs w:val="24"/>
        </w:rPr>
      </w:pPr>
      <w:r>
        <w:rPr>
          <w:sz w:val="24"/>
          <w:szCs w:val="24"/>
        </w:rPr>
        <w:t>Ana Paula Rodrigues da Silva</w:t>
      </w:r>
      <w:r>
        <w:rPr>
          <w:sz w:val="24"/>
          <w:szCs w:val="24"/>
          <w:vertAlign w:val="superscript"/>
        </w:rPr>
        <w:footnoteReference w:id="1"/>
      </w:r>
    </w:p>
    <w:p w14:paraId="21D42D4A" w14:textId="77777777" w:rsidR="00181027" w:rsidRDefault="00000000">
      <w:pPr>
        <w:spacing w:line="240" w:lineRule="auto"/>
        <w:ind w:left="2835"/>
        <w:jc w:val="both"/>
        <w:rPr>
          <w:b/>
          <w:sz w:val="20"/>
          <w:szCs w:val="20"/>
        </w:rPr>
      </w:pPr>
      <w:r>
        <w:rPr>
          <w:b/>
          <w:sz w:val="20"/>
          <w:szCs w:val="20"/>
        </w:rPr>
        <w:t>Resumo</w:t>
      </w:r>
    </w:p>
    <w:p w14:paraId="63DA30D8" w14:textId="3B04907A" w:rsidR="00181027" w:rsidRDefault="008B3EC3">
      <w:pPr>
        <w:spacing w:line="240" w:lineRule="auto"/>
        <w:ind w:left="2834"/>
        <w:jc w:val="both"/>
        <w:rPr>
          <w:color w:val="FF0000"/>
          <w:sz w:val="20"/>
          <w:szCs w:val="20"/>
          <w:highlight w:val="white"/>
        </w:rPr>
      </w:pPr>
      <w:r w:rsidRPr="008B3EC3">
        <w:rPr>
          <w:sz w:val="20"/>
          <w:szCs w:val="20"/>
        </w:rPr>
        <w:t>A educação patrimonial decolonial analisa criticamente as políticas curriculares e práticas pedagógicas que reproduzem hierarquias epistêmicas, propondo o reconhecimento de saberes locais e narrativas comunitárias como bases de uma abordagem inclusiva e transformadora. A partir dos conceitos de colonialidade do poder e do saber (Quijano, 2000), epistemologias do Sul (Santos, 2014), interculturalidade crítica (Walsh, 2012) e pedagogia dialógica (Freire, 1970), o estudo identifica lacunas nas diretrizes oficiais (BNCC, 2018; IPHAN, 2013) e apresenta o caso de Coroatá-MA como modelo de valorização de memórias subterrâneas (Pollak, 1989). Conclui que a justiça cognitiva e cultural depende de formação docente decolonial, instâncias participativas e financiamento para projetos colaborativos entre escola e comunidade.</w:t>
      </w:r>
    </w:p>
    <w:p w14:paraId="7F5BB06D" w14:textId="291A9C8E" w:rsidR="00181027" w:rsidRDefault="00000000">
      <w:pPr>
        <w:spacing w:line="240" w:lineRule="auto"/>
        <w:ind w:left="2834"/>
        <w:jc w:val="both"/>
        <w:rPr>
          <w:sz w:val="20"/>
          <w:szCs w:val="20"/>
        </w:rPr>
      </w:pPr>
      <w:r>
        <w:rPr>
          <w:b/>
          <w:sz w:val="20"/>
          <w:szCs w:val="20"/>
        </w:rPr>
        <w:t>Palavras-chave</w:t>
      </w:r>
      <w:r>
        <w:rPr>
          <w:sz w:val="20"/>
          <w:szCs w:val="20"/>
        </w:rPr>
        <w:t xml:space="preserve">: </w:t>
      </w:r>
      <w:r w:rsidR="009875AE">
        <w:rPr>
          <w:sz w:val="20"/>
          <w:szCs w:val="20"/>
        </w:rPr>
        <w:t>e</w:t>
      </w:r>
      <w:r w:rsidR="00C65F2A" w:rsidRPr="00C65F2A">
        <w:rPr>
          <w:sz w:val="20"/>
          <w:szCs w:val="20"/>
        </w:rPr>
        <w:t>ducação</w:t>
      </w:r>
      <w:r w:rsidR="009875AE">
        <w:rPr>
          <w:sz w:val="20"/>
          <w:szCs w:val="20"/>
        </w:rPr>
        <w:t xml:space="preserve"> patrimonial</w:t>
      </w:r>
      <w:r w:rsidR="00C65F2A" w:rsidRPr="00C65F2A">
        <w:rPr>
          <w:sz w:val="20"/>
          <w:szCs w:val="20"/>
        </w:rPr>
        <w:t xml:space="preserve"> 1; </w:t>
      </w:r>
      <w:r w:rsidR="009875AE" w:rsidRPr="009875AE">
        <w:rPr>
          <w:sz w:val="20"/>
          <w:szCs w:val="20"/>
        </w:rPr>
        <w:t>justiça cognitiva</w:t>
      </w:r>
      <w:r w:rsidR="009875AE">
        <w:rPr>
          <w:sz w:val="20"/>
          <w:szCs w:val="20"/>
        </w:rPr>
        <w:t xml:space="preserve"> </w:t>
      </w:r>
      <w:r w:rsidR="00C65F2A" w:rsidRPr="00C65F2A">
        <w:rPr>
          <w:sz w:val="20"/>
          <w:szCs w:val="20"/>
        </w:rPr>
        <w:t xml:space="preserve">2; </w:t>
      </w:r>
      <w:r w:rsidR="009875AE" w:rsidRPr="009875AE">
        <w:rPr>
          <w:sz w:val="20"/>
          <w:szCs w:val="20"/>
        </w:rPr>
        <w:t>interculturalidade crítica</w:t>
      </w:r>
      <w:r w:rsidR="00C65F2A" w:rsidRPr="00C65F2A">
        <w:rPr>
          <w:sz w:val="20"/>
          <w:szCs w:val="20"/>
        </w:rPr>
        <w:t xml:space="preserve"> 3.</w:t>
      </w:r>
    </w:p>
    <w:p w14:paraId="7B8C30E4" w14:textId="77777777" w:rsidR="00181027" w:rsidRPr="00E94058" w:rsidRDefault="00000000">
      <w:pPr>
        <w:spacing w:line="240" w:lineRule="auto"/>
        <w:ind w:left="2834"/>
        <w:jc w:val="both"/>
        <w:rPr>
          <w:sz w:val="20"/>
          <w:szCs w:val="20"/>
        </w:rPr>
      </w:pPr>
      <w:r w:rsidRPr="00E94058">
        <w:rPr>
          <w:b/>
          <w:sz w:val="20"/>
          <w:szCs w:val="20"/>
        </w:rPr>
        <w:t>Abstract</w:t>
      </w:r>
    </w:p>
    <w:p w14:paraId="7DBE3D66" w14:textId="230B2D5F" w:rsidR="008B3EC3" w:rsidRPr="008B3EC3" w:rsidRDefault="008B3EC3" w:rsidP="008B3EC3">
      <w:pPr>
        <w:spacing w:line="240" w:lineRule="auto"/>
        <w:ind w:left="2834"/>
        <w:jc w:val="both"/>
        <w:rPr>
          <w:sz w:val="20"/>
          <w:szCs w:val="20"/>
          <w:lang w:val="en-US"/>
        </w:rPr>
      </w:pPr>
      <w:r w:rsidRPr="008B3EC3">
        <w:rPr>
          <w:sz w:val="20"/>
          <w:szCs w:val="20"/>
          <w:lang w:val="en-US"/>
        </w:rPr>
        <w:t>Decolonial heritage education critically examines curricular policies and pedagogical practices that perpetuate epistemic hierarchies, proposing local knowledges and community narratives as foundations for an inclusive, transformative approach. Drawing on coloniality of power and knowledge (Quijano, 2000), Southern epistemologies (Santos, 2014), critical interculturality (Walsh, 2012), and dialogical pedagogy (Freire, 1970), this study identifies gaps in official guidelines (</w:t>
      </w:r>
      <w:proofErr w:type="spellStart"/>
      <w:r w:rsidRPr="008B3EC3">
        <w:rPr>
          <w:sz w:val="20"/>
          <w:szCs w:val="20"/>
          <w:lang w:val="en-US"/>
        </w:rPr>
        <w:t>BNCC</w:t>
      </w:r>
      <w:proofErr w:type="spellEnd"/>
      <w:r w:rsidRPr="008B3EC3">
        <w:rPr>
          <w:sz w:val="20"/>
          <w:szCs w:val="20"/>
          <w:lang w:val="en-US"/>
        </w:rPr>
        <w:t xml:space="preserve">, 2018; </w:t>
      </w:r>
      <w:proofErr w:type="spellStart"/>
      <w:r w:rsidRPr="008B3EC3">
        <w:rPr>
          <w:sz w:val="20"/>
          <w:szCs w:val="20"/>
          <w:lang w:val="en-US"/>
        </w:rPr>
        <w:t>IPHAN</w:t>
      </w:r>
      <w:proofErr w:type="spellEnd"/>
      <w:r w:rsidRPr="008B3EC3">
        <w:rPr>
          <w:sz w:val="20"/>
          <w:szCs w:val="20"/>
          <w:lang w:val="en-US"/>
        </w:rPr>
        <w:t>, 2013) and presents the Coroatá-MA case as a model for valuing subterranean memories (Pollak, 1989). It concludes that cognitive and cultural justice requires decolonial teacher training, participatory bodies, and sustained funding for school-community collaborative projects.</w:t>
      </w:r>
    </w:p>
    <w:p w14:paraId="4CB54C69" w14:textId="17268F80" w:rsidR="00181027" w:rsidRDefault="00000000">
      <w:pPr>
        <w:spacing w:line="240" w:lineRule="auto"/>
        <w:ind w:left="2834"/>
        <w:jc w:val="both"/>
        <w:rPr>
          <w:sz w:val="20"/>
          <w:szCs w:val="20"/>
          <w:lang w:val="en-US"/>
        </w:rPr>
      </w:pPr>
      <w:r w:rsidRPr="008B3EC3">
        <w:rPr>
          <w:b/>
          <w:sz w:val="20"/>
          <w:szCs w:val="20"/>
          <w:lang w:val="en-US"/>
        </w:rPr>
        <w:t>Keywords</w:t>
      </w:r>
      <w:r w:rsidRPr="008B3EC3">
        <w:rPr>
          <w:sz w:val="20"/>
          <w:szCs w:val="20"/>
          <w:lang w:val="en-US"/>
        </w:rPr>
        <w:t>:</w:t>
      </w:r>
      <w:r w:rsidR="00C65F2A" w:rsidRPr="008B3EC3">
        <w:rPr>
          <w:sz w:val="20"/>
          <w:szCs w:val="20"/>
          <w:lang w:val="en-US"/>
        </w:rPr>
        <w:t xml:space="preserve"> </w:t>
      </w:r>
      <w:r w:rsidR="008B3EC3" w:rsidRPr="008B3EC3">
        <w:rPr>
          <w:sz w:val="20"/>
          <w:szCs w:val="20"/>
          <w:lang w:val="en-US"/>
        </w:rPr>
        <w:t>heritage education</w:t>
      </w:r>
      <w:r w:rsidRPr="008B3EC3">
        <w:rPr>
          <w:sz w:val="20"/>
          <w:szCs w:val="20"/>
          <w:lang w:val="en-US"/>
        </w:rPr>
        <w:t xml:space="preserve"> 1; </w:t>
      </w:r>
      <w:r w:rsidR="008B3EC3" w:rsidRPr="008B3EC3">
        <w:rPr>
          <w:sz w:val="20"/>
          <w:szCs w:val="20"/>
          <w:lang w:val="en-US"/>
        </w:rPr>
        <w:t>cognitive justice</w:t>
      </w:r>
      <w:r w:rsidR="008B3EC3" w:rsidRPr="008B3EC3">
        <w:rPr>
          <w:sz w:val="20"/>
          <w:szCs w:val="20"/>
          <w:lang w:val="en-US"/>
        </w:rPr>
        <w:t xml:space="preserve"> </w:t>
      </w:r>
      <w:r w:rsidRPr="008B3EC3">
        <w:rPr>
          <w:sz w:val="20"/>
          <w:szCs w:val="20"/>
          <w:lang w:val="en-US"/>
        </w:rPr>
        <w:t>2;</w:t>
      </w:r>
      <w:r w:rsidR="00C65F2A" w:rsidRPr="008B3EC3">
        <w:rPr>
          <w:sz w:val="20"/>
          <w:szCs w:val="20"/>
          <w:lang w:val="en-US"/>
        </w:rPr>
        <w:t xml:space="preserve"> </w:t>
      </w:r>
      <w:r w:rsidR="009875AE" w:rsidRPr="009875AE">
        <w:rPr>
          <w:sz w:val="20"/>
          <w:szCs w:val="20"/>
          <w:lang w:val="en-US"/>
        </w:rPr>
        <w:t>critical interculturality.</w:t>
      </w:r>
      <w:r w:rsidRPr="008B3EC3">
        <w:rPr>
          <w:sz w:val="20"/>
          <w:szCs w:val="20"/>
          <w:lang w:val="en-US"/>
        </w:rPr>
        <w:t xml:space="preserve"> 3.</w:t>
      </w:r>
    </w:p>
    <w:p w14:paraId="410B4CD2" w14:textId="77777777" w:rsidR="009875AE" w:rsidRDefault="009875AE">
      <w:pPr>
        <w:spacing w:line="240" w:lineRule="auto"/>
        <w:ind w:left="2834"/>
        <w:jc w:val="both"/>
        <w:rPr>
          <w:b/>
          <w:sz w:val="24"/>
          <w:szCs w:val="24"/>
          <w:lang w:val="en-US"/>
        </w:rPr>
      </w:pPr>
    </w:p>
    <w:p w14:paraId="2B271B9A" w14:textId="77777777" w:rsidR="009875AE" w:rsidRDefault="009875AE">
      <w:pPr>
        <w:spacing w:line="240" w:lineRule="auto"/>
        <w:ind w:left="2834"/>
        <w:jc w:val="both"/>
        <w:rPr>
          <w:b/>
          <w:sz w:val="24"/>
          <w:szCs w:val="24"/>
          <w:lang w:val="en-US"/>
        </w:rPr>
      </w:pPr>
    </w:p>
    <w:p w14:paraId="2FBBF734" w14:textId="77777777" w:rsidR="009875AE" w:rsidRDefault="009875AE">
      <w:pPr>
        <w:spacing w:line="240" w:lineRule="auto"/>
        <w:ind w:left="2834"/>
        <w:jc w:val="both"/>
        <w:rPr>
          <w:b/>
          <w:sz w:val="24"/>
          <w:szCs w:val="24"/>
          <w:lang w:val="en-US"/>
        </w:rPr>
      </w:pPr>
    </w:p>
    <w:p w14:paraId="0AFEB9F6" w14:textId="77777777" w:rsidR="009875AE" w:rsidRDefault="009875AE">
      <w:pPr>
        <w:spacing w:line="240" w:lineRule="auto"/>
        <w:ind w:left="2834"/>
        <w:jc w:val="both"/>
        <w:rPr>
          <w:b/>
          <w:sz w:val="24"/>
          <w:szCs w:val="24"/>
          <w:lang w:val="en-US"/>
        </w:rPr>
      </w:pPr>
    </w:p>
    <w:p w14:paraId="11BAC345" w14:textId="77777777" w:rsidR="009875AE" w:rsidRDefault="009875AE">
      <w:pPr>
        <w:spacing w:line="240" w:lineRule="auto"/>
        <w:ind w:left="2834"/>
        <w:jc w:val="both"/>
        <w:rPr>
          <w:b/>
          <w:sz w:val="24"/>
          <w:szCs w:val="24"/>
          <w:lang w:val="en-US"/>
        </w:rPr>
      </w:pPr>
    </w:p>
    <w:p w14:paraId="299637A9" w14:textId="77777777" w:rsidR="009875AE" w:rsidRDefault="009875AE">
      <w:pPr>
        <w:spacing w:line="240" w:lineRule="auto"/>
        <w:ind w:left="2834"/>
        <w:jc w:val="both"/>
        <w:rPr>
          <w:b/>
          <w:sz w:val="24"/>
          <w:szCs w:val="24"/>
          <w:lang w:val="en-US"/>
        </w:rPr>
      </w:pPr>
    </w:p>
    <w:p w14:paraId="35E41D5D" w14:textId="77777777" w:rsidR="009875AE" w:rsidRDefault="009875AE">
      <w:pPr>
        <w:spacing w:line="240" w:lineRule="auto"/>
        <w:ind w:left="2834"/>
        <w:jc w:val="both"/>
        <w:rPr>
          <w:b/>
          <w:sz w:val="24"/>
          <w:szCs w:val="24"/>
          <w:lang w:val="en-US"/>
        </w:rPr>
      </w:pPr>
    </w:p>
    <w:p w14:paraId="4723305D" w14:textId="77777777" w:rsidR="009875AE" w:rsidRDefault="009875AE">
      <w:pPr>
        <w:spacing w:line="240" w:lineRule="auto"/>
        <w:ind w:left="2834"/>
        <w:jc w:val="both"/>
        <w:rPr>
          <w:b/>
          <w:sz w:val="24"/>
          <w:szCs w:val="24"/>
          <w:lang w:val="en-US"/>
        </w:rPr>
      </w:pPr>
    </w:p>
    <w:p w14:paraId="624137E7" w14:textId="77777777" w:rsidR="00181027" w:rsidRDefault="00000000">
      <w:pPr>
        <w:spacing w:line="360" w:lineRule="auto"/>
        <w:rPr>
          <w:b/>
          <w:sz w:val="24"/>
          <w:szCs w:val="24"/>
        </w:rPr>
      </w:pPr>
      <w:r>
        <w:rPr>
          <w:b/>
          <w:sz w:val="24"/>
          <w:szCs w:val="24"/>
        </w:rPr>
        <w:lastRenderedPageBreak/>
        <w:t>1</w:t>
      </w:r>
      <w:r>
        <w:rPr>
          <w:b/>
          <w:sz w:val="24"/>
          <w:szCs w:val="24"/>
        </w:rPr>
        <w:tab/>
        <w:t>INTRODUÇÃO</w:t>
      </w:r>
    </w:p>
    <w:p w14:paraId="7B0A7800" w14:textId="77777777" w:rsidR="00181027" w:rsidRDefault="00181027">
      <w:pPr>
        <w:spacing w:line="360" w:lineRule="auto"/>
        <w:rPr>
          <w:b/>
          <w:sz w:val="24"/>
          <w:szCs w:val="24"/>
        </w:rPr>
      </w:pPr>
    </w:p>
    <w:p w14:paraId="78DA9326" w14:textId="08022E10" w:rsidR="00BC1736" w:rsidRPr="00BC1736" w:rsidRDefault="00BC1736" w:rsidP="00BC1736">
      <w:pPr>
        <w:spacing w:line="360" w:lineRule="auto"/>
        <w:ind w:firstLine="720"/>
        <w:jc w:val="both"/>
        <w:rPr>
          <w:sz w:val="24"/>
          <w:szCs w:val="24"/>
        </w:rPr>
      </w:pPr>
      <w:r w:rsidRPr="00BC1736">
        <w:rPr>
          <w:sz w:val="24"/>
          <w:szCs w:val="24"/>
        </w:rPr>
        <w:t>A educação patrimonial no Brasil enfrenta desafios que exigem uma revisão crítica de suas bases teóricas e práticas pedagógicas. Historicamente marcada por abordagens preservacionistas e elitizadas, essa área assume tensões crescente entre a lógica institucional e a demanda por democratização e inclusão das vozes comunitárias. Esse descompasso torna-se visível nas políticas educacionais, em que diretrizes curriculares, mesmo quando apontam para a diversidade cultural, raramente se traduzem em práticas pedagógicas de fato inclusivas.</w:t>
      </w:r>
    </w:p>
    <w:p w14:paraId="744C2225" w14:textId="77777777" w:rsidR="00BC1736" w:rsidRPr="00BC1736" w:rsidRDefault="00BC1736" w:rsidP="00BC1736">
      <w:pPr>
        <w:spacing w:line="360" w:lineRule="auto"/>
        <w:ind w:firstLine="720"/>
        <w:jc w:val="both"/>
        <w:rPr>
          <w:sz w:val="24"/>
          <w:szCs w:val="24"/>
        </w:rPr>
      </w:pPr>
      <w:r w:rsidRPr="00BC1736">
        <w:rPr>
          <w:sz w:val="24"/>
          <w:szCs w:val="24"/>
        </w:rPr>
        <w:t>O pensamento decolonial oferece lentes originais para enfrentar tais impasses. Aníbal Quijano (2000) demonstrou como a colonialidade do poder atravessa as instituições, configurando hierarquias que privilegiam saberes eurocentrados em detrimento de conhecimentos locais. No campo patrimonial, isso se reflete na imposição de critérios técnicos e na marginalização das memórias comunitárias, tratadas muitas vezes como curiosidades folclóricas.</w:t>
      </w:r>
    </w:p>
    <w:p w14:paraId="27C6E3B3" w14:textId="77777777" w:rsidR="00BC1736" w:rsidRPr="00BC1736" w:rsidRDefault="00BC1736" w:rsidP="00BC1736">
      <w:pPr>
        <w:spacing w:line="360" w:lineRule="auto"/>
        <w:ind w:firstLine="720"/>
        <w:jc w:val="both"/>
        <w:rPr>
          <w:sz w:val="24"/>
          <w:szCs w:val="24"/>
        </w:rPr>
      </w:pPr>
      <w:r w:rsidRPr="00BC1736">
        <w:rPr>
          <w:sz w:val="24"/>
          <w:szCs w:val="24"/>
        </w:rPr>
        <w:t>As diretrizes do Instituto do Patrimônio Histórico e Artístico Nacional (IPHAN, 2013) consignam a educação patrimonial como instrumento de valorização cultural. No entanto, a relação vertical entre especialistas e comunidades mantém-se hegemônica, restringindo a participação efetiva dos atores locais. Essa persistência das hierarquias epistêmicas, conforme alerta Boaventura de Sousa Santos (2014), impede o reconhecimento pleno das “epistemologias do Sul” e a emergência de formas plurais de conhecimento.</w:t>
      </w:r>
    </w:p>
    <w:p w14:paraId="141A000E" w14:textId="77777777" w:rsidR="00BC1736" w:rsidRPr="00BC1736" w:rsidRDefault="00BC1736" w:rsidP="00BC1736">
      <w:pPr>
        <w:spacing w:line="360" w:lineRule="auto"/>
        <w:ind w:firstLine="720"/>
        <w:jc w:val="both"/>
        <w:rPr>
          <w:sz w:val="24"/>
          <w:szCs w:val="24"/>
        </w:rPr>
      </w:pPr>
      <w:r w:rsidRPr="00BC1736">
        <w:rPr>
          <w:sz w:val="24"/>
          <w:szCs w:val="24"/>
        </w:rPr>
        <w:t>Catherine Walsh (2012), ao pensar a interculturalidade crítica, ressalta a necessidade de processos educativos que validem a diversidade cognitiva e rompam com a monocultura do saber. Essa perspectiva dialoga com a proposta decolonial, ao sugerir que as narrativas comunitárias não apenas ampliam o repertório cultural, mas também constituem estratégias de resistência epistêmica.</w:t>
      </w:r>
    </w:p>
    <w:p w14:paraId="4480CB23" w14:textId="47D9173E" w:rsidR="00BC1736" w:rsidRPr="00BC1736" w:rsidRDefault="00BC1736" w:rsidP="00BC1736">
      <w:pPr>
        <w:spacing w:line="360" w:lineRule="auto"/>
        <w:ind w:firstLine="720"/>
        <w:jc w:val="both"/>
        <w:rPr>
          <w:sz w:val="24"/>
          <w:szCs w:val="24"/>
        </w:rPr>
      </w:pPr>
      <w:r w:rsidRPr="00BC1736">
        <w:rPr>
          <w:sz w:val="24"/>
          <w:szCs w:val="24"/>
        </w:rPr>
        <w:t xml:space="preserve">No âmbito pedagógico, Paulo Freire (1970) ofereceu ferramentas conceituais centrais para essa transformação. Sua crítica à “educação bancária” e a defesa da </w:t>
      </w:r>
      <w:r w:rsidRPr="00BC1736">
        <w:rPr>
          <w:sz w:val="24"/>
          <w:szCs w:val="24"/>
        </w:rPr>
        <w:lastRenderedPageBreak/>
        <w:t xml:space="preserve">educação dialógica orientam práticas em que o patrimônio cultural não seja </w:t>
      </w:r>
      <w:r w:rsidR="00A039A4" w:rsidRPr="00BC1736">
        <w:rPr>
          <w:sz w:val="24"/>
          <w:szCs w:val="24"/>
        </w:rPr>
        <w:t>mero</w:t>
      </w:r>
      <w:r w:rsidRPr="00BC1736">
        <w:rPr>
          <w:sz w:val="24"/>
          <w:szCs w:val="24"/>
        </w:rPr>
        <w:t xml:space="preserve"> “objeto” de estudo, mas ponto de partida para a construção coletiva do saber. A partir dessa visão, o patrimônio torna-se espaço de problematização, em que educadores e educandos co-investigam realidades históricas e contemporâneas.</w:t>
      </w:r>
    </w:p>
    <w:p w14:paraId="1BFDE472" w14:textId="35B6D622" w:rsidR="00BC1736" w:rsidRPr="00BC1736" w:rsidRDefault="00BC1736" w:rsidP="00BC1736">
      <w:pPr>
        <w:spacing w:line="360" w:lineRule="auto"/>
        <w:ind w:firstLine="720"/>
        <w:jc w:val="both"/>
        <w:rPr>
          <w:sz w:val="24"/>
          <w:szCs w:val="24"/>
        </w:rPr>
      </w:pPr>
      <w:r w:rsidRPr="00BC1736">
        <w:rPr>
          <w:sz w:val="24"/>
          <w:szCs w:val="24"/>
        </w:rPr>
        <w:t>A dimensão política da educação patrimonial emerge ao considerarmos as memórias subterrâneas termo cunhado por Michael Pollak (1989) que abrigam vozes silenciadas pelo discurso oficial. Comunidades indígenas, quilombolas e outros grupos marginalizados preservam, em narrativas orais e rituais, camadas de memória que desafiam a historiografia dominante. Visibilizá-las não é só resgatar o passado, mas recompor o presente, oferecendo repertórios de luta e afirmação cultural.</w:t>
      </w:r>
    </w:p>
    <w:p w14:paraId="76319E03" w14:textId="77777777" w:rsidR="00BC1736" w:rsidRPr="00BC1736" w:rsidRDefault="00BC1736" w:rsidP="00BC1736">
      <w:pPr>
        <w:spacing w:line="360" w:lineRule="auto"/>
        <w:ind w:firstLine="720"/>
        <w:jc w:val="both"/>
        <w:rPr>
          <w:sz w:val="24"/>
          <w:szCs w:val="24"/>
        </w:rPr>
      </w:pPr>
      <w:r w:rsidRPr="00BC1736">
        <w:rPr>
          <w:sz w:val="24"/>
          <w:szCs w:val="24"/>
        </w:rPr>
        <w:t>Estudos sobre políticas curriculares indicam que, apesar de avanços formais, persiste uma visão folclorizada da cultura, que limita o potencial crítico da educação patrimonial. Urge, pois, promover mudanças metodológicas e epistêmicas que promovam o exercício interétnico e inter-epistêmico, reconhecendo a integralidade das práticas comunitárias e escolares.</w:t>
      </w:r>
    </w:p>
    <w:p w14:paraId="6887C68F" w14:textId="77777777" w:rsidR="00BC1736" w:rsidRPr="00BC1736" w:rsidRDefault="00BC1736" w:rsidP="00BC1736">
      <w:pPr>
        <w:spacing w:line="360" w:lineRule="auto"/>
        <w:ind w:firstLine="720"/>
        <w:jc w:val="both"/>
        <w:rPr>
          <w:sz w:val="24"/>
          <w:szCs w:val="24"/>
        </w:rPr>
      </w:pPr>
      <w:r w:rsidRPr="00BC1736">
        <w:rPr>
          <w:sz w:val="24"/>
          <w:szCs w:val="24"/>
        </w:rPr>
        <w:t>Este trabalho propõe uma abordagem articulada entre a crítica decolonial às políticas educacionais e a valorização das memórias locais. Ao integrar teoria e prática, pretende-se apontar caminhos para uma educação patrimonial que seja, simultaneamente, inclusiva, crítica e transformadora, contribuindo para a justiça cognitiva e cultural no Brasil.</w:t>
      </w:r>
    </w:p>
    <w:p w14:paraId="31C69C2E" w14:textId="3BD94453" w:rsidR="00E94058" w:rsidRPr="00E94058" w:rsidRDefault="00E94058" w:rsidP="00E94058">
      <w:pPr>
        <w:spacing w:line="360" w:lineRule="auto"/>
        <w:ind w:firstLine="720"/>
        <w:jc w:val="both"/>
        <w:rPr>
          <w:sz w:val="24"/>
          <w:szCs w:val="24"/>
        </w:rPr>
      </w:pPr>
    </w:p>
    <w:p w14:paraId="0B8F47E1" w14:textId="2B624C21" w:rsidR="00181027" w:rsidRDefault="00181027" w:rsidP="00C65F2A">
      <w:pPr>
        <w:spacing w:line="360" w:lineRule="auto"/>
        <w:ind w:firstLine="720"/>
        <w:jc w:val="both"/>
        <w:rPr>
          <w:sz w:val="24"/>
          <w:szCs w:val="24"/>
        </w:rPr>
      </w:pPr>
    </w:p>
    <w:p w14:paraId="12C53355" w14:textId="77777777" w:rsidR="00181027" w:rsidRDefault="00181027">
      <w:pPr>
        <w:spacing w:line="432" w:lineRule="auto"/>
        <w:ind w:firstLine="720"/>
        <w:jc w:val="both"/>
        <w:rPr>
          <w:sz w:val="24"/>
          <w:szCs w:val="24"/>
        </w:rPr>
      </w:pPr>
    </w:p>
    <w:p w14:paraId="324EEE84" w14:textId="49C7BDB3" w:rsidR="00181027" w:rsidRDefault="00000000">
      <w:pPr>
        <w:spacing w:line="360" w:lineRule="auto"/>
        <w:jc w:val="both"/>
        <w:rPr>
          <w:b/>
          <w:sz w:val="24"/>
          <w:szCs w:val="24"/>
        </w:rPr>
      </w:pPr>
      <w:r>
        <w:rPr>
          <w:b/>
          <w:sz w:val="24"/>
          <w:szCs w:val="24"/>
        </w:rPr>
        <w:t>2</w:t>
      </w:r>
      <w:r>
        <w:rPr>
          <w:b/>
          <w:sz w:val="24"/>
          <w:szCs w:val="24"/>
        </w:rPr>
        <w:tab/>
      </w:r>
      <w:r w:rsidR="00C10E6A" w:rsidRPr="00C10E6A">
        <w:rPr>
          <w:b/>
          <w:sz w:val="24"/>
          <w:szCs w:val="24"/>
        </w:rPr>
        <w:t>DA COLONIALIDADE À DECOLONIALIDADE: FUNDAMENTOS TEÓRICO-METODOLÓGICOS DA EDUCAÇÃO PATRIMONIAL</w:t>
      </w:r>
    </w:p>
    <w:p w14:paraId="1920FEFE" w14:textId="77777777" w:rsidR="00181027" w:rsidRDefault="00181027">
      <w:pPr>
        <w:spacing w:line="360" w:lineRule="auto"/>
        <w:jc w:val="both"/>
        <w:rPr>
          <w:b/>
          <w:sz w:val="24"/>
          <w:szCs w:val="24"/>
        </w:rPr>
      </w:pPr>
    </w:p>
    <w:p w14:paraId="11E4D973" w14:textId="29EA8C00" w:rsidR="004E68A0" w:rsidRPr="004E68A0" w:rsidRDefault="004E68A0" w:rsidP="004E68A0">
      <w:pPr>
        <w:spacing w:line="360" w:lineRule="auto"/>
        <w:ind w:firstLine="720"/>
        <w:jc w:val="both"/>
        <w:rPr>
          <w:sz w:val="24"/>
          <w:szCs w:val="24"/>
        </w:rPr>
      </w:pPr>
      <w:r w:rsidRPr="004E68A0">
        <w:rPr>
          <w:sz w:val="24"/>
          <w:szCs w:val="24"/>
        </w:rPr>
        <w:t xml:space="preserve">A noção de colonialidade refere-se às persistentes estruturas de poder, saber e ser originadas no colonialismo e que continuam a moldar as práticas sociais e educativas contemporâneas (Quijano, 2000). No campo patrimonial, a colonialidade </w:t>
      </w:r>
      <w:r w:rsidRPr="004E68A0">
        <w:rPr>
          <w:sz w:val="24"/>
          <w:szCs w:val="24"/>
        </w:rPr>
        <w:lastRenderedPageBreak/>
        <w:t>manifesta-se pela priorização de critérios europeus na identificação, classificação e valoração dos bens culturais, silenciando saberes ancestrais e cotidianos das populações locais. Para desmontar essa lógica, a perspectiva decolonial propõe a desobstrução de vozes subalternas e a construção de epistêmicas plurais, capazes de reconhecer múltiplas formas de existência cultural (Santos, 2014; Walsh, 2012).</w:t>
      </w:r>
    </w:p>
    <w:p w14:paraId="1376C155" w14:textId="77777777" w:rsidR="004E68A0" w:rsidRPr="004E68A0" w:rsidRDefault="004E68A0" w:rsidP="004E68A0">
      <w:pPr>
        <w:spacing w:line="360" w:lineRule="auto"/>
        <w:ind w:firstLine="720"/>
        <w:jc w:val="both"/>
        <w:rPr>
          <w:sz w:val="24"/>
          <w:szCs w:val="24"/>
        </w:rPr>
      </w:pPr>
      <w:r w:rsidRPr="004E68A0">
        <w:rPr>
          <w:sz w:val="24"/>
          <w:szCs w:val="24"/>
        </w:rPr>
        <w:t>Quijano (2000) enfatiza que a colonialidade do poder não se encerrou com as independências político-jurídicas, mas foi reconfigurada em estruturas econômicas, políticas e simbólicas. Essas estruturas impõem uma divisão epistêmica que legitima apenas certos saberes e sujeita outros a um estatuto secundário. Aplicada à educação patrimonial, tal divisão alimenta práticas em que especialistas definem o que merece ser protegido ou ensinado, enquanto comunidades locais assumem papel meramente consultivo.</w:t>
      </w:r>
    </w:p>
    <w:p w14:paraId="4DE3A854" w14:textId="77777777" w:rsidR="004E68A0" w:rsidRPr="004E68A0" w:rsidRDefault="004E68A0" w:rsidP="004E68A0">
      <w:pPr>
        <w:spacing w:line="360" w:lineRule="auto"/>
        <w:ind w:firstLine="720"/>
        <w:jc w:val="both"/>
        <w:rPr>
          <w:sz w:val="24"/>
          <w:szCs w:val="24"/>
        </w:rPr>
      </w:pPr>
      <w:r w:rsidRPr="004E68A0">
        <w:rPr>
          <w:sz w:val="24"/>
          <w:szCs w:val="24"/>
        </w:rPr>
        <w:t>Em contraponto, as epistemologias do Sul de Boaventura de Sousa Santos (2014) incentivam a valorização de conhecimentos produzidos em contextos marginalizados. Santos propõe o diálogo entre saberes diversos, sem subordinação, configurando uma ecologia dos saberes em que o patrimônio cultural deixa de ser tratado como um objeto estático e passa a ser percebido como campo vivo de relações sociais, saberes populares e processos de resistência.</w:t>
      </w:r>
    </w:p>
    <w:p w14:paraId="31BD7F2D" w14:textId="77777777" w:rsidR="004E68A0" w:rsidRPr="004E68A0" w:rsidRDefault="004E68A0" w:rsidP="004E68A0">
      <w:pPr>
        <w:spacing w:line="360" w:lineRule="auto"/>
        <w:ind w:firstLine="720"/>
        <w:jc w:val="both"/>
        <w:rPr>
          <w:sz w:val="24"/>
          <w:szCs w:val="24"/>
        </w:rPr>
      </w:pPr>
      <w:r w:rsidRPr="004E68A0">
        <w:rPr>
          <w:sz w:val="24"/>
          <w:szCs w:val="24"/>
        </w:rPr>
        <w:t>Catherine Walsh (2012) conecta essa ecologia ao conceito de interculturalidade crítica, segundo o qual a educação deve promover interações horizontais entre culturas, reconhecendo dinâmicas de poder e reconstruindo currículos que incorporem perspectivas comunitárias. Nesse modelo, o patrimônio cultural emerge como recurso didático que não apenas ilustra conteúdos, mas provoca questionamentos sobre história, direito à memória e identidades plurais.</w:t>
      </w:r>
    </w:p>
    <w:p w14:paraId="4DC4A0F6" w14:textId="027160AF" w:rsidR="004E68A0" w:rsidRPr="004E68A0" w:rsidRDefault="004E68A0" w:rsidP="004E68A0">
      <w:pPr>
        <w:spacing w:line="360" w:lineRule="auto"/>
        <w:ind w:firstLine="720"/>
        <w:jc w:val="both"/>
        <w:rPr>
          <w:sz w:val="24"/>
          <w:szCs w:val="24"/>
        </w:rPr>
      </w:pPr>
      <w:r w:rsidRPr="004E68A0">
        <w:rPr>
          <w:sz w:val="24"/>
          <w:szCs w:val="24"/>
        </w:rPr>
        <w:t xml:space="preserve">A metodologia decolonial implica, portanto, a aplicação de práticas investigativas e pedagógicas que valorizem narrativas locais e a participação direta das comunidades na </w:t>
      </w:r>
      <w:r w:rsidR="00A039A4" w:rsidRPr="004E68A0">
        <w:rPr>
          <w:sz w:val="24"/>
          <w:szCs w:val="24"/>
        </w:rPr>
        <w:t>coprodução</w:t>
      </w:r>
      <w:r w:rsidRPr="004E68A0">
        <w:rPr>
          <w:sz w:val="24"/>
          <w:szCs w:val="24"/>
        </w:rPr>
        <w:t xml:space="preserve"> do conhecimento patrimonial. Essa postura dialoga com a crítica freireana à “educação bancária”, em que o educador deposita informações em receptores passivos. Para Paulo Freire (1970), a educação </w:t>
      </w:r>
      <w:r w:rsidRPr="004E68A0">
        <w:rPr>
          <w:sz w:val="24"/>
          <w:szCs w:val="24"/>
        </w:rPr>
        <w:lastRenderedPageBreak/>
        <w:t>emancipatória é dialógica: professores e educandos aprendem juntos, problematizando realidades e construindo significado de forma coletiva. Transposta ao patrimônio, essa lógica sugere experiências de ensino que partem dos atributos culturais reconhecidos pelas próprias comunidades, transformando-os em ponto de partida para reflexões críticas.</w:t>
      </w:r>
    </w:p>
    <w:p w14:paraId="0B5FDF60" w14:textId="77777777" w:rsidR="004E68A0" w:rsidRPr="004E68A0" w:rsidRDefault="004E68A0" w:rsidP="004E68A0">
      <w:pPr>
        <w:spacing w:line="360" w:lineRule="auto"/>
        <w:ind w:firstLine="720"/>
        <w:jc w:val="both"/>
        <w:rPr>
          <w:sz w:val="24"/>
          <w:szCs w:val="24"/>
        </w:rPr>
      </w:pPr>
      <w:r w:rsidRPr="004E68A0">
        <w:rPr>
          <w:sz w:val="24"/>
          <w:szCs w:val="24"/>
        </w:rPr>
        <w:t>A centralidade das memórias subterrâneas (Pollak, 1989) complementa essa abordagem ao chamar atenção para histórias e práticas ocultas pelo discurso oficial. Quilombos, aldeias indígenas, periferias urbanas mantêm registros simbólicos em festas, ofícios e contos orais, que permanecem invisíveis às agendas institucionais. Reconhecê-las é descolonizar o campo patrimonial, dando status acadêmico e institucional a saberes que, por meio da educação, podem empoderar comunidades e fortalecer laços identitários.</w:t>
      </w:r>
    </w:p>
    <w:p w14:paraId="78092FD3" w14:textId="77777777" w:rsidR="004E68A0" w:rsidRPr="004E68A0" w:rsidRDefault="004E68A0" w:rsidP="004E68A0">
      <w:pPr>
        <w:spacing w:line="360" w:lineRule="auto"/>
        <w:ind w:firstLine="720"/>
        <w:jc w:val="both"/>
        <w:rPr>
          <w:sz w:val="24"/>
          <w:szCs w:val="24"/>
        </w:rPr>
      </w:pPr>
      <w:r w:rsidRPr="004E68A0">
        <w:rPr>
          <w:sz w:val="24"/>
          <w:szCs w:val="24"/>
        </w:rPr>
        <w:t>Em síntese, os fundamentos teórico-metodológicos da educação patrimonial decolonial combinam: (a) diagnóstico da colonialidade do poder e do saber (Quijano, 2000); (b) defesa de epistemologias plurais e da ecologia dos saberes (Santos, 2014); (c) prática de interculturalidade crítica (Walsh, 2012); (d) pedagogia dialógica e problematizadora (Freire, 1970); e (e) visibilização de memórias subterrâneas (Pollak, 1989). Essa articulação oferece subsídios teóricos e metodológicos para políticas curriculares e práticas pedagógicas que rompam com a reprodução de hierarquias epistêmicas e construam uma educação patrimonial inclusiva, participativa e transformadora.</w:t>
      </w:r>
    </w:p>
    <w:p w14:paraId="7A7F456E" w14:textId="323E6DA8" w:rsidR="001E3192" w:rsidRDefault="001E3192" w:rsidP="001E3192">
      <w:pPr>
        <w:spacing w:line="360" w:lineRule="auto"/>
        <w:ind w:firstLine="720"/>
        <w:jc w:val="both"/>
        <w:rPr>
          <w:sz w:val="24"/>
          <w:szCs w:val="24"/>
        </w:rPr>
      </w:pPr>
    </w:p>
    <w:p w14:paraId="7B3A3082" w14:textId="77777777" w:rsidR="00181027" w:rsidRDefault="00181027">
      <w:pPr>
        <w:spacing w:line="360" w:lineRule="auto"/>
        <w:ind w:firstLine="720"/>
        <w:jc w:val="both"/>
        <w:rPr>
          <w:sz w:val="24"/>
          <w:szCs w:val="24"/>
        </w:rPr>
      </w:pPr>
    </w:p>
    <w:p w14:paraId="0263E404" w14:textId="0935F25D" w:rsidR="00181027" w:rsidRDefault="00000000">
      <w:pPr>
        <w:spacing w:line="360" w:lineRule="auto"/>
        <w:jc w:val="both"/>
        <w:rPr>
          <w:b/>
          <w:sz w:val="24"/>
          <w:szCs w:val="24"/>
        </w:rPr>
      </w:pPr>
      <w:r w:rsidRPr="00E66B76">
        <w:rPr>
          <w:bCs/>
          <w:sz w:val="24"/>
          <w:szCs w:val="24"/>
        </w:rPr>
        <w:t>2.1</w:t>
      </w:r>
      <w:r>
        <w:rPr>
          <w:b/>
          <w:sz w:val="24"/>
          <w:szCs w:val="24"/>
        </w:rPr>
        <w:tab/>
      </w:r>
      <w:r w:rsidR="00C10E6A" w:rsidRPr="004E68A0">
        <w:rPr>
          <w:bCs/>
          <w:sz w:val="24"/>
          <w:szCs w:val="24"/>
        </w:rPr>
        <w:t>Curriculares e Práticas Pedagógicas: Entre a Reprodução Colonial e as Possibilidades Decoloniais</w:t>
      </w:r>
    </w:p>
    <w:p w14:paraId="4D2F275F" w14:textId="77777777" w:rsidR="00181027" w:rsidRDefault="00181027">
      <w:pPr>
        <w:spacing w:line="360" w:lineRule="auto"/>
        <w:jc w:val="both"/>
        <w:rPr>
          <w:b/>
          <w:sz w:val="24"/>
          <w:szCs w:val="24"/>
        </w:rPr>
      </w:pPr>
    </w:p>
    <w:p w14:paraId="50A11F56" w14:textId="19E37F0F" w:rsidR="004E68A0" w:rsidRPr="004E68A0" w:rsidRDefault="004E68A0" w:rsidP="004E68A0">
      <w:pPr>
        <w:spacing w:line="360" w:lineRule="auto"/>
        <w:ind w:firstLine="720"/>
        <w:jc w:val="both"/>
        <w:rPr>
          <w:sz w:val="24"/>
          <w:szCs w:val="24"/>
        </w:rPr>
      </w:pPr>
      <w:r w:rsidRPr="004E68A0">
        <w:rPr>
          <w:sz w:val="24"/>
          <w:szCs w:val="24"/>
        </w:rPr>
        <w:t xml:space="preserve">A incorporação da educação patrimonial nos currículos escolares brasileiros tem se dado, em grande parte, por meio de documentos oficiais como a Base Nacional Comum Curricular (BNCC) e as Diretrizes de Educação Patrimonial do IPHAN. </w:t>
      </w:r>
      <w:r w:rsidRPr="004E68A0">
        <w:rPr>
          <w:sz w:val="24"/>
          <w:szCs w:val="24"/>
        </w:rPr>
        <w:lastRenderedPageBreak/>
        <w:t>Embora ambos reconheçam a importância de diversificar os saberes escolares, mantêm-se lacunas que reiteram padrões coloniais. A BNCC (BRASIL, 2018) apresenta o patrimônio cultural como componente transversal, apontando habilidades para “identificar elementos do patrimônio material e imaterial” (p. 276). No entanto, essa abordagem tende a folclorizar culturas locais, reduzindo práticas comunitárias a meros objetos a ser “contemplados” em sala de aula (UFPA, 2020).</w:t>
      </w:r>
    </w:p>
    <w:p w14:paraId="503C0301" w14:textId="77777777" w:rsidR="004E68A0" w:rsidRPr="004E68A0" w:rsidRDefault="004E68A0" w:rsidP="004E68A0">
      <w:pPr>
        <w:spacing w:line="360" w:lineRule="auto"/>
        <w:ind w:firstLine="720"/>
        <w:jc w:val="both"/>
        <w:rPr>
          <w:sz w:val="24"/>
          <w:szCs w:val="24"/>
        </w:rPr>
      </w:pPr>
      <w:r w:rsidRPr="004E68A0">
        <w:rPr>
          <w:sz w:val="24"/>
          <w:szCs w:val="24"/>
        </w:rPr>
        <w:t>O documento do IPHAN (2013) reforça a ideia de que o patrimônio exige proteção técnica e mediação especializada. Essa ênfase em saberes periciais reproduz a verticalidade epistemológica descrita por Quijano (2000), em que especialistas definem o que é valioso e legível, enquanto comunidades locais ocupam papel secundário. Assim, escolas acabam priorizando roteiros de visita a museus e oficinas de conservação, preservando estruturas hegemônicas em vez de promover o protagonismo comunitário.</w:t>
      </w:r>
    </w:p>
    <w:p w14:paraId="294C1242" w14:textId="77777777" w:rsidR="004E68A0" w:rsidRPr="004E68A0" w:rsidRDefault="004E68A0" w:rsidP="004E68A0">
      <w:pPr>
        <w:spacing w:line="360" w:lineRule="auto"/>
        <w:ind w:firstLine="720"/>
        <w:jc w:val="both"/>
        <w:rPr>
          <w:sz w:val="24"/>
          <w:szCs w:val="24"/>
        </w:rPr>
      </w:pPr>
      <w:r w:rsidRPr="004E68A0">
        <w:rPr>
          <w:sz w:val="24"/>
          <w:szCs w:val="24"/>
        </w:rPr>
        <w:t>Nas práticas pedagógicas, observa-se frequentemente a repetição de sequências didáticas que apresentam o patrimônio como patrimônio-museu, jogo de perguntas e respostas ou projeto de “revitalização” de bens arquitetônicos, sem problematizar a história colonial que os produziu (SANTOS, 2014). Essas atividades reproduzem a “educação bancária” criticada por Freire (1970), pois o professor deposita conteúdos prontos e as comunidades escolares pouco participam da construção do conhecimento.</w:t>
      </w:r>
    </w:p>
    <w:p w14:paraId="66654019" w14:textId="77777777" w:rsidR="004E68A0" w:rsidRPr="004E68A0" w:rsidRDefault="004E68A0" w:rsidP="004E68A0">
      <w:pPr>
        <w:spacing w:line="360" w:lineRule="auto"/>
        <w:ind w:firstLine="720"/>
        <w:jc w:val="both"/>
        <w:rPr>
          <w:sz w:val="24"/>
          <w:szCs w:val="24"/>
        </w:rPr>
      </w:pPr>
      <w:r w:rsidRPr="004E68A0">
        <w:rPr>
          <w:sz w:val="24"/>
          <w:szCs w:val="24"/>
        </w:rPr>
        <w:t>Em contraste, uma postura decolonial nas políticas curriculares requer a inclusão ativa das epistemologias locais. Catherine Walsh (2012) argumenta que a interculturalidade crítica pressupõe um currículo em diálogo com saberes plurais, no qual narrativas comunitárias têm peso equivalente aos conteúdos oficiais. Isso implica deslocar o patrimônio do pedestal museológico e integrá-lo à vida cotidiana da escola: saberes indígenas, quilombolas e de populações tradicionais ganham centralidade por meio de pesquisa-ação, oficinas de oralidade e mapeamento participativo.</w:t>
      </w:r>
    </w:p>
    <w:p w14:paraId="5558DBEB" w14:textId="77777777" w:rsidR="004E68A0" w:rsidRPr="004E68A0" w:rsidRDefault="004E68A0" w:rsidP="004E68A0">
      <w:pPr>
        <w:spacing w:line="360" w:lineRule="auto"/>
        <w:ind w:firstLine="720"/>
        <w:jc w:val="both"/>
        <w:rPr>
          <w:sz w:val="24"/>
          <w:szCs w:val="24"/>
        </w:rPr>
      </w:pPr>
      <w:r w:rsidRPr="004E68A0">
        <w:rPr>
          <w:sz w:val="24"/>
          <w:szCs w:val="24"/>
        </w:rPr>
        <w:t xml:space="preserve">Exemplos de iniciativas que caminham nessa direção incluem projetos escolares em Coroatá-MA, nos quais estudantes e mestres locais registram memórias </w:t>
      </w:r>
      <w:r w:rsidRPr="004E68A0">
        <w:rPr>
          <w:sz w:val="24"/>
          <w:szCs w:val="24"/>
        </w:rPr>
        <w:lastRenderedPageBreak/>
        <w:t>orais sobre festas religiosas e ofícios tradicionais. Nessas atividades, o professor atua como facilitador de diálogos entre gerações, fomentando reflexões sobre colonialismo, injustiça social e modos de resistir (Proposta Projeto Memórias em Narrativas, em elaboração). Tais práticas alinhadas à pedagogia dialógica freireana favorecem a emergência de memórias subterrâneas, conceito de Pollak (1989) para designar saberes silenciados pelas políticas oficiais.</w:t>
      </w:r>
    </w:p>
    <w:p w14:paraId="4CF9A23C" w14:textId="77777777" w:rsidR="004E68A0" w:rsidRPr="004E68A0" w:rsidRDefault="004E68A0" w:rsidP="004E68A0">
      <w:pPr>
        <w:spacing w:line="360" w:lineRule="auto"/>
        <w:ind w:firstLine="720"/>
        <w:jc w:val="both"/>
        <w:rPr>
          <w:sz w:val="24"/>
          <w:szCs w:val="24"/>
        </w:rPr>
      </w:pPr>
      <w:r w:rsidRPr="004E68A0">
        <w:rPr>
          <w:sz w:val="24"/>
          <w:szCs w:val="24"/>
        </w:rPr>
        <w:t>No âmbito da formação docente, faz-se urgente repensar programas de licenciatura e cursos de extensão. Pesquisas apontam que professores carecem de preparo para mediar temáticas patrimoniais sob enfoque crítico e decolonial (XAVIER; MÁRQUES, 2023). A capacitação deveria contemplar estudos decoloniais (QUIJANO, 2000; MIGNOLO, 1995), oficinas de escuta comunitária e elaboração colaborativa de projetos pedagógicos, em vez de cursos pontuais sobre “técnicas de restauração” ou roteiros de visita guiada.</w:t>
      </w:r>
    </w:p>
    <w:p w14:paraId="1FD1A5CD" w14:textId="37AD7D10" w:rsidR="004E68A0" w:rsidRPr="004E68A0" w:rsidRDefault="004E68A0" w:rsidP="004E68A0">
      <w:pPr>
        <w:spacing w:line="360" w:lineRule="auto"/>
        <w:ind w:firstLine="720"/>
        <w:jc w:val="both"/>
        <w:rPr>
          <w:sz w:val="24"/>
          <w:szCs w:val="24"/>
        </w:rPr>
      </w:pPr>
      <w:r w:rsidRPr="004E68A0">
        <w:rPr>
          <w:sz w:val="24"/>
          <w:szCs w:val="24"/>
        </w:rPr>
        <w:t>Por fim, as políticas públicas devem prever recursos financeiros e instâncias de participação</w:t>
      </w:r>
      <w:r w:rsidR="00E66B76">
        <w:rPr>
          <w:sz w:val="24"/>
          <w:szCs w:val="24"/>
        </w:rPr>
        <w:t xml:space="preserve">, </w:t>
      </w:r>
      <w:r w:rsidRPr="004E68A0">
        <w:rPr>
          <w:sz w:val="24"/>
          <w:szCs w:val="24"/>
        </w:rPr>
        <w:t>conselhos escolares, comissões de patrimônio vivenciado</w:t>
      </w:r>
      <w:r w:rsidR="00E66B76">
        <w:rPr>
          <w:sz w:val="24"/>
          <w:szCs w:val="24"/>
        </w:rPr>
        <w:t xml:space="preserve"> </w:t>
      </w:r>
      <w:r w:rsidRPr="004E68A0">
        <w:rPr>
          <w:sz w:val="24"/>
          <w:szCs w:val="24"/>
        </w:rPr>
        <w:t>para que as práticas decíduas não dependam do esforço isolado de professores engajados. A efetivação de um currículo patrimonial decolonial passa pela sinergia entre instâncias federal, estadual e municipal, parcerias com instituições culturais e, sobretudo, pela escuta sistemática das comunidades envolvidas.</w:t>
      </w:r>
    </w:p>
    <w:p w14:paraId="48D26052" w14:textId="77777777" w:rsidR="004E68A0" w:rsidRPr="004E68A0" w:rsidRDefault="004E68A0" w:rsidP="004E68A0">
      <w:pPr>
        <w:spacing w:line="360" w:lineRule="auto"/>
        <w:ind w:firstLine="720"/>
        <w:jc w:val="both"/>
        <w:rPr>
          <w:sz w:val="24"/>
          <w:szCs w:val="24"/>
        </w:rPr>
      </w:pPr>
      <w:r w:rsidRPr="004E68A0">
        <w:rPr>
          <w:sz w:val="24"/>
          <w:szCs w:val="24"/>
        </w:rPr>
        <w:t>Essa articulação entre diretrizes curriculares críticas, práticas pedagógicas dialógicas e formação docente sensível aos saberes locais pode transformar a educação patrimonial de mero reflexo do colonialismo em espaço de emancipação cultural e justiça cognitiva.</w:t>
      </w:r>
    </w:p>
    <w:p w14:paraId="08A6DA1F" w14:textId="49C60221" w:rsidR="001E3192" w:rsidRDefault="001E3192" w:rsidP="001E3192">
      <w:pPr>
        <w:spacing w:line="360" w:lineRule="auto"/>
        <w:ind w:firstLine="720"/>
        <w:jc w:val="both"/>
        <w:rPr>
          <w:sz w:val="24"/>
          <w:szCs w:val="24"/>
        </w:rPr>
      </w:pPr>
    </w:p>
    <w:p w14:paraId="31D04817" w14:textId="040A995A" w:rsidR="00181027" w:rsidRDefault="00181027" w:rsidP="001E3192">
      <w:pPr>
        <w:spacing w:line="360" w:lineRule="auto"/>
        <w:jc w:val="both"/>
        <w:rPr>
          <w:sz w:val="24"/>
          <w:szCs w:val="24"/>
        </w:rPr>
      </w:pPr>
    </w:p>
    <w:p w14:paraId="1E6A6AE8" w14:textId="77777777" w:rsidR="00181027" w:rsidRDefault="00181027">
      <w:pPr>
        <w:spacing w:line="360" w:lineRule="auto"/>
        <w:ind w:firstLine="720"/>
        <w:jc w:val="both"/>
        <w:rPr>
          <w:sz w:val="24"/>
          <w:szCs w:val="24"/>
        </w:rPr>
      </w:pPr>
    </w:p>
    <w:p w14:paraId="299F6516" w14:textId="7E0E6497" w:rsidR="00C10E6A" w:rsidRPr="00C10E6A" w:rsidRDefault="00000000" w:rsidP="00C10E6A">
      <w:pPr>
        <w:spacing w:line="360" w:lineRule="auto"/>
        <w:jc w:val="both"/>
        <w:rPr>
          <w:sz w:val="24"/>
          <w:szCs w:val="24"/>
        </w:rPr>
      </w:pPr>
      <w:r>
        <w:rPr>
          <w:sz w:val="24"/>
          <w:szCs w:val="24"/>
        </w:rPr>
        <w:t>2.</w:t>
      </w:r>
      <w:r w:rsidR="00920332">
        <w:rPr>
          <w:sz w:val="24"/>
          <w:szCs w:val="24"/>
        </w:rPr>
        <w:t>2</w:t>
      </w:r>
      <w:r>
        <w:rPr>
          <w:sz w:val="24"/>
          <w:szCs w:val="24"/>
        </w:rPr>
        <w:tab/>
        <w:t xml:space="preserve"> </w:t>
      </w:r>
      <w:r w:rsidR="00C10E6A" w:rsidRPr="004E68A0">
        <w:rPr>
          <w:sz w:val="24"/>
          <w:szCs w:val="24"/>
        </w:rPr>
        <w:t>Memórias Locais e Narrativas Comunitárias: O Olhar da Comunidade como Epistemologia Decolonial</w:t>
      </w:r>
    </w:p>
    <w:p w14:paraId="739403DF" w14:textId="62F5C1ED" w:rsidR="00181027" w:rsidRDefault="00181027">
      <w:pPr>
        <w:spacing w:line="360" w:lineRule="auto"/>
        <w:jc w:val="both"/>
        <w:rPr>
          <w:sz w:val="24"/>
          <w:szCs w:val="24"/>
        </w:rPr>
      </w:pPr>
    </w:p>
    <w:p w14:paraId="5EF9D9C3" w14:textId="22D91BDB" w:rsidR="004E68A0" w:rsidRPr="004E68A0" w:rsidRDefault="004E68A0" w:rsidP="004E68A0">
      <w:pPr>
        <w:spacing w:line="360" w:lineRule="auto"/>
        <w:ind w:firstLine="720"/>
        <w:jc w:val="both"/>
        <w:rPr>
          <w:sz w:val="24"/>
          <w:szCs w:val="24"/>
        </w:rPr>
      </w:pPr>
      <w:r w:rsidRPr="004E68A0">
        <w:rPr>
          <w:sz w:val="24"/>
          <w:szCs w:val="24"/>
        </w:rPr>
        <w:lastRenderedPageBreak/>
        <w:t>A centralidade das memórias locais no processo educativo patrimonial desloca o patrimônio de um objeto técnico para um espaço de construção de sentido compartilhado (Pollak, 1989). Nesse contexto, as narrativas comunitárias assumem o papel de epistemologia decolonial, isto é, de saberes que emergem das experiências e lutas históricas dos grupos, resistindo à imposição de versões oficiais do passado (Walsh, 2012).</w:t>
      </w:r>
    </w:p>
    <w:p w14:paraId="3223ED99" w14:textId="68B12F68" w:rsidR="004E68A0" w:rsidRPr="004E68A0" w:rsidRDefault="004E68A0" w:rsidP="004E68A0">
      <w:pPr>
        <w:spacing w:line="360" w:lineRule="auto"/>
        <w:ind w:firstLine="720"/>
        <w:jc w:val="both"/>
        <w:rPr>
          <w:sz w:val="24"/>
          <w:szCs w:val="24"/>
        </w:rPr>
      </w:pPr>
      <w:r w:rsidRPr="004E68A0">
        <w:rPr>
          <w:sz w:val="24"/>
          <w:szCs w:val="24"/>
        </w:rPr>
        <w:t>Em Coroatá-MA, investigações preliminares do projeto “Memórias em Narrativas” (Autor, em elaboração) evidenciam como festas religiosas, artesanato e rituais de cura funcionam como dispositivos de transmissão de saberes intergeracionais. Ao registrar depoimentos de mestres locais e estudantes, a pesquisa revela camadas de memórias subterrâneas aquelas experiências silenciadas pelo discurso oficial que apontam para enfrentamentos cotidianos ao racismo estrutural e às desigualdades socioeconômicas (Pollak, 1989).</w:t>
      </w:r>
    </w:p>
    <w:p w14:paraId="275EE5AB" w14:textId="14FC123D" w:rsidR="004E68A0" w:rsidRPr="004E68A0" w:rsidRDefault="004E68A0" w:rsidP="004E68A0">
      <w:pPr>
        <w:spacing w:line="360" w:lineRule="auto"/>
        <w:ind w:firstLine="720"/>
        <w:jc w:val="both"/>
        <w:rPr>
          <w:sz w:val="24"/>
          <w:szCs w:val="24"/>
        </w:rPr>
      </w:pPr>
      <w:r w:rsidRPr="004E68A0">
        <w:rPr>
          <w:sz w:val="24"/>
          <w:szCs w:val="24"/>
        </w:rPr>
        <w:t>Essas narrativas não apenas ampliam o repertório cultural, mas também atuam como práticas pedagógicas que desestabilizam a “educação bancária” (Freire, 1970). Quando professores e alunos produzem coletivamente mapas participativos de bens intangíveis como cantorias de trabalho e rezas de cura, eles criam materiais didáticos enraizados na realidade local, em vez de replicar roteiros padronizados de visita a museus ou fichas de catalogação (IPHAN, 2013).</w:t>
      </w:r>
    </w:p>
    <w:p w14:paraId="7E9D97DA" w14:textId="4DA3A26C" w:rsidR="004E68A0" w:rsidRPr="004E68A0" w:rsidRDefault="004E68A0" w:rsidP="004E68A0">
      <w:pPr>
        <w:spacing w:line="360" w:lineRule="auto"/>
        <w:ind w:firstLine="720"/>
        <w:jc w:val="both"/>
        <w:rPr>
          <w:sz w:val="24"/>
          <w:szCs w:val="24"/>
        </w:rPr>
      </w:pPr>
      <w:r w:rsidRPr="004E68A0">
        <w:rPr>
          <w:sz w:val="24"/>
          <w:szCs w:val="24"/>
        </w:rPr>
        <w:t>A valorização das vozes comunitárias pressupõe a reformulação das relações de poder no espaço escolar. Catherine Walsh (2012) argumenta que a interculturalidade crítica requer instâncias de escuta genuína e mecanismos institucionais para incorporar saberes subalternos no currículo. Em Coroatá-MA, propõe-se a criação de comissões escolares de patrimônio vivenciado, nas quais representantes de quilombolas, comunidades tradicionais dialoguem com gestores e equipe pedagógica, definindo coletivamente quais memórias devem integrar as atividades educativas.</w:t>
      </w:r>
    </w:p>
    <w:p w14:paraId="7ED77203" w14:textId="77777777" w:rsidR="004E68A0" w:rsidRPr="004E68A0" w:rsidRDefault="004E68A0" w:rsidP="004E68A0">
      <w:pPr>
        <w:spacing w:line="360" w:lineRule="auto"/>
        <w:ind w:firstLine="720"/>
        <w:jc w:val="both"/>
        <w:rPr>
          <w:sz w:val="24"/>
          <w:szCs w:val="24"/>
        </w:rPr>
      </w:pPr>
      <w:r w:rsidRPr="004E68A0">
        <w:rPr>
          <w:sz w:val="24"/>
          <w:szCs w:val="24"/>
        </w:rPr>
        <w:t xml:space="preserve">No plano metodológico, o relato oral emerge como técnica privilegiada para captar subjetividades e afetos ligados ao patrimônio. Maurice </w:t>
      </w:r>
      <w:proofErr w:type="spellStart"/>
      <w:r w:rsidRPr="004E68A0">
        <w:rPr>
          <w:sz w:val="24"/>
          <w:szCs w:val="24"/>
        </w:rPr>
        <w:t>Halbwachs</w:t>
      </w:r>
      <w:proofErr w:type="spellEnd"/>
      <w:r w:rsidRPr="004E68A0">
        <w:rPr>
          <w:sz w:val="24"/>
          <w:szCs w:val="24"/>
        </w:rPr>
        <w:t xml:space="preserve"> (1994) já </w:t>
      </w:r>
      <w:r w:rsidRPr="004E68A0">
        <w:rPr>
          <w:sz w:val="24"/>
          <w:szCs w:val="24"/>
        </w:rPr>
        <w:lastRenderedPageBreak/>
        <w:t>indicava que a memória coletiva não se reduz à soma de memórias individuais; ela se constrói em redes de compartilhamento e reconhecimento mútuo. Assim, oficinas de gravação de depoimentos e rodas de conversa se tornam espaços de co-produção do conhecimento, em que saberes ancestrais e científicos se entrelaçam, favorecendo uma ecologia dos saberes (Santos, 2014).</w:t>
      </w:r>
    </w:p>
    <w:p w14:paraId="2A3DEBFB" w14:textId="347DC1A0" w:rsidR="004E68A0" w:rsidRPr="004E68A0" w:rsidRDefault="004E68A0" w:rsidP="004E68A0">
      <w:pPr>
        <w:spacing w:line="360" w:lineRule="auto"/>
        <w:ind w:firstLine="720"/>
        <w:jc w:val="both"/>
        <w:rPr>
          <w:sz w:val="24"/>
          <w:szCs w:val="24"/>
        </w:rPr>
      </w:pPr>
      <w:r w:rsidRPr="004E68A0">
        <w:rPr>
          <w:sz w:val="24"/>
          <w:szCs w:val="24"/>
        </w:rPr>
        <w:t xml:space="preserve">A dimensão política dessas práticas não pode ser subestimada. O reconhecimento das narrativas comunitárias implica intervenções nas políticas públicas educacionais e culturais. É necessário que secretarias de educação destinem recursos para cursos de formação docente em etnografia escolar e memórias locais (Xavier; </w:t>
      </w:r>
      <w:proofErr w:type="spellStart"/>
      <w:r w:rsidRPr="004E68A0">
        <w:rPr>
          <w:sz w:val="24"/>
          <w:szCs w:val="24"/>
        </w:rPr>
        <w:t>Márques</w:t>
      </w:r>
      <w:proofErr w:type="spellEnd"/>
      <w:r w:rsidRPr="004E68A0">
        <w:rPr>
          <w:sz w:val="24"/>
          <w:szCs w:val="24"/>
        </w:rPr>
        <w:t>, 2023). Além disso, editais de fomento cultural devem priorizar iniciativas que integrem articulação entre escolas e comunidades, garantindo financiamento para levantamento de acervos vivos</w:t>
      </w:r>
      <w:r w:rsidR="0019484E">
        <w:rPr>
          <w:sz w:val="24"/>
          <w:szCs w:val="24"/>
        </w:rPr>
        <w:t xml:space="preserve">, </w:t>
      </w:r>
      <w:r w:rsidRPr="004E68A0">
        <w:rPr>
          <w:sz w:val="24"/>
          <w:szCs w:val="24"/>
        </w:rPr>
        <w:t>objetos, fotografias, registros orais</w:t>
      </w:r>
      <w:r w:rsidR="0019484E">
        <w:rPr>
          <w:sz w:val="24"/>
          <w:szCs w:val="24"/>
        </w:rPr>
        <w:t xml:space="preserve">, </w:t>
      </w:r>
      <w:r w:rsidRPr="004E68A0">
        <w:rPr>
          <w:sz w:val="24"/>
          <w:szCs w:val="24"/>
        </w:rPr>
        <w:t>produzidos pelos próprios moradores.</w:t>
      </w:r>
    </w:p>
    <w:p w14:paraId="2492BEA6" w14:textId="77777777" w:rsidR="004E68A0" w:rsidRPr="004E68A0" w:rsidRDefault="004E68A0" w:rsidP="004E68A0">
      <w:pPr>
        <w:spacing w:line="360" w:lineRule="auto"/>
        <w:ind w:firstLine="720"/>
        <w:jc w:val="both"/>
        <w:rPr>
          <w:sz w:val="24"/>
          <w:szCs w:val="24"/>
        </w:rPr>
      </w:pPr>
      <w:r w:rsidRPr="004E68A0">
        <w:rPr>
          <w:sz w:val="24"/>
          <w:szCs w:val="24"/>
        </w:rPr>
        <w:t>As memórias coletadas em Coroatá-MA ilustram também o potencial de resistência epistêmica. Ao reinventar a história local por meio de narrativas que associam práticas religiosas afro-indígenas à arquitetura vernacular, a comunidade questiona os critérios hegemônicos de valoração patrimonial e reivindica o direito de definir seu patrimônio (Quijano, 2000). Esse movimento de afirmação cultural se dá tanto no interior das escolas quanto em espaços públicos, como museus de memória comunitária, onde exposições colaborativas apresentam artefatos cotidianos, acompanhados de legendas escritas por jovens pesquisadores locais.</w:t>
      </w:r>
    </w:p>
    <w:p w14:paraId="4FEAF5D3" w14:textId="3E0982D6" w:rsidR="004E68A0" w:rsidRPr="004E68A0" w:rsidRDefault="004E68A0" w:rsidP="007222B8">
      <w:pPr>
        <w:spacing w:line="360" w:lineRule="auto"/>
        <w:ind w:firstLine="720"/>
        <w:jc w:val="both"/>
        <w:rPr>
          <w:sz w:val="24"/>
          <w:szCs w:val="24"/>
        </w:rPr>
      </w:pPr>
      <w:r w:rsidRPr="004E68A0">
        <w:rPr>
          <w:sz w:val="24"/>
          <w:szCs w:val="24"/>
        </w:rPr>
        <w:t>Em suma, o olhar da comunidade constitui uma epistemologia decolonial ao:</w:t>
      </w:r>
      <w:r w:rsidR="007222B8">
        <w:rPr>
          <w:sz w:val="24"/>
          <w:szCs w:val="24"/>
        </w:rPr>
        <w:t xml:space="preserve"> c</w:t>
      </w:r>
      <w:r w:rsidRPr="004E68A0">
        <w:rPr>
          <w:sz w:val="24"/>
          <w:szCs w:val="24"/>
        </w:rPr>
        <w:t>apturar memórias subterrâneas que desafiam narrativas oficiais (Pollak, 1989).</w:t>
      </w:r>
      <w:r w:rsidR="007222B8">
        <w:rPr>
          <w:sz w:val="24"/>
          <w:szCs w:val="24"/>
        </w:rPr>
        <w:t xml:space="preserve"> </w:t>
      </w:r>
      <w:r w:rsidRPr="004E68A0">
        <w:rPr>
          <w:sz w:val="24"/>
          <w:szCs w:val="24"/>
        </w:rPr>
        <w:t>Sustentar práticas pedagógicas participativas e dialógicas (Freire, 1970).</w:t>
      </w:r>
      <w:r w:rsidR="007222B8">
        <w:rPr>
          <w:sz w:val="24"/>
          <w:szCs w:val="24"/>
        </w:rPr>
        <w:t xml:space="preserve"> </w:t>
      </w:r>
      <w:r w:rsidRPr="004E68A0">
        <w:rPr>
          <w:sz w:val="24"/>
          <w:szCs w:val="24"/>
        </w:rPr>
        <w:t>Alimentar uma ecologia dos saberes ao promover o diálogo entre conhecimentos locais e acadêmicos (Santos, 2014).</w:t>
      </w:r>
      <w:r w:rsidR="007222B8">
        <w:rPr>
          <w:sz w:val="24"/>
          <w:szCs w:val="24"/>
        </w:rPr>
        <w:t xml:space="preserve"> </w:t>
      </w:r>
      <w:r w:rsidRPr="004E68A0">
        <w:rPr>
          <w:sz w:val="24"/>
          <w:szCs w:val="24"/>
        </w:rPr>
        <w:t xml:space="preserve">Exigir mudanças institucionais para legitimar vozes subalternas nas políticas curriculares e de fomento cultural (Walsh, 2012; Xavier; </w:t>
      </w:r>
      <w:proofErr w:type="spellStart"/>
      <w:r w:rsidRPr="004E68A0">
        <w:rPr>
          <w:sz w:val="24"/>
          <w:szCs w:val="24"/>
        </w:rPr>
        <w:t>Márques</w:t>
      </w:r>
      <w:proofErr w:type="spellEnd"/>
      <w:r w:rsidRPr="004E68A0">
        <w:rPr>
          <w:sz w:val="24"/>
          <w:szCs w:val="24"/>
        </w:rPr>
        <w:t>, 2023).</w:t>
      </w:r>
    </w:p>
    <w:p w14:paraId="03E57E84" w14:textId="77777777" w:rsidR="004E68A0" w:rsidRPr="004E68A0" w:rsidRDefault="004E68A0" w:rsidP="004E68A0">
      <w:pPr>
        <w:spacing w:line="360" w:lineRule="auto"/>
        <w:ind w:firstLine="720"/>
        <w:jc w:val="both"/>
        <w:rPr>
          <w:sz w:val="24"/>
          <w:szCs w:val="24"/>
        </w:rPr>
      </w:pPr>
      <w:r w:rsidRPr="004E68A0">
        <w:rPr>
          <w:sz w:val="24"/>
          <w:szCs w:val="24"/>
        </w:rPr>
        <w:lastRenderedPageBreak/>
        <w:t>Essa abordagem transforma a educação patrimonial em um instrumento de justiça cognitiva, no qual comunidades locais não apenas participam, mas protagonizam a definição do que constitui patrimônio cultural. A partir desse protagonismo, emergem caminhos para uma educação patrimonial verdadeiramente inclusiva, capaz de contribuir para a descolonização dos saberes e para a construção de identidades coletivas plurais.</w:t>
      </w:r>
    </w:p>
    <w:p w14:paraId="7D4E6B7B" w14:textId="16333FC9" w:rsidR="00920332" w:rsidRDefault="00920332" w:rsidP="00920332">
      <w:pPr>
        <w:spacing w:line="360" w:lineRule="auto"/>
        <w:ind w:firstLine="720"/>
        <w:jc w:val="both"/>
        <w:rPr>
          <w:sz w:val="24"/>
          <w:szCs w:val="24"/>
        </w:rPr>
      </w:pPr>
    </w:p>
    <w:p w14:paraId="3FBE90F0" w14:textId="447E4E30" w:rsidR="00181027" w:rsidRDefault="00181027">
      <w:pPr>
        <w:spacing w:line="432" w:lineRule="auto"/>
        <w:ind w:firstLine="720"/>
        <w:jc w:val="both"/>
        <w:rPr>
          <w:sz w:val="24"/>
          <w:szCs w:val="24"/>
          <w:highlight w:val="white"/>
        </w:rPr>
      </w:pPr>
    </w:p>
    <w:p w14:paraId="0CCB2C32" w14:textId="77777777" w:rsidR="00181027" w:rsidRDefault="00181027">
      <w:pPr>
        <w:spacing w:line="360" w:lineRule="auto"/>
        <w:jc w:val="both"/>
        <w:rPr>
          <w:sz w:val="24"/>
          <w:szCs w:val="24"/>
        </w:rPr>
      </w:pPr>
    </w:p>
    <w:p w14:paraId="696B3368" w14:textId="77777777" w:rsidR="00181027" w:rsidRDefault="00000000">
      <w:pPr>
        <w:spacing w:line="360" w:lineRule="auto"/>
        <w:jc w:val="both"/>
        <w:rPr>
          <w:b/>
          <w:sz w:val="24"/>
          <w:szCs w:val="24"/>
        </w:rPr>
      </w:pPr>
      <w:r>
        <w:rPr>
          <w:b/>
          <w:sz w:val="24"/>
          <w:szCs w:val="24"/>
        </w:rPr>
        <w:t>3</w:t>
      </w:r>
      <w:r>
        <w:rPr>
          <w:b/>
          <w:sz w:val="24"/>
          <w:szCs w:val="24"/>
        </w:rPr>
        <w:tab/>
        <w:t>CONCLUSÃO</w:t>
      </w:r>
    </w:p>
    <w:p w14:paraId="50A0144B" w14:textId="77777777" w:rsidR="00181027" w:rsidRDefault="00181027">
      <w:pPr>
        <w:spacing w:line="360" w:lineRule="auto"/>
        <w:jc w:val="both"/>
        <w:rPr>
          <w:b/>
          <w:sz w:val="24"/>
          <w:szCs w:val="24"/>
        </w:rPr>
      </w:pPr>
    </w:p>
    <w:p w14:paraId="689966BB" w14:textId="5AA3AA00" w:rsidR="004E68A0" w:rsidRPr="004E68A0" w:rsidRDefault="004E68A0" w:rsidP="004E68A0">
      <w:pPr>
        <w:spacing w:line="360" w:lineRule="auto"/>
        <w:ind w:firstLine="720"/>
        <w:jc w:val="both"/>
        <w:rPr>
          <w:sz w:val="24"/>
          <w:szCs w:val="24"/>
        </w:rPr>
      </w:pPr>
      <w:r w:rsidRPr="004E68A0">
        <w:rPr>
          <w:sz w:val="24"/>
          <w:szCs w:val="24"/>
        </w:rPr>
        <w:t>A educação patrimonial decolonial apresenta-se como um campo promissor para repensar as políticas curriculares e as práticas pedagógicas no Brasil, enfrentando os impasses herdados da colonialidade do saber e do poder. Ao longo deste trabalho, evidenciou-se que a simples inclusão de conteúdos patrimoniais nos documentos oficiais</w:t>
      </w:r>
      <w:r w:rsidR="001078F1">
        <w:rPr>
          <w:sz w:val="24"/>
          <w:szCs w:val="24"/>
        </w:rPr>
        <w:t xml:space="preserve">, </w:t>
      </w:r>
      <w:r w:rsidRPr="004E68A0">
        <w:rPr>
          <w:sz w:val="24"/>
          <w:szCs w:val="24"/>
        </w:rPr>
        <w:t>como a BNCC (BRASIL, 2018) e as Diretrizes do IPHAN (2013)</w:t>
      </w:r>
      <w:r w:rsidR="001078F1">
        <w:rPr>
          <w:sz w:val="24"/>
          <w:szCs w:val="24"/>
        </w:rPr>
        <w:t xml:space="preserve">, </w:t>
      </w:r>
      <w:r w:rsidRPr="004E68A0">
        <w:rPr>
          <w:sz w:val="24"/>
          <w:szCs w:val="24"/>
        </w:rPr>
        <w:t>não é suficiente para promover a transformação necessária. Sem a problematização das hierarquias epistêmicas, tais iniciativas tendem a reproduzir visões folclóricas e tecnicistas que pouco dialogam com os modos de vida e as memórias das comunidades locais (Quijano, 2000; Santos, 2014).</w:t>
      </w:r>
    </w:p>
    <w:p w14:paraId="60071166" w14:textId="1117BC5E" w:rsidR="004E68A0" w:rsidRPr="004E68A0" w:rsidRDefault="004E68A0" w:rsidP="004E68A0">
      <w:pPr>
        <w:spacing w:line="360" w:lineRule="auto"/>
        <w:ind w:firstLine="720"/>
        <w:jc w:val="both"/>
        <w:rPr>
          <w:sz w:val="24"/>
          <w:szCs w:val="24"/>
        </w:rPr>
      </w:pPr>
      <w:r w:rsidRPr="004E68A0">
        <w:rPr>
          <w:sz w:val="24"/>
          <w:szCs w:val="24"/>
        </w:rPr>
        <w:t xml:space="preserve">A proposta de deslocar o patrimônio cultural de um objeto estático para um campo vivo de relações sociais, narrativas e saberes plurais encontra respaldo nas epistemologias do Sul (Santos, 2014) e na interculturalidade crítica (Walsh, 2012). Ao reconhecer as memórias subterrâneas aquelas histórias silenciadas por narrativas oficiais, a educação patrimonial decolonial não apenas amplia o repertório cultural, mas também fortalece processos de resistência epistêmica e de afirmação identitária (Pollak, 1989). O estudo de caso em Coroatá-MA ilustra como oficinas de oralidade, mapeamentos participativos e comissões escolares de patrimônio vivenciado podem </w:t>
      </w:r>
      <w:r w:rsidRPr="004E68A0">
        <w:rPr>
          <w:sz w:val="24"/>
          <w:szCs w:val="24"/>
        </w:rPr>
        <w:lastRenderedPageBreak/>
        <w:t>reconfigurar o papel de professores e alunos, transformando-os em coautores de um currículo comprometido com a justiça cognitiva.</w:t>
      </w:r>
    </w:p>
    <w:p w14:paraId="0A336926" w14:textId="77777777" w:rsidR="004E68A0" w:rsidRPr="004E68A0" w:rsidRDefault="004E68A0" w:rsidP="004E68A0">
      <w:pPr>
        <w:spacing w:line="360" w:lineRule="auto"/>
        <w:ind w:firstLine="720"/>
        <w:jc w:val="both"/>
        <w:rPr>
          <w:sz w:val="24"/>
          <w:szCs w:val="24"/>
        </w:rPr>
      </w:pPr>
      <w:r w:rsidRPr="004E68A0">
        <w:rPr>
          <w:sz w:val="24"/>
          <w:szCs w:val="24"/>
        </w:rPr>
        <w:t>A pedagogia dialógica de Paulo Freire (1970) orienta o caminho para essa transformação ao enfatizar a problematização conjunta da realidade e o reconhecimento mútuo dos saberes. A partir dessa perspectiva, as práticas educativas deixam de ser verticais e de “depositar” informações, passando a ser processos de escuta, reflexão e ação coletiva. Para que isso ocorra em larga escala, é indispensável repensar a formação docente, incorporando estudos decoloniais (</w:t>
      </w:r>
      <w:proofErr w:type="spellStart"/>
      <w:r w:rsidRPr="004E68A0">
        <w:rPr>
          <w:sz w:val="24"/>
          <w:szCs w:val="24"/>
        </w:rPr>
        <w:t>Mignolo</w:t>
      </w:r>
      <w:proofErr w:type="spellEnd"/>
      <w:r w:rsidRPr="004E68A0">
        <w:rPr>
          <w:sz w:val="24"/>
          <w:szCs w:val="24"/>
        </w:rPr>
        <w:t xml:space="preserve">, 1995; Quijano, 2000), oficinas de escuta comunitária e metodologias de pesquisa-ação que envolvam as próprias comunidades (Xavier; </w:t>
      </w:r>
      <w:proofErr w:type="spellStart"/>
      <w:r w:rsidRPr="004E68A0">
        <w:rPr>
          <w:sz w:val="24"/>
          <w:szCs w:val="24"/>
        </w:rPr>
        <w:t>Márques</w:t>
      </w:r>
      <w:proofErr w:type="spellEnd"/>
      <w:r w:rsidRPr="004E68A0">
        <w:rPr>
          <w:sz w:val="24"/>
          <w:szCs w:val="24"/>
        </w:rPr>
        <w:t>, 2023).</w:t>
      </w:r>
    </w:p>
    <w:p w14:paraId="71558A47" w14:textId="237CF03B" w:rsidR="004E68A0" w:rsidRPr="004E68A0" w:rsidRDefault="004E68A0" w:rsidP="004E68A0">
      <w:pPr>
        <w:spacing w:line="360" w:lineRule="auto"/>
        <w:ind w:firstLine="720"/>
        <w:jc w:val="both"/>
        <w:rPr>
          <w:sz w:val="24"/>
          <w:szCs w:val="24"/>
        </w:rPr>
      </w:pPr>
      <w:r w:rsidRPr="004E68A0">
        <w:rPr>
          <w:sz w:val="24"/>
          <w:szCs w:val="24"/>
        </w:rPr>
        <w:t xml:space="preserve">As políticas públicas devem acompanhar essa mudança de paradigma, garantindo financiamento, espaços de participação e articulação interinstitucional. A criação de linhas de fomento específicas à educação patrimonial decolonial e a institucionalização de instâncias permanentes de diálogo entre Estado e sociedade civil são medidas capazes de sustentar práticas que valorizem as vozes subalternas e legitimizem os saberes locais (Walsh, 2012). </w:t>
      </w:r>
      <w:r w:rsidR="006A5962">
        <w:rPr>
          <w:sz w:val="24"/>
          <w:szCs w:val="24"/>
        </w:rPr>
        <w:t>Desse modo,</w:t>
      </w:r>
      <w:r w:rsidRPr="004E68A0">
        <w:rPr>
          <w:sz w:val="24"/>
          <w:szCs w:val="24"/>
        </w:rPr>
        <w:t xml:space="preserve"> será possível romper com a lógica tecnocrática e paternalista que ainda impera na gestão do patrimônio cultural.</w:t>
      </w:r>
    </w:p>
    <w:p w14:paraId="79A6BDD3" w14:textId="2E2DB82B" w:rsidR="004E68A0" w:rsidRPr="004E68A0" w:rsidRDefault="004E68A0" w:rsidP="004E68A0">
      <w:pPr>
        <w:spacing w:line="360" w:lineRule="auto"/>
        <w:ind w:firstLine="720"/>
        <w:jc w:val="both"/>
        <w:rPr>
          <w:sz w:val="24"/>
          <w:szCs w:val="24"/>
        </w:rPr>
      </w:pPr>
      <w:r w:rsidRPr="004E68A0">
        <w:rPr>
          <w:sz w:val="24"/>
          <w:szCs w:val="24"/>
        </w:rPr>
        <w:t>Em síntese, a educação patrimonial decolonial propõe um movimento de reconstrução epistêmica que percorre três dimensões interdependentes:  o repensar das bases curriculares, incorporando a crítica decolonial e as epistemologias plurais; a adoção de práticas pedagógicas dialógicas, centradas na co-produção de conhecimento entre escola e comunidade; e a reformulação de políticas públicas que garantam recursos e instâncias participativas para a educação patrimonial. Essa articulação articula teoria e prática, mas também coloca no centro a dimensão política do patrimônio cultural: a luta pelo direito de definir, narrar e ensinar a própria história.</w:t>
      </w:r>
    </w:p>
    <w:p w14:paraId="0CCD478F" w14:textId="45665763" w:rsidR="004E68A0" w:rsidRPr="004E68A0" w:rsidRDefault="004E68A0" w:rsidP="004E68A0">
      <w:pPr>
        <w:spacing w:line="360" w:lineRule="auto"/>
        <w:ind w:firstLine="720"/>
        <w:jc w:val="both"/>
        <w:rPr>
          <w:sz w:val="24"/>
          <w:szCs w:val="24"/>
        </w:rPr>
      </w:pPr>
      <w:r w:rsidRPr="004E68A0">
        <w:rPr>
          <w:sz w:val="24"/>
          <w:szCs w:val="24"/>
        </w:rPr>
        <w:t xml:space="preserve">Ao aproximar teoria decolonial e experiências locais, este trabalho busca contribuir para a construção de uma educação patrimonial que seja, de fato, inclusiva, crítica e transformadora. Ainda que haja desafios </w:t>
      </w:r>
      <w:r w:rsidR="00373C10">
        <w:rPr>
          <w:sz w:val="24"/>
          <w:szCs w:val="24"/>
        </w:rPr>
        <w:t xml:space="preserve">, </w:t>
      </w:r>
      <w:r w:rsidRPr="004E68A0">
        <w:rPr>
          <w:sz w:val="24"/>
          <w:szCs w:val="24"/>
        </w:rPr>
        <w:t xml:space="preserve">como a resistência institucional, limitações orçamentárias e lacunas na formação docente, os caminhos apontados </w:t>
      </w:r>
      <w:r w:rsidRPr="004E68A0">
        <w:rPr>
          <w:sz w:val="24"/>
          <w:szCs w:val="24"/>
        </w:rPr>
        <w:lastRenderedPageBreak/>
        <w:t>demonstram que é possível avançar em direção a uma descolonização dos saberes patrimoniais. A transformação almejada depende, acima de tudo, da disposição política e pedagógica de reconhecer o patrimônio não como um legado estático, mas como um processo dinâmico de criação e recriação coletiva.</w:t>
      </w:r>
    </w:p>
    <w:p w14:paraId="2A8598CA" w14:textId="3A3EEED3" w:rsidR="00920332" w:rsidRDefault="00920332" w:rsidP="00920332">
      <w:pPr>
        <w:spacing w:line="360" w:lineRule="auto"/>
        <w:ind w:firstLine="720"/>
        <w:jc w:val="both"/>
        <w:rPr>
          <w:sz w:val="24"/>
          <w:szCs w:val="24"/>
        </w:rPr>
      </w:pPr>
    </w:p>
    <w:p w14:paraId="77D18927" w14:textId="77777777" w:rsidR="00181027" w:rsidRDefault="00181027">
      <w:pPr>
        <w:spacing w:line="360" w:lineRule="auto"/>
        <w:rPr>
          <w:sz w:val="24"/>
          <w:szCs w:val="24"/>
        </w:rPr>
      </w:pPr>
    </w:p>
    <w:p w14:paraId="3C878AF0" w14:textId="77777777" w:rsidR="00181027" w:rsidRDefault="00000000">
      <w:pPr>
        <w:spacing w:line="360" w:lineRule="auto"/>
        <w:jc w:val="both"/>
        <w:rPr>
          <w:b/>
          <w:sz w:val="24"/>
          <w:szCs w:val="24"/>
        </w:rPr>
      </w:pPr>
      <w:r>
        <w:rPr>
          <w:b/>
          <w:sz w:val="24"/>
          <w:szCs w:val="24"/>
        </w:rPr>
        <w:t xml:space="preserve">REFERÊNCIAS </w:t>
      </w:r>
    </w:p>
    <w:p w14:paraId="71A6C948" w14:textId="77777777" w:rsidR="004E68A0" w:rsidRPr="004E68A0" w:rsidRDefault="004E68A0" w:rsidP="00D831C4">
      <w:pPr>
        <w:spacing w:line="240" w:lineRule="auto"/>
        <w:jc w:val="both"/>
        <w:rPr>
          <w:bCs/>
          <w:sz w:val="24"/>
          <w:szCs w:val="24"/>
        </w:rPr>
      </w:pPr>
      <w:r w:rsidRPr="004E68A0">
        <w:rPr>
          <w:bCs/>
          <w:sz w:val="24"/>
          <w:szCs w:val="24"/>
        </w:rPr>
        <w:t>BRASIL. Ministério da Educação. Base Nacional Comum Curricular. Brasília: MEC, 2018.</w:t>
      </w:r>
    </w:p>
    <w:p w14:paraId="562D7C99" w14:textId="77777777" w:rsidR="00D831C4" w:rsidRDefault="00D831C4" w:rsidP="00D831C4">
      <w:pPr>
        <w:spacing w:line="240" w:lineRule="auto"/>
        <w:jc w:val="both"/>
        <w:rPr>
          <w:bCs/>
          <w:sz w:val="24"/>
          <w:szCs w:val="24"/>
        </w:rPr>
      </w:pPr>
    </w:p>
    <w:p w14:paraId="2684B5F6" w14:textId="476A5AE2" w:rsidR="004E68A0" w:rsidRPr="004E68A0" w:rsidRDefault="004E68A0" w:rsidP="00D831C4">
      <w:pPr>
        <w:spacing w:line="240" w:lineRule="auto"/>
        <w:jc w:val="both"/>
        <w:rPr>
          <w:bCs/>
          <w:sz w:val="24"/>
          <w:szCs w:val="24"/>
        </w:rPr>
      </w:pPr>
      <w:r w:rsidRPr="004E68A0">
        <w:rPr>
          <w:bCs/>
          <w:sz w:val="24"/>
          <w:szCs w:val="24"/>
        </w:rPr>
        <w:t>FREIRE, Paulo. Pedagogia do oprimido. Rio de Janeiro: Paz e Terra, 1970.</w:t>
      </w:r>
    </w:p>
    <w:p w14:paraId="5634ECB9" w14:textId="77777777" w:rsidR="00D831C4" w:rsidRDefault="00D831C4" w:rsidP="00D831C4">
      <w:pPr>
        <w:spacing w:line="240" w:lineRule="auto"/>
        <w:jc w:val="both"/>
        <w:rPr>
          <w:bCs/>
          <w:sz w:val="24"/>
          <w:szCs w:val="24"/>
        </w:rPr>
      </w:pPr>
    </w:p>
    <w:p w14:paraId="4C4559EF" w14:textId="41077589" w:rsidR="004E68A0" w:rsidRDefault="004E68A0" w:rsidP="00D831C4">
      <w:pPr>
        <w:spacing w:line="240" w:lineRule="auto"/>
        <w:jc w:val="both"/>
        <w:rPr>
          <w:bCs/>
          <w:sz w:val="24"/>
          <w:szCs w:val="24"/>
        </w:rPr>
      </w:pPr>
      <w:r w:rsidRPr="004E68A0">
        <w:rPr>
          <w:bCs/>
          <w:sz w:val="24"/>
          <w:szCs w:val="24"/>
        </w:rPr>
        <w:t>IPHAN – INSTITUTO DO PATRIMÔNIO HISTÓRICO E ARTÍSTICO NACIONAL. Diretrizes de Educação Patrimonial. Brasília: IPHAN, 2013.</w:t>
      </w:r>
    </w:p>
    <w:p w14:paraId="42AB4F21" w14:textId="77777777" w:rsidR="00D831C4" w:rsidRDefault="00D831C4" w:rsidP="00D831C4">
      <w:pPr>
        <w:spacing w:line="240" w:lineRule="auto"/>
        <w:jc w:val="both"/>
        <w:rPr>
          <w:bCs/>
          <w:sz w:val="24"/>
          <w:szCs w:val="24"/>
        </w:rPr>
      </w:pPr>
    </w:p>
    <w:p w14:paraId="093398A3" w14:textId="3A7C03D1" w:rsidR="00D831C4" w:rsidRPr="004E68A0" w:rsidRDefault="00D831C4" w:rsidP="00D831C4">
      <w:pPr>
        <w:spacing w:line="240" w:lineRule="auto"/>
        <w:jc w:val="both"/>
        <w:rPr>
          <w:bCs/>
          <w:sz w:val="24"/>
          <w:szCs w:val="24"/>
        </w:rPr>
      </w:pPr>
      <w:proofErr w:type="spellStart"/>
      <w:r w:rsidRPr="00D831C4">
        <w:rPr>
          <w:bCs/>
          <w:sz w:val="24"/>
          <w:szCs w:val="24"/>
        </w:rPr>
        <w:t>HALBWACHS</w:t>
      </w:r>
      <w:proofErr w:type="spellEnd"/>
      <w:r w:rsidRPr="00D831C4">
        <w:rPr>
          <w:bCs/>
          <w:sz w:val="24"/>
          <w:szCs w:val="24"/>
        </w:rPr>
        <w:t>, Maurice. Memória coletiva. Rio de Janeiro: Forense Universitária, 1994.</w:t>
      </w:r>
    </w:p>
    <w:p w14:paraId="08FFA6E0" w14:textId="77777777" w:rsidR="00D831C4" w:rsidRDefault="00D831C4" w:rsidP="00D831C4">
      <w:pPr>
        <w:spacing w:line="240" w:lineRule="auto"/>
        <w:jc w:val="both"/>
        <w:rPr>
          <w:bCs/>
          <w:sz w:val="24"/>
          <w:szCs w:val="24"/>
          <w:lang w:val="en-US"/>
        </w:rPr>
      </w:pPr>
    </w:p>
    <w:p w14:paraId="1B980F2D" w14:textId="2A11D406" w:rsidR="004E68A0" w:rsidRPr="004E68A0" w:rsidRDefault="004E68A0" w:rsidP="00D831C4">
      <w:pPr>
        <w:spacing w:line="240" w:lineRule="auto"/>
        <w:jc w:val="both"/>
        <w:rPr>
          <w:bCs/>
          <w:sz w:val="24"/>
          <w:szCs w:val="24"/>
          <w:lang w:val="en-US"/>
        </w:rPr>
      </w:pPr>
      <w:r w:rsidRPr="004E68A0">
        <w:rPr>
          <w:bCs/>
          <w:sz w:val="24"/>
          <w:szCs w:val="24"/>
          <w:lang w:val="en-US"/>
        </w:rPr>
        <w:t xml:space="preserve">MIGNOLO, Walter D. The darker side of the Renaissance: literacy, territoriality, and </w:t>
      </w:r>
      <w:proofErr w:type="spellStart"/>
      <w:r w:rsidRPr="004E68A0">
        <w:rPr>
          <w:bCs/>
          <w:sz w:val="24"/>
          <w:szCs w:val="24"/>
          <w:lang w:val="en-US"/>
        </w:rPr>
        <w:t>colonisation</w:t>
      </w:r>
      <w:proofErr w:type="spellEnd"/>
      <w:r w:rsidRPr="004E68A0">
        <w:rPr>
          <w:bCs/>
          <w:sz w:val="24"/>
          <w:szCs w:val="24"/>
          <w:lang w:val="en-US"/>
        </w:rPr>
        <w:t>. Ann Arbor: University of Michigan Press, 1995.</w:t>
      </w:r>
    </w:p>
    <w:p w14:paraId="02193E56" w14:textId="77777777" w:rsidR="00D831C4" w:rsidRDefault="00D831C4" w:rsidP="00D831C4">
      <w:pPr>
        <w:spacing w:line="240" w:lineRule="auto"/>
        <w:jc w:val="both"/>
        <w:rPr>
          <w:bCs/>
          <w:sz w:val="24"/>
          <w:szCs w:val="24"/>
          <w:lang w:val="en-US"/>
        </w:rPr>
      </w:pPr>
    </w:p>
    <w:p w14:paraId="338AF3A9" w14:textId="52B197CC" w:rsidR="004E68A0" w:rsidRPr="004E68A0" w:rsidRDefault="004E68A0" w:rsidP="00D831C4">
      <w:pPr>
        <w:spacing w:line="240" w:lineRule="auto"/>
        <w:jc w:val="both"/>
        <w:rPr>
          <w:bCs/>
          <w:sz w:val="24"/>
          <w:szCs w:val="24"/>
        </w:rPr>
      </w:pPr>
      <w:r w:rsidRPr="004E68A0">
        <w:rPr>
          <w:bCs/>
          <w:sz w:val="24"/>
          <w:szCs w:val="24"/>
          <w:lang w:val="en-US"/>
        </w:rPr>
        <w:t xml:space="preserve">POLLACK, Michael. </w:t>
      </w:r>
      <w:proofErr w:type="spellStart"/>
      <w:r w:rsidRPr="004E68A0">
        <w:rPr>
          <w:bCs/>
          <w:sz w:val="24"/>
          <w:szCs w:val="24"/>
          <w:lang w:val="en-US"/>
        </w:rPr>
        <w:t>Memórias</w:t>
      </w:r>
      <w:proofErr w:type="spellEnd"/>
      <w:r w:rsidRPr="004E68A0">
        <w:rPr>
          <w:bCs/>
          <w:sz w:val="24"/>
          <w:szCs w:val="24"/>
          <w:lang w:val="en-US"/>
        </w:rPr>
        <w:t xml:space="preserve"> </w:t>
      </w:r>
      <w:proofErr w:type="spellStart"/>
      <w:r w:rsidRPr="004E68A0">
        <w:rPr>
          <w:bCs/>
          <w:sz w:val="24"/>
          <w:szCs w:val="24"/>
          <w:lang w:val="en-US"/>
        </w:rPr>
        <w:t>subterrâneas</w:t>
      </w:r>
      <w:proofErr w:type="spellEnd"/>
      <w:r w:rsidRPr="004E68A0">
        <w:rPr>
          <w:bCs/>
          <w:sz w:val="24"/>
          <w:szCs w:val="24"/>
          <w:lang w:val="en-US"/>
        </w:rPr>
        <w:t xml:space="preserve"> e </w:t>
      </w:r>
      <w:proofErr w:type="spellStart"/>
      <w:r w:rsidRPr="004E68A0">
        <w:rPr>
          <w:bCs/>
          <w:sz w:val="24"/>
          <w:szCs w:val="24"/>
          <w:lang w:val="en-US"/>
        </w:rPr>
        <w:t>patrimônio</w:t>
      </w:r>
      <w:proofErr w:type="spellEnd"/>
      <w:r w:rsidRPr="004E68A0">
        <w:rPr>
          <w:bCs/>
          <w:sz w:val="24"/>
          <w:szCs w:val="24"/>
          <w:lang w:val="en-US"/>
        </w:rPr>
        <w:t xml:space="preserve">. </w:t>
      </w:r>
      <w:r w:rsidRPr="004E68A0">
        <w:rPr>
          <w:bCs/>
          <w:sz w:val="24"/>
          <w:szCs w:val="24"/>
        </w:rPr>
        <w:t>São Paulo: Editora UNESP, 1989.</w:t>
      </w:r>
    </w:p>
    <w:p w14:paraId="49BA173E" w14:textId="77777777" w:rsidR="00D831C4" w:rsidRDefault="00D831C4" w:rsidP="00D831C4">
      <w:pPr>
        <w:spacing w:line="240" w:lineRule="auto"/>
        <w:jc w:val="both"/>
        <w:rPr>
          <w:bCs/>
          <w:sz w:val="24"/>
          <w:szCs w:val="24"/>
        </w:rPr>
      </w:pPr>
    </w:p>
    <w:p w14:paraId="74B26AB7" w14:textId="1D7918D3" w:rsidR="004E68A0" w:rsidRPr="004E68A0" w:rsidRDefault="004E68A0" w:rsidP="00D831C4">
      <w:pPr>
        <w:spacing w:line="240" w:lineRule="auto"/>
        <w:jc w:val="both"/>
        <w:rPr>
          <w:bCs/>
          <w:sz w:val="24"/>
          <w:szCs w:val="24"/>
        </w:rPr>
      </w:pPr>
      <w:r w:rsidRPr="004E68A0">
        <w:rPr>
          <w:bCs/>
          <w:sz w:val="24"/>
          <w:szCs w:val="24"/>
        </w:rPr>
        <w:t xml:space="preserve">QUIJANO, Aníbal. Colonialidade do poder, eurocentrismo e América Latina. Lima: </w:t>
      </w:r>
      <w:proofErr w:type="spellStart"/>
      <w:r w:rsidRPr="004E68A0">
        <w:rPr>
          <w:bCs/>
          <w:sz w:val="24"/>
          <w:szCs w:val="24"/>
        </w:rPr>
        <w:t>Faculdad</w:t>
      </w:r>
      <w:proofErr w:type="spellEnd"/>
      <w:r w:rsidRPr="004E68A0">
        <w:rPr>
          <w:bCs/>
          <w:sz w:val="24"/>
          <w:szCs w:val="24"/>
        </w:rPr>
        <w:t xml:space="preserve"> </w:t>
      </w:r>
      <w:proofErr w:type="spellStart"/>
      <w:r w:rsidRPr="004E68A0">
        <w:rPr>
          <w:bCs/>
          <w:sz w:val="24"/>
          <w:szCs w:val="24"/>
        </w:rPr>
        <w:t>Latinoamericana</w:t>
      </w:r>
      <w:proofErr w:type="spellEnd"/>
      <w:r w:rsidRPr="004E68A0">
        <w:rPr>
          <w:bCs/>
          <w:sz w:val="24"/>
          <w:szCs w:val="24"/>
        </w:rPr>
        <w:t xml:space="preserve"> de </w:t>
      </w:r>
      <w:proofErr w:type="spellStart"/>
      <w:r w:rsidRPr="004E68A0">
        <w:rPr>
          <w:bCs/>
          <w:sz w:val="24"/>
          <w:szCs w:val="24"/>
        </w:rPr>
        <w:t>Ciencias</w:t>
      </w:r>
      <w:proofErr w:type="spellEnd"/>
      <w:r w:rsidRPr="004E68A0">
        <w:rPr>
          <w:bCs/>
          <w:sz w:val="24"/>
          <w:szCs w:val="24"/>
        </w:rPr>
        <w:t xml:space="preserve"> Sociales, 2000.</w:t>
      </w:r>
    </w:p>
    <w:p w14:paraId="2B94B8F3" w14:textId="77777777" w:rsidR="00D831C4" w:rsidRDefault="00D831C4" w:rsidP="00D831C4">
      <w:pPr>
        <w:spacing w:line="240" w:lineRule="auto"/>
        <w:jc w:val="both"/>
        <w:rPr>
          <w:bCs/>
          <w:sz w:val="24"/>
          <w:szCs w:val="24"/>
        </w:rPr>
      </w:pPr>
    </w:p>
    <w:p w14:paraId="7BB4E3E4" w14:textId="031A8609" w:rsidR="004E68A0" w:rsidRPr="004E68A0" w:rsidRDefault="004E68A0" w:rsidP="00D831C4">
      <w:pPr>
        <w:spacing w:line="240" w:lineRule="auto"/>
        <w:jc w:val="both"/>
        <w:rPr>
          <w:bCs/>
          <w:sz w:val="24"/>
          <w:szCs w:val="24"/>
        </w:rPr>
      </w:pPr>
      <w:r w:rsidRPr="004E68A0">
        <w:rPr>
          <w:bCs/>
          <w:sz w:val="24"/>
          <w:szCs w:val="24"/>
        </w:rPr>
        <w:t>SANTOS, Boaventura de Sousa. Epistemologias do Sul: saberes e poder. Rio de Janeiro: Penso, 2014.</w:t>
      </w:r>
    </w:p>
    <w:p w14:paraId="14615978" w14:textId="77777777" w:rsidR="00D831C4" w:rsidRDefault="00D831C4" w:rsidP="00D831C4">
      <w:pPr>
        <w:spacing w:line="240" w:lineRule="auto"/>
        <w:jc w:val="both"/>
        <w:rPr>
          <w:bCs/>
          <w:sz w:val="24"/>
          <w:szCs w:val="24"/>
        </w:rPr>
      </w:pPr>
    </w:p>
    <w:p w14:paraId="659793F1" w14:textId="0388062B" w:rsidR="004E68A0" w:rsidRPr="004E68A0" w:rsidRDefault="004E68A0" w:rsidP="00D831C4">
      <w:pPr>
        <w:spacing w:line="240" w:lineRule="auto"/>
        <w:jc w:val="both"/>
        <w:rPr>
          <w:bCs/>
          <w:sz w:val="24"/>
          <w:szCs w:val="24"/>
        </w:rPr>
      </w:pPr>
      <w:r w:rsidRPr="004E68A0">
        <w:rPr>
          <w:bCs/>
          <w:sz w:val="24"/>
          <w:szCs w:val="24"/>
        </w:rPr>
        <w:t xml:space="preserve">WALSH, Catherine. Interculturalidade crítica e educação. Quito: </w:t>
      </w:r>
      <w:proofErr w:type="spellStart"/>
      <w:r w:rsidRPr="004E68A0">
        <w:rPr>
          <w:bCs/>
          <w:sz w:val="24"/>
          <w:szCs w:val="24"/>
        </w:rPr>
        <w:t>Abya</w:t>
      </w:r>
      <w:proofErr w:type="spellEnd"/>
      <w:r w:rsidRPr="004E68A0">
        <w:rPr>
          <w:bCs/>
          <w:sz w:val="24"/>
          <w:szCs w:val="24"/>
        </w:rPr>
        <w:t>-Yala, 2012.</w:t>
      </w:r>
    </w:p>
    <w:p w14:paraId="4AA06935" w14:textId="77777777" w:rsidR="00D831C4" w:rsidRDefault="00D831C4" w:rsidP="00D831C4">
      <w:pPr>
        <w:spacing w:line="240" w:lineRule="auto"/>
        <w:jc w:val="both"/>
        <w:rPr>
          <w:bCs/>
          <w:sz w:val="24"/>
          <w:szCs w:val="24"/>
        </w:rPr>
      </w:pPr>
    </w:p>
    <w:p w14:paraId="031376F8" w14:textId="75B20CC2" w:rsidR="004E68A0" w:rsidRPr="004E68A0" w:rsidRDefault="004E68A0" w:rsidP="00D831C4">
      <w:pPr>
        <w:spacing w:line="240" w:lineRule="auto"/>
        <w:jc w:val="both"/>
        <w:rPr>
          <w:bCs/>
          <w:sz w:val="24"/>
          <w:szCs w:val="24"/>
        </w:rPr>
      </w:pPr>
      <w:r w:rsidRPr="004E68A0">
        <w:rPr>
          <w:bCs/>
          <w:sz w:val="24"/>
          <w:szCs w:val="24"/>
        </w:rPr>
        <w:t>XAVIER, Graciele; MÁRQUES, Fernanda. Formação docente e educação patrimonial: desafios e possibilidades. In: Anais do Seminário de Educação Patrimonial, 2023.</w:t>
      </w:r>
    </w:p>
    <w:sectPr w:rsidR="004E68A0" w:rsidRPr="004E68A0">
      <w:head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BD4F4" w14:textId="77777777" w:rsidR="00013EFF" w:rsidRDefault="00013EFF">
      <w:pPr>
        <w:spacing w:line="240" w:lineRule="auto"/>
      </w:pPr>
      <w:r>
        <w:separator/>
      </w:r>
    </w:p>
  </w:endnote>
  <w:endnote w:type="continuationSeparator" w:id="0">
    <w:p w14:paraId="76112498" w14:textId="77777777" w:rsidR="00013EFF" w:rsidRDefault="00013E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98AD8" w14:textId="77777777" w:rsidR="00013EFF" w:rsidRDefault="00013EFF">
      <w:pPr>
        <w:spacing w:line="240" w:lineRule="auto"/>
      </w:pPr>
      <w:r>
        <w:separator/>
      </w:r>
    </w:p>
  </w:footnote>
  <w:footnote w:type="continuationSeparator" w:id="0">
    <w:p w14:paraId="4FDCD79D" w14:textId="77777777" w:rsidR="00013EFF" w:rsidRDefault="00013EFF">
      <w:pPr>
        <w:spacing w:line="240" w:lineRule="auto"/>
      </w:pPr>
      <w:r>
        <w:continuationSeparator/>
      </w:r>
    </w:p>
  </w:footnote>
  <w:footnote w:id="1">
    <w:p w14:paraId="35FD8819" w14:textId="428F67C8" w:rsidR="00181027" w:rsidRDefault="00000000">
      <w:pPr>
        <w:spacing w:line="240" w:lineRule="auto"/>
        <w:rPr>
          <w:rFonts w:ascii="Roboto" w:eastAsia="Roboto" w:hAnsi="Roboto" w:cs="Roboto"/>
          <w:color w:val="1F1F1F"/>
          <w:sz w:val="21"/>
          <w:szCs w:val="21"/>
          <w:shd w:val="clear" w:color="auto" w:fill="E9EEF6"/>
        </w:rPr>
      </w:pPr>
      <w:r>
        <w:rPr>
          <w:vertAlign w:val="superscript"/>
        </w:rPr>
        <w:footnoteRef/>
      </w:r>
      <w:r>
        <w:rPr>
          <w:sz w:val="20"/>
          <w:szCs w:val="20"/>
        </w:rPr>
        <w:t xml:space="preserve"> Mestranda do Programa de Pós-Graduação em Educação da Universidade Federal do Maranhão. E-mail: </w:t>
      </w:r>
      <w:hyperlink r:id="rId1" w:history="1">
        <w:proofErr w:type="spellStart"/>
        <w:r w:rsidR="006C3552" w:rsidRPr="00827D6F">
          <w:rPr>
            <w:rStyle w:val="Hyperlink"/>
            <w:rFonts w:ascii="Roboto" w:eastAsia="Roboto" w:hAnsi="Roboto" w:cs="Roboto"/>
            <w:sz w:val="21"/>
            <w:szCs w:val="21"/>
            <w:shd w:val="clear" w:color="auto" w:fill="E9EEF6"/>
          </w:rPr>
          <w:t>apr.silva@dis</w:t>
        </w:r>
      </w:hyperlink>
      <w:r w:rsidR="006C3552">
        <w:rPr>
          <w:rFonts w:ascii="Roboto" w:eastAsia="Roboto" w:hAnsi="Roboto" w:cs="Roboto"/>
          <w:color w:val="1155CC"/>
          <w:sz w:val="21"/>
          <w:szCs w:val="21"/>
          <w:u w:val="single"/>
          <w:shd w:val="clear" w:color="auto" w:fill="E9EEF6"/>
        </w:rPr>
        <w:t>cente.ufma.br</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0812" w14:textId="77777777" w:rsidR="00181027" w:rsidRDefault="00000000">
    <w:r>
      <w:rPr>
        <w:noProof/>
      </w:rPr>
      <w:drawing>
        <wp:anchor distT="0" distB="0" distL="0" distR="0" simplePos="0" relativeHeight="251658240" behindDoc="1" locked="0" layoutInCell="1" hidden="0" allowOverlap="1" wp14:anchorId="224075CD" wp14:editId="1DF408AD">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D63A97"/>
    <w:multiLevelType w:val="multilevel"/>
    <w:tmpl w:val="1F0E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5654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027"/>
    <w:rsid w:val="00013EFF"/>
    <w:rsid w:val="000C20E7"/>
    <w:rsid w:val="001078F1"/>
    <w:rsid w:val="00181027"/>
    <w:rsid w:val="0019484E"/>
    <w:rsid w:val="001A0491"/>
    <w:rsid w:val="001E3192"/>
    <w:rsid w:val="0022545B"/>
    <w:rsid w:val="002472E5"/>
    <w:rsid w:val="0033157D"/>
    <w:rsid w:val="00373C10"/>
    <w:rsid w:val="004E68A0"/>
    <w:rsid w:val="006A5962"/>
    <w:rsid w:val="006C3552"/>
    <w:rsid w:val="007222B8"/>
    <w:rsid w:val="007D0F53"/>
    <w:rsid w:val="007F20FA"/>
    <w:rsid w:val="008B3EC3"/>
    <w:rsid w:val="00920332"/>
    <w:rsid w:val="009875AE"/>
    <w:rsid w:val="00A039A4"/>
    <w:rsid w:val="00B3438E"/>
    <w:rsid w:val="00BC1736"/>
    <w:rsid w:val="00C10E6A"/>
    <w:rsid w:val="00C65F2A"/>
    <w:rsid w:val="00D831C4"/>
    <w:rsid w:val="00E035DD"/>
    <w:rsid w:val="00E31ACC"/>
    <w:rsid w:val="00E5019C"/>
    <w:rsid w:val="00E66B76"/>
    <w:rsid w:val="00E94058"/>
    <w:rsid w:val="00F309FF"/>
    <w:rsid w:val="00F85A67"/>
    <w:rsid w:val="00F94885"/>
    <w:rsid w:val="00FC4D0B"/>
    <w:rsid w:val="00FF3102"/>
    <w:rsid w:val="00FF69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34FE"/>
  <w15:docId w15:val="{5BD05CC8-1609-4A70-A5D8-3EE86B5A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6C3552"/>
    <w:pPr>
      <w:tabs>
        <w:tab w:val="center" w:pos="4252"/>
        <w:tab w:val="right" w:pos="8504"/>
      </w:tabs>
      <w:spacing w:line="240" w:lineRule="auto"/>
    </w:pPr>
  </w:style>
  <w:style w:type="character" w:customStyle="1" w:styleId="CabealhoChar">
    <w:name w:val="Cabeçalho Char"/>
    <w:basedOn w:val="Fontepargpadro"/>
    <w:link w:val="Cabealho"/>
    <w:uiPriority w:val="99"/>
    <w:rsid w:val="006C3552"/>
  </w:style>
  <w:style w:type="paragraph" w:styleId="Rodap">
    <w:name w:val="footer"/>
    <w:basedOn w:val="Normal"/>
    <w:link w:val="RodapChar"/>
    <w:uiPriority w:val="99"/>
    <w:unhideWhenUsed/>
    <w:rsid w:val="006C3552"/>
    <w:pPr>
      <w:tabs>
        <w:tab w:val="center" w:pos="4252"/>
        <w:tab w:val="right" w:pos="8504"/>
      </w:tabs>
      <w:spacing w:line="240" w:lineRule="auto"/>
    </w:pPr>
  </w:style>
  <w:style w:type="character" w:customStyle="1" w:styleId="RodapChar">
    <w:name w:val="Rodapé Char"/>
    <w:basedOn w:val="Fontepargpadro"/>
    <w:link w:val="Rodap"/>
    <w:uiPriority w:val="99"/>
    <w:rsid w:val="006C3552"/>
  </w:style>
  <w:style w:type="character" w:styleId="Hyperlink">
    <w:name w:val="Hyperlink"/>
    <w:basedOn w:val="Fontepargpadro"/>
    <w:uiPriority w:val="99"/>
    <w:unhideWhenUsed/>
    <w:rsid w:val="006C3552"/>
    <w:rPr>
      <w:color w:val="0000FF" w:themeColor="hyperlink"/>
      <w:u w:val="single"/>
    </w:rPr>
  </w:style>
  <w:style w:type="character" w:styleId="MenoPendente">
    <w:name w:val="Unresolved Mention"/>
    <w:basedOn w:val="Fontepargpadro"/>
    <w:uiPriority w:val="99"/>
    <w:semiHidden/>
    <w:unhideWhenUsed/>
    <w:rsid w:val="006C3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0933">
      <w:bodyDiv w:val="1"/>
      <w:marLeft w:val="0"/>
      <w:marRight w:val="0"/>
      <w:marTop w:val="0"/>
      <w:marBottom w:val="0"/>
      <w:divBdr>
        <w:top w:val="none" w:sz="0" w:space="0" w:color="auto"/>
        <w:left w:val="none" w:sz="0" w:space="0" w:color="auto"/>
        <w:bottom w:val="none" w:sz="0" w:space="0" w:color="auto"/>
        <w:right w:val="none" w:sz="0" w:space="0" w:color="auto"/>
      </w:divBdr>
    </w:div>
    <w:div w:id="156699288">
      <w:bodyDiv w:val="1"/>
      <w:marLeft w:val="0"/>
      <w:marRight w:val="0"/>
      <w:marTop w:val="0"/>
      <w:marBottom w:val="0"/>
      <w:divBdr>
        <w:top w:val="none" w:sz="0" w:space="0" w:color="auto"/>
        <w:left w:val="none" w:sz="0" w:space="0" w:color="auto"/>
        <w:bottom w:val="none" w:sz="0" w:space="0" w:color="auto"/>
        <w:right w:val="none" w:sz="0" w:space="0" w:color="auto"/>
      </w:divBdr>
    </w:div>
    <w:div w:id="251935094">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07635199">
      <w:bodyDiv w:val="1"/>
      <w:marLeft w:val="0"/>
      <w:marRight w:val="0"/>
      <w:marTop w:val="0"/>
      <w:marBottom w:val="0"/>
      <w:divBdr>
        <w:top w:val="none" w:sz="0" w:space="0" w:color="auto"/>
        <w:left w:val="none" w:sz="0" w:space="0" w:color="auto"/>
        <w:bottom w:val="none" w:sz="0" w:space="0" w:color="auto"/>
        <w:right w:val="none" w:sz="0" w:space="0" w:color="auto"/>
      </w:divBdr>
      <w:divsChild>
        <w:div w:id="1241870415">
          <w:marLeft w:val="0"/>
          <w:marRight w:val="0"/>
          <w:marTop w:val="0"/>
          <w:marBottom w:val="0"/>
          <w:divBdr>
            <w:top w:val="none" w:sz="0" w:space="0" w:color="auto"/>
            <w:left w:val="none" w:sz="0" w:space="0" w:color="auto"/>
            <w:bottom w:val="none" w:sz="0" w:space="0" w:color="auto"/>
            <w:right w:val="none" w:sz="0" w:space="0" w:color="auto"/>
          </w:divBdr>
          <w:divsChild>
            <w:div w:id="840005635">
              <w:marLeft w:val="0"/>
              <w:marRight w:val="0"/>
              <w:marTop w:val="0"/>
              <w:marBottom w:val="0"/>
              <w:divBdr>
                <w:top w:val="single" w:sz="2" w:space="0" w:color="E5E7EB"/>
                <w:left w:val="single" w:sz="2" w:space="0" w:color="E5E7EB"/>
                <w:bottom w:val="single" w:sz="2" w:space="0" w:color="E5E7EB"/>
                <w:right w:val="single" w:sz="2" w:space="0" w:color="E5E7EB"/>
              </w:divBdr>
              <w:divsChild>
                <w:div w:id="236213899">
                  <w:marLeft w:val="0"/>
                  <w:marRight w:val="0"/>
                  <w:marTop w:val="0"/>
                  <w:marBottom w:val="0"/>
                  <w:divBdr>
                    <w:top w:val="single" w:sz="2" w:space="0" w:color="E5E7EB"/>
                    <w:left w:val="single" w:sz="2" w:space="0" w:color="E5E7EB"/>
                    <w:bottom w:val="single" w:sz="2" w:space="0" w:color="E5E7EB"/>
                    <w:right w:val="single" w:sz="2" w:space="0" w:color="E5E7EB"/>
                  </w:divBdr>
                  <w:divsChild>
                    <w:div w:id="575700107">
                      <w:marLeft w:val="0"/>
                      <w:marRight w:val="0"/>
                      <w:marTop w:val="0"/>
                      <w:marBottom w:val="0"/>
                      <w:divBdr>
                        <w:top w:val="single" w:sz="2" w:space="0" w:color="E5E7EB"/>
                        <w:left w:val="single" w:sz="2" w:space="0" w:color="E5E7EB"/>
                        <w:bottom w:val="single" w:sz="2" w:space="0" w:color="E5E7EB"/>
                        <w:right w:val="single" w:sz="2" w:space="0" w:color="E5E7EB"/>
                      </w:divBdr>
                      <w:divsChild>
                        <w:div w:id="2131167720">
                          <w:marLeft w:val="0"/>
                          <w:marRight w:val="0"/>
                          <w:marTop w:val="0"/>
                          <w:marBottom w:val="0"/>
                          <w:divBdr>
                            <w:top w:val="single" w:sz="2" w:space="0" w:color="E5E7EB"/>
                            <w:left w:val="single" w:sz="2" w:space="0" w:color="E5E7EB"/>
                            <w:bottom w:val="single" w:sz="2" w:space="0" w:color="E5E7EB"/>
                            <w:right w:val="single" w:sz="2" w:space="0" w:color="E5E7EB"/>
                          </w:divBdr>
                          <w:divsChild>
                            <w:div w:id="33845085">
                              <w:marLeft w:val="0"/>
                              <w:marRight w:val="0"/>
                              <w:marTop w:val="0"/>
                              <w:marBottom w:val="0"/>
                              <w:divBdr>
                                <w:top w:val="single" w:sz="2" w:space="0" w:color="E5E7EB"/>
                                <w:left w:val="single" w:sz="2" w:space="0" w:color="E5E7EB"/>
                                <w:bottom w:val="single" w:sz="2" w:space="0" w:color="E5E7EB"/>
                                <w:right w:val="single" w:sz="2" w:space="0" w:color="E5E7EB"/>
                              </w:divBdr>
                              <w:divsChild>
                                <w:div w:id="1448230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03658671">
                  <w:marLeft w:val="0"/>
                  <w:marRight w:val="0"/>
                  <w:marTop w:val="0"/>
                  <w:marBottom w:val="0"/>
                  <w:divBdr>
                    <w:top w:val="single" w:sz="2" w:space="0" w:color="E5E7EB"/>
                    <w:left w:val="single" w:sz="2" w:space="0" w:color="E5E7EB"/>
                    <w:bottom w:val="single" w:sz="2" w:space="0" w:color="E5E7EB"/>
                    <w:right w:val="single" w:sz="2" w:space="0" w:color="E5E7EB"/>
                  </w:divBdr>
                  <w:divsChild>
                    <w:div w:id="1792895254">
                      <w:marLeft w:val="-120"/>
                      <w:marRight w:val="0"/>
                      <w:marTop w:val="0"/>
                      <w:marBottom w:val="0"/>
                      <w:divBdr>
                        <w:top w:val="single" w:sz="2" w:space="0" w:color="E5E7EB"/>
                        <w:left w:val="single" w:sz="2" w:space="0" w:color="E5E7EB"/>
                        <w:bottom w:val="single" w:sz="2" w:space="0" w:color="E5E7EB"/>
                        <w:right w:val="single" w:sz="2" w:space="0" w:color="E5E7EB"/>
                      </w:divBdr>
                      <w:divsChild>
                        <w:div w:id="1744063894">
                          <w:marLeft w:val="0"/>
                          <w:marRight w:val="0"/>
                          <w:marTop w:val="0"/>
                          <w:marBottom w:val="0"/>
                          <w:divBdr>
                            <w:top w:val="single" w:sz="2" w:space="0" w:color="E5E7EB"/>
                            <w:left w:val="single" w:sz="2" w:space="0" w:color="E5E7EB"/>
                            <w:bottom w:val="single" w:sz="2" w:space="0" w:color="E5E7EB"/>
                            <w:right w:val="single" w:sz="2" w:space="0" w:color="E5E7EB"/>
                          </w:divBdr>
                          <w:divsChild>
                            <w:div w:id="109972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526327">
                          <w:marLeft w:val="0"/>
                          <w:marRight w:val="0"/>
                          <w:marTop w:val="0"/>
                          <w:marBottom w:val="0"/>
                          <w:divBdr>
                            <w:top w:val="single" w:sz="2" w:space="0" w:color="E5E7EB"/>
                            <w:left w:val="single" w:sz="2" w:space="0" w:color="E5E7EB"/>
                            <w:bottom w:val="single" w:sz="2" w:space="0" w:color="E5E7EB"/>
                            <w:right w:val="single" w:sz="2" w:space="0" w:color="E5E7EB"/>
                          </w:divBdr>
                          <w:divsChild>
                            <w:div w:id="452670352">
                              <w:marLeft w:val="0"/>
                              <w:marRight w:val="0"/>
                              <w:marTop w:val="0"/>
                              <w:marBottom w:val="0"/>
                              <w:divBdr>
                                <w:top w:val="single" w:sz="2" w:space="0" w:color="E5E7EB"/>
                                <w:left w:val="single" w:sz="2" w:space="0" w:color="E5E7EB"/>
                                <w:bottom w:val="single" w:sz="2" w:space="0" w:color="E5E7EB"/>
                                <w:right w:val="single" w:sz="2" w:space="0" w:color="E5E7EB"/>
                              </w:divBdr>
                              <w:divsChild>
                                <w:div w:id="451941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2279954">
                          <w:marLeft w:val="0"/>
                          <w:marRight w:val="0"/>
                          <w:marTop w:val="0"/>
                          <w:marBottom w:val="0"/>
                          <w:divBdr>
                            <w:top w:val="single" w:sz="2" w:space="0" w:color="E5E7EB"/>
                            <w:left w:val="single" w:sz="2" w:space="0" w:color="E5E7EB"/>
                            <w:bottom w:val="single" w:sz="2" w:space="0" w:color="E5E7EB"/>
                            <w:right w:val="single" w:sz="2" w:space="0" w:color="E5E7EB"/>
                          </w:divBdr>
                          <w:divsChild>
                            <w:div w:id="394864375">
                              <w:marLeft w:val="0"/>
                              <w:marRight w:val="0"/>
                              <w:marTop w:val="0"/>
                              <w:marBottom w:val="0"/>
                              <w:divBdr>
                                <w:top w:val="single" w:sz="2" w:space="0" w:color="E5E7EB"/>
                                <w:left w:val="single" w:sz="2" w:space="0" w:color="E5E7EB"/>
                                <w:bottom w:val="single" w:sz="2" w:space="0" w:color="E5E7EB"/>
                                <w:right w:val="single" w:sz="2" w:space="0" w:color="E5E7EB"/>
                              </w:divBdr>
                              <w:divsChild>
                                <w:div w:id="256985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415369786">
      <w:bodyDiv w:val="1"/>
      <w:marLeft w:val="0"/>
      <w:marRight w:val="0"/>
      <w:marTop w:val="0"/>
      <w:marBottom w:val="0"/>
      <w:divBdr>
        <w:top w:val="none" w:sz="0" w:space="0" w:color="auto"/>
        <w:left w:val="none" w:sz="0" w:space="0" w:color="auto"/>
        <w:bottom w:val="none" w:sz="0" w:space="0" w:color="auto"/>
        <w:right w:val="none" w:sz="0" w:space="0" w:color="auto"/>
      </w:divBdr>
    </w:div>
    <w:div w:id="1257060143">
      <w:bodyDiv w:val="1"/>
      <w:marLeft w:val="0"/>
      <w:marRight w:val="0"/>
      <w:marTop w:val="0"/>
      <w:marBottom w:val="0"/>
      <w:divBdr>
        <w:top w:val="none" w:sz="0" w:space="0" w:color="auto"/>
        <w:left w:val="none" w:sz="0" w:space="0" w:color="auto"/>
        <w:bottom w:val="none" w:sz="0" w:space="0" w:color="auto"/>
        <w:right w:val="none" w:sz="0" w:space="0" w:color="auto"/>
      </w:divBdr>
    </w:div>
    <w:div w:id="1276641714">
      <w:bodyDiv w:val="1"/>
      <w:marLeft w:val="0"/>
      <w:marRight w:val="0"/>
      <w:marTop w:val="0"/>
      <w:marBottom w:val="0"/>
      <w:divBdr>
        <w:top w:val="none" w:sz="0" w:space="0" w:color="auto"/>
        <w:left w:val="none" w:sz="0" w:space="0" w:color="auto"/>
        <w:bottom w:val="none" w:sz="0" w:space="0" w:color="auto"/>
        <w:right w:val="none" w:sz="0" w:space="0" w:color="auto"/>
      </w:divBdr>
    </w:div>
    <w:div w:id="1537505099">
      <w:bodyDiv w:val="1"/>
      <w:marLeft w:val="0"/>
      <w:marRight w:val="0"/>
      <w:marTop w:val="0"/>
      <w:marBottom w:val="0"/>
      <w:divBdr>
        <w:top w:val="none" w:sz="0" w:space="0" w:color="auto"/>
        <w:left w:val="none" w:sz="0" w:space="0" w:color="auto"/>
        <w:bottom w:val="none" w:sz="0" w:space="0" w:color="auto"/>
        <w:right w:val="none" w:sz="0" w:space="0" w:color="auto"/>
      </w:divBdr>
    </w:div>
    <w:div w:id="1541748567">
      <w:bodyDiv w:val="1"/>
      <w:marLeft w:val="0"/>
      <w:marRight w:val="0"/>
      <w:marTop w:val="0"/>
      <w:marBottom w:val="0"/>
      <w:divBdr>
        <w:top w:val="none" w:sz="0" w:space="0" w:color="auto"/>
        <w:left w:val="none" w:sz="0" w:space="0" w:color="auto"/>
        <w:bottom w:val="none" w:sz="0" w:space="0" w:color="auto"/>
        <w:right w:val="none" w:sz="0" w:space="0" w:color="auto"/>
      </w:divBdr>
    </w:div>
    <w:div w:id="1578855612">
      <w:bodyDiv w:val="1"/>
      <w:marLeft w:val="0"/>
      <w:marRight w:val="0"/>
      <w:marTop w:val="0"/>
      <w:marBottom w:val="0"/>
      <w:divBdr>
        <w:top w:val="none" w:sz="0" w:space="0" w:color="auto"/>
        <w:left w:val="none" w:sz="0" w:space="0" w:color="auto"/>
        <w:bottom w:val="none" w:sz="0" w:space="0" w:color="auto"/>
        <w:right w:val="none" w:sz="0" w:space="0" w:color="auto"/>
      </w:divBdr>
      <w:divsChild>
        <w:div w:id="1155608233">
          <w:marLeft w:val="0"/>
          <w:marRight w:val="0"/>
          <w:marTop w:val="0"/>
          <w:marBottom w:val="0"/>
          <w:divBdr>
            <w:top w:val="none" w:sz="0" w:space="0" w:color="auto"/>
            <w:left w:val="none" w:sz="0" w:space="0" w:color="auto"/>
            <w:bottom w:val="none" w:sz="0" w:space="0" w:color="auto"/>
            <w:right w:val="none" w:sz="0" w:space="0" w:color="auto"/>
          </w:divBdr>
          <w:divsChild>
            <w:div w:id="521869172">
              <w:marLeft w:val="0"/>
              <w:marRight w:val="0"/>
              <w:marTop w:val="0"/>
              <w:marBottom w:val="0"/>
              <w:divBdr>
                <w:top w:val="single" w:sz="2" w:space="0" w:color="E5E7EB"/>
                <w:left w:val="single" w:sz="2" w:space="0" w:color="E5E7EB"/>
                <w:bottom w:val="single" w:sz="2" w:space="0" w:color="E5E7EB"/>
                <w:right w:val="single" w:sz="2" w:space="0" w:color="E5E7EB"/>
              </w:divBdr>
              <w:divsChild>
                <w:div w:id="1191918292">
                  <w:marLeft w:val="0"/>
                  <w:marRight w:val="0"/>
                  <w:marTop w:val="0"/>
                  <w:marBottom w:val="0"/>
                  <w:divBdr>
                    <w:top w:val="single" w:sz="2" w:space="0" w:color="E5E7EB"/>
                    <w:left w:val="single" w:sz="2" w:space="0" w:color="E5E7EB"/>
                    <w:bottom w:val="single" w:sz="2" w:space="0" w:color="E5E7EB"/>
                    <w:right w:val="single" w:sz="2" w:space="0" w:color="E5E7EB"/>
                  </w:divBdr>
                  <w:divsChild>
                    <w:div w:id="1076588183">
                      <w:marLeft w:val="0"/>
                      <w:marRight w:val="0"/>
                      <w:marTop w:val="0"/>
                      <w:marBottom w:val="0"/>
                      <w:divBdr>
                        <w:top w:val="single" w:sz="2" w:space="0" w:color="E5E7EB"/>
                        <w:left w:val="single" w:sz="2" w:space="0" w:color="E5E7EB"/>
                        <w:bottom w:val="single" w:sz="2" w:space="0" w:color="E5E7EB"/>
                        <w:right w:val="single" w:sz="2" w:space="0" w:color="E5E7EB"/>
                      </w:divBdr>
                      <w:divsChild>
                        <w:div w:id="1525093239">
                          <w:marLeft w:val="0"/>
                          <w:marRight w:val="0"/>
                          <w:marTop w:val="0"/>
                          <w:marBottom w:val="0"/>
                          <w:divBdr>
                            <w:top w:val="single" w:sz="2" w:space="0" w:color="E5E7EB"/>
                            <w:left w:val="single" w:sz="2" w:space="0" w:color="E5E7EB"/>
                            <w:bottom w:val="single" w:sz="2" w:space="0" w:color="E5E7EB"/>
                            <w:right w:val="single" w:sz="2" w:space="0" w:color="E5E7EB"/>
                          </w:divBdr>
                          <w:divsChild>
                            <w:div w:id="1893930398">
                              <w:marLeft w:val="0"/>
                              <w:marRight w:val="0"/>
                              <w:marTop w:val="0"/>
                              <w:marBottom w:val="0"/>
                              <w:divBdr>
                                <w:top w:val="single" w:sz="2" w:space="0" w:color="E5E7EB"/>
                                <w:left w:val="single" w:sz="2" w:space="0" w:color="E5E7EB"/>
                                <w:bottom w:val="single" w:sz="2" w:space="0" w:color="E5E7EB"/>
                                <w:right w:val="single" w:sz="2" w:space="0" w:color="E5E7EB"/>
                              </w:divBdr>
                              <w:divsChild>
                                <w:div w:id="1045762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13933130">
                  <w:marLeft w:val="0"/>
                  <w:marRight w:val="0"/>
                  <w:marTop w:val="0"/>
                  <w:marBottom w:val="0"/>
                  <w:divBdr>
                    <w:top w:val="single" w:sz="2" w:space="0" w:color="E5E7EB"/>
                    <w:left w:val="single" w:sz="2" w:space="0" w:color="E5E7EB"/>
                    <w:bottom w:val="single" w:sz="2" w:space="0" w:color="E5E7EB"/>
                    <w:right w:val="single" w:sz="2" w:space="0" w:color="E5E7EB"/>
                  </w:divBdr>
                  <w:divsChild>
                    <w:div w:id="1741488395">
                      <w:marLeft w:val="-120"/>
                      <w:marRight w:val="0"/>
                      <w:marTop w:val="0"/>
                      <w:marBottom w:val="0"/>
                      <w:divBdr>
                        <w:top w:val="single" w:sz="2" w:space="0" w:color="E5E7EB"/>
                        <w:left w:val="single" w:sz="2" w:space="0" w:color="E5E7EB"/>
                        <w:bottom w:val="single" w:sz="2" w:space="0" w:color="E5E7EB"/>
                        <w:right w:val="single" w:sz="2" w:space="0" w:color="E5E7EB"/>
                      </w:divBdr>
                      <w:divsChild>
                        <w:div w:id="2144230332">
                          <w:marLeft w:val="0"/>
                          <w:marRight w:val="0"/>
                          <w:marTop w:val="0"/>
                          <w:marBottom w:val="0"/>
                          <w:divBdr>
                            <w:top w:val="single" w:sz="2" w:space="0" w:color="E5E7EB"/>
                            <w:left w:val="single" w:sz="2" w:space="0" w:color="E5E7EB"/>
                            <w:bottom w:val="single" w:sz="2" w:space="0" w:color="E5E7EB"/>
                            <w:right w:val="single" w:sz="2" w:space="0" w:color="E5E7EB"/>
                          </w:divBdr>
                          <w:divsChild>
                            <w:div w:id="168698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9534203">
                          <w:marLeft w:val="0"/>
                          <w:marRight w:val="0"/>
                          <w:marTop w:val="0"/>
                          <w:marBottom w:val="0"/>
                          <w:divBdr>
                            <w:top w:val="single" w:sz="2" w:space="0" w:color="E5E7EB"/>
                            <w:left w:val="single" w:sz="2" w:space="0" w:color="E5E7EB"/>
                            <w:bottom w:val="single" w:sz="2" w:space="0" w:color="E5E7EB"/>
                            <w:right w:val="single" w:sz="2" w:space="0" w:color="E5E7EB"/>
                          </w:divBdr>
                          <w:divsChild>
                            <w:div w:id="1845046271">
                              <w:marLeft w:val="0"/>
                              <w:marRight w:val="0"/>
                              <w:marTop w:val="0"/>
                              <w:marBottom w:val="0"/>
                              <w:divBdr>
                                <w:top w:val="single" w:sz="2" w:space="0" w:color="E5E7EB"/>
                                <w:left w:val="single" w:sz="2" w:space="0" w:color="E5E7EB"/>
                                <w:bottom w:val="single" w:sz="2" w:space="0" w:color="E5E7EB"/>
                                <w:right w:val="single" w:sz="2" w:space="0" w:color="E5E7EB"/>
                              </w:divBdr>
                              <w:divsChild>
                                <w:div w:id="1548760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62772079">
                          <w:marLeft w:val="0"/>
                          <w:marRight w:val="0"/>
                          <w:marTop w:val="0"/>
                          <w:marBottom w:val="0"/>
                          <w:divBdr>
                            <w:top w:val="single" w:sz="2" w:space="0" w:color="E5E7EB"/>
                            <w:left w:val="single" w:sz="2" w:space="0" w:color="E5E7EB"/>
                            <w:bottom w:val="single" w:sz="2" w:space="0" w:color="E5E7EB"/>
                            <w:right w:val="single" w:sz="2" w:space="0" w:color="E5E7EB"/>
                          </w:divBdr>
                          <w:divsChild>
                            <w:div w:id="2003773423">
                              <w:marLeft w:val="0"/>
                              <w:marRight w:val="0"/>
                              <w:marTop w:val="0"/>
                              <w:marBottom w:val="0"/>
                              <w:divBdr>
                                <w:top w:val="single" w:sz="2" w:space="0" w:color="E5E7EB"/>
                                <w:left w:val="single" w:sz="2" w:space="0" w:color="E5E7EB"/>
                                <w:bottom w:val="single" w:sz="2" w:space="0" w:color="E5E7EB"/>
                                <w:right w:val="single" w:sz="2" w:space="0" w:color="E5E7EB"/>
                              </w:divBdr>
                              <w:divsChild>
                                <w:div w:id="1036926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56783101">
      <w:bodyDiv w:val="1"/>
      <w:marLeft w:val="0"/>
      <w:marRight w:val="0"/>
      <w:marTop w:val="0"/>
      <w:marBottom w:val="0"/>
      <w:divBdr>
        <w:top w:val="none" w:sz="0" w:space="0" w:color="auto"/>
        <w:left w:val="none" w:sz="0" w:space="0" w:color="auto"/>
        <w:bottom w:val="none" w:sz="0" w:space="0" w:color="auto"/>
        <w:right w:val="none" w:sz="0" w:space="0" w:color="auto"/>
      </w:divBdr>
    </w:div>
    <w:div w:id="2086417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apr.silva@d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3670</Words>
  <Characters>19820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ANA PAULA RODRIGUES DA SILVA</cp:lastModifiedBy>
  <cp:revision>2</cp:revision>
  <dcterms:created xsi:type="dcterms:W3CDTF">2025-07-07T04:07:00Z</dcterms:created>
  <dcterms:modified xsi:type="dcterms:W3CDTF">2025-07-07T04:07:00Z</dcterms:modified>
</cp:coreProperties>
</file>