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FAD84" w14:textId="77777777" w:rsidR="002B0CE6" w:rsidRDefault="007171D6">
      <w:pPr>
        <w:spacing w:line="360" w:lineRule="auto"/>
        <w:jc w:val="center"/>
        <w:rPr>
          <w:sz w:val="24"/>
          <w:szCs w:val="24"/>
        </w:rPr>
      </w:pPr>
      <w:r>
        <w:rPr>
          <w:b/>
          <w:sz w:val="24"/>
          <w:szCs w:val="24"/>
        </w:rPr>
        <w:t xml:space="preserve">Elementos para construção da identidade étnico-racial de jovens negros no quilombo urbano Liberdade. </w:t>
      </w:r>
    </w:p>
    <w:p w14:paraId="28709432" w14:textId="77777777" w:rsidR="002B0CE6" w:rsidRDefault="007171D6">
      <w:pPr>
        <w:spacing w:line="360" w:lineRule="auto"/>
        <w:jc w:val="right"/>
        <w:rPr>
          <w:sz w:val="24"/>
          <w:szCs w:val="24"/>
        </w:rPr>
      </w:pPr>
      <w:r>
        <w:rPr>
          <w:b/>
          <w:sz w:val="24"/>
          <w:szCs w:val="24"/>
        </w:rPr>
        <w:t>Samara do Nascimento Souza</w:t>
      </w:r>
      <w:r>
        <w:rPr>
          <w:b/>
          <w:sz w:val="24"/>
          <w:szCs w:val="24"/>
          <w:vertAlign w:val="superscript"/>
        </w:rPr>
        <w:footnoteReference w:id="1"/>
      </w:r>
      <w:r>
        <w:rPr>
          <w:b/>
          <w:sz w:val="24"/>
          <w:szCs w:val="24"/>
        </w:rPr>
        <w:t xml:space="preserve"> </w:t>
      </w:r>
    </w:p>
    <w:p w14:paraId="01F20395" w14:textId="4DCF9EED" w:rsidR="002B0CE6" w:rsidRDefault="007171D6">
      <w:pPr>
        <w:spacing w:line="360" w:lineRule="auto"/>
        <w:jc w:val="right"/>
        <w:rPr>
          <w:b/>
          <w:sz w:val="24"/>
          <w:szCs w:val="24"/>
        </w:rPr>
      </w:pPr>
      <w:r>
        <w:rPr>
          <w:b/>
          <w:sz w:val="24"/>
          <w:szCs w:val="24"/>
        </w:rPr>
        <w:t xml:space="preserve">Sávio José Dias Rodrigues </w:t>
      </w:r>
      <w:r>
        <w:rPr>
          <w:b/>
          <w:sz w:val="24"/>
          <w:szCs w:val="24"/>
          <w:vertAlign w:val="superscript"/>
        </w:rPr>
        <w:footnoteReference w:id="2"/>
      </w:r>
    </w:p>
    <w:p w14:paraId="3110C237" w14:textId="44092049" w:rsidR="00BF0C60" w:rsidRPr="00BF0C60" w:rsidRDefault="00BF0C60">
      <w:pPr>
        <w:spacing w:line="360" w:lineRule="auto"/>
        <w:jc w:val="right"/>
        <w:rPr>
          <w:b/>
          <w:bCs/>
          <w:sz w:val="24"/>
          <w:szCs w:val="24"/>
        </w:rPr>
      </w:pPr>
      <w:r w:rsidRPr="00BF0C60">
        <w:rPr>
          <w:b/>
          <w:bCs/>
          <w:sz w:val="24"/>
          <w:szCs w:val="24"/>
          <w:lang w:val="pt-PT"/>
        </w:rPr>
        <w:t>Júlia Kátia Borgneth Petrus</w:t>
      </w:r>
      <w:r>
        <w:rPr>
          <w:rStyle w:val="Refdenotaderodap"/>
          <w:b/>
          <w:bCs/>
          <w:sz w:val="24"/>
          <w:szCs w:val="24"/>
          <w:lang w:val="pt-PT"/>
        </w:rPr>
        <w:footnoteReference w:id="3"/>
      </w:r>
    </w:p>
    <w:p w14:paraId="3C800E32" w14:textId="77777777" w:rsidR="002B0CE6" w:rsidRDefault="007171D6">
      <w:pPr>
        <w:spacing w:line="360" w:lineRule="auto"/>
        <w:jc w:val="right"/>
        <w:rPr>
          <w:sz w:val="24"/>
          <w:szCs w:val="24"/>
        </w:rPr>
      </w:pPr>
      <w:proofErr w:type="spellStart"/>
      <w:r>
        <w:rPr>
          <w:b/>
          <w:sz w:val="24"/>
          <w:szCs w:val="24"/>
        </w:rPr>
        <w:t>Laryssa</w:t>
      </w:r>
      <w:proofErr w:type="spellEnd"/>
      <w:r>
        <w:rPr>
          <w:b/>
          <w:sz w:val="24"/>
          <w:szCs w:val="24"/>
        </w:rPr>
        <w:t xml:space="preserve"> Costa Silva</w:t>
      </w:r>
      <w:r>
        <w:rPr>
          <w:b/>
          <w:sz w:val="24"/>
          <w:szCs w:val="24"/>
          <w:vertAlign w:val="superscript"/>
        </w:rPr>
        <w:footnoteReference w:id="4"/>
      </w:r>
    </w:p>
    <w:p w14:paraId="17AD6E4F" w14:textId="77777777" w:rsidR="002B0CE6" w:rsidRDefault="002B0CE6">
      <w:pPr>
        <w:spacing w:line="240" w:lineRule="auto"/>
        <w:ind w:left="2835"/>
        <w:jc w:val="both"/>
        <w:rPr>
          <w:sz w:val="20"/>
          <w:szCs w:val="20"/>
        </w:rPr>
      </w:pPr>
    </w:p>
    <w:p w14:paraId="736D8485" w14:textId="77777777" w:rsidR="002B0CE6" w:rsidRDefault="007171D6">
      <w:pPr>
        <w:spacing w:line="240" w:lineRule="auto"/>
        <w:ind w:left="2835"/>
        <w:jc w:val="both"/>
        <w:rPr>
          <w:sz w:val="20"/>
          <w:szCs w:val="20"/>
        </w:rPr>
      </w:pPr>
      <w:r>
        <w:rPr>
          <w:b/>
          <w:sz w:val="20"/>
          <w:szCs w:val="20"/>
        </w:rPr>
        <w:t>Resumo</w:t>
      </w:r>
    </w:p>
    <w:p w14:paraId="4B81C885" w14:textId="77777777" w:rsidR="002B0CE6" w:rsidRDefault="002B0CE6">
      <w:pPr>
        <w:spacing w:line="240" w:lineRule="auto"/>
        <w:ind w:left="2835"/>
        <w:jc w:val="both"/>
        <w:rPr>
          <w:sz w:val="20"/>
          <w:szCs w:val="20"/>
        </w:rPr>
      </w:pPr>
    </w:p>
    <w:p w14:paraId="4CF666DD" w14:textId="77777777" w:rsidR="002B0CE6" w:rsidRDefault="007171D6">
      <w:pPr>
        <w:spacing w:line="240" w:lineRule="auto"/>
        <w:ind w:left="2835"/>
        <w:jc w:val="both"/>
        <w:rPr>
          <w:sz w:val="20"/>
          <w:szCs w:val="20"/>
        </w:rPr>
      </w:pPr>
      <w:r>
        <w:rPr>
          <w:sz w:val="20"/>
          <w:szCs w:val="20"/>
        </w:rPr>
        <w:t xml:space="preserve">O presente trabalho tem como objetivo analisar os elementos de produção da identidade étnico-racial de jovens negros contextualizados no quilombo urbano Liberdade em São </w:t>
      </w:r>
      <w:proofErr w:type="spellStart"/>
      <w:r>
        <w:rPr>
          <w:sz w:val="20"/>
          <w:szCs w:val="20"/>
        </w:rPr>
        <w:t>Luís-MA</w:t>
      </w:r>
      <w:proofErr w:type="spellEnd"/>
      <w:r>
        <w:rPr>
          <w:sz w:val="20"/>
          <w:szCs w:val="20"/>
        </w:rPr>
        <w:t>. O quilombo urbano Liberdade é um território situado na malha urbana da cidade</w:t>
      </w:r>
      <w:r>
        <w:rPr>
          <w:sz w:val="20"/>
          <w:szCs w:val="20"/>
        </w:rPr>
        <w:t xml:space="preserve"> e historicamente tem sido ocupado por populações quilombolas remanescentes dos quilombos rurais da Baixada Litoral Ocidental Maranhense. Diversos processos culturais, urbanos e populacionais compõe a formação do território, dentre estes podemos situar as </w:t>
      </w:r>
      <w:r>
        <w:rPr>
          <w:sz w:val="20"/>
          <w:szCs w:val="20"/>
        </w:rPr>
        <w:t>mudanças que atravessam as questões geracionais, tal como a produção da identidade étnico- racial e neste sentido as juventudes inserem-se nesse contexto, sendo lidos enquanto sujeitos ativos nas transformações dinâmicas assimilando por meio das práticas d</w:t>
      </w:r>
      <w:r>
        <w:rPr>
          <w:sz w:val="20"/>
          <w:szCs w:val="20"/>
        </w:rPr>
        <w:t xml:space="preserve">itas “tradicionais” a identidade quilombola assim como a identidade negra por meio dos simbolismos e ancestralidades presentes nas </w:t>
      </w:r>
      <w:r>
        <w:rPr>
          <w:sz w:val="20"/>
          <w:szCs w:val="20"/>
        </w:rPr>
        <w:t>vivências</w:t>
      </w:r>
      <w:r>
        <w:rPr>
          <w:sz w:val="20"/>
          <w:szCs w:val="20"/>
        </w:rPr>
        <w:t xml:space="preserve"> e territorialidades a comunidade.  </w:t>
      </w:r>
    </w:p>
    <w:p w14:paraId="23D5103E" w14:textId="77777777" w:rsidR="002B0CE6" w:rsidRDefault="007171D6">
      <w:pPr>
        <w:spacing w:line="240" w:lineRule="auto"/>
        <w:ind w:left="2835"/>
        <w:jc w:val="both"/>
        <w:rPr>
          <w:sz w:val="20"/>
          <w:szCs w:val="20"/>
        </w:rPr>
      </w:pPr>
      <w:r>
        <w:rPr>
          <w:b/>
          <w:sz w:val="20"/>
          <w:szCs w:val="20"/>
        </w:rPr>
        <w:t>Palavras-chave</w:t>
      </w:r>
      <w:r>
        <w:rPr>
          <w:sz w:val="20"/>
          <w:szCs w:val="20"/>
        </w:rPr>
        <w:t xml:space="preserve">: urbano; quilombo; juventude. </w:t>
      </w:r>
    </w:p>
    <w:p w14:paraId="3FDCD9D7" w14:textId="77777777" w:rsidR="002B0CE6" w:rsidRDefault="007171D6">
      <w:pPr>
        <w:spacing w:line="240" w:lineRule="auto"/>
        <w:ind w:left="2835"/>
        <w:jc w:val="both"/>
        <w:rPr>
          <w:sz w:val="20"/>
          <w:szCs w:val="20"/>
        </w:rPr>
      </w:pPr>
      <w:r>
        <w:rPr>
          <w:b/>
          <w:sz w:val="20"/>
          <w:szCs w:val="20"/>
        </w:rPr>
        <w:t>Abstract</w:t>
      </w:r>
    </w:p>
    <w:p w14:paraId="169DD33E" w14:textId="77777777" w:rsidR="002B0CE6" w:rsidRDefault="007171D6">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paper</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analy</w:t>
      </w:r>
      <w:r>
        <w:rPr>
          <w:sz w:val="20"/>
          <w:szCs w:val="20"/>
        </w:rPr>
        <w:t>ze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elements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production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ethnic</w:t>
      </w:r>
      <w:proofErr w:type="spellEnd"/>
      <w:r>
        <w:rPr>
          <w:sz w:val="20"/>
          <w:szCs w:val="20"/>
        </w:rPr>
        <w:t xml:space="preserve">-racial </w:t>
      </w:r>
      <w:proofErr w:type="spellStart"/>
      <w:r>
        <w:rPr>
          <w:sz w:val="20"/>
          <w:szCs w:val="20"/>
        </w:rPr>
        <w:t>identity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young</w:t>
      </w:r>
      <w:proofErr w:type="spellEnd"/>
      <w:r>
        <w:rPr>
          <w:sz w:val="20"/>
          <w:szCs w:val="20"/>
        </w:rPr>
        <w:t xml:space="preserve"> </w:t>
      </w:r>
      <w:proofErr w:type="spellStart"/>
      <w:r>
        <w:rPr>
          <w:sz w:val="20"/>
          <w:szCs w:val="20"/>
        </w:rPr>
        <w:t>black</w:t>
      </w:r>
      <w:proofErr w:type="spellEnd"/>
      <w:r>
        <w:rPr>
          <w:sz w:val="20"/>
          <w:szCs w:val="20"/>
        </w:rPr>
        <w:t xml:space="preserve"> </w:t>
      </w:r>
      <w:proofErr w:type="spellStart"/>
      <w:r>
        <w:rPr>
          <w:sz w:val="20"/>
          <w:szCs w:val="20"/>
        </w:rPr>
        <w:t>people</w:t>
      </w:r>
      <w:proofErr w:type="spellEnd"/>
      <w:r>
        <w:rPr>
          <w:sz w:val="20"/>
          <w:szCs w:val="20"/>
        </w:rPr>
        <w:t xml:space="preserve"> </w:t>
      </w:r>
      <w:proofErr w:type="spellStart"/>
      <w:r>
        <w:rPr>
          <w:sz w:val="20"/>
          <w:szCs w:val="20"/>
        </w:rPr>
        <w:t>contextualized</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urban</w:t>
      </w:r>
      <w:proofErr w:type="spellEnd"/>
      <w:r>
        <w:rPr>
          <w:sz w:val="20"/>
          <w:szCs w:val="20"/>
        </w:rPr>
        <w:t xml:space="preserve"> quilombo Liberdade in São </w:t>
      </w:r>
      <w:proofErr w:type="spellStart"/>
      <w:r>
        <w:rPr>
          <w:sz w:val="20"/>
          <w:szCs w:val="20"/>
        </w:rPr>
        <w:t>Luís-MA</w:t>
      </w:r>
      <w:proofErr w:type="spellEnd"/>
      <w:r>
        <w:rPr>
          <w:sz w:val="20"/>
          <w:szCs w:val="20"/>
        </w:rPr>
        <w:t xml:space="preserve">. The </w:t>
      </w:r>
      <w:proofErr w:type="spellStart"/>
      <w:r>
        <w:rPr>
          <w:sz w:val="20"/>
          <w:szCs w:val="20"/>
        </w:rPr>
        <w:t>urban</w:t>
      </w:r>
      <w:proofErr w:type="spellEnd"/>
      <w:r>
        <w:rPr>
          <w:sz w:val="20"/>
          <w:szCs w:val="20"/>
        </w:rPr>
        <w:t xml:space="preserve"> quilombo Liberdade </w:t>
      </w:r>
      <w:proofErr w:type="spellStart"/>
      <w:r>
        <w:rPr>
          <w:sz w:val="20"/>
          <w:szCs w:val="20"/>
        </w:rPr>
        <w:t>is</w:t>
      </w:r>
      <w:proofErr w:type="spellEnd"/>
      <w:r>
        <w:rPr>
          <w:sz w:val="20"/>
          <w:szCs w:val="20"/>
        </w:rPr>
        <w:t xml:space="preserve"> a </w:t>
      </w:r>
      <w:proofErr w:type="spellStart"/>
      <w:r>
        <w:rPr>
          <w:sz w:val="20"/>
          <w:szCs w:val="20"/>
        </w:rPr>
        <w:t>territory</w:t>
      </w:r>
      <w:proofErr w:type="spellEnd"/>
      <w:r>
        <w:rPr>
          <w:sz w:val="20"/>
          <w:szCs w:val="20"/>
        </w:rPr>
        <w:t xml:space="preserve"> </w:t>
      </w:r>
      <w:proofErr w:type="spellStart"/>
      <w:r>
        <w:rPr>
          <w:sz w:val="20"/>
          <w:szCs w:val="20"/>
        </w:rPr>
        <w:t>located</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urban</w:t>
      </w:r>
      <w:proofErr w:type="spellEnd"/>
      <w:r>
        <w:rPr>
          <w:sz w:val="20"/>
          <w:szCs w:val="20"/>
        </w:rPr>
        <w:t xml:space="preserve"> </w:t>
      </w:r>
      <w:proofErr w:type="spellStart"/>
      <w:r>
        <w:rPr>
          <w:sz w:val="20"/>
          <w:szCs w:val="20"/>
        </w:rPr>
        <w:t>area</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city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has</w:t>
      </w:r>
      <w:proofErr w:type="spellEnd"/>
      <w:r>
        <w:rPr>
          <w:sz w:val="20"/>
          <w:szCs w:val="20"/>
        </w:rPr>
        <w:t xml:space="preserve"> </w:t>
      </w:r>
      <w:proofErr w:type="spellStart"/>
      <w:r>
        <w:rPr>
          <w:sz w:val="20"/>
          <w:szCs w:val="20"/>
        </w:rPr>
        <w:t>historically</w:t>
      </w:r>
      <w:proofErr w:type="spellEnd"/>
      <w:r>
        <w:rPr>
          <w:sz w:val="20"/>
          <w:szCs w:val="20"/>
        </w:rPr>
        <w:t xml:space="preserve"> </w:t>
      </w:r>
      <w:proofErr w:type="spellStart"/>
      <w:r>
        <w:rPr>
          <w:sz w:val="20"/>
          <w:szCs w:val="20"/>
        </w:rPr>
        <w:t>been</w:t>
      </w:r>
      <w:proofErr w:type="spellEnd"/>
      <w:r>
        <w:rPr>
          <w:sz w:val="20"/>
          <w:szCs w:val="20"/>
        </w:rPr>
        <w:t xml:space="preserve"> </w:t>
      </w:r>
      <w:proofErr w:type="spellStart"/>
      <w:r>
        <w:rPr>
          <w:sz w:val="20"/>
          <w:szCs w:val="20"/>
        </w:rPr>
        <w:t>o</w:t>
      </w:r>
      <w:r>
        <w:rPr>
          <w:sz w:val="20"/>
          <w:szCs w:val="20"/>
        </w:rPr>
        <w:t>ccupied</w:t>
      </w:r>
      <w:proofErr w:type="spellEnd"/>
      <w:r>
        <w:rPr>
          <w:sz w:val="20"/>
          <w:szCs w:val="20"/>
        </w:rPr>
        <w:t xml:space="preserve"> </w:t>
      </w:r>
      <w:proofErr w:type="spellStart"/>
      <w:r>
        <w:rPr>
          <w:sz w:val="20"/>
          <w:szCs w:val="20"/>
        </w:rPr>
        <w:t>by</w:t>
      </w:r>
      <w:proofErr w:type="spellEnd"/>
      <w:r>
        <w:rPr>
          <w:sz w:val="20"/>
          <w:szCs w:val="20"/>
        </w:rPr>
        <w:t xml:space="preserve"> quilombola </w:t>
      </w:r>
      <w:proofErr w:type="spellStart"/>
      <w:r>
        <w:rPr>
          <w:sz w:val="20"/>
          <w:szCs w:val="20"/>
        </w:rPr>
        <w:t>populations</w:t>
      </w:r>
      <w:proofErr w:type="spellEnd"/>
      <w:r>
        <w:rPr>
          <w:sz w:val="20"/>
          <w:szCs w:val="20"/>
        </w:rPr>
        <w:t xml:space="preserve"> </w:t>
      </w:r>
      <w:proofErr w:type="spellStart"/>
      <w:r>
        <w:rPr>
          <w:sz w:val="20"/>
          <w:szCs w:val="20"/>
        </w:rPr>
        <w:t>remaining</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w:t>
      </w:r>
      <w:proofErr w:type="gramStart"/>
      <w:r>
        <w:rPr>
          <w:sz w:val="20"/>
          <w:szCs w:val="20"/>
        </w:rPr>
        <w:t>rural quilombos</w:t>
      </w:r>
      <w:proofErr w:type="gram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Baixada Litoral Ocidental Maranhense. </w:t>
      </w:r>
      <w:proofErr w:type="spellStart"/>
      <w:r>
        <w:rPr>
          <w:sz w:val="20"/>
          <w:szCs w:val="20"/>
        </w:rPr>
        <w:t>Several</w:t>
      </w:r>
      <w:proofErr w:type="spellEnd"/>
      <w:r>
        <w:rPr>
          <w:sz w:val="20"/>
          <w:szCs w:val="20"/>
        </w:rPr>
        <w:t xml:space="preserve"> cultural, </w:t>
      </w:r>
      <w:proofErr w:type="spellStart"/>
      <w:r>
        <w:rPr>
          <w:sz w:val="20"/>
          <w:szCs w:val="20"/>
        </w:rPr>
        <w:t>urban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population</w:t>
      </w:r>
      <w:proofErr w:type="spellEnd"/>
      <w:r>
        <w:rPr>
          <w:sz w:val="20"/>
          <w:szCs w:val="20"/>
        </w:rPr>
        <w:t xml:space="preserve"> processes make </w:t>
      </w:r>
      <w:proofErr w:type="spellStart"/>
      <w:r>
        <w:rPr>
          <w:sz w:val="20"/>
          <w:szCs w:val="20"/>
        </w:rPr>
        <w:t>up</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formation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territory</w:t>
      </w:r>
      <w:proofErr w:type="spellEnd"/>
      <w:r>
        <w:rPr>
          <w:sz w:val="20"/>
          <w:szCs w:val="20"/>
        </w:rPr>
        <w:t xml:space="preserve">, </w:t>
      </w:r>
      <w:proofErr w:type="spellStart"/>
      <w:r>
        <w:rPr>
          <w:sz w:val="20"/>
          <w:szCs w:val="20"/>
        </w:rPr>
        <w:t>among</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we</w:t>
      </w:r>
      <w:proofErr w:type="spellEnd"/>
      <w:r>
        <w:rPr>
          <w:sz w:val="20"/>
          <w:szCs w:val="20"/>
        </w:rPr>
        <w:t xml:space="preserve"> </w:t>
      </w:r>
      <w:proofErr w:type="spellStart"/>
      <w:r>
        <w:rPr>
          <w:sz w:val="20"/>
          <w:szCs w:val="20"/>
        </w:rPr>
        <w:t>can</w:t>
      </w:r>
      <w:proofErr w:type="spellEnd"/>
      <w:r>
        <w:rPr>
          <w:sz w:val="20"/>
          <w:szCs w:val="20"/>
        </w:rPr>
        <w:t xml:space="preserve"> </w:t>
      </w:r>
      <w:proofErr w:type="spellStart"/>
      <w:r>
        <w:rPr>
          <w:sz w:val="20"/>
          <w:szCs w:val="20"/>
        </w:rPr>
        <w:t>situate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changes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cross</w:t>
      </w:r>
      <w:proofErr w:type="spellEnd"/>
      <w:r>
        <w:rPr>
          <w:sz w:val="20"/>
          <w:szCs w:val="20"/>
        </w:rPr>
        <w:t xml:space="preserve"> </w:t>
      </w:r>
      <w:proofErr w:type="spellStart"/>
      <w:r>
        <w:rPr>
          <w:sz w:val="20"/>
          <w:szCs w:val="20"/>
        </w:rPr>
        <w:t>gen</w:t>
      </w:r>
      <w:r>
        <w:rPr>
          <w:sz w:val="20"/>
          <w:szCs w:val="20"/>
        </w:rPr>
        <w:t>erational</w:t>
      </w:r>
      <w:proofErr w:type="spellEnd"/>
      <w:r>
        <w:rPr>
          <w:sz w:val="20"/>
          <w:szCs w:val="20"/>
        </w:rPr>
        <w:t xml:space="preserve"> </w:t>
      </w:r>
      <w:proofErr w:type="spellStart"/>
      <w:r>
        <w:rPr>
          <w:sz w:val="20"/>
          <w:szCs w:val="20"/>
        </w:rPr>
        <w:t>issues</w:t>
      </w:r>
      <w:proofErr w:type="spellEnd"/>
      <w:r>
        <w:rPr>
          <w:sz w:val="20"/>
          <w:szCs w:val="20"/>
        </w:rPr>
        <w:t xml:space="preserve">, </w:t>
      </w:r>
      <w:proofErr w:type="spellStart"/>
      <w:r>
        <w:rPr>
          <w:sz w:val="20"/>
          <w:szCs w:val="20"/>
        </w:rPr>
        <w:t>such</w:t>
      </w:r>
      <w:proofErr w:type="spellEnd"/>
      <w:r>
        <w:rPr>
          <w:sz w:val="20"/>
          <w:szCs w:val="20"/>
        </w:rPr>
        <w:t xml:space="preserve"> as </w:t>
      </w:r>
      <w:proofErr w:type="spellStart"/>
      <w:r>
        <w:rPr>
          <w:sz w:val="20"/>
          <w:szCs w:val="20"/>
        </w:rPr>
        <w:t>the</w:t>
      </w:r>
      <w:proofErr w:type="spellEnd"/>
      <w:r>
        <w:rPr>
          <w:sz w:val="20"/>
          <w:szCs w:val="20"/>
        </w:rPr>
        <w:t xml:space="preserve"> </w:t>
      </w:r>
      <w:proofErr w:type="spellStart"/>
      <w:r>
        <w:rPr>
          <w:sz w:val="20"/>
          <w:szCs w:val="20"/>
        </w:rPr>
        <w:t>production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ethnic</w:t>
      </w:r>
      <w:proofErr w:type="spellEnd"/>
      <w:r>
        <w:rPr>
          <w:sz w:val="20"/>
          <w:szCs w:val="20"/>
        </w:rPr>
        <w:t xml:space="preserve">-racial </w:t>
      </w:r>
      <w:proofErr w:type="spellStart"/>
      <w:r>
        <w:rPr>
          <w:sz w:val="20"/>
          <w:szCs w:val="20"/>
        </w:rPr>
        <w:t>identity</w:t>
      </w:r>
      <w:proofErr w:type="spellEnd"/>
      <w:r>
        <w:rPr>
          <w:sz w:val="20"/>
          <w:szCs w:val="20"/>
        </w:rPr>
        <w:t xml:space="preserve"> </w:t>
      </w:r>
      <w:proofErr w:type="spellStart"/>
      <w:r>
        <w:rPr>
          <w:sz w:val="20"/>
          <w:szCs w:val="20"/>
        </w:rPr>
        <w:t>and</w:t>
      </w:r>
      <w:proofErr w:type="spellEnd"/>
      <w:r>
        <w:rPr>
          <w:sz w:val="20"/>
          <w:szCs w:val="20"/>
        </w:rPr>
        <w:t xml:space="preserve"> in </w:t>
      </w:r>
      <w:proofErr w:type="spellStart"/>
      <w:r>
        <w:rPr>
          <w:sz w:val="20"/>
          <w:szCs w:val="20"/>
        </w:rPr>
        <w:t>this</w:t>
      </w:r>
      <w:proofErr w:type="spellEnd"/>
      <w:r>
        <w:rPr>
          <w:sz w:val="20"/>
          <w:szCs w:val="20"/>
        </w:rPr>
        <w:t xml:space="preserve"> </w:t>
      </w:r>
      <w:proofErr w:type="spellStart"/>
      <w:r>
        <w:rPr>
          <w:sz w:val="20"/>
          <w:szCs w:val="20"/>
        </w:rPr>
        <w:t>sense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youth</w:t>
      </w:r>
      <w:proofErr w:type="spellEnd"/>
      <w:r>
        <w:rPr>
          <w:sz w:val="20"/>
          <w:szCs w:val="20"/>
        </w:rPr>
        <w:t xml:space="preserve"> are </w:t>
      </w:r>
      <w:proofErr w:type="spellStart"/>
      <w:r>
        <w:rPr>
          <w:sz w:val="20"/>
          <w:szCs w:val="20"/>
        </w:rPr>
        <w:t>inserted</w:t>
      </w:r>
      <w:proofErr w:type="spellEnd"/>
      <w:r>
        <w:rPr>
          <w:sz w:val="20"/>
          <w:szCs w:val="20"/>
        </w:rPr>
        <w:t xml:space="preserve"> in </w:t>
      </w:r>
      <w:proofErr w:type="spellStart"/>
      <w:r>
        <w:rPr>
          <w:sz w:val="20"/>
          <w:szCs w:val="20"/>
        </w:rPr>
        <w:t>this</w:t>
      </w:r>
      <w:proofErr w:type="spellEnd"/>
      <w:r>
        <w:rPr>
          <w:sz w:val="20"/>
          <w:szCs w:val="20"/>
        </w:rPr>
        <w:t xml:space="preserve"> </w:t>
      </w:r>
      <w:proofErr w:type="spellStart"/>
      <w:r>
        <w:rPr>
          <w:sz w:val="20"/>
          <w:szCs w:val="20"/>
        </w:rPr>
        <w:t>context</w:t>
      </w:r>
      <w:proofErr w:type="spellEnd"/>
      <w:r>
        <w:rPr>
          <w:sz w:val="20"/>
          <w:szCs w:val="20"/>
        </w:rPr>
        <w:t xml:space="preserve">, </w:t>
      </w:r>
      <w:proofErr w:type="spellStart"/>
      <w:r>
        <w:rPr>
          <w:sz w:val="20"/>
          <w:szCs w:val="20"/>
        </w:rPr>
        <w:t>being</w:t>
      </w:r>
      <w:proofErr w:type="spellEnd"/>
      <w:r>
        <w:rPr>
          <w:sz w:val="20"/>
          <w:szCs w:val="20"/>
        </w:rPr>
        <w:t xml:space="preserve"> </w:t>
      </w:r>
      <w:proofErr w:type="spellStart"/>
      <w:r>
        <w:rPr>
          <w:sz w:val="20"/>
          <w:szCs w:val="20"/>
        </w:rPr>
        <w:t>read</w:t>
      </w:r>
      <w:proofErr w:type="spellEnd"/>
      <w:r>
        <w:rPr>
          <w:sz w:val="20"/>
          <w:szCs w:val="20"/>
        </w:rPr>
        <w:t xml:space="preserve"> as </w:t>
      </w:r>
      <w:proofErr w:type="spellStart"/>
      <w:r>
        <w:rPr>
          <w:sz w:val="20"/>
          <w:szCs w:val="20"/>
        </w:rPr>
        <w:t>active</w:t>
      </w:r>
      <w:proofErr w:type="spellEnd"/>
      <w:r>
        <w:rPr>
          <w:sz w:val="20"/>
          <w:szCs w:val="20"/>
        </w:rPr>
        <w:t xml:space="preserve"> </w:t>
      </w:r>
      <w:proofErr w:type="spellStart"/>
      <w:r>
        <w:rPr>
          <w:sz w:val="20"/>
          <w:szCs w:val="20"/>
        </w:rPr>
        <w:t>subjects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dynamic</w:t>
      </w:r>
      <w:proofErr w:type="spellEnd"/>
      <w:r>
        <w:rPr>
          <w:sz w:val="20"/>
          <w:szCs w:val="20"/>
        </w:rPr>
        <w:t xml:space="preserve"> </w:t>
      </w:r>
      <w:proofErr w:type="spellStart"/>
      <w:r>
        <w:rPr>
          <w:sz w:val="20"/>
          <w:szCs w:val="20"/>
        </w:rPr>
        <w:t>transformations</w:t>
      </w:r>
      <w:proofErr w:type="spellEnd"/>
      <w:r>
        <w:rPr>
          <w:sz w:val="20"/>
          <w:szCs w:val="20"/>
        </w:rPr>
        <w:t xml:space="preserve"> </w:t>
      </w:r>
      <w:proofErr w:type="spellStart"/>
      <w:r>
        <w:rPr>
          <w:sz w:val="20"/>
          <w:szCs w:val="20"/>
        </w:rPr>
        <w:t>assimilating</w:t>
      </w:r>
      <w:proofErr w:type="spellEnd"/>
      <w:r>
        <w:rPr>
          <w:sz w:val="20"/>
          <w:szCs w:val="20"/>
        </w:rPr>
        <w:t xml:space="preserve"> </w:t>
      </w:r>
      <w:proofErr w:type="spellStart"/>
      <w:r>
        <w:rPr>
          <w:sz w:val="20"/>
          <w:szCs w:val="20"/>
        </w:rPr>
        <w:t>through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so-called</w:t>
      </w:r>
      <w:proofErr w:type="spellEnd"/>
      <w:r>
        <w:rPr>
          <w:sz w:val="20"/>
          <w:szCs w:val="20"/>
        </w:rPr>
        <w:t xml:space="preserve"> “</w:t>
      </w:r>
      <w:proofErr w:type="spellStart"/>
      <w:r>
        <w:rPr>
          <w:sz w:val="20"/>
          <w:szCs w:val="20"/>
        </w:rPr>
        <w:t>traditional</w:t>
      </w:r>
      <w:proofErr w:type="spellEnd"/>
      <w:r>
        <w:rPr>
          <w:sz w:val="20"/>
          <w:szCs w:val="20"/>
        </w:rPr>
        <w:t xml:space="preserve">” </w:t>
      </w:r>
      <w:proofErr w:type="spellStart"/>
      <w:r>
        <w:rPr>
          <w:sz w:val="20"/>
          <w:szCs w:val="20"/>
        </w:rPr>
        <w:t>practices</w:t>
      </w:r>
      <w:proofErr w:type="spellEnd"/>
      <w:r>
        <w:rPr>
          <w:sz w:val="20"/>
          <w:szCs w:val="20"/>
        </w:rPr>
        <w:t xml:space="preserve"> </w:t>
      </w:r>
      <w:proofErr w:type="spellStart"/>
      <w:r>
        <w:rPr>
          <w:sz w:val="20"/>
          <w:szCs w:val="20"/>
        </w:rPr>
        <w:t>the</w:t>
      </w:r>
      <w:proofErr w:type="spellEnd"/>
      <w:r>
        <w:rPr>
          <w:sz w:val="20"/>
          <w:szCs w:val="20"/>
        </w:rPr>
        <w:t xml:space="preserve"> quilomb</w:t>
      </w:r>
      <w:r>
        <w:rPr>
          <w:sz w:val="20"/>
          <w:szCs w:val="20"/>
        </w:rPr>
        <w:t xml:space="preserve">ola </w:t>
      </w:r>
      <w:proofErr w:type="spellStart"/>
      <w:r>
        <w:rPr>
          <w:sz w:val="20"/>
          <w:szCs w:val="20"/>
        </w:rPr>
        <w:t>identity</w:t>
      </w:r>
      <w:proofErr w:type="spellEnd"/>
      <w:r>
        <w:rPr>
          <w:sz w:val="20"/>
          <w:szCs w:val="20"/>
        </w:rPr>
        <w:t xml:space="preserve"> as </w:t>
      </w:r>
      <w:proofErr w:type="spellStart"/>
      <w:r>
        <w:rPr>
          <w:sz w:val="20"/>
          <w:szCs w:val="20"/>
        </w:rPr>
        <w:t>well</w:t>
      </w:r>
      <w:proofErr w:type="spellEnd"/>
      <w:r>
        <w:rPr>
          <w:sz w:val="20"/>
          <w:szCs w:val="20"/>
        </w:rPr>
        <w:t xml:space="preserve"> as </w:t>
      </w:r>
      <w:proofErr w:type="spellStart"/>
      <w:r>
        <w:rPr>
          <w:sz w:val="20"/>
          <w:szCs w:val="20"/>
        </w:rPr>
        <w:t>the</w:t>
      </w:r>
      <w:proofErr w:type="spellEnd"/>
      <w:r>
        <w:rPr>
          <w:sz w:val="20"/>
          <w:szCs w:val="20"/>
        </w:rPr>
        <w:t xml:space="preserve"> </w:t>
      </w:r>
      <w:proofErr w:type="spellStart"/>
      <w:r>
        <w:rPr>
          <w:sz w:val="20"/>
          <w:szCs w:val="20"/>
        </w:rPr>
        <w:t>black</w:t>
      </w:r>
      <w:proofErr w:type="spellEnd"/>
      <w:r>
        <w:rPr>
          <w:sz w:val="20"/>
          <w:szCs w:val="20"/>
        </w:rPr>
        <w:t xml:space="preserve"> </w:t>
      </w:r>
      <w:proofErr w:type="spellStart"/>
      <w:r>
        <w:rPr>
          <w:sz w:val="20"/>
          <w:szCs w:val="20"/>
        </w:rPr>
        <w:t>identity</w:t>
      </w:r>
      <w:proofErr w:type="spellEnd"/>
      <w:r>
        <w:rPr>
          <w:sz w:val="20"/>
          <w:szCs w:val="20"/>
        </w:rPr>
        <w:t xml:space="preserve"> </w:t>
      </w:r>
      <w:proofErr w:type="spellStart"/>
      <w:r>
        <w:rPr>
          <w:sz w:val="20"/>
          <w:szCs w:val="20"/>
        </w:rPr>
        <w:t>through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lastRenderedPageBreak/>
        <w:t>symbolisms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ancestries</w:t>
      </w:r>
      <w:proofErr w:type="spellEnd"/>
      <w:r>
        <w:rPr>
          <w:sz w:val="20"/>
          <w:szCs w:val="20"/>
        </w:rPr>
        <w:t xml:space="preserve"> </w:t>
      </w:r>
      <w:proofErr w:type="spellStart"/>
      <w:r>
        <w:rPr>
          <w:sz w:val="20"/>
          <w:szCs w:val="20"/>
        </w:rPr>
        <w:t>present</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experiences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territorialities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community</w:t>
      </w:r>
      <w:proofErr w:type="spellEnd"/>
      <w:r>
        <w:rPr>
          <w:sz w:val="20"/>
          <w:szCs w:val="20"/>
        </w:rPr>
        <w:t>.</w:t>
      </w:r>
    </w:p>
    <w:p w14:paraId="42402ED8" w14:textId="3351E23F" w:rsidR="009A3E7F" w:rsidRDefault="007171D6" w:rsidP="009A3E7F">
      <w:pPr>
        <w:spacing w:line="240" w:lineRule="auto"/>
        <w:ind w:left="2835"/>
        <w:jc w:val="both"/>
      </w:pPr>
      <w:r>
        <w:rPr>
          <w:b/>
          <w:sz w:val="20"/>
          <w:szCs w:val="20"/>
        </w:rPr>
        <w:t>Keywords</w:t>
      </w:r>
      <w:r>
        <w:rPr>
          <w:sz w:val="20"/>
          <w:szCs w:val="20"/>
        </w:rPr>
        <w:t xml:space="preserve">: </w:t>
      </w:r>
      <w:proofErr w:type="spellStart"/>
      <w:r>
        <w:t>urban</w:t>
      </w:r>
      <w:proofErr w:type="spellEnd"/>
      <w:r>
        <w:t xml:space="preserve">; quilombo; </w:t>
      </w:r>
      <w:r w:rsidR="009A3E7F">
        <w:t xml:space="preserve">Youth. </w:t>
      </w:r>
    </w:p>
    <w:p w14:paraId="67615331" w14:textId="77777777" w:rsidR="009A3E7F" w:rsidRDefault="009A3E7F" w:rsidP="009A3E7F">
      <w:pPr>
        <w:spacing w:line="240" w:lineRule="auto"/>
        <w:ind w:left="2835"/>
        <w:jc w:val="both"/>
      </w:pPr>
    </w:p>
    <w:p w14:paraId="71BF68FF" w14:textId="38DE466A" w:rsidR="002B0CE6" w:rsidRPr="009A3E7F" w:rsidRDefault="007171D6" w:rsidP="009A3E7F">
      <w:pPr>
        <w:spacing w:line="240" w:lineRule="auto"/>
        <w:jc w:val="both"/>
      </w:pPr>
      <w:r>
        <w:rPr>
          <w:b/>
          <w:sz w:val="24"/>
          <w:szCs w:val="24"/>
        </w:rPr>
        <w:t>1     INTRODUÇÃO</w:t>
      </w:r>
    </w:p>
    <w:p w14:paraId="572BF639" w14:textId="77777777" w:rsidR="002B0CE6" w:rsidRDefault="007171D6">
      <w:pPr>
        <w:spacing w:line="360" w:lineRule="auto"/>
        <w:ind w:firstLine="720"/>
        <w:jc w:val="both"/>
        <w:rPr>
          <w:sz w:val="24"/>
          <w:szCs w:val="24"/>
        </w:rPr>
      </w:pPr>
      <w:bookmarkStart w:id="0" w:name="_heading=h.jjvmwzrfy0ue" w:colFirst="0" w:colLast="0"/>
      <w:bookmarkEnd w:id="0"/>
      <w:r>
        <w:rPr>
          <w:sz w:val="24"/>
          <w:szCs w:val="24"/>
        </w:rPr>
        <w:t xml:space="preserve"> O território intitulado “Quilombo Urbano Liberdade” com</w:t>
      </w:r>
      <w:r>
        <w:rPr>
          <w:sz w:val="24"/>
          <w:szCs w:val="24"/>
        </w:rPr>
        <w:t xml:space="preserve">põe parte da malha urbana da cidade de São </w:t>
      </w:r>
      <w:proofErr w:type="spellStart"/>
      <w:r>
        <w:rPr>
          <w:sz w:val="24"/>
          <w:szCs w:val="24"/>
        </w:rPr>
        <w:t>Luís-MA</w:t>
      </w:r>
      <w:proofErr w:type="spellEnd"/>
      <w:r>
        <w:rPr>
          <w:sz w:val="24"/>
          <w:szCs w:val="24"/>
        </w:rPr>
        <w:t>, sendo agrupado pelos bairros Liberdade, Fé em Deus, Camboa, Sítio do Meio e Diamante. Nos últimos anos, o território tem ganhado notoriedade ultrapassando as escalas locais e regionais, sendo conhecido co</w:t>
      </w:r>
      <w:r>
        <w:rPr>
          <w:sz w:val="24"/>
          <w:szCs w:val="24"/>
        </w:rPr>
        <w:t>mo “o maior quilombo urbano da América Latina”. Apesar da certificação de território quilombola ter sido consolidada em 2018 pela Fundação Cultural Palmares (FCP, 2019), a história de luta pelo reconhecimento da comunidade perdura por gerações, sendo fruto</w:t>
      </w:r>
      <w:r>
        <w:rPr>
          <w:sz w:val="24"/>
          <w:szCs w:val="24"/>
        </w:rPr>
        <w:t xml:space="preserve"> da conquista dos movimentos culturais, sociais e políticos organizados pelos agentes da própria comunidade. </w:t>
      </w:r>
    </w:p>
    <w:p w14:paraId="4C91BEA6" w14:textId="77777777" w:rsidR="002B0CE6" w:rsidRDefault="007171D6">
      <w:pPr>
        <w:spacing w:line="360" w:lineRule="auto"/>
        <w:ind w:firstLine="720"/>
        <w:jc w:val="both"/>
        <w:rPr>
          <w:sz w:val="24"/>
          <w:szCs w:val="24"/>
        </w:rPr>
      </w:pPr>
      <w:r>
        <w:rPr>
          <w:sz w:val="24"/>
          <w:szCs w:val="24"/>
        </w:rPr>
        <w:t>As juventudes inserem-se nesse contexto, sendo lidos enquanto sujeitos ativos nas transformações e mudanças dinâmicas ocorridas no território. Des</w:t>
      </w:r>
      <w:r>
        <w:rPr>
          <w:sz w:val="24"/>
          <w:szCs w:val="24"/>
        </w:rPr>
        <w:t>tacamos que  juventude é uma categoria social situada em processos dinâmicos, marcados pelo tempo histórico e no espaço geográfico, no seio deste debate atentamos para a diferenciação espacial, uma vez que a representação conceitual dada como universal gan</w:t>
      </w:r>
      <w:r>
        <w:rPr>
          <w:sz w:val="24"/>
          <w:szCs w:val="24"/>
        </w:rPr>
        <w:t>ha distinções a partir das singularidades formadas em diferentes escalas, seja no campo ou na cidade, assim como nos aspectos culturais, religiosos e econômicos, sendo necessário falar de juventudes nos seus distintos espaços e contextos (</w:t>
      </w:r>
      <w:r>
        <w:rPr>
          <w:sz w:val="24"/>
          <w:szCs w:val="24"/>
        </w:rPr>
        <w:t>Abramo</w:t>
      </w:r>
      <w:r>
        <w:rPr>
          <w:sz w:val="24"/>
          <w:szCs w:val="24"/>
        </w:rPr>
        <w:t xml:space="preserve">, 1997). </w:t>
      </w:r>
    </w:p>
    <w:p w14:paraId="0E4BCD42" w14:textId="77777777" w:rsidR="002B0CE6" w:rsidRDefault="007171D6">
      <w:pPr>
        <w:spacing w:line="360" w:lineRule="auto"/>
        <w:ind w:firstLine="720"/>
        <w:jc w:val="both"/>
        <w:rPr>
          <w:sz w:val="24"/>
          <w:szCs w:val="24"/>
        </w:rPr>
      </w:pPr>
      <w:bookmarkStart w:id="1" w:name="_heading=h.wmpxylsmr35g" w:colFirst="0" w:colLast="0"/>
      <w:bookmarkEnd w:id="1"/>
      <w:r>
        <w:rPr>
          <w:sz w:val="24"/>
          <w:szCs w:val="24"/>
        </w:rPr>
        <w:t>A</w:t>
      </w:r>
      <w:r>
        <w:rPr>
          <w:sz w:val="24"/>
          <w:szCs w:val="24"/>
        </w:rPr>
        <w:t xml:space="preserve">o longo da pesquisa alguns questionamentos foram motivadores e nos </w:t>
      </w:r>
      <w:r>
        <w:rPr>
          <w:sz w:val="24"/>
          <w:szCs w:val="24"/>
        </w:rPr>
        <w:t>impulsionaram</w:t>
      </w:r>
      <w:r>
        <w:rPr>
          <w:sz w:val="24"/>
          <w:szCs w:val="24"/>
        </w:rPr>
        <w:t xml:space="preserve"> na busca de respostas, dentre eles estava “O que é ser um jovem quilombola no espaço urbano¿” Quais elementos constituem a identidade étnico-racial das juventudes num territór</w:t>
      </w:r>
      <w:r>
        <w:rPr>
          <w:sz w:val="24"/>
          <w:szCs w:val="24"/>
        </w:rPr>
        <w:t xml:space="preserve">io </w:t>
      </w:r>
      <w:r>
        <w:rPr>
          <w:sz w:val="24"/>
          <w:szCs w:val="24"/>
        </w:rPr>
        <w:t>multicultural?</w:t>
      </w:r>
      <w:r>
        <w:rPr>
          <w:sz w:val="24"/>
          <w:szCs w:val="24"/>
        </w:rPr>
        <w:t xml:space="preserve">”. Nesse sentido, propomos enquanto objetivo </w:t>
      </w:r>
      <w:proofErr w:type="gramStart"/>
      <w:r>
        <w:rPr>
          <w:sz w:val="24"/>
          <w:szCs w:val="24"/>
        </w:rPr>
        <w:t>do</w:t>
      </w:r>
      <w:proofErr w:type="gramEnd"/>
      <w:r>
        <w:rPr>
          <w:sz w:val="24"/>
          <w:szCs w:val="24"/>
        </w:rPr>
        <w:t xml:space="preserve"> presente trabalho analisar os elementos de produção da identidade étnico- racial de jovens negros contextualizados no quilombo urbano Liberdade e São </w:t>
      </w:r>
      <w:proofErr w:type="spellStart"/>
      <w:r>
        <w:rPr>
          <w:sz w:val="24"/>
          <w:szCs w:val="24"/>
        </w:rPr>
        <w:t>Luís-MA</w:t>
      </w:r>
      <w:proofErr w:type="spellEnd"/>
      <w:r>
        <w:rPr>
          <w:sz w:val="24"/>
          <w:szCs w:val="24"/>
        </w:rPr>
        <w:t>.  A metodologia estruturante do a</w:t>
      </w:r>
      <w:r>
        <w:rPr>
          <w:sz w:val="24"/>
          <w:szCs w:val="24"/>
        </w:rPr>
        <w:t xml:space="preserve">rtigo está subdividida em momentos em três momentos: pesquisa bibliográfica, pesquisa participante entrevista semiestruturada, </w:t>
      </w:r>
      <w:r>
        <w:rPr>
          <w:sz w:val="24"/>
          <w:szCs w:val="24"/>
        </w:rPr>
        <w:lastRenderedPageBreak/>
        <w:t xml:space="preserve">ademais, ressaltamos que a realização da pesquisa é feita a partir das </w:t>
      </w:r>
      <w:r>
        <w:rPr>
          <w:sz w:val="24"/>
          <w:szCs w:val="24"/>
        </w:rPr>
        <w:t>vivências</w:t>
      </w:r>
      <w:r>
        <w:rPr>
          <w:sz w:val="24"/>
          <w:szCs w:val="24"/>
        </w:rPr>
        <w:t xml:space="preserve"> participativas no projeto social “Viva Quilombo</w:t>
      </w:r>
      <w:proofErr w:type="gramStart"/>
      <w:r>
        <w:rPr>
          <w:sz w:val="24"/>
          <w:szCs w:val="24"/>
        </w:rPr>
        <w:t>”</w:t>
      </w:r>
      <w:r>
        <w:rPr>
          <w:sz w:val="24"/>
          <w:szCs w:val="24"/>
        </w:rPr>
        <w:t xml:space="preserve"> ,</w:t>
      </w:r>
      <w:proofErr w:type="gramEnd"/>
      <w:r>
        <w:rPr>
          <w:sz w:val="24"/>
          <w:szCs w:val="24"/>
        </w:rPr>
        <w:t xml:space="preserve"> o qual tem o cunho socioeducativo atendendo jovens, adolescentes e crianças moradores do território Liberdade. </w:t>
      </w:r>
    </w:p>
    <w:p w14:paraId="0D0E267C" w14:textId="72A58F63" w:rsidR="002B0CE6" w:rsidRDefault="007171D6">
      <w:pPr>
        <w:spacing w:line="360" w:lineRule="auto"/>
        <w:jc w:val="both"/>
        <w:rPr>
          <w:sz w:val="24"/>
          <w:szCs w:val="24"/>
        </w:rPr>
      </w:pPr>
      <w:r>
        <w:rPr>
          <w:b/>
          <w:sz w:val="24"/>
          <w:szCs w:val="24"/>
        </w:rPr>
        <w:t xml:space="preserve">2 </w:t>
      </w:r>
      <w:r>
        <w:rPr>
          <w:b/>
          <w:sz w:val="24"/>
          <w:szCs w:val="24"/>
        </w:rPr>
        <w:t>“TEM QUILOMBO NA CIDADE”: QUILOMBO URBANO LIBERDADE NO CONTEXTO LUDOVICENSE</w:t>
      </w:r>
    </w:p>
    <w:p w14:paraId="72E71DCA" w14:textId="77777777" w:rsidR="002B0CE6" w:rsidRDefault="002B0CE6">
      <w:pPr>
        <w:spacing w:line="360" w:lineRule="auto"/>
        <w:jc w:val="both"/>
        <w:rPr>
          <w:sz w:val="24"/>
          <w:szCs w:val="24"/>
        </w:rPr>
      </w:pPr>
    </w:p>
    <w:p w14:paraId="276EB7CF" w14:textId="77777777" w:rsidR="002B0CE6" w:rsidRDefault="007171D6">
      <w:pPr>
        <w:spacing w:line="360" w:lineRule="auto"/>
        <w:ind w:firstLine="720"/>
        <w:jc w:val="both"/>
        <w:rPr>
          <w:sz w:val="24"/>
          <w:szCs w:val="24"/>
        </w:rPr>
      </w:pPr>
      <w:r>
        <w:rPr>
          <w:sz w:val="24"/>
          <w:szCs w:val="24"/>
        </w:rPr>
        <w:t>Se partirmos da definição conceitual de quilombos notamos que</w:t>
      </w:r>
      <w:r>
        <w:rPr>
          <w:sz w:val="24"/>
          <w:szCs w:val="24"/>
        </w:rPr>
        <w:t xml:space="preserve"> este fenômeno dos quilombos não ocorreu somente no Brasil, mas de modo semelhante em outros países da América </w:t>
      </w:r>
      <w:proofErr w:type="gramStart"/>
      <w:r>
        <w:rPr>
          <w:sz w:val="24"/>
          <w:szCs w:val="24"/>
        </w:rPr>
        <w:t>Latina,  países</w:t>
      </w:r>
      <w:proofErr w:type="gramEnd"/>
      <w:r>
        <w:rPr>
          <w:sz w:val="24"/>
          <w:szCs w:val="24"/>
        </w:rPr>
        <w:t xml:space="preserve"> caribenhos e até mesmo no continente africano. Embora a formação dos grupos apresentem uma estrutura morfológica de nomes diferen</w:t>
      </w:r>
      <w:r>
        <w:rPr>
          <w:sz w:val="24"/>
          <w:szCs w:val="24"/>
        </w:rPr>
        <w:t xml:space="preserve">tes que variam entre </w:t>
      </w:r>
      <w:proofErr w:type="spellStart"/>
      <w:proofErr w:type="gramStart"/>
      <w:r>
        <w:rPr>
          <w:sz w:val="24"/>
          <w:szCs w:val="24"/>
        </w:rPr>
        <w:t>kilombo</w:t>
      </w:r>
      <w:proofErr w:type="spellEnd"/>
      <w:r>
        <w:rPr>
          <w:sz w:val="24"/>
          <w:szCs w:val="24"/>
        </w:rPr>
        <w:t xml:space="preserve">,  </w:t>
      </w:r>
      <w:proofErr w:type="spellStart"/>
      <w:r>
        <w:rPr>
          <w:sz w:val="24"/>
          <w:szCs w:val="24"/>
        </w:rPr>
        <w:t>palenques</w:t>
      </w:r>
      <w:proofErr w:type="spellEnd"/>
      <w:proofErr w:type="gramEnd"/>
      <w:r>
        <w:rPr>
          <w:sz w:val="24"/>
          <w:szCs w:val="24"/>
        </w:rPr>
        <w:t xml:space="preserve">, </w:t>
      </w:r>
      <w:proofErr w:type="spellStart"/>
      <w:r>
        <w:rPr>
          <w:sz w:val="24"/>
          <w:szCs w:val="24"/>
        </w:rPr>
        <w:t>creoles</w:t>
      </w:r>
      <w:proofErr w:type="spellEnd"/>
      <w:r>
        <w:rPr>
          <w:sz w:val="24"/>
          <w:szCs w:val="24"/>
        </w:rPr>
        <w:t xml:space="preserve">, </w:t>
      </w:r>
      <w:proofErr w:type="spellStart"/>
      <w:r>
        <w:rPr>
          <w:sz w:val="24"/>
          <w:szCs w:val="24"/>
        </w:rPr>
        <w:t>grafiunas</w:t>
      </w:r>
      <w:proofErr w:type="spellEnd"/>
      <w:r>
        <w:rPr>
          <w:sz w:val="24"/>
          <w:szCs w:val="24"/>
        </w:rPr>
        <w:t xml:space="preserve">, </w:t>
      </w:r>
      <w:proofErr w:type="spellStart"/>
      <w:r>
        <w:rPr>
          <w:sz w:val="24"/>
          <w:szCs w:val="24"/>
        </w:rPr>
        <w:t>cumbes</w:t>
      </w:r>
      <w:proofErr w:type="spellEnd"/>
      <w:r>
        <w:rPr>
          <w:sz w:val="24"/>
          <w:szCs w:val="24"/>
        </w:rPr>
        <w:t xml:space="preserve"> e o aportuguesado “quilombo”, estes grupos possuem historiografias singulares, mas ao tempo compartilham semelhanças quanto a formação coletiva de uma sociedade alternativa a dura existên</w:t>
      </w:r>
      <w:r>
        <w:rPr>
          <w:sz w:val="24"/>
          <w:szCs w:val="24"/>
        </w:rPr>
        <w:t xml:space="preserve">cia do modo de produção escravista colonial, o qual obteve o caráter de propriedade e comercialização dos corpos (Florentino e </w:t>
      </w:r>
      <w:proofErr w:type="spellStart"/>
      <w:r>
        <w:rPr>
          <w:sz w:val="24"/>
          <w:szCs w:val="24"/>
        </w:rPr>
        <w:t>Amantino</w:t>
      </w:r>
      <w:proofErr w:type="spellEnd"/>
      <w:r>
        <w:rPr>
          <w:sz w:val="24"/>
          <w:szCs w:val="24"/>
        </w:rPr>
        <w:t xml:space="preserve">, 2012). </w:t>
      </w:r>
    </w:p>
    <w:p w14:paraId="5D8E498D" w14:textId="77777777" w:rsidR="002B0CE6" w:rsidRDefault="007171D6">
      <w:pPr>
        <w:spacing w:line="360" w:lineRule="auto"/>
        <w:ind w:firstLine="720"/>
        <w:jc w:val="both"/>
        <w:rPr>
          <w:sz w:val="24"/>
          <w:szCs w:val="24"/>
        </w:rPr>
      </w:pPr>
      <w:r>
        <w:rPr>
          <w:sz w:val="24"/>
          <w:szCs w:val="24"/>
        </w:rPr>
        <w:t>No contexto brasileiro os quilombos formaram grandes centros de resistência, com grupos de alta organização social para manutenção da forma de vida coletiva, com destaques para economia, religiosidade, cultura, estrutura militar e política. Diferente ao qu</w:t>
      </w:r>
      <w:r>
        <w:rPr>
          <w:sz w:val="24"/>
          <w:szCs w:val="24"/>
        </w:rPr>
        <w:t>e nos é ensinado predominantemente na educação escolar tradicional, os quilombos, grupos formados por africanos (as) escravizados (as) no período colonial do Brasil, são espaços que não ficaram retidos ao meio rural, eles também estiveram e estão presentes</w:t>
      </w:r>
      <w:r>
        <w:rPr>
          <w:sz w:val="24"/>
          <w:szCs w:val="24"/>
        </w:rPr>
        <w:t xml:space="preserve"> nos espaços das cidades, principalmente as cidades coloniais.</w:t>
      </w:r>
    </w:p>
    <w:p w14:paraId="36A89FC2" w14:textId="77777777" w:rsidR="002B0CE6" w:rsidRDefault="007171D6">
      <w:pPr>
        <w:spacing w:line="360" w:lineRule="auto"/>
        <w:ind w:firstLine="720"/>
        <w:jc w:val="both"/>
        <w:rPr>
          <w:sz w:val="24"/>
          <w:szCs w:val="24"/>
        </w:rPr>
      </w:pPr>
      <w:r>
        <w:rPr>
          <w:sz w:val="24"/>
          <w:szCs w:val="24"/>
        </w:rPr>
        <w:t xml:space="preserve">Alguns fatores na instância política, legislativa e econômica estão diretamente relacionados </w:t>
      </w:r>
      <w:r>
        <w:rPr>
          <w:sz w:val="24"/>
          <w:szCs w:val="24"/>
        </w:rPr>
        <w:t>à formação</w:t>
      </w:r>
      <w:r>
        <w:rPr>
          <w:sz w:val="24"/>
          <w:szCs w:val="24"/>
        </w:rPr>
        <w:t xml:space="preserve"> desses espaços nas cidades.  Inicialmente a Lei de Terras (1850) </w:t>
      </w:r>
      <w:r>
        <w:rPr>
          <w:sz w:val="24"/>
          <w:szCs w:val="24"/>
        </w:rPr>
        <w:t>condicionava</w:t>
      </w:r>
      <w:r>
        <w:rPr>
          <w:sz w:val="24"/>
          <w:szCs w:val="24"/>
        </w:rPr>
        <w:t xml:space="preserve"> a ocupação </w:t>
      </w:r>
      <w:r>
        <w:rPr>
          <w:sz w:val="24"/>
          <w:szCs w:val="24"/>
        </w:rPr>
        <w:t>da terra por meio da compra tornando inviável a permanência dos quilombos no meio rural. Paralelo a esse processo temos o período pós abolição (1888) onde este grupo social passa a migrar e resistir em outros espaços, como exemplo, as cidades (Campos, 2005</w:t>
      </w:r>
      <w:r>
        <w:rPr>
          <w:sz w:val="24"/>
          <w:szCs w:val="24"/>
        </w:rPr>
        <w:t xml:space="preserve">). </w:t>
      </w:r>
    </w:p>
    <w:p w14:paraId="7E05A0C7" w14:textId="7012F55D" w:rsidR="002B0CE6" w:rsidRDefault="007171D6">
      <w:pPr>
        <w:spacing w:line="360" w:lineRule="auto"/>
        <w:ind w:firstLine="720"/>
        <w:jc w:val="both"/>
        <w:rPr>
          <w:sz w:val="24"/>
          <w:szCs w:val="24"/>
        </w:rPr>
      </w:pPr>
      <w:r>
        <w:rPr>
          <w:sz w:val="24"/>
          <w:szCs w:val="24"/>
        </w:rPr>
        <w:lastRenderedPageBreak/>
        <w:t>Essa população passa a fazer parte da paisagem urbana das cidades coloniais,  gerando ao longo do tempo implicações no ordenamento urbano deixando cristalizado no espaço urbano o lugar de habitação que o negro ocupava e o lugar social por ele represent</w:t>
      </w:r>
      <w:r>
        <w:rPr>
          <w:sz w:val="24"/>
          <w:szCs w:val="24"/>
        </w:rPr>
        <w:t>ado; tanto pelas ocupações trabalhistas da população negra, com trabalhos de menor prestígio social, quanto pela localização das habitações, sendo nas margens das cidades, configurando o início das favelas e periferias (Campos, 2005) , evidenciando assim a</w:t>
      </w:r>
      <w:r>
        <w:rPr>
          <w:sz w:val="24"/>
          <w:szCs w:val="24"/>
        </w:rPr>
        <w:t xml:space="preserve"> desigualdades socioespaciais e a segregação urbana. Freitas (1982) para se referir a estes espaços utiliza a nomenclatura de quilombos de serviço: </w:t>
      </w:r>
      <w:r>
        <w:rPr>
          <w:sz w:val="24"/>
          <w:szCs w:val="24"/>
        </w:rPr>
        <w:t xml:space="preserve"> </w:t>
      </w:r>
      <w:r>
        <w:rPr>
          <w:sz w:val="24"/>
          <w:szCs w:val="24"/>
        </w:rPr>
        <w:t>(...) os quilombos de serviço se formaram na periferia dos maiores centros urbanos coloniais e pós-coloniai</w:t>
      </w:r>
      <w:r>
        <w:rPr>
          <w:sz w:val="24"/>
          <w:szCs w:val="24"/>
        </w:rPr>
        <w:t>s</w:t>
      </w:r>
      <w:r>
        <w:rPr>
          <w:sz w:val="24"/>
          <w:szCs w:val="24"/>
        </w:rPr>
        <w:t xml:space="preserve"> (...) a</w:t>
      </w:r>
      <w:r>
        <w:rPr>
          <w:sz w:val="24"/>
          <w:szCs w:val="24"/>
        </w:rPr>
        <w:t xml:space="preserve"> estratégia dos quilombos era fazerem-se passar por libertos, para venderem seus serviços nos centros urbanos (Freitas, 1982, p. 38-41 apud G</w:t>
      </w:r>
      <w:r w:rsidR="009A3E7F">
        <w:rPr>
          <w:sz w:val="24"/>
          <w:szCs w:val="24"/>
        </w:rPr>
        <w:t>arcia</w:t>
      </w:r>
      <w:r>
        <w:rPr>
          <w:sz w:val="24"/>
          <w:szCs w:val="24"/>
        </w:rPr>
        <w:t xml:space="preserve">, 2006, p. 128). </w:t>
      </w:r>
    </w:p>
    <w:p w14:paraId="38F5E130" w14:textId="77777777" w:rsidR="002B0CE6" w:rsidRDefault="007171D6">
      <w:pPr>
        <w:spacing w:line="360" w:lineRule="auto"/>
        <w:ind w:firstLine="720"/>
        <w:jc w:val="both"/>
        <w:rPr>
          <w:sz w:val="24"/>
          <w:szCs w:val="24"/>
        </w:rPr>
      </w:pPr>
      <w:r>
        <w:rPr>
          <w:sz w:val="24"/>
          <w:szCs w:val="24"/>
        </w:rPr>
        <w:t>Portanto, o que na atualidade é nomeado de quilombo urbano, foi inicialmente espaço</w:t>
      </w:r>
      <w:r>
        <w:rPr>
          <w:sz w:val="24"/>
          <w:szCs w:val="24"/>
        </w:rPr>
        <w:t>s formados por populações negras e quilombolas advindas dos quilombos rurais e configuram na paisagem urbana uma ressignificação de “quilombo urbano” sendo compreendido como: “(...) território/favela como espaço de continuidade de uma experiência histórica</w:t>
      </w:r>
      <w:r>
        <w:rPr>
          <w:sz w:val="24"/>
          <w:szCs w:val="24"/>
        </w:rPr>
        <w:t xml:space="preserve"> que sobrepõe a escravidão e marginalização social, segregação e resistência dos negros no Brasil” (</w:t>
      </w:r>
      <w:proofErr w:type="spellStart"/>
      <w:r>
        <w:rPr>
          <w:sz w:val="24"/>
          <w:szCs w:val="24"/>
        </w:rPr>
        <w:t>Ratts</w:t>
      </w:r>
      <w:proofErr w:type="spellEnd"/>
      <w:r>
        <w:rPr>
          <w:sz w:val="24"/>
          <w:szCs w:val="24"/>
        </w:rPr>
        <w:t xml:space="preserve">, 2006, p. 11). </w:t>
      </w:r>
    </w:p>
    <w:p w14:paraId="4BCCC1AF" w14:textId="77777777" w:rsidR="002B0CE6" w:rsidRDefault="007171D6">
      <w:pPr>
        <w:spacing w:line="360" w:lineRule="auto"/>
        <w:ind w:firstLine="720"/>
        <w:jc w:val="both"/>
        <w:rPr>
          <w:sz w:val="24"/>
          <w:szCs w:val="24"/>
        </w:rPr>
      </w:pPr>
      <w:r>
        <w:rPr>
          <w:sz w:val="24"/>
          <w:szCs w:val="24"/>
        </w:rPr>
        <w:t>Apesar da nomenclatura “Quilombo Urbano” ser recente para alguns moradores do território Liberdade e o processo de certificação quilom</w:t>
      </w:r>
      <w:r>
        <w:rPr>
          <w:sz w:val="24"/>
          <w:szCs w:val="24"/>
        </w:rPr>
        <w:t xml:space="preserve">bola pela Fundação Cultural Palmares ser de 2018, a </w:t>
      </w:r>
      <w:proofErr w:type="gramStart"/>
      <w:r>
        <w:rPr>
          <w:sz w:val="24"/>
          <w:szCs w:val="24"/>
        </w:rPr>
        <w:t>estruturação  desse</w:t>
      </w:r>
      <w:proofErr w:type="gramEnd"/>
      <w:r>
        <w:rPr>
          <w:sz w:val="24"/>
          <w:szCs w:val="24"/>
        </w:rPr>
        <w:t xml:space="preserve"> território precede a conceituação de quilombo urbano, tendo  marcos iniciais em 1876, onde alguns jornais como Diário do Maranhão noticiavam a presença de manchas de ocupação na área d</w:t>
      </w:r>
      <w:r>
        <w:rPr>
          <w:sz w:val="24"/>
          <w:szCs w:val="24"/>
        </w:rPr>
        <w:t xml:space="preserve">a Camboa: (Diário do Maranhão, 1876 apud Silva, 2016). Algumas cartografias antigas da cidade sugerem que o território estava situado nos limites urbanos de São Luís, entre os rios Bacanga e Anil (Silva, 2016). </w:t>
      </w:r>
    </w:p>
    <w:p w14:paraId="092F28D9" w14:textId="77777777" w:rsidR="002B0CE6" w:rsidRDefault="007171D6">
      <w:pPr>
        <w:spacing w:line="360" w:lineRule="auto"/>
        <w:ind w:firstLine="720"/>
        <w:jc w:val="both"/>
        <w:rPr>
          <w:sz w:val="24"/>
          <w:szCs w:val="24"/>
        </w:rPr>
      </w:pPr>
      <w:r>
        <w:rPr>
          <w:sz w:val="24"/>
          <w:szCs w:val="24"/>
        </w:rPr>
        <w:t xml:space="preserve">Anos mais tarde o território passou a ser densamente povoado por comunidades quilombolas remanescentes dos quilombos rurais da Baixa Litoral Ocidental Maranhense. Destaca-se nesse contexto que as rotas migratórias destas </w:t>
      </w:r>
      <w:r>
        <w:rPr>
          <w:sz w:val="24"/>
          <w:szCs w:val="24"/>
        </w:rPr>
        <w:lastRenderedPageBreak/>
        <w:t>comunidades aconteceram por motivos</w:t>
      </w:r>
      <w:r>
        <w:rPr>
          <w:sz w:val="24"/>
          <w:szCs w:val="24"/>
        </w:rPr>
        <w:t xml:space="preserve"> diversos, tais como a concentração fundiária alavancada pela Lei de Terras José Sarney Lei n° 2979-1969; além de projetos governamentais “desenvolvimentistas” como a construção da Centro Espacial de Alcântara (1982) ambos impulsionando a expulsão das comu</w:t>
      </w:r>
      <w:r>
        <w:rPr>
          <w:sz w:val="24"/>
          <w:szCs w:val="24"/>
        </w:rPr>
        <w:t xml:space="preserve">nidades quilombolas dos seus territórios de origem (Silva, 2016). </w:t>
      </w:r>
    </w:p>
    <w:p w14:paraId="713ED13D" w14:textId="77777777" w:rsidR="002B0CE6" w:rsidRDefault="007171D6">
      <w:pPr>
        <w:spacing w:line="360" w:lineRule="auto"/>
        <w:ind w:firstLine="720"/>
        <w:jc w:val="both"/>
        <w:rPr>
          <w:sz w:val="24"/>
          <w:szCs w:val="24"/>
        </w:rPr>
      </w:pPr>
      <w:r>
        <w:rPr>
          <w:sz w:val="24"/>
          <w:szCs w:val="24"/>
        </w:rPr>
        <w:t xml:space="preserve">Alguns marcos econômicos da cidade de São Luís fizeram parte da formação do quilombo urbano Liberdade, dentre eles a implementação do Matadouro Modelo Municipal em 1918. Nesse </w:t>
      </w:r>
      <w:r>
        <w:rPr>
          <w:sz w:val="24"/>
          <w:szCs w:val="24"/>
        </w:rPr>
        <w:t xml:space="preserve">contexto, as </w:t>
      </w:r>
      <w:r>
        <w:rPr>
          <w:sz w:val="24"/>
          <w:szCs w:val="24"/>
        </w:rPr>
        <w:t>famílias</w:t>
      </w:r>
      <w:r>
        <w:rPr>
          <w:sz w:val="24"/>
          <w:szCs w:val="24"/>
        </w:rPr>
        <w:t xml:space="preserve"> recém </w:t>
      </w:r>
      <w:proofErr w:type="spellStart"/>
      <w:r>
        <w:rPr>
          <w:sz w:val="24"/>
          <w:szCs w:val="24"/>
        </w:rPr>
        <w:t>chegadadas</w:t>
      </w:r>
      <w:proofErr w:type="spellEnd"/>
      <w:r>
        <w:rPr>
          <w:sz w:val="24"/>
          <w:szCs w:val="24"/>
        </w:rPr>
        <w:t xml:space="preserve"> dos quilombos rurais encontravam a oportunidade de trabalhar e estabelecer residência com seus pares, formando um conjunto de palafitas sobre </w:t>
      </w:r>
      <w:r>
        <w:rPr>
          <w:sz w:val="24"/>
          <w:szCs w:val="24"/>
        </w:rPr>
        <w:t>as</w:t>
      </w:r>
      <w:r>
        <w:rPr>
          <w:sz w:val="24"/>
          <w:szCs w:val="24"/>
        </w:rPr>
        <w:t xml:space="preserve"> margens da maré do rio Anil. Ao longo do tempo o território passou por modificações, </w:t>
      </w:r>
      <w:r>
        <w:rPr>
          <w:sz w:val="24"/>
          <w:szCs w:val="24"/>
        </w:rPr>
        <w:t>visto que, antes havia uma predominância de casas de palafitas, de palha e de barro; contudo, os processos de modernização da cidade modificaram as formas habitacionais sendo substituídas por conjuntos habitacionais populares, incentivados pelo governo, nu</w:t>
      </w:r>
      <w:r>
        <w:rPr>
          <w:sz w:val="24"/>
          <w:szCs w:val="24"/>
        </w:rPr>
        <w:t xml:space="preserve">ma tentativa de proporcionar melhores condições à população e por outro lado fazer uma limpeza urbana do espaço. São exemplos o Conjunto </w:t>
      </w:r>
      <w:proofErr w:type="spellStart"/>
      <w:r>
        <w:rPr>
          <w:sz w:val="24"/>
          <w:szCs w:val="24"/>
        </w:rPr>
        <w:t>Promorar</w:t>
      </w:r>
      <w:proofErr w:type="spellEnd"/>
      <w:r>
        <w:rPr>
          <w:sz w:val="24"/>
          <w:szCs w:val="24"/>
        </w:rPr>
        <w:t xml:space="preserve"> (1980) e PAC Rio Anil (2000).  </w:t>
      </w:r>
    </w:p>
    <w:p w14:paraId="11EE0B26" w14:textId="77777777" w:rsidR="002B0CE6" w:rsidRDefault="007171D6">
      <w:pPr>
        <w:spacing w:line="360" w:lineRule="auto"/>
        <w:ind w:firstLine="720"/>
        <w:jc w:val="both"/>
        <w:rPr>
          <w:sz w:val="24"/>
          <w:szCs w:val="24"/>
        </w:rPr>
      </w:pPr>
      <w:r>
        <w:rPr>
          <w:sz w:val="24"/>
          <w:szCs w:val="24"/>
        </w:rPr>
        <w:t>Por gerações as práticas culturais com raízes negras, quilombolas, indígenas e</w:t>
      </w:r>
      <w:r>
        <w:rPr>
          <w:sz w:val="24"/>
          <w:szCs w:val="24"/>
        </w:rPr>
        <w:t xml:space="preserve"> até mesmo de influência colonizadora portuguesa são </w:t>
      </w:r>
      <w:proofErr w:type="spellStart"/>
      <w:r>
        <w:rPr>
          <w:sz w:val="24"/>
          <w:szCs w:val="24"/>
        </w:rPr>
        <w:t>territorializadas</w:t>
      </w:r>
      <w:proofErr w:type="spellEnd"/>
      <w:r>
        <w:rPr>
          <w:sz w:val="24"/>
          <w:szCs w:val="24"/>
        </w:rPr>
        <w:t xml:space="preserve"> na Liberdade, trazendo marcas expressivas do regionalismo maranhense. Dentre algumas práticas culturais, podemos citar alguns segmentos: </w:t>
      </w:r>
      <w:proofErr w:type="spellStart"/>
      <w:r>
        <w:rPr>
          <w:sz w:val="24"/>
          <w:szCs w:val="24"/>
        </w:rPr>
        <w:t>Cacuriá</w:t>
      </w:r>
      <w:proofErr w:type="spellEnd"/>
      <w:r>
        <w:rPr>
          <w:sz w:val="24"/>
          <w:szCs w:val="24"/>
        </w:rPr>
        <w:t>, Dança Portuguesa, Quadrilha, Blocos Car</w:t>
      </w:r>
      <w:r>
        <w:rPr>
          <w:sz w:val="24"/>
          <w:szCs w:val="24"/>
        </w:rPr>
        <w:t xml:space="preserve">navalescos, Produtoras de Reggae, Bloco Afro, Capoeira, Casas-edificações de Oração, terreiros, Tambor de Mina, Hip-Hop e seus elementos, Tambor de Crioula, Bumba Meu </w:t>
      </w:r>
      <w:r>
        <w:rPr>
          <w:sz w:val="24"/>
          <w:szCs w:val="24"/>
        </w:rPr>
        <w:t>Boi</w:t>
      </w:r>
      <w:r>
        <w:rPr>
          <w:sz w:val="24"/>
          <w:szCs w:val="24"/>
        </w:rPr>
        <w:t>, Festa do Divino entre outros (IRCQ, 2024). Importante ressaltar que para além das pr</w:t>
      </w:r>
      <w:r>
        <w:rPr>
          <w:sz w:val="24"/>
          <w:szCs w:val="24"/>
        </w:rPr>
        <w:t xml:space="preserve">áticas culturais que estão intrinsecamente ligadas ao marcador étnico racial, há também no território populações não negras e outras </w:t>
      </w:r>
      <w:r>
        <w:rPr>
          <w:sz w:val="24"/>
          <w:szCs w:val="24"/>
        </w:rPr>
        <w:t>formas de expressão</w:t>
      </w:r>
      <w:r>
        <w:rPr>
          <w:sz w:val="24"/>
          <w:szCs w:val="24"/>
        </w:rPr>
        <w:t xml:space="preserve"> como catolicismo e protestantismo, representando a multiculturalidade e multirracialidade presente no t</w:t>
      </w:r>
      <w:r>
        <w:rPr>
          <w:sz w:val="24"/>
          <w:szCs w:val="24"/>
        </w:rPr>
        <w:t xml:space="preserve">erritório. </w:t>
      </w:r>
    </w:p>
    <w:p w14:paraId="742E5930" w14:textId="23E40136" w:rsidR="002B0CE6" w:rsidRDefault="007171D6">
      <w:pPr>
        <w:spacing w:line="360" w:lineRule="auto"/>
        <w:ind w:firstLine="720"/>
        <w:jc w:val="both"/>
        <w:rPr>
          <w:sz w:val="24"/>
          <w:szCs w:val="24"/>
        </w:rPr>
      </w:pPr>
      <w:r>
        <w:rPr>
          <w:sz w:val="24"/>
          <w:szCs w:val="24"/>
        </w:rPr>
        <w:t xml:space="preserve">Ainda que seja visível e indiscutível a presença negra e quilombola nesse território seja pelas práticas </w:t>
      </w:r>
      <w:proofErr w:type="spellStart"/>
      <w:r>
        <w:rPr>
          <w:sz w:val="24"/>
          <w:szCs w:val="24"/>
        </w:rPr>
        <w:t>territorializadas</w:t>
      </w:r>
      <w:proofErr w:type="spellEnd"/>
      <w:r>
        <w:rPr>
          <w:sz w:val="24"/>
          <w:szCs w:val="24"/>
        </w:rPr>
        <w:t xml:space="preserve"> ou pela população ali presente, um dos </w:t>
      </w:r>
      <w:r>
        <w:rPr>
          <w:sz w:val="24"/>
          <w:szCs w:val="24"/>
        </w:rPr>
        <w:lastRenderedPageBreak/>
        <w:t>questionamentos motivadores da dissertação e que apontou para esse trabalho se pau</w:t>
      </w:r>
      <w:r>
        <w:rPr>
          <w:sz w:val="24"/>
          <w:szCs w:val="24"/>
        </w:rPr>
        <w:t>tava em compreender como as juventudes contemporâneas visualizavam a identidade étnico racial, ou seja, se encontravam alguma relação para si entre a identidade negra, quilombo e o quilombo urbano Liberdade. Isto é, por compreendermos que o tempo no territ</w:t>
      </w:r>
      <w:r>
        <w:rPr>
          <w:sz w:val="24"/>
          <w:szCs w:val="24"/>
        </w:rPr>
        <w:t>ório é dinâmico, ou seja, não permanece o mesmo, uma vez que as territorialidades, por exemplo, podem ter rupturas e permanências a depender dos processos políticos, culturais e ou ambientais que agem no território (</w:t>
      </w:r>
      <w:proofErr w:type="spellStart"/>
      <w:r>
        <w:rPr>
          <w:sz w:val="24"/>
          <w:szCs w:val="24"/>
        </w:rPr>
        <w:t>S</w:t>
      </w:r>
      <w:r w:rsidR="009A3E7F">
        <w:rPr>
          <w:sz w:val="24"/>
          <w:szCs w:val="24"/>
        </w:rPr>
        <w:t>aquet</w:t>
      </w:r>
      <w:proofErr w:type="spellEnd"/>
      <w:r>
        <w:rPr>
          <w:sz w:val="24"/>
          <w:szCs w:val="24"/>
        </w:rPr>
        <w:t xml:space="preserve">, 2015). </w:t>
      </w:r>
    </w:p>
    <w:p w14:paraId="312082F8" w14:textId="77777777" w:rsidR="002B0CE6" w:rsidRDefault="007171D6">
      <w:pPr>
        <w:spacing w:line="360" w:lineRule="auto"/>
        <w:jc w:val="both"/>
        <w:rPr>
          <w:sz w:val="24"/>
          <w:szCs w:val="24"/>
        </w:rPr>
      </w:pPr>
      <w:r>
        <w:rPr>
          <w:sz w:val="24"/>
          <w:szCs w:val="24"/>
        </w:rPr>
        <w:t>Nesse sentido, é necessá</w:t>
      </w:r>
      <w:r>
        <w:rPr>
          <w:sz w:val="24"/>
          <w:szCs w:val="24"/>
        </w:rPr>
        <w:t>rio considerar que na formação da identidade étnico racial dos jovens há uma presença marcante de diversos elementos tais como os movimentos culturais negros urbanos e contemporâneos, representado pelo Hip- Hop e seus quatro elementos (</w:t>
      </w:r>
      <w:proofErr w:type="spellStart"/>
      <w:r>
        <w:rPr>
          <w:sz w:val="24"/>
          <w:szCs w:val="24"/>
        </w:rPr>
        <w:t>breakdance</w:t>
      </w:r>
      <w:proofErr w:type="spellEnd"/>
      <w:r>
        <w:rPr>
          <w:sz w:val="24"/>
          <w:szCs w:val="24"/>
        </w:rPr>
        <w:t>, grafite,</w:t>
      </w:r>
      <w:r>
        <w:rPr>
          <w:sz w:val="24"/>
          <w:szCs w:val="24"/>
        </w:rPr>
        <w:t xml:space="preserve"> DJ e o MC) mesclando com os elementos da cultura tradicional quilombola, os quais são intrínsecos nesse território. </w:t>
      </w:r>
    </w:p>
    <w:p w14:paraId="474D39BD" w14:textId="77777777" w:rsidR="002B0CE6" w:rsidRDefault="007171D6">
      <w:pPr>
        <w:spacing w:line="360" w:lineRule="auto"/>
        <w:ind w:firstLine="720"/>
        <w:jc w:val="both"/>
        <w:rPr>
          <w:sz w:val="24"/>
          <w:szCs w:val="24"/>
        </w:rPr>
      </w:pPr>
      <w:r>
        <w:rPr>
          <w:sz w:val="24"/>
          <w:szCs w:val="24"/>
        </w:rPr>
        <w:t xml:space="preserve">Ao partirmos da leitura acerca da identidade étnico racial numa perspectiva de Kabengele </w:t>
      </w:r>
      <w:proofErr w:type="spellStart"/>
      <w:r>
        <w:rPr>
          <w:sz w:val="24"/>
          <w:szCs w:val="24"/>
        </w:rPr>
        <w:t>Munanga</w:t>
      </w:r>
      <w:proofErr w:type="spellEnd"/>
      <w:r>
        <w:rPr>
          <w:sz w:val="24"/>
          <w:szCs w:val="24"/>
        </w:rPr>
        <w:t xml:space="preserve"> e </w:t>
      </w:r>
      <w:proofErr w:type="spellStart"/>
      <w:r>
        <w:rPr>
          <w:sz w:val="24"/>
          <w:szCs w:val="24"/>
        </w:rPr>
        <w:t>Nilma</w:t>
      </w:r>
      <w:proofErr w:type="spellEnd"/>
      <w:r>
        <w:rPr>
          <w:sz w:val="24"/>
          <w:szCs w:val="24"/>
        </w:rPr>
        <w:t xml:space="preserve"> Lino Gomes, notamos que a identid</w:t>
      </w:r>
      <w:r>
        <w:rPr>
          <w:sz w:val="24"/>
          <w:szCs w:val="24"/>
        </w:rPr>
        <w:t xml:space="preserve">ade negra em específico, não é algo inato, ou seja, que nasce com o sujeito, mas sim algo construído socialmente a partir do contexto espacial, social e político que cada indivíduo está inserido, construindo a partir das suas relações afetivas e culturais </w:t>
      </w:r>
      <w:r>
        <w:rPr>
          <w:sz w:val="24"/>
          <w:szCs w:val="24"/>
        </w:rPr>
        <w:t>o pertencimento ao grupo social de referência (Gomes, 2004). Portanto, nos questionamos a partir dessa leitura: mediante as mudanças ocorridas nos últimos nos últimos anos, sobretudo, com a nomenclatura e certificação de “quilombo urbano” os jovens morador</w:t>
      </w:r>
      <w:r>
        <w:rPr>
          <w:sz w:val="24"/>
          <w:szCs w:val="24"/>
        </w:rPr>
        <w:t xml:space="preserve">es do território identificam-se na identidade étnica e racial de negros e quilombolas? Quais os fatores que influenciam ou não na afirmação dessa identidade? Há outros marcadores que apontam para a legitimação da identidade étnico e racial da juventude no </w:t>
      </w:r>
      <w:r>
        <w:rPr>
          <w:sz w:val="24"/>
          <w:szCs w:val="24"/>
        </w:rPr>
        <w:t>território?</w:t>
      </w:r>
    </w:p>
    <w:p w14:paraId="78ACD2BC" w14:textId="77777777" w:rsidR="002B0CE6" w:rsidRDefault="002B0CE6">
      <w:pPr>
        <w:spacing w:line="360" w:lineRule="auto"/>
        <w:ind w:firstLine="720"/>
        <w:jc w:val="both"/>
        <w:rPr>
          <w:sz w:val="24"/>
          <w:szCs w:val="24"/>
        </w:rPr>
      </w:pPr>
    </w:p>
    <w:p w14:paraId="191D76A7" w14:textId="77777777" w:rsidR="002B0CE6" w:rsidRDefault="007171D6">
      <w:pPr>
        <w:spacing w:line="360" w:lineRule="auto"/>
        <w:jc w:val="both"/>
        <w:rPr>
          <w:sz w:val="24"/>
          <w:szCs w:val="24"/>
        </w:rPr>
      </w:pPr>
      <w:bookmarkStart w:id="2" w:name="_heading=h.rpx3ofuiipcp" w:colFirst="0" w:colLast="0"/>
      <w:bookmarkEnd w:id="2"/>
      <w:r>
        <w:rPr>
          <w:b/>
          <w:sz w:val="24"/>
          <w:szCs w:val="24"/>
        </w:rPr>
        <w:t>3     QUEM SÃO OS JOVENS DA PESQUISA E A QUESTÃO DA IDENTIDADE ÉTNICO-RACIAL</w:t>
      </w:r>
    </w:p>
    <w:p w14:paraId="1A5D9DFE" w14:textId="277BA154" w:rsidR="002B0CE6" w:rsidRDefault="007171D6">
      <w:pPr>
        <w:spacing w:line="360" w:lineRule="auto"/>
        <w:ind w:firstLine="720"/>
        <w:jc w:val="both"/>
        <w:rPr>
          <w:sz w:val="24"/>
          <w:szCs w:val="24"/>
        </w:rPr>
      </w:pPr>
      <w:r>
        <w:rPr>
          <w:sz w:val="24"/>
          <w:szCs w:val="24"/>
        </w:rPr>
        <w:lastRenderedPageBreak/>
        <w:t xml:space="preserve">O conceito de juventude é constituído por uma construção social, aderindo novos significados e sentidos em diferentes momentos históricos. </w:t>
      </w:r>
      <w:proofErr w:type="spellStart"/>
      <w:r>
        <w:rPr>
          <w:sz w:val="24"/>
          <w:szCs w:val="24"/>
        </w:rPr>
        <w:t>Dayrell</w:t>
      </w:r>
      <w:proofErr w:type="spellEnd"/>
      <w:r>
        <w:rPr>
          <w:sz w:val="24"/>
          <w:szCs w:val="24"/>
        </w:rPr>
        <w:t xml:space="preserve"> (2003, p. 1.180) de</w:t>
      </w:r>
      <w:r>
        <w:rPr>
          <w:sz w:val="24"/>
          <w:szCs w:val="24"/>
        </w:rPr>
        <w:t xml:space="preserve">fine juventude para além da transição entre infância e vida adulta, a juventude é “uma condição social e um tipo de representação (...). Nessa dimensão, a condição juvenil torna-se por sua vez, uma forma de coletivizar determinados grupos juvenis a partir </w:t>
      </w:r>
      <w:r>
        <w:rPr>
          <w:sz w:val="24"/>
          <w:szCs w:val="24"/>
        </w:rPr>
        <w:t xml:space="preserve">das suas semelhanças </w:t>
      </w:r>
      <w:r>
        <w:rPr>
          <w:sz w:val="24"/>
          <w:szCs w:val="24"/>
        </w:rPr>
        <w:t>e diferenciações</w:t>
      </w:r>
      <w:r>
        <w:rPr>
          <w:sz w:val="24"/>
          <w:szCs w:val="24"/>
        </w:rPr>
        <w:t xml:space="preserve"> nos recortes de gênero, classe, </w:t>
      </w:r>
      <w:r>
        <w:rPr>
          <w:sz w:val="24"/>
          <w:szCs w:val="24"/>
        </w:rPr>
        <w:t>raça e etnia</w:t>
      </w:r>
      <w:r>
        <w:rPr>
          <w:sz w:val="24"/>
          <w:szCs w:val="24"/>
        </w:rPr>
        <w:t xml:space="preserve"> (</w:t>
      </w:r>
      <w:proofErr w:type="spellStart"/>
      <w:r>
        <w:rPr>
          <w:sz w:val="24"/>
          <w:szCs w:val="24"/>
        </w:rPr>
        <w:t>D</w:t>
      </w:r>
      <w:r w:rsidR="009A3E7F">
        <w:rPr>
          <w:sz w:val="24"/>
          <w:szCs w:val="24"/>
        </w:rPr>
        <w:t>ayrell</w:t>
      </w:r>
      <w:proofErr w:type="spellEnd"/>
      <w:r>
        <w:rPr>
          <w:sz w:val="24"/>
          <w:szCs w:val="24"/>
        </w:rPr>
        <w:t xml:space="preserve">, 2007). Partindo dessa perspectiva que não existe uma cultura e espacialidade própria que define a juventude, mas sim de culturas juvenis e espacialidades juvenis, </w:t>
      </w:r>
      <w:r>
        <w:rPr>
          <w:sz w:val="24"/>
          <w:szCs w:val="24"/>
        </w:rPr>
        <w:t xml:space="preserve">dando margem a pluralidade que lhes é inerente, fazemos esta análise acerca das juventudes do quilombo urbano Liberdade sendo atravessados por marcadores sociais de diferenciação, tal como a questão étnico racial (negro-quilombola) no espaço urbano. </w:t>
      </w:r>
    </w:p>
    <w:p w14:paraId="1482CB07" w14:textId="792D600A" w:rsidR="002B0CE6" w:rsidRDefault="007171D6">
      <w:pPr>
        <w:spacing w:line="360" w:lineRule="auto"/>
        <w:ind w:firstLine="720"/>
        <w:jc w:val="both"/>
        <w:rPr>
          <w:sz w:val="24"/>
          <w:szCs w:val="24"/>
        </w:rPr>
      </w:pPr>
      <w:r>
        <w:rPr>
          <w:sz w:val="24"/>
          <w:szCs w:val="24"/>
        </w:rPr>
        <w:t>Pensa</w:t>
      </w:r>
      <w:r>
        <w:rPr>
          <w:sz w:val="24"/>
          <w:szCs w:val="24"/>
        </w:rPr>
        <w:t>r a questão étnico e racial relacionada a condição juvenil implica resgatarmos inicialmente os sentidos desse conceito. A raça enquanto categoria, historicamente, tem sido construída como critério de classificação e dominação entre povos, fato concretizado</w:t>
      </w:r>
      <w:r>
        <w:rPr>
          <w:sz w:val="24"/>
          <w:szCs w:val="24"/>
        </w:rPr>
        <w:t>, por exemplo, pelos estados-nações ao colonizarem outros territórios tendo como espaço de referência e marco das violências da escravidão caracterizado pela comercialização em massa de homens e mulheres na rota do Atlântico para expansão colonial dos país</w:t>
      </w:r>
      <w:r>
        <w:rPr>
          <w:sz w:val="24"/>
          <w:szCs w:val="24"/>
        </w:rPr>
        <w:t>es europeus na América (</w:t>
      </w:r>
      <w:proofErr w:type="spellStart"/>
      <w:r>
        <w:rPr>
          <w:sz w:val="24"/>
          <w:szCs w:val="24"/>
        </w:rPr>
        <w:t>Q</w:t>
      </w:r>
      <w:r w:rsidR="009A3E7F">
        <w:rPr>
          <w:sz w:val="24"/>
          <w:szCs w:val="24"/>
        </w:rPr>
        <w:t>uijano</w:t>
      </w:r>
      <w:proofErr w:type="spellEnd"/>
      <w:r>
        <w:rPr>
          <w:sz w:val="24"/>
          <w:szCs w:val="24"/>
        </w:rPr>
        <w:t>, 2007).</w:t>
      </w:r>
    </w:p>
    <w:p w14:paraId="78B39665" w14:textId="77777777" w:rsidR="002B0CE6" w:rsidRDefault="007171D6">
      <w:pPr>
        <w:spacing w:line="360" w:lineRule="auto"/>
        <w:ind w:firstLine="720"/>
        <w:jc w:val="both"/>
        <w:rPr>
          <w:sz w:val="24"/>
          <w:szCs w:val="24"/>
        </w:rPr>
      </w:pPr>
      <w:r>
        <w:rPr>
          <w:sz w:val="24"/>
          <w:szCs w:val="24"/>
        </w:rPr>
        <w:t xml:space="preserve">No Brasil, a construção da </w:t>
      </w:r>
      <w:proofErr w:type="spellStart"/>
      <w:r>
        <w:rPr>
          <w:sz w:val="24"/>
          <w:szCs w:val="24"/>
        </w:rPr>
        <w:t>racialidade</w:t>
      </w:r>
      <w:proofErr w:type="spellEnd"/>
      <w:r>
        <w:rPr>
          <w:sz w:val="24"/>
          <w:szCs w:val="24"/>
        </w:rPr>
        <w:t xml:space="preserve"> passa inegavelmente pela identidade negra recebendo influências diversas dialogando em escala local e global, centrado inicialmente nas experiências culturais africanas da diásp</w:t>
      </w:r>
      <w:r>
        <w:rPr>
          <w:sz w:val="24"/>
          <w:szCs w:val="24"/>
        </w:rPr>
        <w:t>ora como pela culinária, a ginga, os ritmos, as crenças tradicionais. Tendo, portanto, nas gerações próximas da década 70, 80 esses aspectos predominantes na reivindicação da identidade negra, além dos movimentos sociais eminentes no campo internacional.</w:t>
      </w:r>
    </w:p>
    <w:p w14:paraId="1C9D8C24" w14:textId="6F33E054" w:rsidR="002B0CE6" w:rsidRDefault="007171D6">
      <w:pPr>
        <w:spacing w:line="360" w:lineRule="auto"/>
        <w:ind w:firstLine="720"/>
        <w:jc w:val="both"/>
        <w:rPr>
          <w:sz w:val="24"/>
          <w:szCs w:val="24"/>
        </w:rPr>
      </w:pPr>
      <w:r>
        <w:rPr>
          <w:sz w:val="24"/>
          <w:szCs w:val="24"/>
        </w:rPr>
        <w:t>N</w:t>
      </w:r>
      <w:r>
        <w:rPr>
          <w:sz w:val="24"/>
          <w:szCs w:val="24"/>
        </w:rPr>
        <w:t>os últimos anos temos na população juvenil brasileira as influências da globalização na rápida disseminação de informação da indústria cultural, da moda, da música e do audiovisual onde estão presentes outras representações do ser negro, como os norte-amer</w:t>
      </w:r>
      <w:r>
        <w:rPr>
          <w:sz w:val="24"/>
          <w:szCs w:val="24"/>
        </w:rPr>
        <w:t xml:space="preserve">icanos. Essas mudanças gradualmente passam a compor outras </w:t>
      </w:r>
      <w:r>
        <w:rPr>
          <w:sz w:val="24"/>
          <w:szCs w:val="24"/>
        </w:rPr>
        <w:lastRenderedPageBreak/>
        <w:t>composições tendo o corpo negro em evidência, através das tranças, o cabelo crespo-cacheado e mesclando com a cultura das produções artísticas como os grafites, a música popular, tais como os baile</w:t>
      </w:r>
      <w:r>
        <w:rPr>
          <w:sz w:val="24"/>
          <w:szCs w:val="24"/>
        </w:rPr>
        <w:t>s funks, as batalhas de rap, samba e outras (</w:t>
      </w:r>
      <w:proofErr w:type="spellStart"/>
      <w:r>
        <w:rPr>
          <w:sz w:val="24"/>
          <w:szCs w:val="24"/>
        </w:rPr>
        <w:t>S</w:t>
      </w:r>
      <w:r w:rsidR="009A3E7F">
        <w:rPr>
          <w:sz w:val="24"/>
          <w:szCs w:val="24"/>
        </w:rPr>
        <w:t>ansone</w:t>
      </w:r>
      <w:proofErr w:type="spellEnd"/>
      <w:r>
        <w:rPr>
          <w:sz w:val="24"/>
          <w:szCs w:val="24"/>
        </w:rPr>
        <w:t>, 2007).</w:t>
      </w:r>
    </w:p>
    <w:p w14:paraId="631606D6" w14:textId="77777777" w:rsidR="002B0CE6" w:rsidRDefault="007171D6">
      <w:pPr>
        <w:spacing w:line="360" w:lineRule="auto"/>
        <w:ind w:firstLine="720"/>
        <w:jc w:val="both"/>
        <w:rPr>
          <w:sz w:val="24"/>
          <w:szCs w:val="24"/>
        </w:rPr>
      </w:pPr>
      <w:r>
        <w:rPr>
          <w:sz w:val="24"/>
          <w:szCs w:val="24"/>
        </w:rPr>
        <w:t xml:space="preserve">Ao questionarmos “Quem são os jovens da pesquisa?” </w:t>
      </w:r>
      <w:r>
        <w:rPr>
          <w:sz w:val="24"/>
          <w:szCs w:val="24"/>
        </w:rPr>
        <w:t>O caráter</w:t>
      </w:r>
      <w:r>
        <w:rPr>
          <w:sz w:val="24"/>
          <w:szCs w:val="24"/>
        </w:rPr>
        <w:t xml:space="preserve"> racial com ênfase na negritude apresenta-se como eixo central na elaboração da condição juvenil dos atores do quilombo urbano Liberdad</w:t>
      </w:r>
      <w:r>
        <w:rPr>
          <w:sz w:val="24"/>
          <w:szCs w:val="24"/>
        </w:rPr>
        <w:t xml:space="preserve">e. Embora nas entrevistas as palavras étnico e racial </w:t>
      </w:r>
      <w:r>
        <w:rPr>
          <w:sz w:val="24"/>
          <w:szCs w:val="24"/>
        </w:rPr>
        <w:t>parecerem</w:t>
      </w:r>
      <w:r>
        <w:rPr>
          <w:sz w:val="24"/>
          <w:szCs w:val="24"/>
        </w:rPr>
        <w:t xml:space="preserve"> distantes conceitualmente para o público juvenil, ao longo das entrevistas notou-se a relação entre a negritude assumida pela aparência física, a estética dos corpos, como o cabelo Black, cor </w:t>
      </w:r>
      <w:r>
        <w:rPr>
          <w:sz w:val="24"/>
          <w:szCs w:val="24"/>
        </w:rPr>
        <w:t>da pele e as relações estabelecidas com os pares e a comunidade local. Tal como identificado nos relatos a seguir:</w:t>
      </w:r>
    </w:p>
    <w:p w14:paraId="5F111DB3" w14:textId="77777777" w:rsidR="002B0CE6" w:rsidRDefault="007171D6">
      <w:pPr>
        <w:spacing w:line="360" w:lineRule="auto"/>
        <w:ind w:left="2160"/>
        <w:jc w:val="both"/>
        <w:rPr>
          <w:sz w:val="20"/>
          <w:szCs w:val="20"/>
        </w:rPr>
      </w:pPr>
      <w:r>
        <w:rPr>
          <w:sz w:val="20"/>
          <w:szCs w:val="20"/>
        </w:rPr>
        <w:t>“Me identifico enquanto mulher, jovem e negra por conta dos meus traços e também pela história de vida que meu avô fez aqui no bairro, ele fo</w:t>
      </w:r>
      <w:r>
        <w:rPr>
          <w:sz w:val="20"/>
          <w:szCs w:val="20"/>
        </w:rPr>
        <w:t xml:space="preserve">i um dos primeiros a </w:t>
      </w:r>
      <w:proofErr w:type="gramStart"/>
      <w:r>
        <w:rPr>
          <w:sz w:val="20"/>
          <w:szCs w:val="20"/>
        </w:rPr>
        <w:t>vir  pra</w:t>
      </w:r>
      <w:proofErr w:type="gramEnd"/>
      <w:r>
        <w:rPr>
          <w:sz w:val="20"/>
          <w:szCs w:val="20"/>
        </w:rPr>
        <w:t xml:space="preserve"> cá, veio de Alcântara” (Jovem A, 18 anos, 2023).</w:t>
      </w:r>
    </w:p>
    <w:p w14:paraId="2EAD53B0" w14:textId="77777777" w:rsidR="002B0CE6" w:rsidRDefault="007171D6">
      <w:pPr>
        <w:spacing w:line="360" w:lineRule="auto"/>
        <w:ind w:firstLine="720"/>
        <w:jc w:val="both"/>
        <w:rPr>
          <w:sz w:val="24"/>
          <w:szCs w:val="24"/>
        </w:rPr>
      </w:pPr>
      <w:r>
        <w:rPr>
          <w:sz w:val="24"/>
          <w:szCs w:val="24"/>
        </w:rPr>
        <w:t xml:space="preserve">Da mesma maneira a jovem C percebe: </w:t>
      </w:r>
    </w:p>
    <w:p w14:paraId="4A7063D9" w14:textId="77777777" w:rsidR="002B0CE6" w:rsidRDefault="007171D6">
      <w:pPr>
        <w:spacing w:line="240" w:lineRule="auto"/>
        <w:ind w:left="2160"/>
        <w:jc w:val="both"/>
        <w:rPr>
          <w:sz w:val="20"/>
          <w:szCs w:val="20"/>
        </w:rPr>
      </w:pPr>
      <w:r>
        <w:rPr>
          <w:sz w:val="20"/>
          <w:szCs w:val="20"/>
        </w:rPr>
        <w:t>Meu cabelo, por exemplo, meu cabelo fala bastante sobre mim. Quem olha pode pensar que estou o tempo todo bagunçado, mas meu cabelo é assim.</w:t>
      </w:r>
      <w:r>
        <w:rPr>
          <w:sz w:val="20"/>
          <w:szCs w:val="20"/>
        </w:rPr>
        <w:t xml:space="preserve"> Tenho vontade de fazer trança, gosto da cultura, do povo daqui. (Jovem C, 18 anos, 2024).</w:t>
      </w:r>
    </w:p>
    <w:p w14:paraId="54B35EA9" w14:textId="19867013" w:rsidR="002B0CE6" w:rsidRDefault="007171D6">
      <w:pPr>
        <w:spacing w:line="360" w:lineRule="auto"/>
        <w:ind w:firstLine="720"/>
        <w:jc w:val="both"/>
        <w:rPr>
          <w:sz w:val="24"/>
          <w:szCs w:val="24"/>
        </w:rPr>
      </w:pPr>
      <w:r>
        <w:rPr>
          <w:sz w:val="24"/>
          <w:szCs w:val="24"/>
        </w:rPr>
        <w:t>Quando pensamos na escala do corpo enquanto elemento construtor da identidade negra para a juventude, não há dúvidas, sobretudo, na sociedade brasileira, que os cara</w:t>
      </w:r>
      <w:r>
        <w:rPr>
          <w:sz w:val="24"/>
          <w:szCs w:val="24"/>
        </w:rPr>
        <w:t>cteres físicos como cabelos crespo-cacheado, formato do nariz e dos lábios, tonalidade da pele e formas indumentárias são tidos como fatores de diferenciação no contexto da classificação racial, sendo ainda símbolos da negritude (G</w:t>
      </w:r>
      <w:r w:rsidR="009A3E7F">
        <w:rPr>
          <w:sz w:val="24"/>
          <w:szCs w:val="24"/>
        </w:rPr>
        <w:t>omes</w:t>
      </w:r>
      <w:r>
        <w:rPr>
          <w:sz w:val="24"/>
          <w:szCs w:val="24"/>
        </w:rPr>
        <w:t>, 2004).</w:t>
      </w:r>
    </w:p>
    <w:p w14:paraId="004369A4" w14:textId="77777777" w:rsidR="002B0CE6" w:rsidRDefault="007171D6">
      <w:pPr>
        <w:spacing w:line="360" w:lineRule="auto"/>
        <w:ind w:firstLine="720"/>
        <w:jc w:val="both"/>
        <w:rPr>
          <w:sz w:val="24"/>
          <w:szCs w:val="24"/>
        </w:rPr>
      </w:pPr>
      <w:r>
        <w:rPr>
          <w:sz w:val="24"/>
          <w:szCs w:val="24"/>
        </w:rPr>
        <w:t>Soma-se a es</w:t>
      </w:r>
      <w:r>
        <w:rPr>
          <w:sz w:val="24"/>
          <w:szCs w:val="24"/>
        </w:rPr>
        <w:t xml:space="preserve">ta concepção as impressões do racismo como elemento presente na formação desta identidade. Como identificado no relato seguinte: </w:t>
      </w:r>
    </w:p>
    <w:p w14:paraId="35386FCD" w14:textId="77777777" w:rsidR="002B0CE6" w:rsidRDefault="007171D6">
      <w:pPr>
        <w:spacing w:line="240" w:lineRule="auto"/>
        <w:ind w:left="2160"/>
        <w:jc w:val="both"/>
        <w:rPr>
          <w:sz w:val="20"/>
          <w:szCs w:val="20"/>
        </w:rPr>
      </w:pPr>
      <w:r>
        <w:rPr>
          <w:sz w:val="20"/>
          <w:szCs w:val="20"/>
        </w:rPr>
        <w:t>“Me vejo como homem negro, identifico isso tanto na característica quanto na vivência...são muitos preconceitos, a diferença d</w:t>
      </w:r>
      <w:r>
        <w:rPr>
          <w:sz w:val="20"/>
          <w:szCs w:val="20"/>
        </w:rPr>
        <w:t>e cor que faz tu perceber que faz parte a raça negra. (já ocorreu experiências de racismo?) Aqui no bairro não, só na ida pro centro, no ônibus, andando, sempre pra onde for tem, só o jeito da pessoa olhar pra você, já é racismo… (Jovem D, 19 anos, 2023).</w:t>
      </w:r>
    </w:p>
    <w:p w14:paraId="5125E04B" w14:textId="732C35ED" w:rsidR="002B0CE6" w:rsidRDefault="007171D6">
      <w:pPr>
        <w:spacing w:line="360" w:lineRule="auto"/>
        <w:ind w:firstLine="720"/>
        <w:jc w:val="both"/>
        <w:rPr>
          <w:sz w:val="24"/>
          <w:szCs w:val="24"/>
        </w:rPr>
      </w:pPr>
      <w:bookmarkStart w:id="3" w:name="_heading=h.tqeytqf7498n" w:colFirst="0" w:colLast="0"/>
      <w:bookmarkEnd w:id="3"/>
      <w:r>
        <w:rPr>
          <w:sz w:val="24"/>
          <w:szCs w:val="24"/>
        </w:rPr>
        <w:lastRenderedPageBreak/>
        <w:t>Percebemos, portanto que a prática do se identificar no contexto das relações raciais, enquanto sujeitos juvenis na espacialidade do quilombo urbano, passa não somente pelas marcas dos caracteres, ou seja, pelos fenótipos presentes no corpo, mas também pel</w:t>
      </w:r>
      <w:r>
        <w:rPr>
          <w:sz w:val="24"/>
          <w:szCs w:val="24"/>
        </w:rPr>
        <w:t>as formas como esse corpo é lido em diferentes espaços. O corpo para além da sua materialidade anatômica também é carregado de representações e classificações simbólicas (R</w:t>
      </w:r>
      <w:r w:rsidR="009A3E7F">
        <w:rPr>
          <w:sz w:val="24"/>
          <w:szCs w:val="24"/>
        </w:rPr>
        <w:t>amos</w:t>
      </w:r>
      <w:r>
        <w:rPr>
          <w:sz w:val="24"/>
          <w:szCs w:val="24"/>
        </w:rPr>
        <w:t>, M</w:t>
      </w:r>
      <w:r w:rsidR="009A3E7F">
        <w:rPr>
          <w:sz w:val="24"/>
          <w:szCs w:val="24"/>
        </w:rPr>
        <w:t>ilani</w:t>
      </w:r>
      <w:r>
        <w:rPr>
          <w:sz w:val="24"/>
          <w:szCs w:val="24"/>
        </w:rPr>
        <w:t>, 2022, p. 4). No entanto, tais classificações não são neutras, “todas g</w:t>
      </w:r>
      <w:r>
        <w:rPr>
          <w:sz w:val="24"/>
          <w:szCs w:val="24"/>
        </w:rPr>
        <w:t>uardam um peso, que a depender do contexto histórico e social, tem raízes ideológicas e advém da afirmação de um grupo sobre o outro [...] desses julgamentos ocorrem formas diversas de inclusão ou exclusão, estigmatização, marginalização (R</w:t>
      </w:r>
      <w:r w:rsidR="00BF0C60">
        <w:rPr>
          <w:sz w:val="24"/>
          <w:szCs w:val="24"/>
        </w:rPr>
        <w:t>amos</w:t>
      </w:r>
      <w:r>
        <w:rPr>
          <w:sz w:val="24"/>
          <w:szCs w:val="24"/>
        </w:rPr>
        <w:t>, M</w:t>
      </w:r>
      <w:r w:rsidR="009A3E7F">
        <w:rPr>
          <w:sz w:val="24"/>
          <w:szCs w:val="24"/>
        </w:rPr>
        <w:t>ilani</w:t>
      </w:r>
      <w:r>
        <w:rPr>
          <w:sz w:val="24"/>
          <w:szCs w:val="24"/>
        </w:rPr>
        <w:t>, 20</w:t>
      </w:r>
      <w:r>
        <w:rPr>
          <w:sz w:val="24"/>
          <w:szCs w:val="24"/>
        </w:rPr>
        <w:t xml:space="preserve">22, p. 4). </w:t>
      </w:r>
    </w:p>
    <w:p w14:paraId="351A76C9" w14:textId="77777777" w:rsidR="002B0CE6" w:rsidRDefault="007171D6">
      <w:pPr>
        <w:spacing w:line="360" w:lineRule="auto"/>
        <w:ind w:firstLine="720"/>
        <w:jc w:val="both"/>
        <w:rPr>
          <w:sz w:val="24"/>
          <w:szCs w:val="24"/>
        </w:rPr>
      </w:pPr>
      <w:r>
        <w:rPr>
          <w:sz w:val="24"/>
          <w:szCs w:val="24"/>
        </w:rPr>
        <w:t>Assumir a identidade racial negra enquanto sujeitos juvenis no contexto brasileiro remete inegavelmente a condição que este corpo tem sido colocado historicamente. Aos jovens negros os olhares de margem social estão presentes na representação j</w:t>
      </w:r>
      <w:r>
        <w:rPr>
          <w:sz w:val="24"/>
          <w:szCs w:val="24"/>
        </w:rPr>
        <w:t xml:space="preserve">uvenil, logo, os estigmas negativos pesam colocando-os num lugar de inferioridade em comparação “ao outro” (Gomes e </w:t>
      </w:r>
      <w:proofErr w:type="spellStart"/>
      <w:r>
        <w:rPr>
          <w:sz w:val="24"/>
          <w:szCs w:val="24"/>
        </w:rPr>
        <w:t>Laborne</w:t>
      </w:r>
      <w:proofErr w:type="spellEnd"/>
      <w:r>
        <w:rPr>
          <w:sz w:val="24"/>
          <w:szCs w:val="24"/>
        </w:rPr>
        <w:t>, 2018).</w:t>
      </w:r>
    </w:p>
    <w:p w14:paraId="534BD92E" w14:textId="77777777" w:rsidR="002B0CE6" w:rsidRDefault="007171D6">
      <w:pPr>
        <w:spacing w:line="360" w:lineRule="auto"/>
        <w:ind w:firstLine="720"/>
        <w:jc w:val="both"/>
        <w:rPr>
          <w:sz w:val="24"/>
          <w:szCs w:val="24"/>
        </w:rPr>
      </w:pPr>
      <w:r>
        <w:rPr>
          <w:sz w:val="24"/>
          <w:szCs w:val="24"/>
        </w:rPr>
        <w:t>Por outro lado, na confluência desse cenário temos o movimento contrário por meio da autogestão da comunidade, buscando atra</w:t>
      </w:r>
      <w:r>
        <w:rPr>
          <w:sz w:val="24"/>
          <w:szCs w:val="24"/>
        </w:rPr>
        <w:t xml:space="preserve">vés da cultura negra e quilombola a formação de uma identidade étnico e racial positiva e consciente. O quilombo urbano agrupa aproximadamente 208 grupos culturais, diversificados nas formas de expressão religiosa, grupos culturais como tambor de crioula, </w:t>
      </w:r>
      <w:r>
        <w:rPr>
          <w:sz w:val="24"/>
          <w:szCs w:val="24"/>
        </w:rPr>
        <w:t xml:space="preserve">capoeira, Hip-Hop entre outros (IRCQ, 2025). Na prática </w:t>
      </w:r>
      <w:r>
        <w:rPr>
          <w:sz w:val="24"/>
          <w:szCs w:val="24"/>
        </w:rPr>
        <w:t>estes</w:t>
      </w:r>
      <w:r>
        <w:rPr>
          <w:sz w:val="24"/>
          <w:szCs w:val="24"/>
        </w:rPr>
        <w:t xml:space="preserve"> grupos estão distribuídos nos cinco bairros do território e dão vida (animam- movimentam) o quilombo urbano no sentido de unir a comunidade por meio dos ensaios, apresentações, festejos, comemor</w:t>
      </w:r>
      <w:r>
        <w:rPr>
          <w:sz w:val="24"/>
          <w:szCs w:val="24"/>
        </w:rPr>
        <w:t>ações, pagamento de promessas e reuniões. Reúnem-se cotidianamente jovens, crianças, adolescentes, adultos e pessoas mais antigas do território, compondo importante formação no lazer da comunidade e na continuidade das tradições fortalecendo a identidade t</w:t>
      </w:r>
      <w:r>
        <w:rPr>
          <w:sz w:val="24"/>
          <w:szCs w:val="24"/>
        </w:rPr>
        <w:t>erritorial.</w:t>
      </w:r>
    </w:p>
    <w:p w14:paraId="1FD7A396" w14:textId="77777777" w:rsidR="002B0CE6" w:rsidRDefault="007171D6">
      <w:pPr>
        <w:spacing w:line="360" w:lineRule="auto"/>
        <w:ind w:firstLine="720"/>
        <w:jc w:val="both"/>
        <w:rPr>
          <w:sz w:val="24"/>
          <w:szCs w:val="24"/>
        </w:rPr>
      </w:pPr>
      <w:r>
        <w:rPr>
          <w:sz w:val="24"/>
          <w:szCs w:val="24"/>
        </w:rPr>
        <w:t xml:space="preserve">Portanto, as territorialidades religiosas, culturais, artísticas, sejam elas tradicionais ou contemporâneas são produzidas no quilombo urbano e a juventude, </w:t>
      </w:r>
      <w:r>
        <w:rPr>
          <w:sz w:val="24"/>
          <w:szCs w:val="24"/>
        </w:rPr>
        <w:lastRenderedPageBreak/>
        <w:t>enquanto sujeitos produtores do território fazem parte desse movimento, tal como expres</w:t>
      </w:r>
      <w:r>
        <w:rPr>
          <w:sz w:val="24"/>
          <w:szCs w:val="24"/>
        </w:rPr>
        <w:t>so nos relatos a seguir:</w:t>
      </w:r>
    </w:p>
    <w:p w14:paraId="2EAB7E38" w14:textId="77777777" w:rsidR="002B0CE6" w:rsidRDefault="007171D6">
      <w:pPr>
        <w:spacing w:line="240" w:lineRule="auto"/>
        <w:ind w:left="2160"/>
        <w:jc w:val="both"/>
        <w:rPr>
          <w:sz w:val="20"/>
          <w:szCs w:val="20"/>
        </w:rPr>
      </w:pPr>
      <w:r>
        <w:rPr>
          <w:sz w:val="20"/>
          <w:szCs w:val="20"/>
        </w:rPr>
        <w:t>Participo do fest</w:t>
      </w:r>
      <w:r>
        <w:rPr>
          <w:sz w:val="20"/>
          <w:szCs w:val="20"/>
        </w:rPr>
        <w:t>ejo</w:t>
      </w:r>
      <w:r>
        <w:rPr>
          <w:sz w:val="20"/>
          <w:szCs w:val="20"/>
        </w:rPr>
        <w:t xml:space="preserve"> do Divino aqui ao lado. Como a gente serve a casa, a gente vai frequenta faz as obrigações. Obrigações é ajudar a casa quando ela precisa, como é período de festa é muita coisa pra uma pessoa só. Então a gente </w:t>
      </w:r>
      <w:r>
        <w:rPr>
          <w:sz w:val="20"/>
          <w:szCs w:val="20"/>
        </w:rPr>
        <w:t>divide por partes, às vezes ficamos com a obrigação de pegar as crianças, pegar as comidas. Tem bastante jovens que colaboram muito com a festa. A festa começa em novembro e vai até dezembro, são oito a nove dias de festa. Normalmente a festa não é algo pr</w:t>
      </w:r>
      <w:r>
        <w:rPr>
          <w:sz w:val="20"/>
          <w:szCs w:val="20"/>
        </w:rPr>
        <w:t xml:space="preserve">a espalhar pra todos, porque é uma festa que vem tradições, ela paga a promessa dela e vai passar pra outras gerações até o neto dela pagar. Nessa casa já fui rainha de promessa e minha irmã é caixeira. (Jovem F, 18 anos, 2024). </w:t>
      </w:r>
    </w:p>
    <w:p w14:paraId="04160430" w14:textId="77777777" w:rsidR="002B0CE6" w:rsidRDefault="007171D6">
      <w:pPr>
        <w:spacing w:line="360" w:lineRule="auto"/>
        <w:ind w:firstLine="720"/>
        <w:jc w:val="both"/>
        <w:rPr>
          <w:sz w:val="24"/>
          <w:szCs w:val="24"/>
        </w:rPr>
      </w:pPr>
      <w:r>
        <w:rPr>
          <w:sz w:val="24"/>
          <w:szCs w:val="24"/>
        </w:rPr>
        <w:t>A relação estabelecida ent</w:t>
      </w:r>
      <w:r>
        <w:rPr>
          <w:sz w:val="24"/>
          <w:szCs w:val="24"/>
        </w:rPr>
        <w:t>re os jovens e os espaços de cultura e religião é fruto das tradições e organização social repassados de geração em geração. Diversos grupos, fazedores de cultura, organizam-se tendo uma periodicidade dos encontros, ensaios, intervenções e formações, algun</w:t>
      </w:r>
      <w:r>
        <w:rPr>
          <w:sz w:val="24"/>
          <w:szCs w:val="24"/>
        </w:rPr>
        <w:t>s adotam uma característica, a de incluir crianças e adolescentes para a prática cultural. Um dos jovens entrevistados relatou sua experiência ao participar desde criança dos grupos de cultura da Liberdade:</w:t>
      </w:r>
    </w:p>
    <w:p w14:paraId="5BAB50BF" w14:textId="77777777" w:rsidR="002B0CE6" w:rsidRDefault="007171D6">
      <w:pPr>
        <w:spacing w:line="240" w:lineRule="auto"/>
        <w:ind w:left="2160"/>
        <w:jc w:val="both"/>
        <w:rPr>
          <w:sz w:val="20"/>
          <w:szCs w:val="20"/>
        </w:rPr>
      </w:pPr>
      <w:r>
        <w:rPr>
          <w:sz w:val="20"/>
          <w:szCs w:val="20"/>
        </w:rPr>
        <w:t>Sempre teve esse cuidado pelos brincantes e fazed</w:t>
      </w:r>
      <w:r>
        <w:rPr>
          <w:sz w:val="20"/>
          <w:szCs w:val="20"/>
        </w:rPr>
        <w:t>ores de cultura de envolverem as gerações mais novas e assim passar uma cultura mais livre e mais natural. Se for comparar com as gerações de antigamente a gente não ficava no celular, a gente vivia na rua, brincava, ia para as festas, os arraiais, era a g</w:t>
      </w:r>
      <w:r>
        <w:rPr>
          <w:sz w:val="20"/>
          <w:szCs w:val="20"/>
        </w:rPr>
        <w:t>rande atração do dia chegar da escola, se arrumar e ir para o arraial. As pessoas mais antigas têm esse cuidado de trazer as pessoas mais novas, então tem muitos jovens e uma coisa marcante que deve ser validado na identidade da juventude é das pessoas faz</w:t>
      </w:r>
      <w:r>
        <w:rPr>
          <w:sz w:val="20"/>
          <w:szCs w:val="20"/>
        </w:rPr>
        <w:t>edores de cultura e que fazem projetos sociais no território, que eles têm esse cuidado justamente com a mente da criança, do jovem, do adolescente para que ele se desvie do caminho mal e em vez de procurar encrenca na rua, procure cultura, lazer, o acesso</w:t>
      </w:r>
      <w:r>
        <w:rPr>
          <w:sz w:val="20"/>
          <w:szCs w:val="20"/>
        </w:rPr>
        <w:t xml:space="preserve"> a esporte e projetos. Qualquer canto de cultura aqui da Liberdade tem muitos jovens. (Jovem H, 18 anos). </w:t>
      </w:r>
    </w:p>
    <w:p w14:paraId="564588C6" w14:textId="77777777" w:rsidR="002B0CE6" w:rsidRDefault="007171D6">
      <w:pPr>
        <w:spacing w:line="360" w:lineRule="auto"/>
        <w:ind w:firstLine="720"/>
        <w:jc w:val="both"/>
        <w:rPr>
          <w:sz w:val="24"/>
          <w:szCs w:val="24"/>
        </w:rPr>
      </w:pPr>
      <w:r>
        <w:rPr>
          <w:sz w:val="24"/>
          <w:szCs w:val="24"/>
        </w:rPr>
        <w:t>Nesse sentido, podemos considerar, portanto, que a juventude faz parte da continuidade das tradições, inserindo a modelando as já existentes com seus</w:t>
      </w:r>
      <w:r>
        <w:rPr>
          <w:sz w:val="24"/>
          <w:szCs w:val="24"/>
        </w:rPr>
        <w:t xml:space="preserve"> modos de viver a partir de outras práticas culturais contemporâneas, estabelecendo relações de identidade e pertencimento territorial.</w:t>
      </w:r>
    </w:p>
    <w:p w14:paraId="449D0885" w14:textId="77777777" w:rsidR="002B0CE6" w:rsidRDefault="002B0CE6">
      <w:pPr>
        <w:spacing w:line="360" w:lineRule="auto"/>
        <w:ind w:firstLine="720"/>
        <w:jc w:val="both"/>
        <w:rPr>
          <w:sz w:val="24"/>
          <w:szCs w:val="24"/>
        </w:rPr>
      </w:pPr>
    </w:p>
    <w:p w14:paraId="575CA211" w14:textId="77777777" w:rsidR="002B0CE6" w:rsidRDefault="007171D6">
      <w:pPr>
        <w:spacing w:line="360" w:lineRule="auto"/>
        <w:jc w:val="both"/>
        <w:rPr>
          <w:sz w:val="24"/>
          <w:szCs w:val="24"/>
        </w:rPr>
      </w:pPr>
      <w:r>
        <w:rPr>
          <w:b/>
          <w:sz w:val="24"/>
          <w:szCs w:val="24"/>
        </w:rPr>
        <w:t xml:space="preserve">4     CONCLUSÃO </w:t>
      </w:r>
    </w:p>
    <w:p w14:paraId="17C25885" w14:textId="318777D0" w:rsidR="002B0CE6" w:rsidRDefault="007171D6">
      <w:pPr>
        <w:spacing w:line="360" w:lineRule="auto"/>
        <w:ind w:firstLine="720"/>
        <w:jc w:val="both"/>
        <w:rPr>
          <w:sz w:val="24"/>
          <w:szCs w:val="24"/>
        </w:rPr>
      </w:pPr>
      <w:r>
        <w:rPr>
          <w:sz w:val="24"/>
          <w:szCs w:val="24"/>
        </w:rPr>
        <w:t xml:space="preserve">O presente teve como objetivo analisar os elementos de produção da identidade étnico- racial de jovens negros contextualizados no quilombo urbano </w:t>
      </w:r>
      <w:r>
        <w:rPr>
          <w:sz w:val="24"/>
          <w:szCs w:val="24"/>
        </w:rPr>
        <w:lastRenderedPageBreak/>
        <w:t xml:space="preserve">Liberdade e São </w:t>
      </w:r>
      <w:proofErr w:type="spellStart"/>
      <w:r>
        <w:rPr>
          <w:sz w:val="24"/>
          <w:szCs w:val="24"/>
        </w:rPr>
        <w:t>Luís-MA</w:t>
      </w:r>
      <w:proofErr w:type="spellEnd"/>
      <w:r>
        <w:rPr>
          <w:sz w:val="24"/>
          <w:szCs w:val="24"/>
        </w:rPr>
        <w:t>. Nesse sentido, ao analisarmos a realidade espacial vivenciada pelos jovens do quilomb</w:t>
      </w:r>
      <w:r>
        <w:rPr>
          <w:sz w:val="24"/>
          <w:szCs w:val="24"/>
        </w:rPr>
        <w:t xml:space="preserve">o urbano Liberdade, observamos alguns elementos que </w:t>
      </w:r>
      <w:r>
        <w:rPr>
          <w:sz w:val="24"/>
          <w:szCs w:val="24"/>
        </w:rPr>
        <w:t>compõem</w:t>
      </w:r>
      <w:r>
        <w:rPr>
          <w:sz w:val="24"/>
          <w:szCs w:val="24"/>
        </w:rPr>
        <w:t xml:space="preserve"> a formação das identidades juvenis. Dentre estas estão os atravessamentos dos racismos na construção da identidade étnico-racial, tendo em vista, que a negritude passa “[...] necessariamente e abs</w:t>
      </w:r>
      <w:r>
        <w:rPr>
          <w:sz w:val="24"/>
          <w:szCs w:val="24"/>
        </w:rPr>
        <w:t>olutamente enquanto categoria histórica e não (apenas) biológica pela situação do negro no universo racista” (</w:t>
      </w:r>
      <w:proofErr w:type="spellStart"/>
      <w:r>
        <w:rPr>
          <w:sz w:val="24"/>
          <w:szCs w:val="24"/>
        </w:rPr>
        <w:t>M</w:t>
      </w:r>
      <w:r w:rsidR="00BF0C60">
        <w:rPr>
          <w:sz w:val="24"/>
          <w:szCs w:val="24"/>
        </w:rPr>
        <w:t>unanga</w:t>
      </w:r>
      <w:proofErr w:type="spellEnd"/>
      <w:r>
        <w:rPr>
          <w:sz w:val="24"/>
          <w:szCs w:val="24"/>
        </w:rPr>
        <w:t>, 2012, p.6). Logo entendemos que a construção da identidade negra para a juventude da Liberdade está relacionada aos fatores corpóreos, ma</w:t>
      </w:r>
      <w:r>
        <w:rPr>
          <w:sz w:val="24"/>
          <w:szCs w:val="24"/>
        </w:rPr>
        <w:t xml:space="preserve">s não se limita a esses, relacionam-se de forma concomitante ao repertório cultural, histórico, escolar, comunitário, familiar... presentes na trajetória socioespacial das juventudes em diferentes espaços. </w:t>
      </w:r>
    </w:p>
    <w:p w14:paraId="15CAA0D7" w14:textId="77777777" w:rsidR="002B0CE6" w:rsidRDefault="007171D6">
      <w:pPr>
        <w:spacing w:line="360" w:lineRule="auto"/>
        <w:ind w:firstLine="720"/>
        <w:jc w:val="both"/>
        <w:rPr>
          <w:sz w:val="24"/>
          <w:szCs w:val="24"/>
        </w:rPr>
      </w:pPr>
      <w:r>
        <w:rPr>
          <w:sz w:val="24"/>
          <w:szCs w:val="24"/>
        </w:rPr>
        <w:t>Por outro lado, esse mesmo corpo político context</w:t>
      </w:r>
      <w:r>
        <w:rPr>
          <w:sz w:val="24"/>
          <w:szCs w:val="24"/>
        </w:rPr>
        <w:t xml:space="preserve">ualizado e lido nas </w:t>
      </w:r>
      <w:r>
        <w:rPr>
          <w:sz w:val="24"/>
          <w:szCs w:val="24"/>
        </w:rPr>
        <w:t>experiências</w:t>
      </w:r>
      <w:r>
        <w:rPr>
          <w:sz w:val="24"/>
          <w:szCs w:val="24"/>
        </w:rPr>
        <w:t xml:space="preserve"> do racismo encontra por meio das territorialidades negras, ancestrais, quilombolas e juvenis formas de reproduzir-se culturalmente e produzindo assim, elementos positivos para a produção da identidade étnico -racial. Para a</w:t>
      </w:r>
      <w:r>
        <w:rPr>
          <w:sz w:val="24"/>
          <w:szCs w:val="24"/>
        </w:rPr>
        <w:t>s juventudes da Liberdade, entender e assimilar os sentidos sobre o significado de quilombo, remete a uma leitura a partir da resistência, insurgências, sendo fundamental na construção de uma identidade étnico-racial (negro- quilombola) positivada, trabalh</w:t>
      </w:r>
      <w:r>
        <w:rPr>
          <w:sz w:val="24"/>
          <w:szCs w:val="24"/>
        </w:rPr>
        <w:t xml:space="preserve">ando autonomia, autoestima e valorizando os elementos culturais e visuais da comunidade. </w:t>
      </w:r>
    </w:p>
    <w:p w14:paraId="19890644" w14:textId="77777777" w:rsidR="002B0CE6" w:rsidRDefault="002B0CE6">
      <w:pPr>
        <w:spacing w:line="360" w:lineRule="auto"/>
        <w:jc w:val="both"/>
        <w:rPr>
          <w:sz w:val="24"/>
          <w:szCs w:val="24"/>
        </w:rPr>
      </w:pPr>
    </w:p>
    <w:p w14:paraId="38C20DFC" w14:textId="77777777" w:rsidR="002B0CE6" w:rsidRDefault="007171D6">
      <w:pPr>
        <w:spacing w:line="360" w:lineRule="auto"/>
        <w:jc w:val="both"/>
        <w:rPr>
          <w:sz w:val="24"/>
          <w:szCs w:val="24"/>
        </w:rPr>
      </w:pPr>
      <w:r>
        <w:rPr>
          <w:b/>
          <w:sz w:val="24"/>
          <w:szCs w:val="24"/>
        </w:rPr>
        <w:t xml:space="preserve">5    </w:t>
      </w:r>
      <w:r>
        <w:rPr>
          <w:b/>
          <w:sz w:val="24"/>
          <w:szCs w:val="24"/>
        </w:rPr>
        <w:t>Referências</w:t>
      </w:r>
      <w:r>
        <w:rPr>
          <w:b/>
          <w:sz w:val="24"/>
          <w:szCs w:val="24"/>
        </w:rPr>
        <w:t xml:space="preserve">: </w:t>
      </w:r>
    </w:p>
    <w:p w14:paraId="079F47A1" w14:textId="77777777" w:rsidR="002B0CE6" w:rsidRDefault="007171D6">
      <w:pPr>
        <w:spacing w:line="360" w:lineRule="auto"/>
        <w:jc w:val="both"/>
        <w:rPr>
          <w:sz w:val="20"/>
          <w:szCs w:val="20"/>
        </w:rPr>
      </w:pPr>
      <w:r>
        <w:rPr>
          <w:sz w:val="20"/>
          <w:szCs w:val="20"/>
        </w:rPr>
        <w:t xml:space="preserve">ABROMO. H.W. </w:t>
      </w:r>
      <w:r>
        <w:rPr>
          <w:b/>
          <w:sz w:val="20"/>
          <w:szCs w:val="20"/>
        </w:rPr>
        <w:t>Considerações sobre a tematização social da juventude no Brasil.</w:t>
      </w:r>
      <w:r>
        <w:rPr>
          <w:sz w:val="20"/>
          <w:szCs w:val="20"/>
        </w:rPr>
        <w:t xml:space="preserve"> Revista Brasileira de Educação. Mai/</w:t>
      </w:r>
      <w:proofErr w:type="spellStart"/>
      <w:r>
        <w:rPr>
          <w:sz w:val="20"/>
          <w:szCs w:val="20"/>
        </w:rPr>
        <w:t>Jun</w:t>
      </w:r>
      <w:proofErr w:type="spellEnd"/>
      <w:r>
        <w:rPr>
          <w:sz w:val="20"/>
          <w:szCs w:val="20"/>
        </w:rPr>
        <w:t>/Jul/</w:t>
      </w:r>
      <w:proofErr w:type="spellStart"/>
      <w:r>
        <w:rPr>
          <w:sz w:val="20"/>
          <w:szCs w:val="20"/>
        </w:rPr>
        <w:t>Ago</w:t>
      </w:r>
      <w:proofErr w:type="spellEnd"/>
      <w:r>
        <w:rPr>
          <w:sz w:val="20"/>
          <w:szCs w:val="20"/>
        </w:rPr>
        <w:t xml:space="preserve"> 1997 Nº 5 Set/Out/</w:t>
      </w:r>
      <w:proofErr w:type="spellStart"/>
      <w:r>
        <w:rPr>
          <w:sz w:val="20"/>
          <w:szCs w:val="20"/>
        </w:rPr>
        <w:t>No</w:t>
      </w:r>
      <w:r>
        <w:rPr>
          <w:sz w:val="20"/>
          <w:szCs w:val="20"/>
        </w:rPr>
        <w:t>v</w:t>
      </w:r>
      <w:proofErr w:type="spellEnd"/>
      <w:r>
        <w:rPr>
          <w:sz w:val="20"/>
          <w:szCs w:val="20"/>
        </w:rPr>
        <w:t xml:space="preserve">/Dez 1997. </w:t>
      </w:r>
    </w:p>
    <w:p w14:paraId="048B9F1E" w14:textId="77777777" w:rsidR="002B0CE6" w:rsidRDefault="007171D6">
      <w:pPr>
        <w:spacing w:line="360" w:lineRule="auto"/>
        <w:jc w:val="both"/>
        <w:rPr>
          <w:sz w:val="20"/>
          <w:szCs w:val="20"/>
        </w:rPr>
      </w:pPr>
      <w:r>
        <w:rPr>
          <w:sz w:val="20"/>
          <w:szCs w:val="20"/>
        </w:rPr>
        <w:t xml:space="preserve">CAMPOS. A. </w:t>
      </w:r>
      <w:r>
        <w:rPr>
          <w:b/>
          <w:sz w:val="20"/>
          <w:szCs w:val="20"/>
        </w:rPr>
        <w:t>Do quilombo à favela: a produção do espaço criminalizado no Rio de Janeiro</w:t>
      </w:r>
      <w:r>
        <w:rPr>
          <w:sz w:val="20"/>
          <w:szCs w:val="20"/>
        </w:rPr>
        <w:t xml:space="preserve">. Rio de Janeiro. Bertrand. Brasil. 2005. </w:t>
      </w:r>
    </w:p>
    <w:p w14:paraId="7B63FB24" w14:textId="77777777" w:rsidR="002B0CE6" w:rsidRDefault="007171D6">
      <w:pPr>
        <w:spacing w:line="360" w:lineRule="auto"/>
        <w:jc w:val="both"/>
        <w:rPr>
          <w:sz w:val="20"/>
          <w:szCs w:val="20"/>
        </w:rPr>
      </w:pPr>
      <w:r>
        <w:rPr>
          <w:sz w:val="20"/>
          <w:szCs w:val="20"/>
        </w:rPr>
        <w:t xml:space="preserve">DAYRELL. J. </w:t>
      </w:r>
      <w:r>
        <w:rPr>
          <w:b/>
          <w:sz w:val="20"/>
          <w:szCs w:val="20"/>
        </w:rPr>
        <w:t>A escola faz a juventude? Reflexões em torno da socialização juvenil.</w:t>
      </w:r>
      <w:r>
        <w:rPr>
          <w:sz w:val="20"/>
          <w:szCs w:val="20"/>
        </w:rPr>
        <w:t xml:space="preserve"> Educ. Soc., </w:t>
      </w:r>
      <w:proofErr w:type="gramStart"/>
      <w:r>
        <w:rPr>
          <w:sz w:val="20"/>
          <w:szCs w:val="20"/>
        </w:rPr>
        <w:t>Campinas,.</w:t>
      </w:r>
      <w:proofErr w:type="gramEnd"/>
      <w:r>
        <w:rPr>
          <w:sz w:val="20"/>
          <w:szCs w:val="20"/>
        </w:rPr>
        <w:t xml:space="preserve"> 2007. </w:t>
      </w:r>
    </w:p>
    <w:p w14:paraId="45A68B97" w14:textId="77777777" w:rsidR="002B0CE6" w:rsidRDefault="007171D6">
      <w:pPr>
        <w:spacing w:line="360" w:lineRule="auto"/>
        <w:jc w:val="both"/>
        <w:rPr>
          <w:sz w:val="20"/>
          <w:szCs w:val="20"/>
        </w:rPr>
      </w:pPr>
      <w:r>
        <w:rPr>
          <w:sz w:val="20"/>
          <w:szCs w:val="20"/>
        </w:rPr>
        <w:t>FRE</w:t>
      </w:r>
      <w:r>
        <w:rPr>
          <w:sz w:val="20"/>
          <w:szCs w:val="20"/>
        </w:rPr>
        <w:t xml:space="preserve">ITAS.D. </w:t>
      </w:r>
      <w:r>
        <w:rPr>
          <w:b/>
          <w:sz w:val="20"/>
          <w:szCs w:val="20"/>
        </w:rPr>
        <w:t>Escravismo brasileiro</w:t>
      </w:r>
      <w:r>
        <w:rPr>
          <w:sz w:val="20"/>
          <w:szCs w:val="20"/>
        </w:rPr>
        <w:t xml:space="preserve">. Porto Alegre: Mercado Aberto, 1982. </w:t>
      </w:r>
    </w:p>
    <w:p w14:paraId="2145EEE8" w14:textId="77777777" w:rsidR="002B0CE6" w:rsidRDefault="007171D6">
      <w:pPr>
        <w:spacing w:line="360" w:lineRule="auto"/>
        <w:jc w:val="both"/>
        <w:rPr>
          <w:sz w:val="20"/>
          <w:szCs w:val="20"/>
        </w:rPr>
      </w:pPr>
      <w:r>
        <w:rPr>
          <w:sz w:val="20"/>
          <w:szCs w:val="20"/>
        </w:rPr>
        <w:lastRenderedPageBreak/>
        <w:t xml:space="preserve">GOMES. N. L. </w:t>
      </w:r>
      <w:r>
        <w:rPr>
          <w:b/>
          <w:sz w:val="20"/>
          <w:szCs w:val="20"/>
        </w:rPr>
        <w:t>Alguns termos e conceitos presentes no debate sobre relações raciais no Brasil</w:t>
      </w:r>
      <w:r>
        <w:rPr>
          <w:sz w:val="20"/>
          <w:szCs w:val="20"/>
        </w:rPr>
        <w:t xml:space="preserve">. Uma breve discussão. Portal </w:t>
      </w:r>
      <w:proofErr w:type="spellStart"/>
      <w:r>
        <w:rPr>
          <w:sz w:val="20"/>
          <w:szCs w:val="20"/>
        </w:rPr>
        <w:t>Geledés</w:t>
      </w:r>
      <w:proofErr w:type="spellEnd"/>
      <w:r>
        <w:rPr>
          <w:sz w:val="20"/>
          <w:szCs w:val="20"/>
        </w:rPr>
        <w:t xml:space="preserve">. 2017. </w:t>
      </w:r>
    </w:p>
    <w:p w14:paraId="12EB05F6" w14:textId="77777777" w:rsidR="002B0CE6" w:rsidRDefault="007171D6">
      <w:pPr>
        <w:spacing w:line="360" w:lineRule="auto"/>
        <w:jc w:val="both"/>
        <w:rPr>
          <w:sz w:val="20"/>
          <w:szCs w:val="20"/>
        </w:rPr>
      </w:pPr>
      <w:r>
        <w:rPr>
          <w:sz w:val="20"/>
          <w:szCs w:val="20"/>
        </w:rPr>
        <w:t xml:space="preserve">Inventário das </w:t>
      </w:r>
      <w:r>
        <w:rPr>
          <w:sz w:val="20"/>
          <w:szCs w:val="20"/>
        </w:rPr>
        <w:t>Referências</w:t>
      </w:r>
      <w:r>
        <w:rPr>
          <w:sz w:val="20"/>
          <w:szCs w:val="20"/>
        </w:rPr>
        <w:t xml:space="preserve"> Culturais da Liberdade (</w:t>
      </w:r>
      <w:r>
        <w:rPr>
          <w:sz w:val="20"/>
          <w:szCs w:val="20"/>
        </w:rPr>
        <w:t xml:space="preserve">IRC). 2024. Disponível em </w:t>
      </w:r>
      <w:hyperlink r:id="rId8">
        <w:r>
          <w:rPr>
            <w:color w:val="0563C1"/>
            <w:sz w:val="20"/>
            <w:szCs w:val="20"/>
            <w:u w:val="single"/>
          </w:rPr>
          <w:t>https://ircquilomboliberdade.org/</w:t>
        </w:r>
      </w:hyperlink>
      <w:r>
        <w:rPr>
          <w:sz w:val="20"/>
          <w:szCs w:val="20"/>
        </w:rPr>
        <w:t xml:space="preserve">. </w:t>
      </w:r>
    </w:p>
    <w:p w14:paraId="5D507360" w14:textId="77777777" w:rsidR="002B0CE6" w:rsidRDefault="007171D6">
      <w:pPr>
        <w:spacing w:line="360" w:lineRule="auto"/>
        <w:jc w:val="both"/>
        <w:rPr>
          <w:sz w:val="20"/>
          <w:szCs w:val="20"/>
        </w:rPr>
      </w:pPr>
      <w:r>
        <w:rPr>
          <w:sz w:val="20"/>
          <w:szCs w:val="20"/>
        </w:rPr>
        <w:t xml:space="preserve">MUNANGA. K. </w:t>
      </w:r>
      <w:r>
        <w:rPr>
          <w:b/>
          <w:sz w:val="20"/>
          <w:szCs w:val="20"/>
        </w:rPr>
        <w:t>Negritude: usos e sentidos</w:t>
      </w:r>
      <w:r>
        <w:rPr>
          <w:sz w:val="20"/>
          <w:szCs w:val="20"/>
        </w:rPr>
        <w:t xml:space="preserve"> 4. ed. Belo Horizonte. Autêntica Editora. 2019. </w:t>
      </w:r>
    </w:p>
    <w:p w14:paraId="72670EE0" w14:textId="77777777" w:rsidR="002B0CE6" w:rsidRDefault="007171D6">
      <w:pPr>
        <w:spacing w:line="360" w:lineRule="auto"/>
        <w:jc w:val="both"/>
        <w:rPr>
          <w:sz w:val="20"/>
          <w:szCs w:val="20"/>
        </w:rPr>
      </w:pPr>
      <w:r>
        <w:rPr>
          <w:sz w:val="20"/>
          <w:szCs w:val="20"/>
        </w:rPr>
        <w:t xml:space="preserve">QUIJANO, A. </w:t>
      </w:r>
      <w:r>
        <w:rPr>
          <w:b/>
          <w:sz w:val="20"/>
          <w:szCs w:val="20"/>
        </w:rPr>
        <w:t xml:space="preserve">O que é </w:t>
      </w:r>
      <w:r>
        <w:rPr>
          <w:b/>
          <w:sz w:val="20"/>
          <w:szCs w:val="20"/>
        </w:rPr>
        <w:t>esse</w:t>
      </w:r>
      <w:r>
        <w:rPr>
          <w:b/>
          <w:sz w:val="20"/>
          <w:szCs w:val="20"/>
        </w:rPr>
        <w:t xml:space="preserve"> tal de raça</w:t>
      </w:r>
      <w:r>
        <w:rPr>
          <w:sz w:val="20"/>
          <w:szCs w:val="20"/>
        </w:rPr>
        <w:t>. In: Diversidade</w:t>
      </w:r>
      <w:r>
        <w:rPr>
          <w:sz w:val="20"/>
          <w:szCs w:val="20"/>
        </w:rPr>
        <w:t xml:space="preserve">, espaço e relações </w:t>
      </w:r>
      <w:proofErr w:type="spellStart"/>
      <w:r>
        <w:rPr>
          <w:sz w:val="20"/>
          <w:szCs w:val="20"/>
        </w:rPr>
        <w:t>étinico-raciais</w:t>
      </w:r>
      <w:proofErr w:type="spellEnd"/>
      <w:r>
        <w:rPr>
          <w:sz w:val="20"/>
          <w:szCs w:val="20"/>
        </w:rPr>
        <w:t xml:space="preserve">: O negro na Geografia Brasileira. (Org.) Renato Emerson dos Santos. Belo Horizonte. Autêntica. 2007. </w:t>
      </w:r>
    </w:p>
    <w:p w14:paraId="76B2A1E1" w14:textId="77777777" w:rsidR="002B0CE6" w:rsidRDefault="007171D6">
      <w:pPr>
        <w:spacing w:after="200"/>
        <w:jc w:val="both"/>
        <w:rPr>
          <w:sz w:val="20"/>
          <w:szCs w:val="20"/>
        </w:rPr>
      </w:pPr>
      <w:r>
        <w:rPr>
          <w:sz w:val="20"/>
          <w:szCs w:val="20"/>
        </w:rPr>
        <w:t xml:space="preserve">RAMOS.E.C.M; </w:t>
      </w:r>
      <w:r>
        <w:rPr>
          <w:sz w:val="20"/>
          <w:szCs w:val="20"/>
        </w:rPr>
        <w:t>MILANI</w:t>
      </w:r>
      <w:r>
        <w:rPr>
          <w:sz w:val="20"/>
          <w:szCs w:val="20"/>
        </w:rPr>
        <w:t xml:space="preserve">. P.H. </w:t>
      </w:r>
      <w:r>
        <w:rPr>
          <w:b/>
          <w:sz w:val="20"/>
          <w:szCs w:val="20"/>
        </w:rPr>
        <w:t>O corpo fora de lugar: de uma Geografia dos indivíduos para uma Geografia dos sujeitos.</w:t>
      </w:r>
      <w:r>
        <w:rPr>
          <w:sz w:val="20"/>
          <w:szCs w:val="20"/>
        </w:rPr>
        <w:t xml:space="preserve"> Nite</w:t>
      </w:r>
      <w:r>
        <w:rPr>
          <w:sz w:val="20"/>
          <w:szCs w:val="20"/>
        </w:rPr>
        <w:t xml:space="preserve">rói, Universidade Federal Fluminense ISSN 15177793 / 26748126 (eletrônico) </w:t>
      </w:r>
      <w:proofErr w:type="spellStart"/>
      <w:r>
        <w:rPr>
          <w:sz w:val="20"/>
          <w:szCs w:val="20"/>
        </w:rPr>
        <w:t>GEOgraphia</w:t>
      </w:r>
      <w:proofErr w:type="spellEnd"/>
      <w:r>
        <w:rPr>
          <w:sz w:val="20"/>
          <w:szCs w:val="20"/>
        </w:rPr>
        <w:t xml:space="preserve">, </w:t>
      </w:r>
      <w:r>
        <w:rPr>
          <w:sz w:val="20"/>
          <w:szCs w:val="20"/>
        </w:rPr>
        <w:t>vol.</w:t>
      </w:r>
      <w:r>
        <w:rPr>
          <w:sz w:val="20"/>
          <w:szCs w:val="20"/>
        </w:rPr>
        <w:t xml:space="preserve"> 24, n. 52, 2022. </w:t>
      </w:r>
    </w:p>
    <w:p w14:paraId="3DF93457" w14:textId="77777777" w:rsidR="002B0CE6" w:rsidRDefault="007171D6">
      <w:pPr>
        <w:spacing w:line="360" w:lineRule="auto"/>
        <w:jc w:val="both"/>
        <w:rPr>
          <w:sz w:val="20"/>
          <w:szCs w:val="20"/>
        </w:rPr>
      </w:pPr>
      <w:r>
        <w:rPr>
          <w:sz w:val="20"/>
          <w:szCs w:val="20"/>
        </w:rPr>
        <w:t xml:space="preserve">RATTS. A. </w:t>
      </w:r>
      <w:r>
        <w:rPr>
          <w:b/>
          <w:sz w:val="20"/>
          <w:szCs w:val="20"/>
        </w:rPr>
        <w:t>Eu sou Atlântica. Sobre a trajetória de vida de Beatriz Nascimento</w:t>
      </w:r>
      <w:r>
        <w:rPr>
          <w:sz w:val="20"/>
          <w:szCs w:val="20"/>
        </w:rPr>
        <w:t xml:space="preserve">. </w:t>
      </w:r>
      <w:r>
        <w:rPr>
          <w:sz w:val="20"/>
          <w:szCs w:val="20"/>
        </w:rPr>
        <w:t>São Paulo</w:t>
      </w:r>
      <w:r>
        <w:rPr>
          <w:sz w:val="20"/>
          <w:szCs w:val="20"/>
        </w:rPr>
        <w:t xml:space="preserve">. Instituto </w:t>
      </w:r>
      <w:proofErr w:type="spellStart"/>
      <w:r>
        <w:rPr>
          <w:sz w:val="20"/>
          <w:szCs w:val="20"/>
        </w:rPr>
        <w:t>Kuanza</w:t>
      </w:r>
      <w:proofErr w:type="spellEnd"/>
      <w:r>
        <w:rPr>
          <w:sz w:val="20"/>
          <w:szCs w:val="20"/>
        </w:rPr>
        <w:t>, 2006.</w:t>
      </w:r>
    </w:p>
    <w:p w14:paraId="1C59D456" w14:textId="77777777" w:rsidR="002B0CE6" w:rsidRDefault="007171D6">
      <w:pPr>
        <w:spacing w:line="360" w:lineRule="auto"/>
        <w:jc w:val="both"/>
        <w:rPr>
          <w:sz w:val="20"/>
          <w:szCs w:val="20"/>
        </w:rPr>
      </w:pPr>
      <w:r>
        <w:rPr>
          <w:sz w:val="20"/>
          <w:szCs w:val="20"/>
        </w:rPr>
        <w:t xml:space="preserve">SANSONE. L. </w:t>
      </w:r>
      <w:r>
        <w:rPr>
          <w:b/>
          <w:sz w:val="20"/>
          <w:szCs w:val="20"/>
        </w:rPr>
        <w:t xml:space="preserve">Negritude sem etnicidade o local e o global nas relações raciais e na produção cultural negra do </w:t>
      </w:r>
      <w:proofErr w:type="gramStart"/>
      <w:r>
        <w:rPr>
          <w:b/>
          <w:sz w:val="20"/>
          <w:szCs w:val="20"/>
        </w:rPr>
        <w:t>Brasil..</w:t>
      </w:r>
      <w:proofErr w:type="gramEnd"/>
      <w:r>
        <w:rPr>
          <w:sz w:val="20"/>
          <w:szCs w:val="20"/>
        </w:rPr>
        <w:t xml:space="preserve"> Salvador: EDUFBA, 2003, 335p. ISBN 978-85-232-1197-</w:t>
      </w:r>
      <w:proofErr w:type="gramStart"/>
      <w:r>
        <w:rPr>
          <w:sz w:val="20"/>
          <w:szCs w:val="20"/>
        </w:rPr>
        <w:t>4 .</w:t>
      </w:r>
      <w:proofErr w:type="spellStart"/>
      <w:r>
        <w:rPr>
          <w:sz w:val="20"/>
          <w:szCs w:val="20"/>
        </w:rPr>
        <w:t>Available</w:t>
      </w:r>
      <w:proofErr w:type="spellEnd"/>
      <w:proofErr w:type="gramEnd"/>
      <w:r>
        <w:rPr>
          <w:sz w:val="20"/>
          <w:szCs w:val="20"/>
        </w:rPr>
        <w:t xml:space="preserve"> </w:t>
      </w:r>
      <w:proofErr w:type="spellStart"/>
      <w:r>
        <w:rPr>
          <w:sz w:val="20"/>
          <w:szCs w:val="20"/>
        </w:rPr>
        <w:t>from</w:t>
      </w:r>
      <w:proofErr w:type="spellEnd"/>
      <w:r>
        <w:rPr>
          <w:sz w:val="20"/>
          <w:szCs w:val="20"/>
        </w:rPr>
        <w:t xml:space="preserve"> SciELO Books. </w:t>
      </w:r>
    </w:p>
    <w:p w14:paraId="3D339BD8" w14:textId="77777777" w:rsidR="002B0CE6" w:rsidRDefault="007171D6">
      <w:pPr>
        <w:spacing w:line="360" w:lineRule="auto"/>
        <w:jc w:val="both"/>
        <w:rPr>
          <w:sz w:val="20"/>
          <w:szCs w:val="20"/>
        </w:rPr>
      </w:pPr>
      <w:r>
        <w:rPr>
          <w:sz w:val="20"/>
          <w:szCs w:val="20"/>
        </w:rPr>
        <w:t xml:space="preserve">SAQUET. M.A </w:t>
      </w:r>
      <w:r>
        <w:rPr>
          <w:b/>
          <w:sz w:val="20"/>
          <w:szCs w:val="20"/>
        </w:rPr>
        <w:t xml:space="preserve">Por uma geografia das territorialidades e das temporalidades: </w:t>
      </w:r>
      <w:r>
        <w:rPr>
          <w:b/>
          <w:sz w:val="20"/>
          <w:szCs w:val="20"/>
        </w:rPr>
        <w:t>uma compreensão</w:t>
      </w:r>
      <w:r>
        <w:rPr>
          <w:b/>
          <w:sz w:val="20"/>
          <w:szCs w:val="20"/>
        </w:rPr>
        <w:t xml:space="preserve"> multidimensional voltada à cooperação e o desenvolvimento territorial</w:t>
      </w:r>
      <w:r>
        <w:rPr>
          <w:sz w:val="20"/>
          <w:szCs w:val="20"/>
        </w:rPr>
        <w:t xml:space="preserve">. 2 ed. Rio de Janeiro: Consequência, 2015. </w:t>
      </w:r>
    </w:p>
    <w:p w14:paraId="7FEE7492" w14:textId="77777777" w:rsidR="002B0CE6" w:rsidRDefault="007171D6">
      <w:pPr>
        <w:spacing w:line="360" w:lineRule="auto"/>
        <w:jc w:val="both"/>
        <w:rPr>
          <w:sz w:val="20"/>
          <w:szCs w:val="20"/>
        </w:rPr>
      </w:pPr>
      <w:r>
        <w:rPr>
          <w:sz w:val="20"/>
          <w:szCs w:val="20"/>
        </w:rPr>
        <w:t xml:space="preserve">SILVA. J.B.V. Tudo isso era Maré: </w:t>
      </w:r>
      <w:r>
        <w:rPr>
          <w:b/>
          <w:sz w:val="20"/>
          <w:szCs w:val="20"/>
        </w:rPr>
        <w:t>origem, consolidação e erradic</w:t>
      </w:r>
      <w:r>
        <w:rPr>
          <w:b/>
          <w:sz w:val="20"/>
          <w:szCs w:val="20"/>
        </w:rPr>
        <w:t>ação de uma favela de palafitas em São Luís- Maranhão.</w:t>
      </w:r>
      <w:r>
        <w:rPr>
          <w:sz w:val="20"/>
          <w:szCs w:val="20"/>
        </w:rPr>
        <w:t xml:space="preserve"> Dissertação de mestrado. Universidade Federal de Minas Gerais. Escola de arquitetura. 2016. </w:t>
      </w:r>
    </w:p>
    <w:p w14:paraId="79FB13B3" w14:textId="77777777" w:rsidR="002B0CE6" w:rsidRDefault="007171D6">
      <w:pPr>
        <w:spacing w:after="200"/>
        <w:jc w:val="both"/>
        <w:rPr>
          <w:sz w:val="20"/>
          <w:szCs w:val="20"/>
        </w:rPr>
      </w:pPr>
      <w:r>
        <w:rPr>
          <w:sz w:val="20"/>
          <w:szCs w:val="20"/>
        </w:rPr>
        <w:t xml:space="preserve">FLORENTINO, Manolo; AMANTINO, Márcia. </w:t>
      </w:r>
      <w:r>
        <w:rPr>
          <w:b/>
          <w:sz w:val="20"/>
          <w:szCs w:val="20"/>
        </w:rPr>
        <w:t>Uma morfologia dos quilombos nas Américas, séculos XVI-XIX.</w:t>
      </w:r>
      <w:r>
        <w:rPr>
          <w:sz w:val="20"/>
          <w:szCs w:val="20"/>
        </w:rPr>
        <w:t xml:space="preserve"> História, </w:t>
      </w:r>
      <w:r>
        <w:rPr>
          <w:sz w:val="20"/>
          <w:szCs w:val="20"/>
        </w:rPr>
        <w:t xml:space="preserve">Ciências, Saúde – Manguinhos, Rio de Janeiro, v.19, supl., dez. 2012, p.259-297. </w:t>
      </w:r>
    </w:p>
    <w:p w14:paraId="302FB43D" w14:textId="77777777" w:rsidR="002B0CE6" w:rsidRDefault="007171D6">
      <w:pPr>
        <w:spacing w:after="200"/>
        <w:jc w:val="both"/>
        <w:rPr>
          <w:rFonts w:ascii="Calibri" w:eastAsia="Calibri" w:hAnsi="Calibri" w:cs="Calibri"/>
          <w:sz w:val="20"/>
          <w:szCs w:val="20"/>
        </w:rPr>
      </w:pPr>
      <w:r>
        <w:rPr>
          <w:rFonts w:ascii="Calibri" w:eastAsia="Calibri" w:hAnsi="Calibri" w:cs="Calibri"/>
          <w:sz w:val="20"/>
          <w:szCs w:val="20"/>
        </w:rPr>
        <w:t xml:space="preserve">GOMES. N. L; LABORNE. A.A.M.P. </w:t>
      </w:r>
      <w:r>
        <w:rPr>
          <w:rFonts w:ascii="Calibri" w:eastAsia="Calibri" w:hAnsi="Calibri" w:cs="Calibri"/>
          <w:b/>
          <w:sz w:val="20"/>
          <w:szCs w:val="20"/>
        </w:rPr>
        <w:t>Pedagogia da crueldade: Racismo e Extermínio da Juventude Negra.</w:t>
      </w:r>
      <w:r>
        <w:rPr>
          <w:rFonts w:ascii="Calibri" w:eastAsia="Calibri" w:hAnsi="Calibri" w:cs="Calibri"/>
          <w:sz w:val="20"/>
          <w:szCs w:val="20"/>
        </w:rPr>
        <w:t xml:space="preserve"> Educação em </w:t>
      </w:r>
      <w:proofErr w:type="spellStart"/>
      <w:r>
        <w:rPr>
          <w:rFonts w:ascii="Calibri" w:eastAsia="Calibri" w:hAnsi="Calibri" w:cs="Calibri"/>
          <w:sz w:val="20"/>
          <w:szCs w:val="20"/>
        </w:rPr>
        <w:t>Revista|Belo</w:t>
      </w:r>
      <w:proofErr w:type="spellEnd"/>
      <w:r>
        <w:rPr>
          <w:rFonts w:ascii="Calibri" w:eastAsia="Calibri" w:hAnsi="Calibri" w:cs="Calibri"/>
          <w:sz w:val="20"/>
          <w:szCs w:val="20"/>
        </w:rPr>
        <w:t xml:space="preserve"> Horizonte|v.34|e197406|2018. </w:t>
      </w:r>
    </w:p>
    <w:sectPr w:rsidR="002B0CE6">
      <w:head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8C670" w14:textId="77777777" w:rsidR="007171D6" w:rsidRDefault="007171D6">
      <w:pPr>
        <w:spacing w:line="240" w:lineRule="auto"/>
      </w:pPr>
      <w:r>
        <w:separator/>
      </w:r>
    </w:p>
  </w:endnote>
  <w:endnote w:type="continuationSeparator" w:id="0">
    <w:p w14:paraId="6F36FEA3" w14:textId="77777777" w:rsidR="007171D6" w:rsidRDefault="007171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EC6A8" w14:textId="77777777" w:rsidR="007171D6" w:rsidRDefault="007171D6">
      <w:pPr>
        <w:spacing w:line="240" w:lineRule="auto"/>
      </w:pPr>
      <w:r>
        <w:separator/>
      </w:r>
    </w:p>
  </w:footnote>
  <w:footnote w:type="continuationSeparator" w:id="0">
    <w:p w14:paraId="7F15CC10" w14:textId="77777777" w:rsidR="007171D6" w:rsidRDefault="007171D6">
      <w:pPr>
        <w:spacing w:line="240" w:lineRule="auto"/>
      </w:pPr>
      <w:r>
        <w:continuationSeparator/>
      </w:r>
    </w:p>
  </w:footnote>
  <w:footnote w:id="1">
    <w:p w14:paraId="756C876E" w14:textId="77777777" w:rsidR="002B0CE6" w:rsidRDefault="007171D6">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In</w:t>
      </w:r>
      <w:r>
        <w:rPr>
          <w:color w:val="000000"/>
          <w:sz w:val="20"/>
          <w:szCs w:val="20"/>
        </w:rPr>
        <w:t>stituto Federal do Maranhão (IFMA); Ma. em Geografia (PPGGEO-</w:t>
      </w:r>
      <w:proofErr w:type="spellStart"/>
      <w:r>
        <w:rPr>
          <w:sz w:val="20"/>
          <w:szCs w:val="20"/>
        </w:rPr>
        <w:t>UFma</w:t>
      </w:r>
      <w:proofErr w:type="spellEnd"/>
      <w:r>
        <w:rPr>
          <w:color w:val="000000"/>
          <w:sz w:val="20"/>
          <w:szCs w:val="20"/>
        </w:rPr>
        <w:t xml:space="preserve">); </w:t>
      </w:r>
      <w:hyperlink r:id="rId1">
        <w:r>
          <w:rPr>
            <w:color w:val="0563C1"/>
            <w:sz w:val="20"/>
            <w:szCs w:val="20"/>
            <w:u w:val="single"/>
          </w:rPr>
          <w:t>samaracazemiro999@gmail.com</w:t>
        </w:r>
      </w:hyperlink>
      <w:r>
        <w:rPr>
          <w:color w:val="000000"/>
          <w:sz w:val="20"/>
          <w:szCs w:val="20"/>
        </w:rPr>
        <w:t xml:space="preserve">. </w:t>
      </w:r>
    </w:p>
  </w:footnote>
  <w:footnote w:id="2">
    <w:p w14:paraId="5F947E78" w14:textId="77777777" w:rsidR="002B0CE6" w:rsidRDefault="007171D6">
      <w:pPr>
        <w:pBdr>
          <w:top w:val="nil"/>
          <w:left w:val="nil"/>
          <w:bottom w:val="nil"/>
          <w:right w:val="nil"/>
          <w:between w:val="nil"/>
        </w:pBdr>
        <w:rPr>
          <w:color w:val="000000"/>
          <w:sz w:val="20"/>
          <w:szCs w:val="20"/>
          <w:u w:val="single"/>
        </w:rPr>
      </w:pPr>
      <w:r>
        <w:rPr>
          <w:vertAlign w:val="superscript"/>
        </w:rPr>
        <w:footnoteRef/>
      </w:r>
      <w:r>
        <w:rPr>
          <w:color w:val="000000"/>
          <w:sz w:val="20"/>
          <w:szCs w:val="20"/>
        </w:rPr>
        <w:t xml:space="preserve"> Universidade Federal do Maranhão (UFMA); Dr. em Geografia (PPGEO-UFC); </w:t>
      </w:r>
      <w:r>
        <w:rPr>
          <w:color w:val="000000"/>
          <w:sz w:val="20"/>
          <w:szCs w:val="20"/>
          <w:u w:val="single"/>
        </w:rPr>
        <w:t>savio.jose@ufma.br</w:t>
      </w:r>
    </w:p>
  </w:footnote>
  <w:footnote w:id="3">
    <w:p w14:paraId="2D2862DE" w14:textId="58C402A0" w:rsidR="00BF0C60" w:rsidRDefault="00BF0C60">
      <w:pPr>
        <w:pStyle w:val="Textodenotaderodap"/>
        <w:ind w:left="0" w:hanging="2"/>
      </w:pPr>
      <w:r>
        <w:rPr>
          <w:rStyle w:val="Refdenotaderodap"/>
        </w:rPr>
        <w:footnoteRef/>
      </w:r>
      <w:r>
        <w:t xml:space="preserve"> Universidade Federal do Maranhão (UFMA); Dra. Em Geografia (U.B); </w:t>
      </w:r>
      <w:r w:rsidRPr="00BF0C60">
        <w:t>julia.petrus@ufma.br</w:t>
      </w:r>
    </w:p>
  </w:footnote>
  <w:footnote w:id="4">
    <w:p w14:paraId="5EC4B701" w14:textId="77777777" w:rsidR="002B0CE6" w:rsidRDefault="007171D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Universidade Federal do Maranhão; Ma. em Desenvolvimento Socioeconômico; laryssa1costa@gmail.com.</w:t>
      </w:r>
      <w:r>
        <w:rPr>
          <w:b/>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1F09" w14:textId="77777777" w:rsidR="002B0CE6" w:rsidRDefault="007171D6">
    <w:r>
      <w:rPr>
        <w:noProof/>
      </w:rPr>
      <w:drawing>
        <wp:anchor distT="0" distB="0" distL="0" distR="0" simplePos="0" relativeHeight="251658240" behindDoc="1" locked="0" layoutInCell="1" hidden="0" allowOverlap="1" wp14:anchorId="5C81CE9A" wp14:editId="7ADFC3EE">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CE6"/>
    <w:rsid w:val="002B0CE6"/>
    <w:rsid w:val="007171D6"/>
    <w:rsid w:val="009A3E7F"/>
    <w:rsid w:val="00BF0C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34763"/>
  <w15:docId w15:val="{112079E8-3BE8-4F9A-AA6C-4AFA3259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NormalWeb">
    <w:name w:val="Normal (Web)"/>
    <w:basedOn w:val="Normal"/>
    <w:qFormat/>
    <w:pPr>
      <w:suppressAutoHyphens/>
      <w:ind w:leftChars="-1" w:left="-1" w:hangingChars="1" w:hanging="1"/>
      <w:textDirection w:val="btLr"/>
      <w:textAlignment w:val="top"/>
      <w:outlineLvl w:val="0"/>
    </w:pPr>
    <w:rPr>
      <w:rFonts w:ascii="Times New Roman" w:hAnsi="Times New Roman" w:cs="Times New Roman"/>
      <w:position w:val="-1"/>
      <w:sz w:val="24"/>
      <w:szCs w:val="24"/>
    </w:rPr>
  </w:style>
  <w:style w:type="paragraph" w:styleId="Pr-formataoHTML">
    <w:name w:val="HTML Preformatted"/>
    <w:basedOn w:val="Normal"/>
    <w:qFormat/>
    <w:pPr>
      <w:suppressAutoHyphens/>
      <w:ind w:leftChars="-1" w:left="-1" w:hangingChars="1" w:hanging="1"/>
      <w:textDirection w:val="btLr"/>
      <w:textAlignment w:val="top"/>
      <w:outlineLvl w:val="0"/>
    </w:pPr>
    <w:rPr>
      <w:rFonts w:ascii="Courier New" w:hAnsi="Courier New" w:cs="Courier New"/>
      <w:position w:val="-1"/>
      <w:sz w:val="20"/>
      <w:szCs w:val="20"/>
    </w:rPr>
  </w:style>
  <w:style w:type="character" w:customStyle="1" w:styleId="Pr-formataoHTMLChar">
    <w:name w:val="Pré-formatação HTML Char"/>
    <w:rPr>
      <w:rFonts w:ascii="Courier New" w:hAnsi="Courier New" w:cs="Courier New"/>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Textodenotaderodap">
    <w:name w:val="foot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rodapChar">
    <w:name w:val="Texto de nota de rodapé Char"/>
    <w:basedOn w:val="Fontepargpadro"/>
    <w:rPr>
      <w:w w:val="100"/>
      <w:position w:val="-1"/>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styleId="Textodenotadefim">
    <w:name w:val="endnote text"/>
    <w:basedOn w:val="Normal"/>
    <w:link w:val="TextodenotadefimChar"/>
    <w:uiPriority w:val="99"/>
    <w:semiHidden/>
    <w:unhideWhenUsed/>
    <w:rsid w:val="00BF0C60"/>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BF0C60"/>
    <w:rPr>
      <w:sz w:val="20"/>
      <w:szCs w:val="20"/>
    </w:rPr>
  </w:style>
  <w:style w:type="character" w:styleId="Refdenotadefim">
    <w:name w:val="endnote reference"/>
    <w:basedOn w:val="Fontepargpadro"/>
    <w:uiPriority w:val="99"/>
    <w:semiHidden/>
    <w:unhideWhenUsed/>
    <w:rsid w:val="00BF0C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rcquilomboliberdade.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samaracazemiro999@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2gSOEPF23fYc241/GEjtDdorgw==">CgMxLjAyDmguamp2bXd6cmZ5MHVlMg5oLndtcHh5bHNtcjM1ZzIOaC5ycHgzb2Z1aWlwY3AyDmgudHFleXRxZjc0OThuOAByITFfa0tuWEgzdTV1SWFvSmtOUEV2VDZIcTg3UVcwbDBzYw==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16373F-615A-468B-9BB4-3ED12889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4058</Words>
  <Characters>21916</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dcterms:created xsi:type="dcterms:W3CDTF">2025-07-07T01:32:00Z</dcterms:created>
  <dcterms:modified xsi:type="dcterms:W3CDTF">2025-07-08T21:34:00Z</dcterms:modified>
</cp:coreProperties>
</file>