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after="2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after="20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200" w:line="36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5">
      <w:pPr>
        <w:spacing w:after="20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200" w:line="276" w:lineRule="auto"/>
        <w:ind w:firstLine="0"/>
        <w:jc w:val="center"/>
        <w:rPr>
          <w:sz w:val="24"/>
          <w:szCs w:val="24"/>
        </w:rPr>
      </w:pPr>
      <w:r w:rsidDel="00000000" w:rsidR="00000000" w:rsidRPr="00000000">
        <w:rPr>
          <w:b w:val="1"/>
          <w:sz w:val="24"/>
          <w:szCs w:val="24"/>
          <w:rtl w:val="0"/>
        </w:rPr>
        <w:t xml:space="preserve">O TRATO DA VIOLÊNCIA DE ESTADO NO DIREITO COMPARADO LATINO-AMERICANO</w:t>
      </w:r>
      <w:r w:rsidDel="00000000" w:rsidR="00000000" w:rsidRPr="00000000">
        <w:rPr>
          <w:sz w:val="24"/>
          <w:szCs w:val="24"/>
          <w:rtl w:val="0"/>
        </w:rPr>
        <w:t xml:space="preserve">:</w:t>
      </w:r>
    </w:p>
    <w:p w:rsidR="00000000" w:rsidDel="00000000" w:rsidP="00000000" w:rsidRDefault="00000000" w:rsidRPr="00000000" w14:paraId="00000007">
      <w:pPr>
        <w:spacing w:after="0" w:line="360" w:lineRule="auto"/>
        <w:ind w:firstLine="0"/>
        <w:jc w:val="center"/>
        <w:rPr>
          <w:sz w:val="24"/>
          <w:szCs w:val="24"/>
        </w:rPr>
      </w:pPr>
      <w:r w:rsidDel="00000000" w:rsidR="00000000" w:rsidRPr="00000000">
        <w:rPr>
          <w:sz w:val="24"/>
          <w:szCs w:val="24"/>
          <w:rtl w:val="0"/>
        </w:rPr>
        <w:t xml:space="preserve">Reflexos Históricos e a Promessa do Neoconstitucionalismo </w:t>
      </w:r>
    </w:p>
    <w:p w:rsidR="00000000" w:rsidDel="00000000" w:rsidP="00000000" w:rsidRDefault="00000000" w:rsidRPr="00000000" w14:paraId="00000008">
      <w:pPr>
        <w:spacing w:after="0" w:line="360" w:lineRule="auto"/>
        <w:ind w:firstLine="0"/>
        <w:jc w:val="center"/>
        <w:rPr>
          <w:sz w:val="24"/>
          <w:szCs w:val="24"/>
        </w:rPr>
      </w:pPr>
      <w:r w:rsidDel="00000000" w:rsidR="00000000" w:rsidRPr="00000000">
        <w:rPr>
          <w:rtl w:val="0"/>
        </w:rPr>
      </w:r>
    </w:p>
    <w:p w:rsidR="00000000" w:rsidDel="00000000" w:rsidP="00000000" w:rsidRDefault="00000000" w:rsidRPr="00000000" w14:paraId="00000009">
      <w:pPr>
        <w:spacing w:after="200" w:line="360" w:lineRule="auto"/>
        <w:ind w:firstLine="708.6614173228347"/>
        <w:jc w:val="right"/>
        <w:rPr>
          <w:sz w:val="24"/>
          <w:szCs w:val="24"/>
        </w:rPr>
      </w:pPr>
      <w:r w:rsidDel="00000000" w:rsidR="00000000" w:rsidRPr="00000000">
        <w:rPr>
          <w:sz w:val="24"/>
          <w:szCs w:val="24"/>
          <w:rtl w:val="0"/>
        </w:rPr>
        <w:t xml:space="preserve">João Pedro Rêgo Balata¹</w:t>
      </w:r>
    </w:p>
    <w:p w:rsidR="00000000" w:rsidDel="00000000" w:rsidP="00000000" w:rsidRDefault="00000000" w:rsidRPr="00000000" w14:paraId="0000000A">
      <w:pPr>
        <w:spacing w:after="200" w:line="360" w:lineRule="auto"/>
        <w:ind w:firstLine="708.6614173228347"/>
        <w:jc w:val="center"/>
        <w:rPr>
          <w:sz w:val="24"/>
          <w:szCs w:val="24"/>
        </w:rPr>
      </w:pPr>
      <w:r w:rsidDel="00000000" w:rsidR="00000000" w:rsidRPr="00000000">
        <w:rPr>
          <w:rtl w:val="0"/>
        </w:rPr>
      </w:r>
    </w:p>
    <w:p w:rsidR="00000000" w:rsidDel="00000000" w:rsidP="00000000" w:rsidRDefault="00000000" w:rsidRPr="00000000" w14:paraId="0000000B">
      <w:pPr>
        <w:spacing w:after="200" w:line="360" w:lineRule="auto"/>
        <w:ind w:firstLine="708.6614173228347"/>
        <w:jc w:val="center"/>
        <w:rPr>
          <w:sz w:val="24"/>
          <w:szCs w:val="24"/>
        </w:rPr>
      </w:pPr>
      <w:r w:rsidDel="00000000" w:rsidR="00000000" w:rsidRPr="00000000">
        <w:rPr>
          <w:rtl w:val="0"/>
        </w:rPr>
      </w:r>
    </w:p>
    <w:p w:rsidR="00000000" w:rsidDel="00000000" w:rsidP="00000000" w:rsidRDefault="00000000" w:rsidRPr="00000000" w14:paraId="0000000C">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0D">
      <w:pPr>
        <w:spacing w:after="200" w:line="360" w:lineRule="auto"/>
        <w:ind w:firstLine="708.6614173228347"/>
        <w:jc w:val="center"/>
        <w:rPr>
          <w:sz w:val="24"/>
          <w:szCs w:val="24"/>
        </w:rPr>
      </w:pPr>
      <w:r w:rsidDel="00000000" w:rsidR="00000000" w:rsidRPr="00000000">
        <w:rPr>
          <w:rtl w:val="0"/>
        </w:rPr>
      </w:r>
    </w:p>
    <w:p w:rsidR="00000000" w:rsidDel="00000000" w:rsidP="00000000" w:rsidRDefault="00000000" w:rsidRPr="00000000" w14:paraId="0000000E">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0F">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0">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1">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2">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3">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4">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5">
      <w:pPr>
        <w:spacing w:after="200" w:line="360" w:lineRule="auto"/>
        <w:ind w:firstLine="708.6614173228347"/>
        <w:jc w:val="left"/>
        <w:rPr>
          <w:sz w:val="24"/>
          <w:szCs w:val="24"/>
        </w:rPr>
      </w:pPr>
      <w:r w:rsidDel="00000000" w:rsidR="00000000" w:rsidRPr="00000000">
        <w:rPr>
          <w:rtl w:val="0"/>
        </w:rPr>
      </w:r>
    </w:p>
    <w:p w:rsidR="00000000" w:rsidDel="00000000" w:rsidP="00000000" w:rsidRDefault="00000000" w:rsidRPr="00000000" w14:paraId="00000016">
      <w:pPr>
        <w:spacing w:after="0" w:line="360" w:lineRule="auto"/>
        <w:ind w:left="0" w:firstLine="0"/>
        <w:jc w:val="left"/>
        <w:rPr>
          <w:sz w:val="24"/>
          <w:szCs w:val="24"/>
        </w:rPr>
      </w:pPr>
      <w:r w:rsidDel="00000000" w:rsidR="00000000" w:rsidRPr="00000000">
        <w:rPr>
          <w:rtl w:val="0"/>
        </w:rPr>
      </w:r>
    </w:p>
    <w:p w:rsidR="00000000" w:rsidDel="00000000" w:rsidP="00000000" w:rsidRDefault="00000000" w:rsidRPr="00000000" w14:paraId="00000017">
      <w:pPr>
        <w:spacing w:after="0" w:line="360" w:lineRule="auto"/>
        <w:ind w:left="0" w:firstLine="0"/>
        <w:jc w:val="left"/>
        <w:rPr>
          <w:sz w:val="24"/>
          <w:szCs w:val="24"/>
        </w:rPr>
      </w:pPr>
      <w:r w:rsidDel="00000000" w:rsidR="00000000" w:rsidRPr="00000000">
        <w:rPr>
          <w:rtl w:val="0"/>
        </w:rPr>
      </w:r>
    </w:p>
    <w:p w:rsidR="00000000" w:rsidDel="00000000" w:rsidP="00000000" w:rsidRDefault="00000000" w:rsidRPr="00000000" w14:paraId="00000018">
      <w:pPr>
        <w:spacing w:after="0" w:line="240" w:lineRule="auto"/>
        <w:ind w:left="1133.858267716535" w:firstLine="0"/>
        <w:jc w:val="both"/>
        <w:rPr>
          <w:sz w:val="20"/>
          <w:szCs w:val="20"/>
        </w:rPr>
      </w:pPr>
      <w:r w:rsidDel="00000000" w:rsidR="00000000" w:rsidRPr="00000000">
        <w:rPr>
          <w:sz w:val="20"/>
          <w:szCs w:val="20"/>
          <w:rtl w:val="0"/>
        </w:rPr>
        <w:t xml:space="preserve">RESUMO</w:t>
      </w:r>
    </w:p>
    <w:p w:rsidR="00000000" w:rsidDel="00000000" w:rsidP="00000000" w:rsidRDefault="00000000" w:rsidRPr="00000000" w14:paraId="00000019">
      <w:pPr>
        <w:spacing w:after="0" w:line="240" w:lineRule="auto"/>
        <w:ind w:left="1133.858267716535" w:firstLine="0"/>
        <w:jc w:val="both"/>
        <w:rPr>
          <w:sz w:val="20"/>
          <w:szCs w:val="20"/>
        </w:rPr>
      </w:pPr>
      <w:r w:rsidDel="00000000" w:rsidR="00000000" w:rsidRPr="00000000">
        <w:rPr>
          <w:sz w:val="20"/>
          <w:szCs w:val="20"/>
          <w:rtl w:val="0"/>
        </w:rPr>
        <w:t xml:space="preserve">A tortura e as graves violações de direitos humanos em espaços de privação de liberdade na América Latina refletem um legado de repressão e autoritarismo. Esse cenário, normalizado pelo sistema penal, intensifica desigualdades sociais, racismo e violência de gênero. A pesquisa, por meio de análise qualitativa e documental, buscará mapear casos emblemáticos e examinar as respostas institucionais, evidenciando desafios como impunidade, falta de recursos e resistência a reformas. O estudo pretende mostrar como a herança de repressão estatal ainda molda a prática jurídica na região, perpetuando a violência e dificultando a garantia dos direitos humanos.</w:t>
      </w:r>
    </w:p>
    <w:p w:rsidR="00000000" w:rsidDel="00000000" w:rsidP="00000000" w:rsidRDefault="00000000" w:rsidRPr="00000000" w14:paraId="0000001A">
      <w:pPr>
        <w:spacing w:after="0" w:line="240" w:lineRule="auto"/>
        <w:ind w:left="1133.858267716535" w:firstLine="0"/>
        <w:jc w:val="both"/>
        <w:rPr>
          <w:sz w:val="20"/>
          <w:szCs w:val="20"/>
        </w:rPr>
      </w:pPr>
      <w:r w:rsidDel="00000000" w:rsidR="00000000" w:rsidRPr="00000000">
        <w:rPr>
          <w:rtl w:val="0"/>
        </w:rPr>
      </w:r>
    </w:p>
    <w:p w:rsidR="00000000" w:rsidDel="00000000" w:rsidP="00000000" w:rsidRDefault="00000000" w:rsidRPr="00000000" w14:paraId="0000001B">
      <w:pPr>
        <w:spacing w:after="0" w:line="240" w:lineRule="auto"/>
        <w:ind w:left="1133.858267716535" w:firstLine="0"/>
        <w:jc w:val="both"/>
        <w:rPr>
          <w:sz w:val="20"/>
          <w:szCs w:val="20"/>
        </w:rPr>
      </w:pPr>
      <w:r w:rsidDel="00000000" w:rsidR="00000000" w:rsidRPr="00000000">
        <w:rPr>
          <w:sz w:val="20"/>
          <w:szCs w:val="20"/>
          <w:rtl w:val="0"/>
        </w:rPr>
        <w:t xml:space="preserve">ABSTRACT </w:t>
      </w:r>
    </w:p>
    <w:p w:rsidR="00000000" w:rsidDel="00000000" w:rsidP="00000000" w:rsidRDefault="00000000" w:rsidRPr="00000000" w14:paraId="0000001C">
      <w:pPr>
        <w:spacing w:after="0" w:line="240" w:lineRule="auto"/>
        <w:ind w:left="1133.858267716535" w:firstLine="0"/>
        <w:jc w:val="both"/>
        <w:rPr>
          <w:sz w:val="20"/>
          <w:szCs w:val="20"/>
        </w:rPr>
      </w:pPr>
      <w:r w:rsidDel="00000000" w:rsidR="00000000" w:rsidRPr="00000000">
        <w:rPr>
          <w:sz w:val="20"/>
          <w:szCs w:val="20"/>
          <w:rtl w:val="0"/>
        </w:rPr>
        <w:t xml:space="preserve">Torture and severe human rights violations in detention spaces across Latin America reflect a legacy of repression and authoritarianism. This reality, normalized by the criminal justice system, deepens social inequalities, racism, and gender-based violence. Through qualitative and documentary analysis, the research will map emblematic cases and examine institutional responses, highlighting challenges such as impunity, lack of resources, and resistance to reform. The study aims to show how the legacy of state repression continues to shape legal practices in the region, perpetuating violence and hindering the effective protection of human rights.</w:t>
      </w:r>
      <w:r w:rsidDel="00000000" w:rsidR="00000000" w:rsidRPr="00000000">
        <w:rPr>
          <w:rtl w:val="0"/>
        </w:rPr>
      </w:r>
    </w:p>
    <w:p w:rsidR="00000000" w:rsidDel="00000000" w:rsidP="00000000" w:rsidRDefault="00000000" w:rsidRPr="00000000" w14:paraId="0000001D">
      <w:pPr>
        <w:spacing w:after="0" w:line="360" w:lineRule="auto"/>
        <w:ind w:left="0" w:firstLine="708.6614173228347"/>
        <w:jc w:val="both"/>
        <w:rPr>
          <w:sz w:val="24"/>
          <w:szCs w:val="24"/>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firstLine="0"/>
        <w:jc w:val="both"/>
        <w:rPr>
          <w:sz w:val="20"/>
          <w:szCs w:val="20"/>
        </w:rPr>
      </w:pPr>
      <w:r w:rsidDel="00000000" w:rsidR="00000000" w:rsidRPr="00000000">
        <w:rPr>
          <w:sz w:val="20"/>
          <w:szCs w:val="20"/>
          <w:rtl w:val="0"/>
        </w:rPr>
        <w:t xml:space="preserve">Palavras-chave: Violência de Estado; América Latina; Política criminal; Direitos Humanos.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firstLine="0"/>
        <w:jc w:val="both"/>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133.858267716535" w:right="0" w:firstLine="0"/>
        <w:jc w:val="both"/>
        <w:rPr>
          <w:sz w:val="20"/>
          <w:szCs w:val="20"/>
        </w:rPr>
      </w:pP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11.338582677165334"/>
        <w:jc w:val="both"/>
        <w:rPr>
          <w:b w:val="1"/>
          <w:sz w:val="24"/>
          <w:szCs w:val="24"/>
        </w:rPr>
      </w:pPr>
      <w:r w:rsidDel="00000000" w:rsidR="00000000" w:rsidRPr="00000000">
        <w:rPr>
          <w:b w:val="1"/>
          <w:sz w:val="24"/>
          <w:szCs w:val="24"/>
          <w:rtl w:val="0"/>
        </w:rPr>
        <w:t xml:space="preserve">INTRODUÇÃO</w:t>
      </w:r>
    </w:p>
    <w:p w:rsidR="00000000" w:rsidDel="00000000" w:rsidP="00000000" w:rsidRDefault="00000000" w:rsidRPr="00000000" w14:paraId="00000022">
      <w:pPr>
        <w:spacing w:line="360" w:lineRule="auto"/>
        <w:ind w:firstLine="708.6614173228347"/>
        <w:jc w:val="both"/>
        <w:rPr>
          <w:sz w:val="24"/>
          <w:szCs w:val="24"/>
        </w:rPr>
      </w:pPr>
      <w:r w:rsidDel="00000000" w:rsidR="00000000" w:rsidRPr="00000000">
        <w:rPr>
          <w:sz w:val="24"/>
          <w:szCs w:val="24"/>
          <w:rtl w:val="0"/>
        </w:rPr>
        <w:t xml:space="preserve">Este trabalho tem por objetivo analisar criticamente as bases históricas e normativas que consolidaram a pena privativa de liberdade como resposta central ao crime, questionando sua eficácia e legitimidade diante da crise que marca o sistema carcerário contemporâneo. A partir de uma perspectiva jurídico-social e fundamentada em uma abordagem teórica crítica, combinada com análise documental, busca-se compreender como as normas jurídicas e os valores sociais acerca da punição moldaram o sistema prisional, muitas vezes relegando a segundo plano a dignidade humana e a necessidade de reintegração social. </w:t>
      </w:r>
    </w:p>
    <w:p w:rsidR="00000000" w:rsidDel="00000000" w:rsidP="00000000" w:rsidRDefault="00000000" w:rsidRPr="00000000" w14:paraId="00000023">
      <w:pPr>
        <w:spacing w:line="360" w:lineRule="auto"/>
        <w:ind w:firstLine="708.6614173228347"/>
        <w:jc w:val="both"/>
        <w:rPr>
          <w:sz w:val="24"/>
          <w:szCs w:val="24"/>
        </w:rPr>
      </w:pPr>
      <w:r w:rsidDel="00000000" w:rsidR="00000000" w:rsidRPr="00000000">
        <w:rPr>
          <w:sz w:val="24"/>
          <w:szCs w:val="24"/>
          <w:rtl w:val="0"/>
        </w:rPr>
        <w:t xml:space="preserve">Examina-se ainda os impactos psicológicos, sociais e econômicos do encarceramento prolongado, propondo reflexões sobre alternativas penais que privilegiem uma justiça restaurativa e inclusiva, voltada para a reabilitação e o respeito aos direitos humanos.</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360" w:lineRule="auto"/>
        <w:ind w:left="720" w:right="0" w:hanging="11.338582677165334"/>
        <w:jc w:val="both"/>
        <w:rPr>
          <w:b w:val="1"/>
          <w:sz w:val="24"/>
          <w:szCs w:val="24"/>
        </w:rPr>
      </w:pPr>
      <w:r w:rsidDel="00000000" w:rsidR="00000000" w:rsidRPr="00000000">
        <w:rPr>
          <w:b w:val="1"/>
          <w:sz w:val="24"/>
          <w:szCs w:val="24"/>
          <w:rtl w:val="0"/>
        </w:rPr>
        <w:t xml:space="preserve">FORMAÇÃO DOS ESTADOS LATINO-AMERICANOS </w:t>
      </w:r>
    </w:p>
    <w:p w:rsidR="00000000" w:rsidDel="00000000" w:rsidP="00000000" w:rsidRDefault="00000000" w:rsidRPr="00000000" w14:paraId="00000026">
      <w:pPr>
        <w:spacing w:after="0" w:before="0" w:line="360" w:lineRule="auto"/>
        <w:ind w:firstLine="708.6614173228347"/>
        <w:jc w:val="both"/>
        <w:rPr>
          <w:sz w:val="24"/>
          <w:szCs w:val="24"/>
        </w:rPr>
      </w:pPr>
      <w:r w:rsidDel="00000000" w:rsidR="00000000" w:rsidRPr="00000000">
        <w:rPr>
          <w:sz w:val="24"/>
          <w:szCs w:val="24"/>
          <w:rtl w:val="0"/>
        </w:rPr>
        <w:t xml:space="preserve">A formação dos estados nacionais na América Latina e o surgimento das prisões-modelo representam duas faces interligadas dos processos pós-independência e da consolidação de estruturas de poder nos países da região. Esses estados surgiram de processos emancipatórios colonizados e funcional, como ocorrido em algumas nações europeias.</w:t>
      </w:r>
    </w:p>
    <w:p w:rsidR="00000000" w:rsidDel="00000000" w:rsidP="00000000" w:rsidRDefault="00000000" w:rsidRPr="00000000" w14:paraId="00000027">
      <w:pPr>
        <w:spacing w:after="0" w:before="0" w:line="360" w:lineRule="auto"/>
        <w:ind w:firstLine="708.6614173228347"/>
        <w:jc w:val="both"/>
        <w:rPr>
          <w:sz w:val="24"/>
          <w:szCs w:val="24"/>
        </w:rPr>
      </w:pPr>
      <w:r w:rsidDel="00000000" w:rsidR="00000000" w:rsidRPr="00000000">
        <w:rPr>
          <w:sz w:val="24"/>
          <w:szCs w:val="24"/>
          <w:rtl w:val="0"/>
        </w:rPr>
        <w:t xml:space="preserve">Inspiradas por ideais iluministas e influências norte-americanas e europeias, as elites criollas latino-americanas desejavam consolidar novos complexos, entre 1810 e 1825, em meio a conflitos internos e a uma tentativa de construção de identidades nacionais. No entanto, o ambiente pós-colonial era marcado pela fragmentação e pela falta de coesão interna, evidenciando as dificuldades para instaurar um modelo de Estado central nos estados e afastar-se das restrições impostas pela Espanha e por Portugal. Esse processo, contudo, não veio acompanhado de um consenso sobre identidade nacional ou sobre os projetos sociais para esses novos países. As elites criollas muitas vezes mantinham vínculos econômicos e culturais com o exterior, fragmentando a sociedade e enfraquecendo a coesão interna necessária para a consolidação de um Estado unificado. Sem um sentimento de nacionalidade ou identidade comuns, a formação de muitos desses estados revelou-se conflituosa e marcada pela instabilidade, com guerras civis e lutas entre caudilhos que perduraram até meados do século XIX.</w:t>
      </w:r>
    </w:p>
    <w:p w:rsidR="00000000" w:rsidDel="00000000" w:rsidP="00000000" w:rsidRDefault="00000000" w:rsidRPr="00000000" w14:paraId="00000028">
      <w:pPr>
        <w:spacing w:after="0" w:before="0" w:line="360" w:lineRule="auto"/>
        <w:ind w:firstLine="708.6614173228347"/>
        <w:jc w:val="both"/>
        <w:rPr>
          <w:sz w:val="24"/>
          <w:szCs w:val="24"/>
        </w:rPr>
      </w:pPr>
      <w:r w:rsidDel="00000000" w:rsidR="00000000" w:rsidRPr="00000000">
        <w:rPr>
          <w:sz w:val="24"/>
          <w:szCs w:val="24"/>
          <w:rtl w:val="0"/>
        </w:rPr>
        <w:t xml:space="preserve">No contexto do processo de organização do Estado, surgiram as prisões-modelo, que simbolizavam o anseio de modernização e de controle social das novas repúblicas. Diferentemente do contexto europeu e norte-americano, onde as prisões assumiram função ligada à reabilitação e ao alinhamento com uma economia industrial em expansão, na América Latina essas instituições não se articularam a um projeto capitalista consolidado. Ao contrário, eram instrumentos de controle e segregação das classes populares e subalternas, perpetuando práticas coloniais de repressão. Assim, as prisões serviram antes como mecanismos de punição e exclusão social do que de reintegração, evidenciando o que Galeano (1971) aponta ao descrever como as estruturas de poder latino-americanas foram moldadas para garantir a subordinação das maiorias e consolidar elites distantes das necessidades do povo.</w:t>
      </w:r>
    </w:p>
    <w:p w:rsidR="00000000" w:rsidDel="00000000" w:rsidP="00000000" w:rsidRDefault="00000000" w:rsidRPr="00000000" w14:paraId="00000029">
      <w:pPr>
        <w:spacing w:after="0" w:before="0" w:line="360" w:lineRule="auto"/>
        <w:ind w:firstLine="708.6614173228347"/>
        <w:jc w:val="both"/>
        <w:rPr>
          <w:sz w:val="24"/>
          <w:szCs w:val="24"/>
        </w:rPr>
      </w:pPr>
      <w:r w:rsidDel="00000000" w:rsidR="00000000" w:rsidRPr="00000000">
        <w:rPr>
          <w:sz w:val="24"/>
          <w:szCs w:val="24"/>
          <w:rtl w:val="0"/>
        </w:rPr>
        <w:t xml:space="preserve">O surgimento das prisões e seu papel de exclusão social revelam o modo que as elites latino-americanas enxergavam o modelo penitenciário, como uma extensão da ordem autoritária herdada do período colonial, que permitia controle rigoroso e disciplinar sobre a população. Esse modelo de encarceramento emergiu, principalmente, como uma resposta à necessidade de consolidar um poder estatal centralizado e de manter a ordem em sociedades altamente divididas. A expansão das prisões reforçou as estruturas de controle social, ainda que sem alcançar o impacto reformador esperado.</w:t>
      </w:r>
    </w:p>
    <w:p w:rsidR="00000000" w:rsidDel="00000000" w:rsidP="00000000" w:rsidRDefault="00000000" w:rsidRPr="00000000" w14:paraId="0000002A">
      <w:pPr>
        <w:numPr>
          <w:ilvl w:val="0"/>
          <w:numId w:val="1"/>
        </w:numPr>
        <w:spacing w:after="200" w:line="360" w:lineRule="auto"/>
        <w:ind w:left="720" w:hanging="11.338582677165334"/>
        <w:jc w:val="both"/>
        <w:rPr>
          <w:b w:val="1"/>
          <w:sz w:val="24"/>
          <w:szCs w:val="24"/>
        </w:rPr>
      </w:pPr>
      <w:r w:rsidDel="00000000" w:rsidR="00000000" w:rsidRPr="00000000">
        <w:rPr>
          <w:b w:val="1"/>
          <w:sz w:val="24"/>
          <w:szCs w:val="24"/>
          <w:rtl w:val="0"/>
        </w:rPr>
        <w:t xml:space="preserve">AS FACETAS DA VIOLÊNCIA DE ESTADO </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 violência estatal na América Latina revela-se sob diversas formas, fruto de uma longa história de regimes autoritários, exclusão social e práticas políticas que consolidaram estruturas de poder excludentes (ALMEIDA; NEME; PINHEIRO, 2014). Durante o século XX, especialmente sob as ditaduras militares, a repressão deixou de mirar apenas opositores políticos para atingir amplos setores populares, considerados incompatíveis com o projeto de modernização defendido pelas elites (ARENDT, 1989). Tortura, desaparecimentos forçados e execuções sumárias foram empregados como estratégias de desarticulação social, legitimadas por discursos de segurança nacional que naturalizaram a violência institucional (ARENDT, 1994).</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Essa lógica punitiva não apenas enfraqueceu o Estado de Direito, mas instaurou uma cultura de medo e submissão coletiva, consolidando o poder central e afastando o Estado das reais necessidades da população (BARATTA, 1991). Paralelamente, a corrupção e a omissão administrativa desviaram recursos que poderiam fortalecer políticas públicas, perpetuando desigualdades estruturais e relegando minorias a uma cidadania precária (FANON, 2008).</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No caso brasileiro, marcado por uma democracia frágil e por recorrentes retrocessos nos direitos civis, o aparato estatal continua priorizando práticas coercitivas em detrimento de políticas inclusivas, aprofundando a marginalização de grupos historicamente vulneráveis, como comunidades negras, indígenas e LGBTQIA+ (OLIVEIRA, 2009). A manutenção de um modelo de segurança pública centrado na repressão reforça estereótipos que tratam essas populações como ameaças à ordem, perpetuando a exclusão e dificultando o pleno exercício da cidadania.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Dessa forma, a violência estatal na região transcende a esfera física, alcançando também dimensões simbólicas por meio da invisibilização, discriminação e restrição de direitos, o que evidencia a urgência de repensar o papel do Estado e construir políticas que efetivamente promovam dignidade e inclusão social.</w:t>
      </w:r>
    </w:p>
    <w:p w:rsidR="00000000" w:rsidDel="00000000" w:rsidP="00000000" w:rsidRDefault="00000000" w:rsidRPr="00000000" w14:paraId="0000002F">
      <w:pPr>
        <w:numPr>
          <w:ilvl w:val="0"/>
          <w:numId w:val="1"/>
        </w:numPr>
        <w:spacing w:after="200" w:line="360" w:lineRule="auto"/>
        <w:ind w:left="720" w:hanging="11.338582677165334"/>
        <w:jc w:val="both"/>
        <w:rPr>
          <w:b w:val="1"/>
          <w:sz w:val="24"/>
          <w:szCs w:val="24"/>
        </w:rPr>
      </w:pPr>
      <w:r w:rsidDel="00000000" w:rsidR="00000000" w:rsidRPr="00000000">
        <w:rPr>
          <w:b w:val="1"/>
          <w:sz w:val="24"/>
          <w:szCs w:val="24"/>
          <w:rtl w:val="0"/>
        </w:rPr>
        <w:t xml:space="preserve">A TORTURA NA INFRAESTRUTURA CARCERÁRIA LATINA</w:t>
      </w:r>
    </w:p>
    <w:p w:rsidR="00000000" w:rsidDel="00000000" w:rsidP="00000000" w:rsidRDefault="00000000" w:rsidRPr="00000000" w14:paraId="00000030">
      <w:pPr>
        <w:spacing w:after="200" w:line="360" w:lineRule="auto"/>
        <w:ind w:left="0" w:firstLine="708.6614173228347"/>
        <w:jc w:val="both"/>
        <w:rPr>
          <w:sz w:val="24"/>
          <w:szCs w:val="24"/>
        </w:rPr>
      </w:pPr>
      <w:r w:rsidDel="00000000" w:rsidR="00000000" w:rsidRPr="00000000">
        <w:rPr>
          <w:sz w:val="24"/>
          <w:szCs w:val="24"/>
          <w:rtl w:val="0"/>
        </w:rPr>
        <w:t xml:space="preserve">A tortura nas prisões da América Latina é exacerbada pela infraestrutura precária e pela impunidade que permeiam o sistema carcerário. Superlotação, falta de recursos e a ausência de fiscalização adequada criam ambientes propícios para abusos físicos e psicológicos. A fragilidade do Estado em garantir a segurança e a ordem dentro das prisões contribui para a normalização da tortura e a perpetuação de abusos.</w:t>
      </w:r>
    </w:p>
    <w:p w:rsidR="00000000" w:rsidDel="00000000" w:rsidP="00000000" w:rsidRDefault="00000000" w:rsidRPr="00000000" w14:paraId="00000031">
      <w:pPr>
        <w:spacing w:after="200" w:line="360" w:lineRule="auto"/>
        <w:ind w:left="720" w:hanging="11.338582677165334"/>
        <w:jc w:val="both"/>
        <w:rPr>
          <w:sz w:val="24"/>
          <w:szCs w:val="24"/>
        </w:rPr>
      </w:pPr>
      <w:r w:rsidDel="00000000" w:rsidR="00000000" w:rsidRPr="00000000">
        <w:rPr>
          <w:sz w:val="24"/>
          <w:szCs w:val="24"/>
          <w:rtl w:val="0"/>
        </w:rPr>
        <w:t xml:space="preserve">4.1 Normalização da tortura durante os regimes militares a partir da década de 1950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 normalização da tortura durante os regimes militares na América Latina, sobretudo a partir dos anos 1950, constitui elemento central para compreender as estratégias repressivas dos Estados na contenção de opositores políticos (ARENDT, 1994). No Brasil, a ditadura instaurada em 1964 evidencia como práticas violentas foram institucionalizadas não só como controle, mas como tentativa deliberada de eliminar dissidências (FERRAJOLI, 2002). A tortura foi operacionalizada por uma rede repressiva, envolvendo o SNI, Deops e DOI-Codi, voltados a combater movimentos rotulados como subversivos.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Essa rede foi reforçada por diretrizes governamentais, como a Diretriz Presidencial de Segurança Interna, que em 1970 articulou forças militares e policiais para intensificar o combate político. A lógica ia além de extrair informações: envolvia desaparecimentos, sequestros, invasões e assassinatos, consolidando um ambiente de impunidade sob tutela estatal (BARATTA, 1991). Embora a Lei de Anistia de 1979 tenha encerrado perseguições formais, as práticas de tortura, herdadas de um sistema punitivo criado para subjugar setores marginalizados, persistem. Relatórios da ONU apontam a tortura como questão estrutural no Brasil, fruto de um legado autoritário que mantém prisões superlotadas e cenários de brutalidade (FANON, 2008).</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Enquanto sistemas político e jurídico enfrentam dificuldades em extirpar essas violações, instituições carcerárias continuam reproduzindo a lógica repressiva. Essa herança autoritária demonstra o quanto o sistema foi moldado, por décadas, para silenciar grupos considerados ameaças à ordem, reproduzindo até hoje valores excludentes que sustentam a tortura e outras violações (ALMEIDA; NEME; PINHEIRO, 2014).</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rtl w:val="0"/>
        </w:rPr>
      </w:r>
    </w:p>
    <w:p w:rsidR="00000000" w:rsidDel="00000000" w:rsidP="00000000" w:rsidRDefault="00000000" w:rsidRPr="00000000" w14:paraId="00000036">
      <w:pPr>
        <w:spacing w:after="200" w:line="360" w:lineRule="auto"/>
        <w:ind w:left="720" w:hanging="11.338582677165334"/>
        <w:jc w:val="both"/>
        <w:rPr>
          <w:sz w:val="24"/>
          <w:szCs w:val="24"/>
        </w:rPr>
      </w:pPr>
      <w:r w:rsidDel="00000000" w:rsidR="00000000" w:rsidRPr="00000000">
        <w:rPr>
          <w:sz w:val="24"/>
          <w:szCs w:val="24"/>
          <w:rtl w:val="0"/>
        </w:rPr>
        <w:t xml:space="preserve">4.2 A brutalidade envolvida nas condições desumanas de encarceramento</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As condições do sistema prisional na América Latina, em especial no Brasil, expõem um quadro alarmante de brutalidade e violação dos direitos fundamentais, onde as prisões funcionam como verdadeiros depósitos humanos (FERRAJOLI, 2002). Superlotação, ausência de serviços básicos e violência sistemática mostram que o sistema penal latino-americano herdou práticas de controle social próprias de regimes autoritários, que, segundo Arendt (1994), transformam a violência em ferramenta de dominação política. Durante as ditaduras das décadas de 1960 a 1980, a tortura foi amplamente utilizada para reprimir dissidências e desarticular movimentos sociais, consolidando um legado de medo que persiste nas estruturas prisionais (ALMEIDA; NEME; PINHEIRO, 2014).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Mesmo após processos de redemocratização, os métodos abusivos não foram efetivamente erradicados, perpetuando uma cultura institucional marcada pela impunidade e pela marginalização dos detentos (OLIVEIRA, 2009). Esse ambiente hostil fomenta a criação de facções, como o PCC e o Comando Vermelho, que emergiram como mecanismos de proteção e resposta à violência estatal, mas que logo assumiram papéis de poder econômico e político, alimentando um ciclo de criminalidade (FANON, 2008). Bobbio, Matteucci e Pasquino (1995) destacam que sociedades com instituições frágeis tendem a normalizar práticas de força, negligenciando o ideal democrático de igualdade.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Assim, a brutalidade carcerária não é um fenômeno isolado, mas parte de uma estrutura que reforça desigualdades e limita o acesso pleno à cidadania. Superar esse quadro exige romper com a lógica punitiva e construir políticas criminais que priorizem a dignidade humana e a reinserção social, superando o histórico de repressão e exclusão que ainda assombra o continente.</w:t>
      </w:r>
    </w:p>
    <w:p w:rsidR="00000000" w:rsidDel="00000000" w:rsidP="00000000" w:rsidRDefault="00000000" w:rsidRPr="00000000" w14:paraId="0000003A">
      <w:pPr>
        <w:keepNext w:val="0"/>
        <w:keepLines w:val="0"/>
        <w:numPr>
          <w:ilvl w:val="0"/>
          <w:numId w:val="1"/>
        </w:numPr>
        <w:spacing w:after="200" w:before="280" w:line="360" w:lineRule="auto"/>
        <w:ind w:left="720" w:hanging="11.338582677165334"/>
        <w:jc w:val="both"/>
        <w:rPr>
          <w:b w:val="1"/>
          <w:sz w:val="24"/>
          <w:szCs w:val="24"/>
        </w:rPr>
      </w:pPr>
      <w:r w:rsidDel="00000000" w:rsidR="00000000" w:rsidRPr="00000000">
        <w:rPr>
          <w:b w:val="1"/>
          <w:sz w:val="24"/>
          <w:szCs w:val="24"/>
          <w:rtl w:val="0"/>
        </w:rPr>
        <w:t xml:space="preserve">IMPUNIDADE E AS CONSEQUÊNCIAS JURÍDICAS E PSICOSSOCIAIS DA TORTURA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 impunidade nas prisões da América Latina, sobretudo no Brasil, é um dos pilares que sustentam a violência institucional e permitem a continuidade da tortura e de outras graves violações de direitos humanos (FERRAJOLI, 2002). Esse quadro reflete não apenas brutalidade contra os detentos, mas também impactos psicossociais profundos que atingem suas famílias e fragilizam a confiança nas instituições (ARENDT, 1994). Baratta (1991) observa que essa violência penal se integra a uma estrutura social mais ampla de desigualdade, racismo e exclusão, transformando a tortura em prática quase naturalizada. A ausência de responsabilização efetiva legitima abusos e mina a função protetiva do Estado, comprometendo a própria democracia (OLIVEIRA, 2009).</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Nas prisões brasileiras, a presença de facções como o PCC e o Comando Vermelho, descritas por Mamede (2015), revela o enfraquecimento estatal e a formação de uma governança paralela que reforça a impunidade. A violência cotidiana e o domínio de grupos criminosos tornam o cárcere um espaço onde o Estado cede seu papel soberano, permitindo que regras extraoficiais prevaleçam. Essa realidade, segundo Bobbio, Matteucci e Pasquino (1995), ameaça o princípio democrático ao normalizar o uso da força como base das relações sociais.</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Além disso, o sistema prisional está atravessado por racismo, classismo e sexismo, aprofundando a vulnerabilidade de negros, pobres, mulheres e pessoas LGBTQIA+, que enfrentam violações específicas e maior desamparo (FANON, 2008). O tratamento desumanizante dos presos como meros números perpetua um ciclo de marginalização que dificulta a reintegração e amplia o estigma social. Como destacam Almeida, Neme e Pinheiro (2014), essas dinâmicas refletem continuidades históricas de repressão, herdadas dos regimes autoritários e projetadas na seletividade penal contemporânea.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8.6614173228347"/>
        <w:jc w:val="both"/>
        <w:rPr>
          <w:sz w:val="24"/>
          <w:szCs w:val="24"/>
        </w:rPr>
      </w:pPr>
      <w:r w:rsidDel="00000000" w:rsidR="00000000" w:rsidRPr="00000000">
        <w:rPr>
          <w:sz w:val="24"/>
          <w:szCs w:val="24"/>
          <w:rtl w:val="0"/>
        </w:rPr>
        <w:t xml:space="preserve">Assim, a impunidade no cárcere é mais do que falha no sistema de justiça: é sintoma de uma crise estrutural que compromete a legitimidade do poder público e alimenta uma cultura de violência. Superar esse cenário exige repensar o modelo penal, rompendo com a lógica punitiva para construir um sistema baseado na dignidade, reintegração e efetiva garantia de direitos, em benefício não só dos detentos, mas de toda a sociedade.</w:t>
      </w:r>
    </w:p>
    <w:p w:rsidR="00000000" w:rsidDel="00000000" w:rsidP="00000000" w:rsidRDefault="00000000" w:rsidRPr="00000000" w14:paraId="0000003F">
      <w:pPr>
        <w:numPr>
          <w:ilvl w:val="0"/>
          <w:numId w:val="1"/>
        </w:numPr>
        <w:spacing w:after="200" w:line="360" w:lineRule="auto"/>
        <w:ind w:left="720" w:hanging="11.338582677165334"/>
        <w:jc w:val="both"/>
        <w:rPr>
          <w:b w:val="1"/>
          <w:sz w:val="24"/>
          <w:szCs w:val="24"/>
        </w:rPr>
      </w:pPr>
      <w:r w:rsidDel="00000000" w:rsidR="00000000" w:rsidRPr="00000000">
        <w:rPr>
          <w:b w:val="1"/>
          <w:sz w:val="24"/>
          <w:szCs w:val="24"/>
          <w:rtl w:val="0"/>
        </w:rPr>
        <w:t xml:space="preserve">MEDIDAS ATUAIS DE COMBATE À TORTURA NO CÁRCERE </w:t>
      </w:r>
    </w:p>
    <w:p w:rsidR="00000000" w:rsidDel="00000000" w:rsidP="00000000" w:rsidRDefault="00000000" w:rsidRPr="00000000" w14:paraId="00000040">
      <w:pPr>
        <w:spacing w:after="0" w:before="0" w:line="360" w:lineRule="auto"/>
        <w:ind w:firstLine="708.6614173228347"/>
        <w:jc w:val="both"/>
        <w:rPr>
          <w:sz w:val="24"/>
          <w:szCs w:val="24"/>
        </w:rPr>
      </w:pPr>
      <w:r w:rsidDel="00000000" w:rsidR="00000000" w:rsidRPr="00000000">
        <w:rPr>
          <w:sz w:val="24"/>
          <w:szCs w:val="24"/>
          <w:rtl w:val="0"/>
        </w:rPr>
        <w:t xml:space="preserve">As medidas para combater a tortura no cárcere na América Latina refletem um contexto complexo, onde a impunidade e a violação dos direitos humanos persistem como desafios significativos. No entanto, nas últimas décadas, diversos países têm implementado iniciativas destinadas a enfrentar essa questão, com o intuito de garantir a dignidade dos detentos e a proteção dos direitos humanos.</w:t>
      </w:r>
    </w:p>
    <w:p w:rsidR="00000000" w:rsidDel="00000000" w:rsidP="00000000" w:rsidRDefault="00000000" w:rsidRPr="00000000" w14:paraId="00000041">
      <w:pPr>
        <w:spacing w:after="0" w:before="0" w:line="360" w:lineRule="auto"/>
        <w:ind w:firstLine="708.6614173228347"/>
        <w:jc w:val="both"/>
        <w:rPr>
          <w:sz w:val="24"/>
          <w:szCs w:val="24"/>
        </w:rPr>
      </w:pPr>
      <w:r w:rsidDel="00000000" w:rsidR="00000000" w:rsidRPr="00000000">
        <w:rPr>
          <w:sz w:val="24"/>
          <w:szCs w:val="24"/>
          <w:rtl w:val="0"/>
        </w:rPr>
        <w:t xml:space="preserve">Um dos principais avanços na região foi a criação de mecanismos nacionais e regionais de prevenção à tortura, como o Protocolo de Istambul e o Sistema Interamericano de Direitos Humanos. Esses instrumentos visam estabelecer padrões para a prevenção e a documentação de abusos, promovendo a responsabilidade e a transparência nas instituições penitenciárias. Além disso, a promoção de visitas regulares de organismos independentes, como comitês de direitos humanos e organizações não governamentais, tem sido fundamental para monitorar as condições das prisões e relatar abusos.</w:t>
      </w:r>
    </w:p>
    <w:p w:rsidR="00000000" w:rsidDel="00000000" w:rsidP="00000000" w:rsidRDefault="00000000" w:rsidRPr="00000000" w14:paraId="00000042">
      <w:pPr>
        <w:spacing w:after="0" w:before="0" w:line="360" w:lineRule="auto"/>
        <w:ind w:firstLine="708.6614173228347"/>
        <w:jc w:val="both"/>
        <w:rPr>
          <w:sz w:val="24"/>
          <w:szCs w:val="24"/>
        </w:rPr>
      </w:pPr>
      <w:r w:rsidDel="00000000" w:rsidR="00000000" w:rsidRPr="00000000">
        <w:rPr>
          <w:sz w:val="24"/>
          <w:szCs w:val="24"/>
          <w:rtl w:val="0"/>
        </w:rPr>
        <w:t xml:space="preserve">No Brasil, a aprovação da Lei nº 12.847/2013, que estabelece o Sistema Nacional de Prevenção e Combate à Tortura, representa um esforço significativo para criar um ambiente mais seguro e humano nas unidades de privação de liberdade. Essa lei institui mecanismos de monitoramento e garante a participação da sociedade civil na vigilância das condições carcerárias. Além disso, a criação de grupos de trabalho e comissões permanentes para investigar denúncias de tortura e abuso tem se mostrado essencial para a responsabilização dos perpetradores.</w:t>
      </w:r>
    </w:p>
    <w:p w:rsidR="00000000" w:rsidDel="00000000" w:rsidP="00000000" w:rsidRDefault="00000000" w:rsidRPr="00000000" w14:paraId="00000043">
      <w:pPr>
        <w:spacing w:after="0" w:before="0" w:line="360" w:lineRule="auto"/>
        <w:ind w:firstLine="708.6614173228347"/>
        <w:jc w:val="both"/>
        <w:rPr>
          <w:sz w:val="24"/>
          <w:szCs w:val="24"/>
        </w:rPr>
      </w:pPr>
      <w:r w:rsidDel="00000000" w:rsidR="00000000" w:rsidRPr="00000000">
        <w:rPr>
          <w:sz w:val="24"/>
          <w:szCs w:val="24"/>
          <w:rtl w:val="0"/>
        </w:rPr>
        <w:t xml:space="preserve">Em outros países latino-americanos, como Argentina e Uruguai, reformas penitenciárias têm sido implementadas com o objetivo de humanizar as condições de detenção e promover a reintegração social. Essas reformas incluem a promoção de alternativas ao encarceramento, como penas alternativas e programas de liberdade condicional, que visam reduzir a superlotação e a violência nas prisões.</w:t>
      </w:r>
    </w:p>
    <w:p w:rsidR="00000000" w:rsidDel="00000000" w:rsidP="00000000" w:rsidRDefault="00000000" w:rsidRPr="00000000" w14:paraId="00000044">
      <w:pPr>
        <w:spacing w:after="0" w:before="0" w:line="360" w:lineRule="auto"/>
        <w:ind w:firstLine="708.6614173228347"/>
        <w:jc w:val="both"/>
        <w:rPr>
          <w:sz w:val="24"/>
          <w:szCs w:val="24"/>
        </w:rPr>
      </w:pPr>
      <w:r w:rsidDel="00000000" w:rsidR="00000000" w:rsidRPr="00000000">
        <w:rPr>
          <w:sz w:val="24"/>
          <w:szCs w:val="24"/>
          <w:rtl w:val="0"/>
        </w:rPr>
        <w:t xml:space="preserve">Entretanto, apesar desses esforços, a eficácia das medidas de combate à tortura ainda é prejudicada pela cultura de impunidade que persiste em muitos sistemas penitenciários. A falta de vontade política, a resistência das instituições e a falta de formação adequada para agentes penitenciários e policiais dificultam a implementação plena das leis e diretrizes existentes. Além disso, o contexto de violência e desigualdade social na América Latina frequentemente contribui para a marginalização dos detentos, tornando a luta contra a tortura um desafio contínuo.</w:t>
      </w:r>
    </w:p>
    <w:p w:rsidR="00000000" w:rsidDel="00000000" w:rsidP="00000000" w:rsidRDefault="00000000" w:rsidRPr="00000000" w14:paraId="00000045">
      <w:pPr>
        <w:spacing w:after="0" w:before="0" w:line="360" w:lineRule="auto"/>
        <w:ind w:firstLine="708.6614173228347"/>
        <w:jc w:val="both"/>
        <w:rPr>
          <w:sz w:val="24"/>
          <w:szCs w:val="24"/>
        </w:rPr>
      </w:pPr>
      <w:r w:rsidDel="00000000" w:rsidR="00000000" w:rsidRPr="00000000">
        <w:rPr>
          <w:sz w:val="24"/>
          <w:szCs w:val="24"/>
          <w:rtl w:val="0"/>
        </w:rPr>
        <w:t xml:space="preserve">A conscientização da população sobre os direitos humanos e a promoção de uma cultura de respeito à dignidade humana são fundamentais para complementar as medidas legais. Iniciativas de educação e formação de profissionais da segurança pública, bem como campanhas de sensibilização na sociedade, podem contribuir para a mudança de paradigmas em relação ao tratamento de indivíduos em conflito com a lei.</w:t>
      </w:r>
    </w:p>
    <w:p w:rsidR="00000000" w:rsidDel="00000000" w:rsidP="00000000" w:rsidRDefault="00000000" w:rsidRPr="00000000" w14:paraId="00000046">
      <w:pPr>
        <w:spacing w:after="200" w:before="0" w:line="360" w:lineRule="auto"/>
        <w:ind w:firstLine="708.6614173228347"/>
        <w:jc w:val="both"/>
        <w:rPr>
          <w:sz w:val="24"/>
          <w:szCs w:val="24"/>
        </w:rPr>
      </w:pPr>
      <w:r w:rsidDel="00000000" w:rsidR="00000000" w:rsidRPr="00000000">
        <w:rPr>
          <w:sz w:val="24"/>
          <w:szCs w:val="24"/>
          <w:rtl w:val="0"/>
        </w:rPr>
        <w:t xml:space="preserve">Em suma, as medidas atuais de combate à tortura no cárcere na América Latina mostram um progresso gradual, mas ainda insuficiente frente à gravidade da situação. A combinação de mecanismos legais, monitoramento independente e educação em direitos humanos é essencial para construir um sistema penal que respeite a dignidade de todos os indivíduos e promova uma sociedade mais justa e equitativa. Somente através de um esforço coletivo e contínuo será possível efetivamente erradicar a tortura e suas consequências devastadoras nas vidas dos prisioneiros e de suas famílias.</w:t>
      </w:r>
    </w:p>
    <w:p w:rsidR="00000000" w:rsidDel="00000000" w:rsidP="00000000" w:rsidRDefault="00000000" w:rsidRPr="00000000" w14:paraId="00000047">
      <w:pPr>
        <w:numPr>
          <w:ilvl w:val="0"/>
          <w:numId w:val="1"/>
        </w:numPr>
        <w:spacing w:after="200" w:line="360" w:lineRule="auto"/>
        <w:ind w:left="720" w:hanging="11.338582677165334"/>
        <w:jc w:val="both"/>
        <w:rPr>
          <w:sz w:val="24"/>
          <w:szCs w:val="24"/>
        </w:rPr>
      </w:pPr>
      <w:r w:rsidDel="00000000" w:rsidR="00000000" w:rsidRPr="00000000">
        <w:rPr>
          <w:b w:val="1"/>
          <w:sz w:val="24"/>
          <w:szCs w:val="24"/>
          <w:rtl w:val="0"/>
        </w:rPr>
        <w:t xml:space="preserve">CONCLUSÃO</w:t>
      </w:r>
      <w:r w:rsidDel="00000000" w:rsidR="00000000" w:rsidRPr="00000000">
        <w:rPr>
          <w:sz w:val="24"/>
          <w:szCs w:val="24"/>
          <w:rtl w:val="0"/>
        </w:rPr>
        <w:t xml:space="preserve"> </w:t>
      </w:r>
    </w:p>
    <w:p w:rsidR="00000000" w:rsidDel="00000000" w:rsidP="00000000" w:rsidRDefault="00000000" w:rsidRPr="00000000" w14:paraId="00000048">
      <w:pPr>
        <w:spacing w:after="0" w:before="0" w:line="360" w:lineRule="auto"/>
        <w:ind w:firstLine="708.6614173228347"/>
        <w:jc w:val="both"/>
        <w:rPr>
          <w:sz w:val="24"/>
          <w:szCs w:val="24"/>
        </w:rPr>
      </w:pPr>
      <w:r w:rsidDel="00000000" w:rsidR="00000000" w:rsidRPr="00000000">
        <w:rPr>
          <w:sz w:val="24"/>
          <w:szCs w:val="24"/>
          <w:rtl w:val="0"/>
        </w:rPr>
        <w:t xml:space="preserve">A análise das graves violações de direitos humanos e da tortura nos espaços de privação de liberdade na América Latina revela um panorama preocupante, enraizado em uma história de repressão e autoritarismo que moldou as práticas atuais. A normalização da tortura e a brutalidade institucional não são fenômenos isolados; são manifestações de uma cultura de violência de Estado que prioriza o controle social em detrimento da justiça e da dignidade humana.</w:t>
      </w:r>
    </w:p>
    <w:p w:rsidR="00000000" w:rsidDel="00000000" w:rsidP="00000000" w:rsidRDefault="00000000" w:rsidRPr="00000000" w14:paraId="00000049">
      <w:pPr>
        <w:spacing w:after="0" w:before="0" w:line="360" w:lineRule="auto"/>
        <w:ind w:firstLine="708.6614173228347"/>
        <w:jc w:val="both"/>
        <w:rPr>
          <w:sz w:val="24"/>
          <w:szCs w:val="24"/>
        </w:rPr>
      </w:pPr>
      <w:r w:rsidDel="00000000" w:rsidR="00000000" w:rsidRPr="00000000">
        <w:rPr>
          <w:sz w:val="24"/>
          <w:szCs w:val="24"/>
          <w:rtl w:val="0"/>
        </w:rPr>
        <w:t xml:space="preserve">As experiências de detentos, especialmente aqueles pertencentes a grupos marginalizados, evidenciam a interseccionalidade da violência institucional, onde fatores como racismo, classismo e violência de gênero se entrelaçam, amplificando as injustiças enfrentadas. O legado de métodos brutais utilizados durante regimes autoritários persiste nas práticas atuais, perpetuando um ciclo de desumanização e impunidade que afeta não apenas os encarcerados, mas toda a sociedade.</w:t>
      </w:r>
    </w:p>
    <w:p w:rsidR="00000000" w:rsidDel="00000000" w:rsidP="00000000" w:rsidRDefault="00000000" w:rsidRPr="00000000" w14:paraId="0000004A">
      <w:pPr>
        <w:spacing w:after="0" w:before="0" w:line="360" w:lineRule="auto"/>
        <w:ind w:firstLine="708.6614173228347"/>
        <w:jc w:val="both"/>
        <w:rPr>
          <w:sz w:val="24"/>
          <w:szCs w:val="24"/>
        </w:rPr>
      </w:pPr>
      <w:r w:rsidDel="00000000" w:rsidR="00000000" w:rsidRPr="00000000">
        <w:rPr>
          <w:sz w:val="24"/>
          <w:szCs w:val="24"/>
          <w:rtl w:val="0"/>
        </w:rPr>
        <w:t xml:space="preserve">Embora haja avanços nas medidas de combate à tortura, como a implementação de leis e mecanismos de monitoramento, a eficácia dessas iniciativas é frequentemente comprometida pela resistência institucional e pela falta de recursos. A promoção de uma cultura de respeito aos direitos humanos e a conscientização da população sobre essas questões são cruciais para fortalecer a luta contra a tortura e garantir um tratamento digno aos indivíduos em conflito com a lei.</w:t>
      </w:r>
    </w:p>
    <w:p w:rsidR="00000000" w:rsidDel="00000000" w:rsidP="00000000" w:rsidRDefault="00000000" w:rsidRPr="00000000" w14:paraId="0000004B">
      <w:pPr>
        <w:spacing w:after="200" w:before="0" w:line="360" w:lineRule="auto"/>
        <w:ind w:firstLine="708.6614173228347"/>
        <w:jc w:val="both"/>
        <w:rPr>
          <w:sz w:val="24"/>
          <w:szCs w:val="24"/>
        </w:rPr>
      </w:pPr>
      <w:r w:rsidDel="00000000" w:rsidR="00000000" w:rsidRPr="00000000">
        <w:rPr>
          <w:sz w:val="24"/>
          <w:szCs w:val="24"/>
          <w:rtl w:val="0"/>
        </w:rPr>
        <w:t xml:space="preserve">Portanto, é imperativo que a transformação do sistema prisional latino-americano se baseie em um compromisso coletivo com a dignidade humana e a justiça social. Essa mudança deve ser acompanhada por esforços contínuos de responsabilização e transparência, rompendo com a lógica da brutalidade e promovendo a reintegração social. Somente assim será possível aspirar a um futuro em que a brutalidade não seja a norma e onde todos os indivíduos, independentemente de sua situação, tenham seus direitos respeitados e garantidos. A luta contra a tortura é, assim, uma luta por um mundo mais justo, humano e solidário, que deve ser abraçada por toda a sociedade.</w:t>
      </w:r>
    </w:p>
    <w:p w:rsidR="00000000" w:rsidDel="00000000" w:rsidP="00000000" w:rsidRDefault="00000000" w:rsidRPr="00000000" w14:paraId="0000004C">
      <w:pPr>
        <w:spacing w:after="200" w:line="360" w:lineRule="auto"/>
        <w:ind w:left="720" w:firstLine="0"/>
        <w:jc w:val="both"/>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4D">
      <w:pPr>
        <w:spacing w:after="200" w:line="360" w:lineRule="auto"/>
        <w:ind w:firstLine="708.6614173228347"/>
        <w:jc w:val="both"/>
        <w:rPr>
          <w:sz w:val="24"/>
          <w:szCs w:val="24"/>
        </w:rPr>
      </w:pPr>
      <w:r w:rsidDel="00000000" w:rsidR="00000000" w:rsidRPr="00000000">
        <w:rPr>
          <w:sz w:val="24"/>
          <w:szCs w:val="24"/>
          <w:rtl w:val="0"/>
        </w:rPr>
        <w:t xml:space="preserve">ALMEIDA, Néri de Barros; NEME, Ana Lúcia; PINHEIRO, Rossana (org.).</w:t>
      </w:r>
      <w:r w:rsidDel="00000000" w:rsidR="00000000" w:rsidRPr="00000000">
        <w:rPr>
          <w:b w:val="1"/>
          <w:sz w:val="24"/>
          <w:szCs w:val="24"/>
          <w:rtl w:val="0"/>
        </w:rPr>
        <w:t xml:space="preserve"> A construção da narrativa histórica: séculos XIX e XX</w:t>
      </w:r>
      <w:r w:rsidDel="00000000" w:rsidR="00000000" w:rsidRPr="00000000">
        <w:rPr>
          <w:sz w:val="24"/>
          <w:szCs w:val="24"/>
          <w:rtl w:val="0"/>
        </w:rPr>
        <w:t xml:space="preserve">. São Paulo/Campinas: Editora Fap-Unifesp/Editora da Unicamp, 2014. Disponível em: https://guiamedieval.webhostusp.sti.usp.br/a-construcao-danarrativa-historica- seculos-xix-e-xx/. Acesso em: 29 ago. 2024. </w:t>
      </w:r>
    </w:p>
    <w:p w:rsidR="00000000" w:rsidDel="00000000" w:rsidP="00000000" w:rsidRDefault="00000000" w:rsidRPr="00000000" w14:paraId="0000004E">
      <w:pPr>
        <w:spacing w:after="200" w:line="360" w:lineRule="auto"/>
        <w:ind w:firstLine="708.6614173228347"/>
        <w:jc w:val="both"/>
        <w:rPr>
          <w:sz w:val="24"/>
          <w:szCs w:val="24"/>
        </w:rPr>
      </w:pPr>
      <w:r w:rsidDel="00000000" w:rsidR="00000000" w:rsidRPr="00000000">
        <w:rPr>
          <w:sz w:val="24"/>
          <w:szCs w:val="24"/>
          <w:rtl w:val="0"/>
        </w:rPr>
        <w:t xml:space="preserve">ARENDT, Hannah. </w:t>
      </w:r>
      <w:r w:rsidDel="00000000" w:rsidR="00000000" w:rsidRPr="00000000">
        <w:rPr>
          <w:b w:val="1"/>
          <w:sz w:val="24"/>
          <w:szCs w:val="24"/>
          <w:rtl w:val="0"/>
        </w:rPr>
        <w:t xml:space="preserve">Origens do totalitarismo</w:t>
      </w:r>
      <w:r w:rsidDel="00000000" w:rsidR="00000000" w:rsidRPr="00000000">
        <w:rPr>
          <w:sz w:val="24"/>
          <w:szCs w:val="24"/>
          <w:rtl w:val="0"/>
        </w:rPr>
        <w:t xml:space="preserve">. Tradução de Roberto Raposo. São Paulo: Companhia das Letras, 1989. </w:t>
      </w:r>
    </w:p>
    <w:p w:rsidR="00000000" w:rsidDel="00000000" w:rsidP="00000000" w:rsidRDefault="00000000" w:rsidRPr="00000000" w14:paraId="0000004F">
      <w:pPr>
        <w:spacing w:after="200" w:line="360" w:lineRule="auto"/>
        <w:ind w:firstLine="708.6614173228347"/>
        <w:jc w:val="both"/>
        <w:rPr>
          <w:sz w:val="24"/>
          <w:szCs w:val="24"/>
        </w:rPr>
      </w:pPr>
      <w:r w:rsidDel="00000000" w:rsidR="00000000" w:rsidRPr="00000000">
        <w:rPr>
          <w:sz w:val="24"/>
          <w:szCs w:val="24"/>
          <w:rtl w:val="0"/>
        </w:rPr>
        <w:t xml:space="preserve">ARENDT, Hannah. </w:t>
      </w:r>
      <w:r w:rsidDel="00000000" w:rsidR="00000000" w:rsidRPr="00000000">
        <w:rPr>
          <w:b w:val="1"/>
          <w:sz w:val="24"/>
          <w:szCs w:val="24"/>
          <w:rtl w:val="0"/>
        </w:rPr>
        <w:t xml:space="preserve">Sobre a violência</w:t>
      </w:r>
      <w:r w:rsidDel="00000000" w:rsidR="00000000" w:rsidRPr="00000000">
        <w:rPr>
          <w:sz w:val="24"/>
          <w:szCs w:val="24"/>
          <w:rtl w:val="0"/>
        </w:rPr>
        <w:t xml:space="preserve">. Tradução: André Duarte. Rio de Janeiro: RelumeDumará, 1994</w:t>
      </w:r>
    </w:p>
    <w:p w:rsidR="00000000" w:rsidDel="00000000" w:rsidP="00000000" w:rsidRDefault="00000000" w:rsidRPr="00000000" w14:paraId="00000050">
      <w:pPr>
        <w:spacing w:after="200" w:line="360" w:lineRule="auto"/>
        <w:ind w:firstLine="708.6614173228347"/>
        <w:jc w:val="both"/>
        <w:rPr>
          <w:sz w:val="24"/>
          <w:szCs w:val="24"/>
        </w:rPr>
      </w:pPr>
      <w:r w:rsidDel="00000000" w:rsidR="00000000" w:rsidRPr="00000000">
        <w:rPr>
          <w:sz w:val="24"/>
          <w:szCs w:val="24"/>
          <w:rtl w:val="0"/>
        </w:rPr>
        <w:t xml:space="preserve">BARATTA, Alessandro. </w:t>
      </w:r>
      <w:r w:rsidDel="00000000" w:rsidR="00000000" w:rsidRPr="00000000">
        <w:rPr>
          <w:b w:val="1"/>
          <w:sz w:val="24"/>
          <w:szCs w:val="24"/>
          <w:rtl w:val="0"/>
        </w:rPr>
        <w:t xml:space="preserve">“Princípios del derecho penal mínimo”</w:t>
      </w:r>
      <w:r w:rsidDel="00000000" w:rsidR="00000000" w:rsidRPr="00000000">
        <w:rPr>
          <w:sz w:val="24"/>
          <w:szCs w:val="24"/>
          <w:rtl w:val="0"/>
        </w:rPr>
        <w:t xml:space="preserve">. In.: </w:t>
      </w:r>
      <w:r w:rsidDel="00000000" w:rsidR="00000000" w:rsidRPr="00000000">
        <w:rPr>
          <w:sz w:val="24"/>
          <w:szCs w:val="24"/>
          <w:rtl w:val="0"/>
        </w:rPr>
        <w:t xml:space="preserve">Conferencia</w:t>
      </w:r>
      <w:r w:rsidDel="00000000" w:rsidR="00000000" w:rsidRPr="00000000">
        <w:rPr>
          <w:sz w:val="24"/>
          <w:szCs w:val="24"/>
          <w:rtl w:val="0"/>
        </w:rPr>
        <w:t xml:space="preserve"> Internacional de Direito Penal: outubro de 1988. Rio de Janeiro: Centro de Estudos da Procuradoria Geral da Defensoria Pública do Estado do Rio de Janeiro, 1991. </w:t>
      </w:r>
    </w:p>
    <w:p w:rsidR="00000000" w:rsidDel="00000000" w:rsidP="00000000" w:rsidRDefault="00000000" w:rsidRPr="00000000" w14:paraId="00000051">
      <w:pPr>
        <w:spacing w:after="200" w:line="360" w:lineRule="auto"/>
        <w:ind w:firstLine="708.6614173228347"/>
        <w:jc w:val="both"/>
        <w:rPr>
          <w:sz w:val="24"/>
          <w:szCs w:val="24"/>
        </w:rPr>
      </w:pPr>
      <w:r w:rsidDel="00000000" w:rsidR="00000000" w:rsidRPr="00000000">
        <w:rPr>
          <w:sz w:val="24"/>
          <w:szCs w:val="24"/>
          <w:rtl w:val="0"/>
        </w:rPr>
        <w:t xml:space="preserve">BARBOSA, Rui. </w:t>
      </w:r>
      <w:r w:rsidDel="00000000" w:rsidR="00000000" w:rsidRPr="00000000">
        <w:rPr>
          <w:b w:val="1"/>
          <w:sz w:val="24"/>
          <w:szCs w:val="24"/>
          <w:rtl w:val="0"/>
        </w:rPr>
        <w:t xml:space="preserve">Escritos e discursos seletos</w:t>
      </w:r>
      <w:r w:rsidDel="00000000" w:rsidR="00000000" w:rsidRPr="00000000">
        <w:rPr>
          <w:sz w:val="24"/>
          <w:szCs w:val="24"/>
          <w:rtl w:val="0"/>
        </w:rPr>
        <w:t xml:space="preserve">. Rio de Janeiro, Nova Aguilar, 1995. BASTIAT, Frédéric. The Bastiat collection. 2. ed. Auburn: Mises Institute, 2011. </w:t>
      </w:r>
    </w:p>
    <w:p w:rsidR="00000000" w:rsidDel="00000000" w:rsidP="00000000" w:rsidRDefault="00000000" w:rsidRPr="00000000" w14:paraId="00000052">
      <w:pPr>
        <w:spacing w:after="200" w:line="360" w:lineRule="auto"/>
        <w:ind w:firstLine="708.6614173228347"/>
        <w:jc w:val="both"/>
        <w:rPr>
          <w:sz w:val="24"/>
          <w:szCs w:val="24"/>
        </w:rPr>
      </w:pPr>
      <w:r w:rsidDel="00000000" w:rsidR="00000000" w:rsidRPr="00000000">
        <w:rPr>
          <w:sz w:val="24"/>
          <w:szCs w:val="24"/>
          <w:rtl w:val="0"/>
        </w:rPr>
        <w:t xml:space="preserve">BOBBIO, Norberto; MATTEUCCI, Nicola; PASQUINO, </w:t>
      </w:r>
      <w:r w:rsidDel="00000000" w:rsidR="00000000" w:rsidRPr="00000000">
        <w:rPr>
          <w:sz w:val="24"/>
          <w:szCs w:val="24"/>
          <w:rtl w:val="0"/>
        </w:rPr>
        <w:t xml:space="preserve">Giafranco</w:t>
      </w:r>
      <w:r w:rsidDel="00000000" w:rsidR="00000000" w:rsidRPr="00000000">
        <w:rPr>
          <w:sz w:val="24"/>
          <w:szCs w:val="24"/>
          <w:rtl w:val="0"/>
        </w:rPr>
        <w:t xml:space="preserve">.</w:t>
      </w:r>
      <w:r w:rsidDel="00000000" w:rsidR="00000000" w:rsidRPr="00000000">
        <w:rPr>
          <w:b w:val="1"/>
          <w:sz w:val="24"/>
          <w:szCs w:val="24"/>
          <w:rtl w:val="0"/>
        </w:rPr>
        <w:t xml:space="preserve"> Dicionário de política</w:t>
      </w:r>
      <w:r w:rsidDel="00000000" w:rsidR="00000000" w:rsidRPr="00000000">
        <w:rPr>
          <w:sz w:val="24"/>
          <w:szCs w:val="24"/>
          <w:rtl w:val="0"/>
        </w:rPr>
        <w:t xml:space="preserve">. Tradução de Carmen C. Varriale et al. 7. ed. Brasília: Universidade de Brasília, 1995.  </w:t>
      </w:r>
    </w:p>
    <w:p w:rsidR="00000000" w:rsidDel="00000000" w:rsidP="00000000" w:rsidRDefault="00000000" w:rsidRPr="00000000" w14:paraId="00000053">
      <w:pPr>
        <w:spacing w:after="200" w:line="360" w:lineRule="auto"/>
        <w:ind w:firstLine="708.6614173228347"/>
        <w:jc w:val="both"/>
        <w:rPr>
          <w:sz w:val="24"/>
          <w:szCs w:val="24"/>
        </w:rPr>
      </w:pPr>
      <w:r w:rsidDel="00000000" w:rsidR="00000000" w:rsidRPr="00000000">
        <w:rPr>
          <w:sz w:val="24"/>
          <w:szCs w:val="24"/>
          <w:rtl w:val="0"/>
        </w:rPr>
        <w:t xml:space="preserve">FANON, Frantz. </w:t>
      </w:r>
      <w:r w:rsidDel="00000000" w:rsidR="00000000" w:rsidRPr="00000000">
        <w:rPr>
          <w:b w:val="1"/>
          <w:sz w:val="24"/>
          <w:szCs w:val="24"/>
          <w:rtl w:val="0"/>
        </w:rPr>
        <w:t xml:space="preserve">Pele negra, máscaras brancas</w:t>
      </w:r>
      <w:r w:rsidDel="00000000" w:rsidR="00000000" w:rsidRPr="00000000">
        <w:rPr>
          <w:sz w:val="24"/>
          <w:szCs w:val="24"/>
          <w:rtl w:val="0"/>
        </w:rPr>
        <w:t xml:space="preserve">. Salvador, EDUFPA, 2008. Disponível em: https://www.geledes.org.br/wpcontent/uploads/2014/05/Frantz_Fanon_Pele_negra_mascaras_brancas.pdf. Acesso em: 29 ago. 2024.  </w:t>
      </w:r>
    </w:p>
    <w:p w:rsidR="00000000" w:rsidDel="00000000" w:rsidP="00000000" w:rsidRDefault="00000000" w:rsidRPr="00000000" w14:paraId="00000054">
      <w:pPr>
        <w:spacing w:after="200" w:line="360" w:lineRule="auto"/>
        <w:ind w:firstLine="708.6614173228347"/>
        <w:jc w:val="both"/>
        <w:rPr>
          <w:sz w:val="24"/>
          <w:szCs w:val="24"/>
        </w:rPr>
      </w:pPr>
      <w:r w:rsidDel="00000000" w:rsidR="00000000" w:rsidRPr="00000000">
        <w:rPr>
          <w:sz w:val="24"/>
          <w:szCs w:val="24"/>
          <w:rtl w:val="0"/>
        </w:rPr>
        <w:t xml:space="preserve">FERRAJOLI, Luigi. </w:t>
      </w:r>
      <w:r w:rsidDel="00000000" w:rsidR="00000000" w:rsidRPr="00000000">
        <w:rPr>
          <w:b w:val="1"/>
          <w:sz w:val="24"/>
          <w:szCs w:val="24"/>
          <w:rtl w:val="0"/>
        </w:rPr>
        <w:t xml:space="preserve">A pena em uma sociedade democrática</w:t>
      </w:r>
      <w:r w:rsidDel="00000000" w:rsidR="00000000" w:rsidRPr="00000000">
        <w:rPr>
          <w:sz w:val="24"/>
          <w:szCs w:val="24"/>
          <w:rtl w:val="0"/>
        </w:rPr>
        <w:t xml:space="preserve">. Trad.: Christiano Fragoso. Instituto Carioca de Criminologia. In.: Revista Discursos Sediciosos: crime, direito e sociedade. V. 12. Rio de Janeiro: Freitas Bastos, 2002.</w:t>
      </w:r>
    </w:p>
    <w:p w:rsidR="00000000" w:rsidDel="00000000" w:rsidP="00000000" w:rsidRDefault="00000000" w:rsidRPr="00000000" w14:paraId="00000055">
      <w:pPr>
        <w:spacing w:after="200" w:line="360" w:lineRule="auto"/>
        <w:ind w:firstLine="708.6614173228347"/>
        <w:jc w:val="both"/>
        <w:rPr>
          <w:sz w:val="24"/>
          <w:szCs w:val="24"/>
        </w:rPr>
      </w:pPr>
      <w:r w:rsidDel="00000000" w:rsidR="00000000" w:rsidRPr="00000000">
        <w:rPr>
          <w:sz w:val="24"/>
          <w:szCs w:val="24"/>
          <w:rtl w:val="0"/>
        </w:rPr>
        <w:t xml:space="preserve">MAMEDE, Juliana Maria Borges. </w:t>
      </w:r>
      <w:r w:rsidDel="00000000" w:rsidR="00000000" w:rsidRPr="00000000">
        <w:rPr>
          <w:b w:val="1"/>
          <w:sz w:val="24"/>
          <w:szCs w:val="24"/>
          <w:rtl w:val="0"/>
        </w:rPr>
        <w:t xml:space="preserve">A crise da segurança pública e as facções criminosas</w:t>
      </w:r>
      <w:r w:rsidDel="00000000" w:rsidR="00000000" w:rsidRPr="00000000">
        <w:rPr>
          <w:sz w:val="24"/>
          <w:szCs w:val="24"/>
          <w:rtl w:val="0"/>
        </w:rPr>
        <w:t xml:space="preserve">. 2015. 120 f. Dissertação (Mestrado em Segurança Pública) – Universidade Federal de Minas Gerais, Belo Horizonte, 2015.</w:t>
      </w:r>
    </w:p>
    <w:p w:rsidR="00000000" w:rsidDel="00000000" w:rsidP="00000000" w:rsidRDefault="00000000" w:rsidRPr="00000000" w14:paraId="00000056">
      <w:pPr>
        <w:spacing w:after="200" w:line="360" w:lineRule="auto"/>
        <w:ind w:firstLine="708.6614173228347"/>
        <w:jc w:val="both"/>
        <w:rPr>
          <w:sz w:val="24"/>
          <w:szCs w:val="24"/>
        </w:rPr>
      </w:pPr>
      <w:r w:rsidDel="00000000" w:rsidR="00000000" w:rsidRPr="00000000">
        <w:rPr>
          <w:sz w:val="24"/>
          <w:szCs w:val="24"/>
          <w:rtl w:val="0"/>
        </w:rPr>
        <w:t xml:space="preserve">OLIVEIRA, Mara Repolíticagina de. </w:t>
      </w:r>
      <w:r w:rsidDel="00000000" w:rsidR="00000000" w:rsidRPr="00000000">
        <w:rPr>
          <w:b w:val="1"/>
          <w:sz w:val="24"/>
          <w:szCs w:val="24"/>
          <w:rtl w:val="0"/>
        </w:rPr>
        <w:t xml:space="preserve">Abuso de poder estatal, violência e esvaziamento dos Direitos Fundamentais no Brasil:  Um diálogo possível entre o cinema e as teorias críticas do Direito.</w:t>
      </w:r>
      <w:r w:rsidDel="00000000" w:rsidR="00000000" w:rsidRPr="00000000">
        <w:rPr>
          <w:sz w:val="24"/>
          <w:szCs w:val="24"/>
          <w:rtl w:val="0"/>
        </w:rPr>
        <w:t xml:space="preserve"> Revista Mestrado em Direito, Osasco, ano 10, n. 1, p. 161-192, dezembro de 2009. Disponível em: http://www.mpsp.mp.br/portal/page/portal/documentacao_e_divulgacao/doc_bibliotec a/bibli_servicos_produtos/bibli_informativo/bibli_inf_2006/Rev-Dir-HumFund_v.10_n.01.07.pdf. Acesso em: 30 ago. 2024. </w:t>
      </w:r>
    </w:p>
    <w:p w:rsidR="00000000" w:rsidDel="00000000" w:rsidP="00000000" w:rsidRDefault="00000000" w:rsidRPr="00000000" w14:paraId="00000057">
      <w:pPr>
        <w:spacing w:after="200" w:line="360" w:lineRule="auto"/>
        <w:ind w:firstLine="708.6614173228347"/>
        <w:jc w:val="both"/>
        <w:rPr>
          <w:rFonts w:ascii="Times New Roman" w:cs="Times New Roman" w:eastAsia="Times New Roman" w:hAnsi="Times New Roman"/>
        </w:rPr>
      </w:pPr>
      <w:r w:rsidDel="00000000" w:rsidR="00000000" w:rsidRPr="00000000">
        <w:rPr>
          <w:sz w:val="24"/>
          <w:szCs w:val="24"/>
          <w:rtl w:val="0"/>
        </w:rPr>
        <w:t xml:space="preserve">RIBEIRO JÚNIOR, João. </w:t>
      </w:r>
      <w:r w:rsidDel="00000000" w:rsidR="00000000" w:rsidRPr="00000000">
        <w:rPr>
          <w:b w:val="1"/>
          <w:sz w:val="24"/>
          <w:szCs w:val="24"/>
          <w:rtl w:val="0"/>
        </w:rPr>
        <w:t xml:space="preserve">Teoria geral do Estado e Ciência </w:t>
      </w:r>
      <w:r w:rsidDel="00000000" w:rsidR="00000000" w:rsidRPr="00000000">
        <w:rPr>
          <w:sz w:val="24"/>
          <w:szCs w:val="24"/>
          <w:rtl w:val="0"/>
        </w:rPr>
        <w:t xml:space="preserve">. 2.ed. Bauru: EDIPRO, 2001</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5B">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Graduando em Direito na Universidade Estadual do Maranhão; jpbalata@gmail.com.</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