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372A69" w:rsidRDefault="00372A69">
      <w:pPr>
        <w:widowControl w:val="0"/>
        <w:pBdr>
          <w:top w:val="nil"/>
          <w:left w:val="nil"/>
          <w:bottom w:val="nil"/>
          <w:right w:val="nil"/>
          <w:between w:val="nil"/>
        </w:pBdr>
      </w:pPr>
      <w:bookmarkStart w:id="0" w:name="_GoBack"/>
      <w:bookmarkEnd w:id="0"/>
    </w:p>
    <w:p w14:paraId="00000002" w14:textId="77777777" w:rsidR="00372A69" w:rsidRDefault="00EF11B4">
      <w:pPr>
        <w:spacing w:line="360" w:lineRule="auto"/>
        <w:jc w:val="center"/>
        <w:rPr>
          <w:sz w:val="24"/>
          <w:szCs w:val="24"/>
        </w:rPr>
      </w:pPr>
      <w:r>
        <w:rPr>
          <w:b/>
        </w:rPr>
        <w:t>T</w:t>
      </w:r>
      <w:r>
        <w:rPr>
          <w:b/>
          <w:sz w:val="24"/>
          <w:szCs w:val="24"/>
        </w:rPr>
        <w:t xml:space="preserve">ENDÊNCIAS POLÍTICAS, ECONÔMICAS E TÉCNICAS DA PARTICIPAÇÃO EM SAÚDE: </w:t>
      </w:r>
      <w:r>
        <w:rPr>
          <w:sz w:val="24"/>
          <w:szCs w:val="24"/>
        </w:rPr>
        <w:t>referências dos documentos da OMS</w:t>
      </w:r>
    </w:p>
    <w:p w14:paraId="00000003" w14:textId="77777777" w:rsidR="00372A69" w:rsidRDefault="00372A69">
      <w:pPr>
        <w:spacing w:line="240" w:lineRule="auto"/>
        <w:ind w:left="2835"/>
        <w:jc w:val="both"/>
        <w:rPr>
          <w:b/>
        </w:rPr>
      </w:pPr>
    </w:p>
    <w:p w14:paraId="00000004" w14:textId="77777777" w:rsidR="00372A69" w:rsidRDefault="00EF11B4">
      <w:pPr>
        <w:jc w:val="right"/>
        <w:rPr>
          <w:sz w:val="20"/>
          <w:szCs w:val="20"/>
        </w:rPr>
      </w:pPr>
      <w:r>
        <w:rPr>
          <w:sz w:val="20"/>
          <w:szCs w:val="20"/>
        </w:rPr>
        <w:t>Andreia Oliveira</w:t>
      </w:r>
      <w:r>
        <w:rPr>
          <w:sz w:val="20"/>
          <w:szCs w:val="20"/>
          <w:vertAlign w:val="superscript"/>
        </w:rPr>
        <w:footnoteReference w:id="1"/>
      </w:r>
    </w:p>
    <w:p w14:paraId="00000005" w14:textId="77777777" w:rsidR="00372A69" w:rsidRDefault="00EF11B4">
      <w:pPr>
        <w:jc w:val="right"/>
        <w:rPr>
          <w:rFonts w:ascii="Times New Roman" w:eastAsia="Times New Roman" w:hAnsi="Times New Roman" w:cs="Times New Roman"/>
          <w:sz w:val="20"/>
          <w:szCs w:val="20"/>
        </w:rPr>
      </w:pPr>
      <w:r>
        <w:rPr>
          <w:sz w:val="20"/>
          <w:szCs w:val="20"/>
        </w:rPr>
        <w:t>Tânia Regina Krüger</w:t>
      </w:r>
      <w:r>
        <w:rPr>
          <w:sz w:val="20"/>
          <w:szCs w:val="20"/>
          <w:vertAlign w:val="superscript"/>
        </w:rPr>
        <w:footnoteReference w:id="2"/>
      </w:r>
    </w:p>
    <w:p w14:paraId="00000006" w14:textId="77777777" w:rsidR="00372A69" w:rsidRDefault="00EF11B4">
      <w:pPr>
        <w:spacing w:line="240" w:lineRule="auto"/>
        <w:ind w:left="2835"/>
        <w:jc w:val="both"/>
        <w:rPr>
          <w:b/>
          <w:sz w:val="20"/>
          <w:szCs w:val="20"/>
        </w:rPr>
      </w:pPr>
      <w:r>
        <w:rPr>
          <w:b/>
          <w:sz w:val="20"/>
          <w:szCs w:val="20"/>
        </w:rPr>
        <w:t xml:space="preserve"> </w:t>
      </w:r>
    </w:p>
    <w:p w14:paraId="00000007" w14:textId="77777777" w:rsidR="00372A69" w:rsidRDefault="00EF11B4">
      <w:pPr>
        <w:spacing w:line="240" w:lineRule="auto"/>
        <w:ind w:left="2834"/>
        <w:jc w:val="both"/>
        <w:rPr>
          <w:b/>
          <w:sz w:val="20"/>
          <w:szCs w:val="20"/>
        </w:rPr>
      </w:pPr>
      <w:r>
        <w:rPr>
          <w:b/>
          <w:sz w:val="20"/>
          <w:szCs w:val="20"/>
        </w:rPr>
        <w:t>Resumo</w:t>
      </w:r>
    </w:p>
    <w:p w14:paraId="00000008" w14:textId="77777777" w:rsidR="00372A69" w:rsidRDefault="00372A69">
      <w:pPr>
        <w:spacing w:line="240" w:lineRule="auto"/>
        <w:ind w:left="2834"/>
        <w:jc w:val="both"/>
        <w:rPr>
          <w:b/>
          <w:sz w:val="20"/>
          <w:szCs w:val="20"/>
        </w:rPr>
      </w:pPr>
    </w:p>
    <w:p w14:paraId="00000009" w14:textId="77777777" w:rsidR="00372A69" w:rsidRDefault="00EF11B4">
      <w:pPr>
        <w:spacing w:line="240" w:lineRule="auto"/>
        <w:ind w:left="2834"/>
        <w:jc w:val="both"/>
        <w:rPr>
          <w:sz w:val="20"/>
          <w:szCs w:val="20"/>
        </w:rPr>
      </w:pPr>
      <w:r>
        <w:rPr>
          <w:sz w:val="20"/>
          <w:szCs w:val="20"/>
        </w:rPr>
        <w:t>Este estudo tem como objetivo analisar como a participação é conceituada e fundamentada nos âmbitos político, econômico e técnico em documentos da Organização Mundial da Saúde (OMS). Trata-se de uma pesquisa qualitativa, de caráter exploratório, fundamenta</w:t>
      </w:r>
      <w:r>
        <w:rPr>
          <w:sz w:val="20"/>
          <w:szCs w:val="20"/>
        </w:rPr>
        <w:t xml:space="preserve">da na análise de quatro documentos institucionais: a Conferência de Alma-Ata (1978), a 1ª Conferência Internacional sobre Promoção da Saúde (1986), a Conferência Global sobre Atenção Primária à Saúde (2018) e a resolução </w:t>
      </w:r>
      <w:r>
        <w:rPr>
          <w:i/>
          <w:sz w:val="20"/>
          <w:szCs w:val="20"/>
        </w:rPr>
        <w:t>Participación social para la cobert</w:t>
      </w:r>
      <w:r>
        <w:rPr>
          <w:i/>
          <w:sz w:val="20"/>
          <w:szCs w:val="20"/>
        </w:rPr>
        <w:t>ura sanitaria universal, la salud y el bienestar</w:t>
      </w:r>
      <w:r>
        <w:rPr>
          <w:sz w:val="20"/>
          <w:szCs w:val="20"/>
        </w:rPr>
        <w:t>, aprovada na 77ª Assembleia Mundial da Saúde (2024). Os resultados indicam que, nos referidos documentos, a participação não é compreendida como direito de cidadania, tampouco como prática política sustentad</w:t>
      </w:r>
      <w:r>
        <w:rPr>
          <w:sz w:val="20"/>
          <w:szCs w:val="20"/>
        </w:rPr>
        <w:t>a por relações democráticas entre Estado e sociedade. Também não é tratada como processo de articulação entre forças sociais e econômicas voltado à construção ou ao fortalecimento dos serviços públicos de saúde.</w:t>
      </w:r>
    </w:p>
    <w:p w14:paraId="0000000A" w14:textId="77777777" w:rsidR="00372A69" w:rsidRDefault="00EF11B4">
      <w:pPr>
        <w:spacing w:line="240" w:lineRule="auto"/>
        <w:ind w:left="2880"/>
        <w:jc w:val="both"/>
        <w:rPr>
          <w:sz w:val="20"/>
          <w:szCs w:val="20"/>
        </w:rPr>
      </w:pPr>
      <w:r>
        <w:rPr>
          <w:b/>
          <w:sz w:val="20"/>
          <w:szCs w:val="20"/>
        </w:rPr>
        <w:t>Palavras-chave</w:t>
      </w:r>
      <w:r>
        <w:rPr>
          <w:sz w:val="20"/>
          <w:szCs w:val="20"/>
        </w:rPr>
        <w:t>: participação, saúde, Organiz</w:t>
      </w:r>
      <w:r>
        <w:rPr>
          <w:sz w:val="20"/>
          <w:szCs w:val="20"/>
        </w:rPr>
        <w:t>ação Mundial da Saúde, soberania sanitária, políticas de saúde.</w:t>
      </w:r>
    </w:p>
    <w:p w14:paraId="0000000B" w14:textId="77777777" w:rsidR="00372A69" w:rsidRDefault="00372A69">
      <w:pPr>
        <w:spacing w:line="240" w:lineRule="auto"/>
        <w:ind w:left="2835"/>
        <w:jc w:val="both"/>
        <w:rPr>
          <w:sz w:val="20"/>
          <w:szCs w:val="20"/>
        </w:rPr>
      </w:pPr>
    </w:p>
    <w:p w14:paraId="0000000C" w14:textId="77777777" w:rsidR="00372A69" w:rsidRPr="004B2877" w:rsidRDefault="00EF11B4">
      <w:pPr>
        <w:spacing w:line="240" w:lineRule="auto"/>
        <w:ind w:left="2835"/>
        <w:jc w:val="both"/>
        <w:rPr>
          <w:b/>
          <w:sz w:val="20"/>
          <w:szCs w:val="20"/>
          <w:lang w:val="en-US"/>
        </w:rPr>
      </w:pPr>
      <w:r w:rsidRPr="004B2877">
        <w:rPr>
          <w:b/>
          <w:sz w:val="20"/>
          <w:szCs w:val="20"/>
          <w:lang w:val="en-US"/>
        </w:rPr>
        <w:t>Abstract</w:t>
      </w:r>
    </w:p>
    <w:p w14:paraId="0000000D" w14:textId="77777777" w:rsidR="00372A69" w:rsidRPr="004B2877" w:rsidRDefault="00372A69">
      <w:pPr>
        <w:spacing w:line="240" w:lineRule="auto"/>
        <w:ind w:left="2835"/>
        <w:jc w:val="both"/>
        <w:rPr>
          <w:b/>
          <w:sz w:val="20"/>
          <w:szCs w:val="20"/>
          <w:lang w:val="en-US"/>
        </w:rPr>
      </w:pPr>
    </w:p>
    <w:p w14:paraId="0000000E" w14:textId="77777777" w:rsidR="00372A69" w:rsidRPr="004B2877" w:rsidRDefault="00EF11B4">
      <w:pPr>
        <w:spacing w:line="240" w:lineRule="auto"/>
        <w:ind w:left="2835"/>
        <w:jc w:val="both"/>
        <w:rPr>
          <w:sz w:val="20"/>
          <w:szCs w:val="20"/>
          <w:lang w:val="en-US"/>
        </w:rPr>
      </w:pPr>
      <w:r w:rsidRPr="004B2877">
        <w:rPr>
          <w:sz w:val="20"/>
          <w:szCs w:val="20"/>
          <w:lang w:val="en-US"/>
        </w:rPr>
        <w:t>This study aims to analyze how participation is conceptualized and grounded in the political, economic, and technical domains within documents from the World Health Organization (WH</w:t>
      </w:r>
      <w:r w:rsidRPr="004B2877">
        <w:rPr>
          <w:sz w:val="20"/>
          <w:szCs w:val="20"/>
          <w:lang w:val="en-US"/>
        </w:rPr>
        <w:t>O). It is a qualitative, exploratory research based on the analysis of four institutional documents: the Alma-Ata Conference (1978), the 1st International Conference on Health Promotion (1986), the Global Conference on Primary Health Care (2018), and the r</w:t>
      </w:r>
      <w:r w:rsidRPr="004B2877">
        <w:rPr>
          <w:sz w:val="20"/>
          <w:szCs w:val="20"/>
          <w:lang w:val="en-US"/>
        </w:rPr>
        <w:t xml:space="preserve">esolution </w:t>
      </w:r>
      <w:r w:rsidRPr="004B2877">
        <w:rPr>
          <w:i/>
          <w:sz w:val="20"/>
          <w:szCs w:val="20"/>
          <w:lang w:val="en-US"/>
        </w:rPr>
        <w:t>Social participation for universal health coverage, health and well-being</w:t>
      </w:r>
      <w:r w:rsidRPr="004B2877">
        <w:rPr>
          <w:sz w:val="20"/>
          <w:szCs w:val="20"/>
          <w:lang w:val="en-US"/>
        </w:rPr>
        <w:t>, approved at the 77th World Health Assembly (2024). The findings indicate that, in these documents, participation is not understood as a citizenship right, nor as a politic</w:t>
      </w:r>
      <w:r w:rsidRPr="004B2877">
        <w:rPr>
          <w:sz w:val="20"/>
          <w:szCs w:val="20"/>
          <w:lang w:val="en-US"/>
        </w:rPr>
        <w:t>al practice sustained by democratic relations between the State and society. It is also not treated as a process of articulation between social and economic forces aimed at building or strengthening public health services.</w:t>
      </w:r>
    </w:p>
    <w:p w14:paraId="0000000F" w14:textId="77777777" w:rsidR="00372A69" w:rsidRPr="004B2877" w:rsidRDefault="00EF11B4">
      <w:pPr>
        <w:spacing w:line="240" w:lineRule="auto"/>
        <w:ind w:left="2880"/>
        <w:jc w:val="both"/>
        <w:rPr>
          <w:sz w:val="20"/>
          <w:szCs w:val="20"/>
          <w:lang w:val="en-US"/>
        </w:rPr>
      </w:pPr>
      <w:r w:rsidRPr="004B2877">
        <w:rPr>
          <w:b/>
          <w:sz w:val="20"/>
          <w:szCs w:val="20"/>
          <w:lang w:val="en-US"/>
        </w:rPr>
        <w:t>Keywords:</w:t>
      </w:r>
      <w:r w:rsidRPr="004B2877">
        <w:rPr>
          <w:sz w:val="20"/>
          <w:szCs w:val="20"/>
          <w:lang w:val="en-US"/>
        </w:rPr>
        <w:t xml:space="preserve"> participation, health, </w:t>
      </w:r>
      <w:r w:rsidRPr="004B2877">
        <w:rPr>
          <w:sz w:val="20"/>
          <w:szCs w:val="20"/>
          <w:lang w:val="en-US"/>
        </w:rPr>
        <w:t>World Health Organization, health sovereignty, health policies.</w:t>
      </w:r>
    </w:p>
    <w:p w14:paraId="00000010" w14:textId="77777777" w:rsidR="00372A69" w:rsidRPr="004B2877" w:rsidRDefault="00372A69">
      <w:pPr>
        <w:spacing w:line="360" w:lineRule="auto"/>
        <w:jc w:val="both"/>
        <w:rPr>
          <w:sz w:val="24"/>
          <w:szCs w:val="24"/>
          <w:lang w:val="en-US"/>
        </w:rPr>
      </w:pPr>
    </w:p>
    <w:p w14:paraId="00000011" w14:textId="77777777" w:rsidR="00372A69" w:rsidRDefault="00EF11B4">
      <w:pPr>
        <w:numPr>
          <w:ilvl w:val="0"/>
          <w:numId w:val="1"/>
        </w:numPr>
        <w:spacing w:before="240" w:after="240"/>
        <w:ind w:right="-142"/>
        <w:rPr>
          <w:b/>
          <w:sz w:val="24"/>
          <w:szCs w:val="24"/>
        </w:rPr>
      </w:pPr>
      <w:r>
        <w:rPr>
          <w:b/>
          <w:sz w:val="24"/>
          <w:szCs w:val="24"/>
        </w:rPr>
        <w:t>INTRODUÇÃO</w:t>
      </w:r>
    </w:p>
    <w:p w14:paraId="00000012" w14:textId="77777777" w:rsidR="00372A69" w:rsidRDefault="00EF11B4">
      <w:pPr>
        <w:spacing w:line="360" w:lineRule="auto"/>
        <w:ind w:firstLine="700"/>
        <w:jc w:val="both"/>
        <w:rPr>
          <w:sz w:val="24"/>
          <w:szCs w:val="24"/>
        </w:rPr>
      </w:pPr>
      <w:r>
        <w:rPr>
          <w:sz w:val="24"/>
          <w:szCs w:val="24"/>
        </w:rPr>
        <w:t>Em uma conjuntura em que expressões como democracia, direito social e cidadania vêm perdendo seu status de palavra de ordem das lutas populares, é importante reconhecer que esses conceitos foram historicamente hegemonizados e reconceituados sob a lógica da</w:t>
      </w:r>
      <w:r>
        <w:rPr>
          <w:sz w:val="24"/>
          <w:szCs w:val="24"/>
        </w:rPr>
        <w:t xml:space="preserve"> colonialidade do poder e das referências da ciência liberal vinculada ao Norte Global.</w:t>
      </w:r>
    </w:p>
    <w:p w14:paraId="00000013" w14:textId="77777777" w:rsidR="00372A69" w:rsidRDefault="00EF11B4">
      <w:pPr>
        <w:spacing w:line="360" w:lineRule="auto"/>
        <w:ind w:firstLine="700"/>
        <w:jc w:val="both"/>
        <w:rPr>
          <w:sz w:val="24"/>
          <w:szCs w:val="24"/>
        </w:rPr>
      </w:pPr>
      <w:r>
        <w:rPr>
          <w:sz w:val="24"/>
          <w:szCs w:val="24"/>
        </w:rPr>
        <w:t xml:space="preserve">No império do mundo digital, guiado por algoritmos, com a lógica financeira se sobrepondo à solidariedade internacional e o mercado ocupando o lugar do serviço público </w:t>
      </w:r>
      <w:r>
        <w:rPr>
          <w:sz w:val="24"/>
          <w:szCs w:val="24"/>
        </w:rPr>
        <w:t xml:space="preserve">como direito social e realização estatal, os conceitos de participação permanecem presentes, porém de forma radicalmente flexibilizada e sujeitos a contínuos processos de reconceituação. De modo geral, em documentos políticos de diferentes naturezas, seja </w:t>
      </w:r>
      <w:r>
        <w:rPr>
          <w:sz w:val="24"/>
          <w:szCs w:val="24"/>
        </w:rPr>
        <w:t>do âmbito privado, do setor público e das organizações da sociedade civil, o termo “participação” costuma ser citado com entusiasmo, associado a promessas de transparência, acesso a serviços e informações. Entretanto, avaliamos esse processo como algo ficc</w:t>
      </w:r>
      <w:r>
        <w:rPr>
          <w:sz w:val="24"/>
          <w:szCs w:val="24"/>
        </w:rPr>
        <w:t xml:space="preserve">ional na grande maioria das vezes. </w:t>
      </w:r>
    </w:p>
    <w:p w14:paraId="00000014" w14:textId="77777777" w:rsidR="00372A69" w:rsidRDefault="00EF11B4">
      <w:pPr>
        <w:spacing w:line="360" w:lineRule="auto"/>
        <w:ind w:firstLine="700"/>
        <w:jc w:val="both"/>
        <w:rPr>
          <w:sz w:val="24"/>
          <w:szCs w:val="24"/>
        </w:rPr>
      </w:pPr>
      <w:r>
        <w:rPr>
          <w:sz w:val="24"/>
          <w:szCs w:val="24"/>
        </w:rPr>
        <w:t>Neste contexto, propomos reflexões sobre o tema da participação nas políticas sociais, especialmente na política de saúde, a partir de uma perspectiva sócio-histórica que a compreende como um direito social vinculado à d</w:t>
      </w:r>
      <w:r>
        <w:rPr>
          <w:sz w:val="24"/>
          <w:szCs w:val="24"/>
        </w:rPr>
        <w:t>emocratização do Estado. Entendemos a participação em saúde como um elemento central da gestão pública democrática, articulada a uma política social de padrão institucional e redistributivo, orientada pelo universalismo dos direitos, quando o objetivo é ul</w:t>
      </w:r>
      <w:r>
        <w:rPr>
          <w:sz w:val="24"/>
          <w:szCs w:val="24"/>
        </w:rPr>
        <w:t>trapassar a participação passiva, instrumental e restrita à noção vernacular de "tomar parte" (Pastorini, 1997).</w:t>
      </w:r>
    </w:p>
    <w:p w14:paraId="00000015" w14:textId="77777777" w:rsidR="00372A69" w:rsidRDefault="00EF11B4">
      <w:pPr>
        <w:spacing w:line="360" w:lineRule="auto"/>
        <w:ind w:firstLine="700"/>
        <w:jc w:val="both"/>
        <w:rPr>
          <w:sz w:val="24"/>
          <w:szCs w:val="24"/>
        </w:rPr>
      </w:pPr>
      <w:r>
        <w:rPr>
          <w:sz w:val="24"/>
          <w:szCs w:val="24"/>
        </w:rPr>
        <w:t>O reconhecimento jurídico do direito à participação nas políticas sociais reposiciona as relações na sociedade e atribui existência pública aos</w:t>
      </w:r>
      <w:r>
        <w:rPr>
          <w:sz w:val="24"/>
          <w:szCs w:val="24"/>
        </w:rPr>
        <w:t xml:space="preserve"> espaços participativos. Dessa forma, a gestão participativa pode gerar decisões políticas mais coerentes, ao socializar, ampliar e fortalecer os processos decisórios, fazendo com que as escolhas reflitam as opiniões, as expectativas e as necessidades, tan</w:t>
      </w:r>
      <w:r>
        <w:rPr>
          <w:sz w:val="24"/>
          <w:szCs w:val="24"/>
        </w:rPr>
        <w:t xml:space="preserve">to individuais quanto coletivas. A gestão </w:t>
      </w:r>
      <w:r>
        <w:rPr>
          <w:sz w:val="24"/>
          <w:szCs w:val="24"/>
        </w:rPr>
        <w:lastRenderedPageBreak/>
        <w:t>participativa, assim, rompe com a solidão arrogante do gestor, dificulta a aceitação da tecnocracia, gera responsabilidade cívica, obriga à prestação de contas e garante ao cidadão o direito à cobrança. (Nogueira 2</w:t>
      </w:r>
      <w:r>
        <w:rPr>
          <w:sz w:val="24"/>
          <w:szCs w:val="24"/>
        </w:rPr>
        <w:t>004, Torres 2018).</w:t>
      </w:r>
    </w:p>
    <w:p w14:paraId="00000016" w14:textId="77777777" w:rsidR="00372A69" w:rsidRDefault="00EF11B4">
      <w:pPr>
        <w:spacing w:line="360" w:lineRule="auto"/>
        <w:ind w:firstLine="700"/>
        <w:jc w:val="both"/>
        <w:rPr>
          <w:sz w:val="24"/>
          <w:szCs w:val="24"/>
        </w:rPr>
      </w:pPr>
      <w:r>
        <w:rPr>
          <w:sz w:val="24"/>
          <w:szCs w:val="24"/>
        </w:rPr>
        <w:t xml:space="preserve">A administração pública, por sua vez, tem historicamente reproduzido a colonialidade do poder, inclusive por meio das reformas periódicas às quais tem sido submetida sob as lentes do Norte Global. Como afirmam Basile e Feo (2022): “Cada </w:t>
      </w:r>
      <w:r>
        <w:rPr>
          <w:sz w:val="24"/>
          <w:szCs w:val="24"/>
        </w:rPr>
        <w:t>reforma y su episteme han producido sedimentaciones, condensaciones institucionales en los Estados, en las sociedades y en los sistemas sanitarios a lo largo de todo el siglo XX.” Assim, fazer gestão participativa, segundo a concepção aqui proposta, implic</w:t>
      </w:r>
      <w:r>
        <w:rPr>
          <w:sz w:val="24"/>
          <w:szCs w:val="24"/>
        </w:rPr>
        <w:t>a questionar e romper com os sedimentos do saber-poder colonial.</w:t>
      </w:r>
    </w:p>
    <w:p w14:paraId="00000017" w14:textId="77777777" w:rsidR="00372A69" w:rsidRDefault="00EF11B4">
      <w:pPr>
        <w:spacing w:line="360" w:lineRule="auto"/>
        <w:ind w:firstLine="700"/>
        <w:jc w:val="both"/>
        <w:rPr>
          <w:sz w:val="24"/>
          <w:szCs w:val="24"/>
        </w:rPr>
      </w:pPr>
      <w:r>
        <w:rPr>
          <w:sz w:val="24"/>
          <w:szCs w:val="24"/>
        </w:rPr>
        <w:t>Os movimentos de redemocratização na América Latina, após longos períodos de ditadura, lutaram para que a participação fosse incluída como princípio nas novas constituições nacionais. No enta</w:t>
      </w:r>
      <w:r>
        <w:rPr>
          <w:sz w:val="24"/>
          <w:szCs w:val="24"/>
        </w:rPr>
        <w:t>nto, a correlação de forças sociais, econômicas e políticas resultou em formas diferenciadas de participação nas políticas públicas de cada Estado nacional, as quais, com suas especificidades, conformam-se e subordinam-se à geopolítica liberal do Norte Glo</w:t>
      </w:r>
      <w:r>
        <w:rPr>
          <w:sz w:val="24"/>
          <w:szCs w:val="24"/>
        </w:rPr>
        <w:t>bal.</w:t>
      </w:r>
    </w:p>
    <w:p w14:paraId="00000018" w14:textId="77777777" w:rsidR="00372A69" w:rsidRDefault="00EF11B4">
      <w:pPr>
        <w:spacing w:line="360" w:lineRule="auto"/>
        <w:ind w:firstLine="700"/>
        <w:jc w:val="both"/>
        <w:rPr>
          <w:sz w:val="24"/>
          <w:szCs w:val="24"/>
        </w:rPr>
      </w:pPr>
      <w:r>
        <w:rPr>
          <w:sz w:val="24"/>
          <w:szCs w:val="24"/>
        </w:rPr>
        <w:t>O universo participacionista que o setor saúde construiu nas últimas décadas em diversos países (Maricato, 2012) tem, em geral, reproduzido processos de dependência político-sanitária de cunho biomédico, curativo-assistencial e mercantilizado. Tais pr</w:t>
      </w:r>
      <w:r>
        <w:rPr>
          <w:sz w:val="24"/>
          <w:szCs w:val="24"/>
        </w:rPr>
        <w:t>ocessos não são apenas fenômenos externos, mas também se manifestam internamente nas estruturas acadêmicas, por meio do ensino e da pesquisa, na gestão pública da saúde, na distribuição de recursos do fundo público e nas referências socioculturais da socie</w:t>
      </w:r>
      <w:r>
        <w:rPr>
          <w:sz w:val="24"/>
          <w:szCs w:val="24"/>
        </w:rPr>
        <w:t>dade sobre os serviços de saúde.</w:t>
      </w:r>
    </w:p>
    <w:p w14:paraId="00000019" w14:textId="77777777" w:rsidR="00372A69" w:rsidRDefault="00EF11B4">
      <w:pPr>
        <w:spacing w:line="360" w:lineRule="auto"/>
        <w:ind w:firstLine="700"/>
        <w:jc w:val="both"/>
        <w:rPr>
          <w:sz w:val="24"/>
          <w:szCs w:val="24"/>
        </w:rPr>
      </w:pPr>
      <w:r>
        <w:rPr>
          <w:sz w:val="24"/>
          <w:szCs w:val="24"/>
        </w:rPr>
        <w:t>Diante dessas determinações impostas pela geopolítica liberal hegemônica, não se presume a existência de um conceito único de participação quando se trata de participação social na saúde. Diversas são as intenções, finalida</w:t>
      </w:r>
      <w:r>
        <w:rPr>
          <w:sz w:val="24"/>
          <w:szCs w:val="24"/>
        </w:rPr>
        <w:t xml:space="preserve">des, pautas, formas de organização e composição que perpassam os espaços participativos nesse campo. Para este artigo, no entanto, o objetivo central é identificar como a participação é conceituada </w:t>
      </w:r>
      <w:r>
        <w:rPr>
          <w:sz w:val="24"/>
          <w:szCs w:val="24"/>
        </w:rPr>
        <w:lastRenderedPageBreak/>
        <w:t>e fundamentada em documentos da Organização Mundial da Saú</w:t>
      </w:r>
      <w:r>
        <w:rPr>
          <w:sz w:val="24"/>
          <w:szCs w:val="24"/>
        </w:rPr>
        <w:t>de (OMS), os quais orientam e condicionam as políticas de saúde no mundo, em especial na América Latina.</w:t>
      </w:r>
    </w:p>
    <w:p w14:paraId="0000001A" w14:textId="77777777" w:rsidR="00372A69" w:rsidRDefault="00EF11B4">
      <w:pPr>
        <w:spacing w:line="360" w:lineRule="auto"/>
        <w:ind w:firstLine="700"/>
        <w:jc w:val="both"/>
        <w:rPr>
          <w:sz w:val="24"/>
          <w:szCs w:val="24"/>
        </w:rPr>
      </w:pPr>
      <w:r>
        <w:rPr>
          <w:sz w:val="24"/>
          <w:szCs w:val="24"/>
        </w:rPr>
        <w:t>Nesse cenário contemporâneo de austeridade fiscal, regressividade no campo dos direitos sociais e da gestão pública, o presente manuscrito desenvolve s</w:t>
      </w:r>
      <w:r>
        <w:rPr>
          <w:sz w:val="24"/>
          <w:szCs w:val="24"/>
        </w:rPr>
        <w:t xml:space="preserve">ua proposta com base na análise das tendências políticas, econômicas e técnicas da participação social na saúde. Para isso, foram examinados os seguintes documentos da OMS: a) a Conferência Internacional sobre Cuidados Primários de Saúde (Alma-Ata, 1978); </w:t>
      </w:r>
      <w:r>
        <w:rPr>
          <w:sz w:val="24"/>
          <w:szCs w:val="24"/>
        </w:rPr>
        <w:t xml:space="preserve">b) a Primeira Conferência Internacional sobre Promoção da Saúde (Ottawa, 1986); c) a Conferência Global sobre Atenção Primária à Saúde (Astana, Cazaquistão, 2018); e d) a resolução intitulada </w:t>
      </w:r>
      <w:r>
        <w:rPr>
          <w:i/>
          <w:sz w:val="24"/>
          <w:szCs w:val="24"/>
        </w:rPr>
        <w:t>Participación social para la cobertura sanitaria universal, la s</w:t>
      </w:r>
      <w:r>
        <w:rPr>
          <w:i/>
          <w:sz w:val="24"/>
          <w:szCs w:val="24"/>
        </w:rPr>
        <w:t>alud y el bienestar</w:t>
      </w:r>
      <w:r>
        <w:rPr>
          <w:sz w:val="24"/>
          <w:szCs w:val="24"/>
        </w:rPr>
        <w:t xml:space="preserve"> (2024), aprovada na 77ª Assembleia Mundial da Saúde, em Genebra.</w:t>
      </w:r>
    </w:p>
    <w:p w14:paraId="0000001B" w14:textId="77777777" w:rsidR="00372A69" w:rsidRDefault="00372A69">
      <w:pPr>
        <w:spacing w:line="360" w:lineRule="auto"/>
        <w:ind w:firstLine="700"/>
        <w:jc w:val="both"/>
        <w:rPr>
          <w:sz w:val="24"/>
          <w:szCs w:val="24"/>
        </w:rPr>
      </w:pPr>
    </w:p>
    <w:p w14:paraId="0000001C" w14:textId="77777777" w:rsidR="00372A69" w:rsidRDefault="00EF11B4">
      <w:pPr>
        <w:spacing w:after="240" w:line="360" w:lineRule="auto"/>
        <w:jc w:val="both"/>
        <w:rPr>
          <w:b/>
          <w:sz w:val="24"/>
          <w:szCs w:val="24"/>
        </w:rPr>
      </w:pPr>
      <w:r>
        <w:rPr>
          <w:b/>
          <w:sz w:val="24"/>
          <w:szCs w:val="24"/>
        </w:rPr>
        <w:t>2. OS FUNDAMENTOS DAS REFERÊNCIAS À PARTICIPAÇÃO EM SAÚDE NA OMS</w:t>
      </w:r>
    </w:p>
    <w:p w14:paraId="0000001D" w14:textId="77777777" w:rsidR="00372A69" w:rsidRDefault="00EF11B4">
      <w:pPr>
        <w:spacing w:line="360" w:lineRule="auto"/>
        <w:ind w:firstLine="709"/>
        <w:jc w:val="both"/>
        <w:rPr>
          <w:sz w:val="24"/>
          <w:szCs w:val="24"/>
        </w:rPr>
      </w:pPr>
      <w:r>
        <w:rPr>
          <w:sz w:val="24"/>
          <w:szCs w:val="24"/>
        </w:rPr>
        <w:t>Com uma retórica de desenvolvimento para promover a saúde de todos os povos do mundo, realizou-se em Alma-Ata em 1978, a Conferência Internacional sobre Atenção Primária à Saúde. Com representantes de 134 países, este evento inseriu-se no debate mais geral</w:t>
      </w:r>
      <w:r>
        <w:rPr>
          <w:sz w:val="24"/>
          <w:szCs w:val="24"/>
        </w:rPr>
        <w:t xml:space="preserve"> sobre o desenvolvimento e a cooperação internacional de tonalidade reformista ao longo da década de 1970. Sua maior bandeira, Saúde Para Todos no ano 2000, guarda conexão com os preceitos de autossuficiência coletiva, de cooperação técnica entre países em</w:t>
      </w:r>
      <w:r>
        <w:rPr>
          <w:sz w:val="24"/>
          <w:szCs w:val="24"/>
        </w:rPr>
        <w:t xml:space="preserve"> desenvolvimento, a adoção de soluções cientificamente embasadas, adaptadas às necessidades e sustentada preferencialmente (Pires-Alves, Cueto, 2017)</w:t>
      </w:r>
    </w:p>
    <w:p w14:paraId="0000001E" w14:textId="77777777" w:rsidR="00372A69" w:rsidRDefault="00EF11B4">
      <w:pPr>
        <w:spacing w:line="360" w:lineRule="auto"/>
        <w:ind w:firstLine="708"/>
        <w:jc w:val="both"/>
        <w:rPr>
          <w:sz w:val="24"/>
          <w:szCs w:val="24"/>
        </w:rPr>
      </w:pPr>
      <w:r>
        <w:rPr>
          <w:sz w:val="24"/>
          <w:szCs w:val="24"/>
        </w:rPr>
        <w:t>E neste contexto de pensar a saúde dos povos, o desenvolvimento e a cooperação internacional, que emerge o</w:t>
      </w:r>
      <w:r>
        <w:rPr>
          <w:sz w:val="24"/>
          <w:szCs w:val="24"/>
        </w:rPr>
        <w:t xml:space="preserve"> tema da participação em saúde na OMS. A Conferência Mundial de Saúde, de 1978, sobre Cuidados Primários em Saúde, reconheceu que a saúde não é simplesmente a ausência de doença, mas um direito humano fundamental. Quanto ao tema da participação social dest</w:t>
      </w:r>
      <w:r>
        <w:rPr>
          <w:sz w:val="24"/>
          <w:szCs w:val="24"/>
        </w:rPr>
        <w:t xml:space="preserve">acamos: </w:t>
      </w:r>
    </w:p>
    <w:p w14:paraId="0000001F" w14:textId="77777777" w:rsidR="00372A69" w:rsidRDefault="00EF11B4">
      <w:pPr>
        <w:spacing w:line="240" w:lineRule="auto"/>
        <w:ind w:left="1700"/>
        <w:jc w:val="both"/>
        <w:rPr>
          <w:sz w:val="20"/>
          <w:szCs w:val="20"/>
        </w:rPr>
      </w:pPr>
      <w:r>
        <w:rPr>
          <w:sz w:val="20"/>
          <w:szCs w:val="20"/>
        </w:rPr>
        <w:t>IV) É direito e dever dos povos participar individual e coletivamente no planejamento e na execução de seus cuidados de saúde; [...]</w:t>
      </w:r>
    </w:p>
    <w:p w14:paraId="00000020" w14:textId="77777777" w:rsidR="00372A69" w:rsidRDefault="00EF11B4">
      <w:pPr>
        <w:spacing w:line="240" w:lineRule="auto"/>
        <w:ind w:left="1701"/>
        <w:jc w:val="both"/>
        <w:rPr>
          <w:sz w:val="20"/>
          <w:szCs w:val="20"/>
        </w:rPr>
      </w:pPr>
      <w:r>
        <w:rPr>
          <w:sz w:val="20"/>
          <w:szCs w:val="20"/>
        </w:rPr>
        <w:lastRenderedPageBreak/>
        <w:t>VI) Os cuidados primários de saúde são cuidados essenciais de saúde baseados em métodos e tecnologias práticas, ci</w:t>
      </w:r>
      <w:r>
        <w:rPr>
          <w:sz w:val="20"/>
          <w:szCs w:val="20"/>
        </w:rPr>
        <w:t>entificamente bem fundamentadas e socialmente aceitáveis, colocadas ao alcance universal de indivíduos e famílias da comunidade, mediante sua plena participação e a um custo que a comunidade e o país possam manter em cada fase de seu desenvolvimento, no es</w:t>
      </w:r>
      <w:r>
        <w:rPr>
          <w:sz w:val="20"/>
          <w:szCs w:val="20"/>
        </w:rPr>
        <w:t>pírito de autoconfiança e automedicação; [...]</w:t>
      </w:r>
    </w:p>
    <w:p w14:paraId="00000021" w14:textId="77777777" w:rsidR="00372A69" w:rsidRDefault="00EF11B4">
      <w:pPr>
        <w:spacing w:line="240" w:lineRule="auto"/>
        <w:ind w:left="1701"/>
        <w:jc w:val="both"/>
        <w:rPr>
          <w:sz w:val="20"/>
          <w:szCs w:val="20"/>
        </w:rPr>
      </w:pPr>
      <w:r>
        <w:rPr>
          <w:sz w:val="20"/>
          <w:szCs w:val="20"/>
        </w:rPr>
        <w:t xml:space="preserve">VII) Os cuidados primários de saúde: [...] Requerem e promovem a máxima autoconfiança e participação comunitária e individual no planejamento, organização, operação e controle dos cuidados primários de saúde, </w:t>
      </w:r>
      <w:r>
        <w:rPr>
          <w:sz w:val="20"/>
          <w:szCs w:val="20"/>
        </w:rPr>
        <w:t>fazendo o mais pleno uso possível de recursos disponíveis, locais, nacionais e outros, e para esse fim desenvolvem, através da educação apropriada, a capacidade de participação das comunidades. (Organização Mundial de Saúde, 1978, p.1-3)</w:t>
      </w:r>
    </w:p>
    <w:p w14:paraId="00000022" w14:textId="77777777" w:rsidR="00372A69" w:rsidRDefault="00372A69">
      <w:pPr>
        <w:spacing w:line="360" w:lineRule="auto"/>
        <w:ind w:firstLine="708"/>
        <w:jc w:val="both"/>
        <w:rPr>
          <w:sz w:val="24"/>
          <w:szCs w:val="24"/>
        </w:rPr>
      </w:pPr>
    </w:p>
    <w:p w14:paraId="00000023" w14:textId="77777777" w:rsidR="00372A69" w:rsidRDefault="00EF11B4">
      <w:pPr>
        <w:spacing w:line="360" w:lineRule="auto"/>
        <w:ind w:firstLine="708"/>
        <w:jc w:val="both"/>
        <w:rPr>
          <w:sz w:val="24"/>
          <w:szCs w:val="24"/>
        </w:rPr>
      </w:pPr>
      <w:r>
        <w:rPr>
          <w:sz w:val="24"/>
          <w:szCs w:val="24"/>
        </w:rPr>
        <w:t>A tônica desses d</w:t>
      </w:r>
      <w:r>
        <w:rPr>
          <w:sz w:val="24"/>
          <w:szCs w:val="24"/>
        </w:rPr>
        <w:t>ocumentos está na valorização da participação da população e do saber popular, ao lado da medicina tecnológica ou ocidental. Outra ênfase dada pela a OMS e UNICEF é a cooperação e colaboração entre os governos, organizações internacionais, entidades multil</w:t>
      </w:r>
      <w:r>
        <w:rPr>
          <w:sz w:val="24"/>
          <w:szCs w:val="24"/>
        </w:rPr>
        <w:t>aterais e bilaterais, agências financeiras, todos os que trabalham no campo da saúde e toda a comunidade mundial a apoiar um compromisso nacional e internacional para com os cuidados primários de saúde, particularmente nos países em desenvolvimento</w:t>
      </w:r>
    </w:p>
    <w:p w14:paraId="00000024" w14:textId="77777777" w:rsidR="00372A69" w:rsidRDefault="00EF11B4">
      <w:pPr>
        <w:spacing w:line="360" w:lineRule="auto"/>
        <w:ind w:firstLine="708"/>
        <w:jc w:val="both"/>
        <w:rPr>
          <w:sz w:val="24"/>
          <w:szCs w:val="24"/>
        </w:rPr>
      </w:pPr>
      <w:r>
        <w:rPr>
          <w:sz w:val="24"/>
          <w:szCs w:val="24"/>
        </w:rPr>
        <w:t>Assim a</w:t>
      </w:r>
      <w:r>
        <w:rPr>
          <w:sz w:val="24"/>
          <w:szCs w:val="24"/>
        </w:rPr>
        <w:t xml:space="preserve">s políticas de desenvolvimento, de segurança e de combate à pobreza apoiavam as medidas para lograr o desenvolvimento econômico, mas foram priorizadas políticas e estratégias de menor custo (Silva, 2000), via participação da comunidade na execução de seus </w:t>
      </w:r>
      <w:r>
        <w:rPr>
          <w:sz w:val="24"/>
          <w:szCs w:val="24"/>
        </w:rPr>
        <w:t>cuidados de saúde. Além do que as Fundações Rockefeller e Ford, presentes no evento tinham uma política de defesa de uma atenção primária seletiva (Pires-Alves, Cueto, 2017). Organizada longe de qualquer consenso a Conferência ao mesmo tempo representou um</w:t>
      </w:r>
      <w:r>
        <w:rPr>
          <w:sz w:val="24"/>
          <w:szCs w:val="24"/>
        </w:rPr>
        <w:t>a política relativamente alargada com vistas travar a simpatia e/ou adesão do movimentos dos trabalhadores as políticas da URSS e silenciar quanto aos serviços de saúde organizados próximos ao local de moradia pela Revolução Cubana na América Latina (Facch</w:t>
      </w:r>
      <w:r>
        <w:rPr>
          <w:sz w:val="24"/>
          <w:szCs w:val="24"/>
        </w:rPr>
        <w:t>ini, 2018).</w:t>
      </w:r>
    </w:p>
    <w:p w14:paraId="00000025" w14:textId="77777777" w:rsidR="00372A69" w:rsidRDefault="00EF11B4">
      <w:pPr>
        <w:spacing w:line="360" w:lineRule="auto"/>
        <w:ind w:firstLine="708"/>
        <w:jc w:val="both"/>
        <w:rPr>
          <w:sz w:val="24"/>
          <w:szCs w:val="24"/>
        </w:rPr>
      </w:pPr>
      <w:r>
        <w:rPr>
          <w:sz w:val="24"/>
          <w:szCs w:val="24"/>
        </w:rPr>
        <w:t xml:space="preserve">No ano seguinte, em 1979, em reunião realizada sob o influxo da Fundação Rockefeller, em colaboração com agências internacionais, como o Banco Mundial e a Fundação Ford, entra na agenda a difusão de uma perspectiva restrita e seletiva da </w:t>
      </w:r>
      <w:r>
        <w:rPr>
          <w:sz w:val="24"/>
          <w:szCs w:val="24"/>
        </w:rPr>
        <w:lastRenderedPageBreak/>
        <w:t>Atenção Primária à</w:t>
      </w:r>
      <w:r>
        <w:rPr>
          <w:sz w:val="24"/>
          <w:szCs w:val="24"/>
        </w:rPr>
        <w:t xml:space="preserve"> Saúde (APS), na qual se fortalece uma dimensão instrumental de participação, com ênfase no autocuidado. (Vianna, 2009; Giovanella, Mendonça, 2012). </w:t>
      </w:r>
    </w:p>
    <w:p w14:paraId="00000026" w14:textId="77777777" w:rsidR="00372A69" w:rsidRDefault="00EF11B4">
      <w:pPr>
        <w:pBdr>
          <w:top w:val="nil"/>
          <w:left w:val="nil"/>
          <w:bottom w:val="nil"/>
          <w:right w:val="nil"/>
          <w:between w:val="nil"/>
        </w:pBdr>
        <w:spacing w:line="360" w:lineRule="auto"/>
        <w:ind w:firstLine="708"/>
        <w:jc w:val="both"/>
        <w:rPr>
          <w:color w:val="000000"/>
          <w:sz w:val="24"/>
          <w:szCs w:val="24"/>
        </w:rPr>
      </w:pPr>
      <w:r>
        <w:rPr>
          <w:color w:val="000000"/>
          <w:sz w:val="24"/>
          <w:szCs w:val="24"/>
        </w:rPr>
        <w:t xml:space="preserve">Em contexto de disputas de projetos de saúde distintos, e seguindo orientações da Declaração de Alma Ata, </w:t>
      </w:r>
      <w:r>
        <w:rPr>
          <w:color w:val="000000"/>
          <w:sz w:val="24"/>
          <w:szCs w:val="24"/>
        </w:rPr>
        <w:t>o processo de redemocratização e o movimento de Reforma Sanitária vivido por alguns países possibilitaram a construção de novas legislações nacionais de saúde para o serviço público no qual a participação está entre seus fundamentos. Em meio a esta onda re</w:t>
      </w:r>
      <w:r>
        <w:rPr>
          <w:color w:val="000000"/>
          <w:sz w:val="24"/>
          <w:szCs w:val="24"/>
        </w:rPr>
        <w:t>lativamente redemocratizadora da saúde, realizou-se a Primeira Conferência Internacional sobre Promoção da Saúde, em 1986 na cidade de Ottawa/Canadá. A Carta de Ottawa orienta que a Promoção da Saúde deve ter como “guia o princípio de que em cada fase do p</w:t>
      </w:r>
      <w:r>
        <w:rPr>
          <w:color w:val="000000"/>
          <w:sz w:val="24"/>
          <w:szCs w:val="24"/>
        </w:rPr>
        <w:t>lanejamento, implementação e avaliação das atividades de promoção da saúde, homens e mulheres devem participar como parceiros iguais” (Ottawa, 1986, p. 4). No decorrer da Carta, a participação ainda apresenta</w:t>
      </w:r>
      <w:r>
        <w:rPr>
          <w:color w:val="FF0000"/>
          <w:sz w:val="24"/>
          <w:szCs w:val="24"/>
        </w:rPr>
        <w:t xml:space="preserve"> </w:t>
      </w:r>
      <w:r>
        <w:rPr>
          <w:color w:val="000000"/>
          <w:sz w:val="24"/>
          <w:szCs w:val="24"/>
        </w:rPr>
        <w:t xml:space="preserve">os seguintes sentidos: </w:t>
      </w:r>
    </w:p>
    <w:p w14:paraId="00000027" w14:textId="77777777" w:rsidR="00372A69" w:rsidRDefault="00372A69">
      <w:pPr>
        <w:pBdr>
          <w:top w:val="nil"/>
          <w:left w:val="nil"/>
          <w:bottom w:val="nil"/>
          <w:right w:val="nil"/>
          <w:between w:val="nil"/>
        </w:pBdr>
        <w:spacing w:line="240" w:lineRule="auto"/>
        <w:ind w:firstLine="708"/>
        <w:jc w:val="both"/>
        <w:rPr>
          <w:color w:val="000000"/>
          <w:sz w:val="14"/>
          <w:szCs w:val="14"/>
        </w:rPr>
      </w:pPr>
    </w:p>
    <w:p w14:paraId="00000028" w14:textId="77777777" w:rsidR="00372A69" w:rsidRDefault="00EF11B4">
      <w:pPr>
        <w:pBdr>
          <w:top w:val="nil"/>
          <w:left w:val="nil"/>
          <w:bottom w:val="nil"/>
          <w:right w:val="nil"/>
          <w:between w:val="nil"/>
        </w:pBdr>
        <w:spacing w:line="240" w:lineRule="auto"/>
        <w:ind w:left="1701"/>
        <w:jc w:val="both"/>
        <w:rPr>
          <w:color w:val="000000"/>
          <w:sz w:val="20"/>
          <w:szCs w:val="20"/>
        </w:rPr>
      </w:pPr>
      <w:r>
        <w:rPr>
          <w:color w:val="000000"/>
          <w:sz w:val="20"/>
          <w:szCs w:val="20"/>
        </w:rPr>
        <w:t>As pessoas, em todas a</w:t>
      </w:r>
      <w:r>
        <w:rPr>
          <w:color w:val="000000"/>
          <w:sz w:val="20"/>
          <w:szCs w:val="20"/>
        </w:rPr>
        <w:t>s esferas da vida, devem envolver-se neste processo como indivíduos, famílias e comunidades. Todos devem trabalhar juntos, no sentido de criarem um sistema de saúde que contribua para a conquista de um elevado nível de saúde [...] o incremento do poder das</w:t>
      </w:r>
      <w:r>
        <w:rPr>
          <w:color w:val="000000"/>
          <w:sz w:val="20"/>
          <w:szCs w:val="20"/>
        </w:rPr>
        <w:t xml:space="preserve"> comunidades – a posse e o controle dos seus próprios esforços e destino; [...] o desenvolvimento das comunidades [...] para intensificar a auto-ajuda e o apoio social, e para desenvolver sistemas flexíveis de reforço da participação popular na direção dos</w:t>
      </w:r>
      <w:r>
        <w:rPr>
          <w:color w:val="000000"/>
          <w:sz w:val="20"/>
          <w:szCs w:val="20"/>
        </w:rPr>
        <w:t xml:space="preserve"> assuntos de saúde (Ottawa, 1986, p. 2 </w:t>
      </w:r>
      <w:r>
        <w:rPr>
          <w:sz w:val="20"/>
          <w:szCs w:val="20"/>
        </w:rPr>
        <w:t xml:space="preserve">- </w:t>
      </w:r>
      <w:r>
        <w:rPr>
          <w:color w:val="000000"/>
          <w:sz w:val="20"/>
          <w:szCs w:val="20"/>
        </w:rPr>
        <w:t>3).</w:t>
      </w:r>
    </w:p>
    <w:p w14:paraId="00000029" w14:textId="77777777" w:rsidR="00372A69" w:rsidRDefault="00372A69">
      <w:pPr>
        <w:pBdr>
          <w:top w:val="nil"/>
          <w:left w:val="nil"/>
          <w:bottom w:val="nil"/>
          <w:right w:val="nil"/>
          <w:between w:val="nil"/>
        </w:pBdr>
        <w:spacing w:line="240" w:lineRule="auto"/>
        <w:ind w:left="1701"/>
        <w:jc w:val="both"/>
        <w:rPr>
          <w:color w:val="000000"/>
          <w:sz w:val="18"/>
          <w:szCs w:val="18"/>
        </w:rPr>
      </w:pPr>
    </w:p>
    <w:p w14:paraId="0000002A" w14:textId="77777777" w:rsidR="00372A69" w:rsidRDefault="00EF11B4">
      <w:pPr>
        <w:pBdr>
          <w:top w:val="nil"/>
          <w:left w:val="nil"/>
          <w:bottom w:val="nil"/>
          <w:right w:val="nil"/>
          <w:between w:val="nil"/>
        </w:pBdr>
        <w:spacing w:line="360" w:lineRule="auto"/>
        <w:ind w:firstLine="708"/>
        <w:jc w:val="both"/>
        <w:rPr>
          <w:color w:val="000000"/>
          <w:sz w:val="24"/>
          <w:szCs w:val="24"/>
        </w:rPr>
      </w:pPr>
      <w:r>
        <w:rPr>
          <w:color w:val="000000"/>
          <w:sz w:val="24"/>
          <w:szCs w:val="24"/>
        </w:rPr>
        <w:t>Em outubro de 2018, na cidade de Astana/Cazaquistão, a OMS e o Fundo das Nações Unidas para a Infância/United Nations Children’s Emergency Fund (Unicef), realizaram a Conferência Global sobre Atenção Primária à Saúde, com o objetivo de revisar a Declaração</w:t>
      </w:r>
      <w:r>
        <w:rPr>
          <w:color w:val="000000"/>
          <w:sz w:val="24"/>
          <w:szCs w:val="24"/>
        </w:rPr>
        <w:t xml:space="preserve"> de Alma-Ata quarenta anos depois. Para </w:t>
      </w:r>
      <w:r>
        <w:rPr>
          <w:sz w:val="24"/>
          <w:szCs w:val="24"/>
        </w:rPr>
        <w:t>garantir</w:t>
      </w:r>
      <w:r>
        <w:rPr>
          <w:color w:val="000000"/>
          <w:sz w:val="24"/>
          <w:szCs w:val="24"/>
        </w:rPr>
        <w:t xml:space="preserve"> a saúde e o bem-estar de todos, o texto da declaração de Astana dá centralidade à organização da atenção primária e cobertura universal dos serviços.</w:t>
      </w:r>
    </w:p>
    <w:p w14:paraId="0000002B" w14:textId="77777777" w:rsidR="00372A69" w:rsidRDefault="00EF11B4">
      <w:pPr>
        <w:pBdr>
          <w:top w:val="nil"/>
          <w:left w:val="nil"/>
          <w:bottom w:val="nil"/>
          <w:right w:val="nil"/>
          <w:between w:val="nil"/>
        </w:pBdr>
        <w:spacing w:line="360" w:lineRule="auto"/>
        <w:ind w:firstLine="708"/>
        <w:jc w:val="both"/>
        <w:rPr>
          <w:color w:val="212121"/>
          <w:sz w:val="24"/>
          <w:szCs w:val="24"/>
        </w:rPr>
      </w:pPr>
      <w:r>
        <w:rPr>
          <w:color w:val="000000"/>
          <w:sz w:val="24"/>
          <w:szCs w:val="24"/>
        </w:rPr>
        <w:t xml:space="preserve">A estratégia para alcançar esses propósitos centra-se na </w:t>
      </w:r>
      <w:r>
        <w:rPr>
          <w:color w:val="000000"/>
          <w:sz w:val="24"/>
          <w:szCs w:val="24"/>
        </w:rPr>
        <w:t xml:space="preserve">cooperação das partes interessadas, na promoção da </w:t>
      </w:r>
      <w:r>
        <w:rPr>
          <w:color w:val="212121"/>
          <w:sz w:val="24"/>
          <w:szCs w:val="24"/>
        </w:rPr>
        <w:t>solidariedade, ética, direitos humanos, empoderamento da comunidade e a responsabilização dos setores público e privado, para que um número maior de pessoas tenha vida ​​em ambientes favoráveis ​​e saudáve</w:t>
      </w:r>
      <w:r>
        <w:rPr>
          <w:color w:val="212121"/>
          <w:sz w:val="24"/>
          <w:szCs w:val="24"/>
        </w:rPr>
        <w:t>is (OMS, UNICEF, 2018).</w:t>
      </w:r>
    </w:p>
    <w:p w14:paraId="0000002C" w14:textId="77777777" w:rsidR="00372A69" w:rsidRDefault="00EF11B4">
      <w:pPr>
        <w:pBdr>
          <w:top w:val="nil"/>
          <w:left w:val="nil"/>
          <w:bottom w:val="nil"/>
          <w:right w:val="nil"/>
          <w:between w:val="nil"/>
        </w:pBdr>
        <w:spacing w:line="360" w:lineRule="auto"/>
        <w:ind w:firstLine="708"/>
        <w:jc w:val="both"/>
        <w:rPr>
          <w:color w:val="212121"/>
          <w:sz w:val="24"/>
          <w:szCs w:val="24"/>
        </w:rPr>
      </w:pPr>
      <w:r>
        <w:rPr>
          <w:color w:val="000000"/>
          <w:sz w:val="24"/>
          <w:szCs w:val="24"/>
        </w:rPr>
        <w:lastRenderedPageBreak/>
        <w:t>Sobre participação a Declaração de Astana apresenta o compromisso de que:</w:t>
      </w:r>
      <w:r>
        <w:rPr>
          <w:sz w:val="24"/>
          <w:szCs w:val="24"/>
        </w:rPr>
        <w:t xml:space="preserve"> “Lograremos la participación de más partes interesadas en el logro de la salud para todos, a fin de no dejar a nadie atrás, a la vez que abordaremos y gestion</w:t>
      </w:r>
      <w:r>
        <w:rPr>
          <w:sz w:val="24"/>
          <w:szCs w:val="24"/>
        </w:rPr>
        <w:t>aremos los conflictos de intereses, fomentaremos la transparencia y estableceremos una gobernanza participativa". (</w:t>
      </w:r>
      <w:r>
        <w:rPr>
          <w:color w:val="212121"/>
          <w:sz w:val="24"/>
          <w:szCs w:val="24"/>
        </w:rPr>
        <w:t>OMS, UNICEF, 2018, p.6).</w:t>
      </w:r>
    </w:p>
    <w:p w14:paraId="0000002D" w14:textId="77777777" w:rsidR="00372A69" w:rsidRDefault="00EF11B4">
      <w:pPr>
        <w:spacing w:line="360" w:lineRule="auto"/>
        <w:jc w:val="both"/>
        <w:rPr>
          <w:color w:val="212121"/>
          <w:sz w:val="24"/>
          <w:szCs w:val="24"/>
        </w:rPr>
      </w:pPr>
      <w:r>
        <w:rPr>
          <w:sz w:val="24"/>
          <w:szCs w:val="24"/>
        </w:rPr>
        <w:t xml:space="preserve"> </w:t>
      </w:r>
      <w:r>
        <w:rPr>
          <w:sz w:val="24"/>
          <w:szCs w:val="24"/>
        </w:rPr>
        <w:tab/>
        <w:t>Sobre o êxito da atenção primária à saúde</w:t>
      </w:r>
      <w:proofErr w:type="gramStart"/>
      <w:r>
        <w:rPr>
          <w:color w:val="212121"/>
          <w:sz w:val="24"/>
          <w:szCs w:val="24"/>
        </w:rPr>
        <w:t>:</w:t>
      </w:r>
      <w:r>
        <w:rPr>
          <w:sz w:val="24"/>
          <w:szCs w:val="24"/>
        </w:rPr>
        <w:t xml:space="preserve">  “</w:t>
      </w:r>
      <w:proofErr w:type="gramEnd"/>
      <w:r>
        <w:rPr>
          <w:sz w:val="24"/>
          <w:szCs w:val="24"/>
        </w:rPr>
        <w:t>A través de tecnologías digitales y de otro tipo, permitiremos que las personas y las comunidades identifiquen sus necesidades de salud, participen en la planificación y prestación de servicios y desempeñen un papel activo en el mantenimiento de su prop</w:t>
      </w:r>
      <w:r>
        <w:rPr>
          <w:sz w:val="24"/>
          <w:szCs w:val="24"/>
        </w:rPr>
        <w:t xml:space="preserve">ia salud y bienestar". </w:t>
      </w:r>
      <w:r>
        <w:rPr>
          <w:color w:val="212121"/>
          <w:sz w:val="24"/>
          <w:szCs w:val="24"/>
        </w:rPr>
        <w:t>(OMS. UNICEF, 2018, p.9).</w:t>
      </w:r>
    </w:p>
    <w:p w14:paraId="0000002E" w14:textId="77777777" w:rsidR="00372A69" w:rsidRDefault="00EF11B4">
      <w:pPr>
        <w:spacing w:line="360" w:lineRule="auto"/>
        <w:ind w:firstLine="708"/>
        <w:jc w:val="both"/>
        <w:rPr>
          <w:sz w:val="24"/>
          <w:szCs w:val="24"/>
        </w:rPr>
      </w:pPr>
      <w:r>
        <w:rPr>
          <w:sz w:val="24"/>
          <w:szCs w:val="24"/>
        </w:rPr>
        <w:t xml:space="preserve">O documento indica também o propósito de empoderar as pessoas e as comunidades </w:t>
      </w:r>
      <w:r>
        <w:rPr>
          <w:color w:val="212121"/>
          <w:sz w:val="24"/>
          <w:szCs w:val="24"/>
        </w:rPr>
        <w:t>(OMS, UNICEF, 2018, p.10):</w:t>
      </w:r>
    </w:p>
    <w:p w14:paraId="0000002F" w14:textId="77777777" w:rsidR="00372A69" w:rsidRDefault="00EF11B4">
      <w:pPr>
        <w:spacing w:line="240" w:lineRule="auto"/>
        <w:ind w:left="2268"/>
        <w:jc w:val="both"/>
        <w:rPr>
          <w:sz w:val="20"/>
          <w:szCs w:val="20"/>
        </w:rPr>
      </w:pPr>
      <w:r>
        <w:rPr>
          <w:sz w:val="20"/>
          <w:szCs w:val="20"/>
        </w:rPr>
        <w:t>Apoyamos la implicación de las personas, las familias, las comunidades y la sociedad civil mediante s</w:t>
      </w:r>
      <w:r>
        <w:rPr>
          <w:sz w:val="20"/>
          <w:szCs w:val="20"/>
        </w:rPr>
        <w:t>u participación en la elaboración y aplicación de políticas y planes que repercutan en la salud. Promoveremos la educación sobre la salud y trabajaremos para satisfacer las expectativas de las personas y las comunidades en cuanto a la obtención de informac</w:t>
      </w:r>
      <w:r>
        <w:rPr>
          <w:sz w:val="20"/>
          <w:szCs w:val="20"/>
        </w:rPr>
        <w:t xml:space="preserve">ión fiable sobre la salud. Ayudaremos a las personas a adquirir los conocimientos, habilidades y recursos necesarios para mantener su salud o la salud de aquellos a quienes atienden, guiados por profesionales sanitarios. </w:t>
      </w:r>
    </w:p>
    <w:p w14:paraId="00000030" w14:textId="77777777" w:rsidR="00372A69" w:rsidRDefault="00372A69">
      <w:pPr>
        <w:jc w:val="both"/>
        <w:rPr>
          <w:sz w:val="24"/>
          <w:szCs w:val="24"/>
        </w:rPr>
      </w:pPr>
    </w:p>
    <w:p w14:paraId="00000031" w14:textId="77777777" w:rsidR="00372A69" w:rsidRDefault="00EF11B4">
      <w:pPr>
        <w:spacing w:line="360" w:lineRule="auto"/>
        <w:ind w:firstLine="708"/>
        <w:jc w:val="both"/>
        <w:rPr>
          <w:sz w:val="24"/>
          <w:szCs w:val="24"/>
        </w:rPr>
      </w:pPr>
      <w:r>
        <w:rPr>
          <w:sz w:val="24"/>
          <w:szCs w:val="24"/>
        </w:rPr>
        <w:t>Em 2024, a 77ª Assembleia Mundial</w:t>
      </w:r>
      <w:r>
        <w:rPr>
          <w:sz w:val="24"/>
          <w:szCs w:val="24"/>
        </w:rPr>
        <w:t xml:space="preserve"> da Saúde, em Genebra, aprovou por 27 países dos seus 194 Estados-membros, uma resolução sobre a sociedade civil no processo de tomada de decisão das pautas relacionadas à saúde em âmbito mundial. A resolução sobre participação social se baseia em 17 acord</w:t>
      </w:r>
      <w:r>
        <w:rPr>
          <w:sz w:val="24"/>
          <w:szCs w:val="24"/>
        </w:rPr>
        <w:t>os intergovernamentais que afirmam a importância da participação social, entre eles: governança participativa e inclusiva da saúde para a cobertura universal de saúde (CUS) (Declaração Política sobre a Reunião de Alto Nível para a CUS 2023); empoderar pess</w:t>
      </w:r>
      <w:r>
        <w:rPr>
          <w:sz w:val="24"/>
          <w:szCs w:val="24"/>
        </w:rPr>
        <w:t>oas e comunidades como parte de uma abordagem de cuidados de saúde primários (Declaração de Astana 2018); Meta 16.7 do Objetivo de Desenvolvimento Sustentável (ODS) para uma tomada de decisão responsiva, inclusiva, participativa e representativa em todos o</w:t>
      </w:r>
      <w:r>
        <w:rPr>
          <w:sz w:val="24"/>
          <w:szCs w:val="24"/>
        </w:rPr>
        <w:t xml:space="preserve">s níveis (2015); e  participação pública, comunitária e da sociedade civil para a equidade em saúde (Declaração Política do Rio sobre Determinantes Sociais da Saúde 2011). </w:t>
      </w:r>
    </w:p>
    <w:p w14:paraId="00000032" w14:textId="77777777" w:rsidR="00372A69" w:rsidRDefault="00EF11B4">
      <w:pPr>
        <w:spacing w:line="360" w:lineRule="auto"/>
        <w:ind w:firstLine="720"/>
        <w:jc w:val="both"/>
        <w:rPr>
          <w:sz w:val="24"/>
          <w:szCs w:val="24"/>
        </w:rPr>
      </w:pPr>
      <w:r>
        <w:rPr>
          <w:sz w:val="24"/>
          <w:szCs w:val="24"/>
        </w:rPr>
        <w:lastRenderedPageBreak/>
        <w:t xml:space="preserve">Nesse contexto, a Resolução intitulada </w:t>
      </w:r>
      <w:r>
        <w:rPr>
          <w:i/>
          <w:sz w:val="24"/>
          <w:szCs w:val="24"/>
        </w:rPr>
        <w:t>Participación social para la cobertura sanit</w:t>
      </w:r>
      <w:r>
        <w:rPr>
          <w:i/>
          <w:sz w:val="24"/>
          <w:szCs w:val="24"/>
        </w:rPr>
        <w:t>aria universal, la salud y el bienestar</w:t>
      </w:r>
      <w:r>
        <w:rPr>
          <w:sz w:val="24"/>
          <w:szCs w:val="24"/>
        </w:rPr>
        <w:t>, aprovada na 77ª Assembleia Mundial da Saúde, recomenda que os Estados-Membros adotem, fortaleçam e mantenham uma participação social periódica e significativa em todas as decisões relacionadas à saúde, levando em co</w:t>
      </w:r>
      <w:r>
        <w:rPr>
          <w:sz w:val="24"/>
          <w:szCs w:val="24"/>
        </w:rPr>
        <w:t>nsideração os contextos e prioridades nacionais. Entre as diretrizes estabelecidas, destacam-se: o fortalecimento da capacidade do setor público para planejar e implementar mecanismos efetivos de participação social; a promoção de uma participação equitati</w:t>
      </w:r>
      <w:r>
        <w:rPr>
          <w:sz w:val="24"/>
          <w:szCs w:val="24"/>
        </w:rPr>
        <w:t>va, diversa e inclusiva, com atenção especial às vozes de grupos em situação de vulnerabilidade e marginalização; e a garantia de que essa participação tenha influência real sobre os processos decisórios ao longo de todo o ciclo normativo, em todos os níve</w:t>
      </w:r>
      <w:r>
        <w:rPr>
          <w:sz w:val="24"/>
          <w:szCs w:val="24"/>
        </w:rPr>
        <w:t>is do sistema de saúde. A resolução também propõe a criação ou manutenção de mecanismos periódicos e transparentes de participação, sustentados por políticas públicas e marcos legais; a alocação de recursos públicos adequados e sustentáveis; o fortalecimen</w:t>
      </w:r>
      <w:r>
        <w:rPr>
          <w:sz w:val="24"/>
          <w:szCs w:val="24"/>
        </w:rPr>
        <w:t>to da sociedade civil para garantir a diversidade e a equidade nos espaços participativos; e o incentivo à pesquisa, ao monitoramento e à realização de projetos piloto que favoreçam a efetivação da participação social (WHO, 2024 - Tradução própria).</w:t>
      </w:r>
    </w:p>
    <w:p w14:paraId="00000033" w14:textId="77777777" w:rsidR="00372A69" w:rsidRDefault="00EF11B4">
      <w:pPr>
        <w:spacing w:line="360" w:lineRule="auto"/>
        <w:jc w:val="both"/>
        <w:rPr>
          <w:sz w:val="24"/>
          <w:szCs w:val="24"/>
        </w:rPr>
      </w:pPr>
      <w:r>
        <w:rPr>
          <w:sz w:val="24"/>
          <w:szCs w:val="24"/>
        </w:rPr>
        <w:tab/>
        <w:t>As de</w:t>
      </w:r>
      <w:r>
        <w:rPr>
          <w:sz w:val="24"/>
          <w:szCs w:val="24"/>
        </w:rPr>
        <w:t xml:space="preserve">clarações das três Conferências e a Resolução da 77ª Assembleia Mundial da Saúde, apesar de abranger um período histórico de 45 anos, não tratam a saúde e a participação como um direito de cidadania. A participação não figura como uma atuação política que </w:t>
      </w:r>
      <w:r>
        <w:rPr>
          <w:sz w:val="24"/>
          <w:szCs w:val="24"/>
        </w:rPr>
        <w:t>envolve relações democráticas entre Estado e sociedade e nem um processo de articulação de forças sociais e econômicas para a construção e ou fortalecimento de um projeto de serviço público de saúde. Alma Ata foi a única declaração que fala em direito de p</w:t>
      </w:r>
      <w:r>
        <w:rPr>
          <w:sz w:val="24"/>
          <w:szCs w:val="24"/>
        </w:rPr>
        <w:t xml:space="preserve">articipar, mas reduzida ao âmbito dos cuidados primários e indica que a plena participação acontecerá com métodos de tecnologias práticas a um custo que o país possa manter.  A Carta de Ottawa a participação é apresentada como um dever de envolvimento, de </w:t>
      </w:r>
      <w:r>
        <w:rPr>
          <w:sz w:val="24"/>
          <w:szCs w:val="24"/>
        </w:rPr>
        <w:t xml:space="preserve">trabalho conjunto para intensificar a auto ajuda e apoio social para elevar o nível de saúde. </w:t>
      </w:r>
    </w:p>
    <w:p w14:paraId="00000034" w14:textId="77777777" w:rsidR="00372A69" w:rsidRDefault="00EF11B4">
      <w:pPr>
        <w:spacing w:line="360" w:lineRule="auto"/>
        <w:ind w:firstLine="708"/>
        <w:jc w:val="both"/>
        <w:rPr>
          <w:sz w:val="24"/>
          <w:szCs w:val="24"/>
        </w:rPr>
      </w:pPr>
      <w:r>
        <w:rPr>
          <w:sz w:val="24"/>
          <w:szCs w:val="24"/>
        </w:rPr>
        <w:lastRenderedPageBreak/>
        <w:t>O documento de Astana (OMS, 2018) destaca a governança participativa e a gestão dos conflitos para garantir saúde para todos. Propõe participação através de tecn</w:t>
      </w:r>
      <w:r>
        <w:rPr>
          <w:sz w:val="24"/>
          <w:szCs w:val="24"/>
        </w:rPr>
        <w:t xml:space="preserve">ologias digitais para identificar as necessidades de saúde e para as pessoas receberem orientações para manter seu bem estar. Portanto, uma participação para fortalecer as expectativas e habilidades pessoais e comunitárias para que as tenham profissionais </w:t>
      </w:r>
      <w:r>
        <w:rPr>
          <w:sz w:val="24"/>
          <w:szCs w:val="24"/>
        </w:rPr>
        <w:t>e informações para lhes guiar na manutenção da saúde.</w:t>
      </w:r>
    </w:p>
    <w:p w14:paraId="00000035" w14:textId="77777777" w:rsidR="00372A69" w:rsidRDefault="00EF11B4">
      <w:pPr>
        <w:spacing w:line="360" w:lineRule="auto"/>
        <w:ind w:firstLine="708"/>
        <w:jc w:val="both"/>
        <w:rPr>
          <w:sz w:val="24"/>
          <w:szCs w:val="24"/>
        </w:rPr>
      </w:pPr>
      <w:r>
        <w:rPr>
          <w:sz w:val="24"/>
          <w:szCs w:val="24"/>
        </w:rPr>
        <w:t xml:space="preserve">A Resolução de Participação Social, de 2024, avança, quando comparamos com os documentos anteriores, pois indica que os </w:t>
      </w:r>
      <w:r>
        <w:rPr>
          <w:color w:val="000000"/>
          <w:sz w:val="24"/>
          <w:szCs w:val="24"/>
        </w:rPr>
        <w:t>Estados-Membros a apliquem, fortaleçam e mantenham uma participação social periódi</w:t>
      </w:r>
      <w:r>
        <w:rPr>
          <w:color w:val="000000"/>
          <w:sz w:val="24"/>
          <w:szCs w:val="24"/>
        </w:rPr>
        <w:t xml:space="preserve">ca e significativa nas decisões relacionadas a todo o sistema de saúde; fortaleçam o sistema público e </w:t>
      </w:r>
      <w:r>
        <w:rPr>
          <w:sz w:val="24"/>
          <w:szCs w:val="24"/>
        </w:rPr>
        <w:t>a sociedade civil</w:t>
      </w:r>
      <w:r>
        <w:rPr>
          <w:color w:val="000000"/>
          <w:sz w:val="24"/>
          <w:szCs w:val="24"/>
        </w:rPr>
        <w:t xml:space="preserve"> para implementar a participação social co</w:t>
      </w:r>
      <w:r>
        <w:rPr>
          <w:sz w:val="24"/>
          <w:szCs w:val="24"/>
        </w:rPr>
        <w:t>m engajamento; a viabilização de uma participação inclusiva, diversa e equitativa, com foco pa</w:t>
      </w:r>
      <w:r>
        <w:rPr>
          <w:sz w:val="24"/>
          <w:szCs w:val="24"/>
        </w:rPr>
        <w:t>rticular na promoção das vozes daqueles em situações vulnerabilidade; a alocação de recursos setor público adequados para manter a participação social periódica e transparente na tomada de decisões; a garantia de políticas públicas e estruturas legislativa</w:t>
      </w:r>
      <w:r>
        <w:rPr>
          <w:sz w:val="24"/>
          <w:szCs w:val="24"/>
        </w:rPr>
        <w:t>s de apoio; e, pesquisa de monitoramento e avaliação da implementação e dos impactos da participação social.</w:t>
      </w:r>
    </w:p>
    <w:p w14:paraId="00000036" w14:textId="77777777" w:rsidR="00372A69" w:rsidRDefault="00EF11B4">
      <w:pPr>
        <w:spacing w:line="360" w:lineRule="auto"/>
        <w:ind w:firstLine="708"/>
        <w:jc w:val="both"/>
        <w:rPr>
          <w:sz w:val="24"/>
          <w:szCs w:val="24"/>
        </w:rPr>
      </w:pPr>
      <w:r>
        <w:rPr>
          <w:sz w:val="24"/>
          <w:szCs w:val="24"/>
        </w:rPr>
        <w:t>No conjunto, em nossa avaliação, os documentos da OMS, incluem a defesa da participação social regular e sustentada como meio de reorientar os sist</w:t>
      </w:r>
      <w:r>
        <w:rPr>
          <w:sz w:val="24"/>
          <w:szCs w:val="24"/>
        </w:rPr>
        <w:t>emas de saúde para a atenção primária à saúde, acelerando assim o progresso rumo à cobertura universal de saúde (CUS), à segurança sanitária e aos Objetivos de Desenvolvimento Sustentável relacionados à saúde; o desenvolvimento de orientações técnicas e fe</w:t>
      </w:r>
      <w:r>
        <w:rPr>
          <w:sz w:val="24"/>
          <w:szCs w:val="24"/>
        </w:rPr>
        <w:t xml:space="preserve">rramentas operacionais para viabilizar a participação social individual no cuidado pessoal e comunitário da saúde. Faz indicações de que a participação seja equitativa em relação aos segmentos sociais e que inclua os segmentos sociais vulneráveis. </w:t>
      </w:r>
    </w:p>
    <w:p w14:paraId="00000037" w14:textId="77777777" w:rsidR="00372A69" w:rsidRDefault="00EF11B4">
      <w:pPr>
        <w:spacing w:line="360" w:lineRule="auto"/>
        <w:ind w:firstLine="708"/>
        <w:jc w:val="both"/>
        <w:rPr>
          <w:sz w:val="24"/>
          <w:szCs w:val="24"/>
        </w:rPr>
      </w:pPr>
      <w:r>
        <w:rPr>
          <w:sz w:val="24"/>
          <w:szCs w:val="24"/>
        </w:rPr>
        <w:t>Em gran</w:t>
      </w:r>
      <w:r>
        <w:rPr>
          <w:sz w:val="24"/>
          <w:szCs w:val="24"/>
        </w:rPr>
        <w:t xml:space="preserve">de medida, o que observamos nesses </w:t>
      </w:r>
      <w:proofErr w:type="gramStart"/>
      <w:r>
        <w:rPr>
          <w:sz w:val="24"/>
          <w:szCs w:val="24"/>
        </w:rPr>
        <w:t>documentos  (</w:t>
      </w:r>
      <w:proofErr w:type="gramEnd"/>
      <w:r>
        <w:rPr>
          <w:sz w:val="24"/>
          <w:szCs w:val="24"/>
        </w:rPr>
        <w:t>com os espaços micropolíticos de participação voltados à orientação das pessoas para cuidar e manter sua saúde, a inclusão das diversidades e dos segmentos vulneráveis nesses espaços, assim como a participaçã</w:t>
      </w:r>
      <w:r>
        <w:rPr>
          <w:sz w:val="24"/>
          <w:szCs w:val="24"/>
        </w:rPr>
        <w:t xml:space="preserve">o na tomada de decisões que se relacionam a todo o sistema de </w:t>
      </w:r>
      <w:r>
        <w:rPr>
          <w:sz w:val="24"/>
          <w:szCs w:val="24"/>
        </w:rPr>
        <w:lastRenderedPageBreak/>
        <w:t>saúde), são propostas importantes e com potencial de politizar o debate sobre os serviços de saúde. No entanto, avaliamos tais propostas como insuficientes, pois não apresentam a defesa do Estad</w:t>
      </w:r>
      <w:r>
        <w:rPr>
          <w:sz w:val="24"/>
          <w:szCs w:val="24"/>
        </w:rPr>
        <w:t xml:space="preserve">o como principal executor, financiador e regulador do sistema de saúde. Os documentos reconhecem a falta de cobertura, mas não enfrentam a questão da desigualdade no acesso, que é consequência direta das desigualdades sociais. Ao abordar a participação da </w:t>
      </w:r>
      <w:r>
        <w:rPr>
          <w:sz w:val="24"/>
          <w:szCs w:val="24"/>
        </w:rPr>
        <w:t>sociedade civil, silenciam diante da lógica predatória do complexo econômico-industrial da saúde, concentrado nos países do Norte, que subordina as nações do Sul.</w:t>
      </w:r>
    </w:p>
    <w:p w14:paraId="00000038" w14:textId="77777777" w:rsidR="00372A69" w:rsidRDefault="00372A69">
      <w:pPr>
        <w:spacing w:line="360" w:lineRule="auto"/>
        <w:jc w:val="both"/>
        <w:rPr>
          <w:sz w:val="24"/>
          <w:szCs w:val="24"/>
        </w:rPr>
      </w:pPr>
    </w:p>
    <w:p w14:paraId="00000039" w14:textId="77777777" w:rsidR="00372A69" w:rsidRDefault="00EF11B4">
      <w:pPr>
        <w:numPr>
          <w:ilvl w:val="0"/>
          <w:numId w:val="1"/>
        </w:numPr>
        <w:spacing w:line="360" w:lineRule="auto"/>
        <w:jc w:val="both"/>
        <w:rPr>
          <w:b/>
          <w:sz w:val="24"/>
          <w:szCs w:val="24"/>
        </w:rPr>
      </w:pPr>
      <w:r>
        <w:rPr>
          <w:b/>
          <w:sz w:val="24"/>
          <w:szCs w:val="24"/>
        </w:rPr>
        <w:t xml:space="preserve">CONSIDERAÇÕES FINAIS </w:t>
      </w:r>
    </w:p>
    <w:p w14:paraId="0000003A" w14:textId="77777777" w:rsidR="00372A69" w:rsidRDefault="00372A69">
      <w:pPr>
        <w:spacing w:line="360" w:lineRule="auto"/>
        <w:ind w:left="720"/>
        <w:jc w:val="both"/>
        <w:rPr>
          <w:b/>
          <w:sz w:val="24"/>
          <w:szCs w:val="24"/>
        </w:rPr>
      </w:pPr>
    </w:p>
    <w:p w14:paraId="0000003B" w14:textId="77777777" w:rsidR="00372A69" w:rsidRDefault="00EF11B4">
      <w:pPr>
        <w:pBdr>
          <w:top w:val="nil"/>
          <w:left w:val="nil"/>
          <w:bottom w:val="nil"/>
          <w:right w:val="nil"/>
          <w:between w:val="nil"/>
        </w:pBdr>
        <w:spacing w:line="360" w:lineRule="auto"/>
        <w:ind w:firstLine="709"/>
        <w:jc w:val="both"/>
        <w:rPr>
          <w:color w:val="000000"/>
          <w:sz w:val="24"/>
          <w:szCs w:val="24"/>
          <w:highlight w:val="white"/>
        </w:rPr>
      </w:pPr>
      <w:r>
        <w:rPr>
          <w:color w:val="000000"/>
          <w:sz w:val="24"/>
          <w:szCs w:val="24"/>
          <w:highlight w:val="white"/>
        </w:rPr>
        <w:t>Esse conjunto de propostas sobre participação nos documentos da OMS envolvem uma racionalidade que não cabe qualquer espaço para a participação da sociedade nas decisões da política no âmbito estatal, pois desapareceram todos os princípios que vinculam a s</w:t>
      </w:r>
      <w:r>
        <w:rPr>
          <w:color w:val="000000"/>
          <w:sz w:val="24"/>
          <w:szCs w:val="24"/>
          <w:highlight w:val="white"/>
        </w:rPr>
        <w:t>aúde como direito humano e obrigação de provisão pelo poder público. A gestão, o financiamento, as relações de trabalho, e o atendimento do/as usuário/as são produtos ou práticas envoltas em um processo racionalizador para garantir eficácia, eficiência e a</w:t>
      </w:r>
      <w:r>
        <w:rPr>
          <w:color w:val="000000"/>
          <w:sz w:val="24"/>
          <w:szCs w:val="24"/>
          <w:highlight w:val="white"/>
        </w:rPr>
        <w:t xml:space="preserve">gilidade. Desaparecendo, nessas propostas, qualquer vinculação da organização do sistema às necessidades de saúde, às desigualdades territoriais e do acesso, bem como aos fundamentos democráticos liberais da modernidade. </w:t>
      </w:r>
    </w:p>
    <w:p w14:paraId="0000003C" w14:textId="77777777" w:rsidR="00372A69" w:rsidRDefault="00EF11B4">
      <w:pPr>
        <w:pBdr>
          <w:top w:val="nil"/>
          <w:left w:val="nil"/>
          <w:bottom w:val="nil"/>
          <w:right w:val="nil"/>
          <w:between w:val="nil"/>
        </w:pBdr>
        <w:spacing w:line="360" w:lineRule="auto"/>
        <w:ind w:firstLine="709"/>
        <w:jc w:val="both"/>
        <w:rPr>
          <w:color w:val="000000"/>
          <w:sz w:val="24"/>
          <w:szCs w:val="24"/>
        </w:rPr>
      </w:pPr>
      <w:r>
        <w:rPr>
          <w:color w:val="000000"/>
          <w:sz w:val="24"/>
          <w:szCs w:val="24"/>
        </w:rPr>
        <w:t>As propostas apreciadas só muito t</w:t>
      </w:r>
      <w:r>
        <w:rPr>
          <w:color w:val="000000"/>
          <w:sz w:val="24"/>
          <w:szCs w:val="24"/>
        </w:rPr>
        <w:t>imidamente fazem considerações sobre as necessidades sociais e de saúde e aos indicadores da brutal desigualdade social e regional no mundo, pois estes não cabem na conta da eficiência e da lógica da cobertura universal.</w:t>
      </w:r>
    </w:p>
    <w:p w14:paraId="0000003D" w14:textId="77777777" w:rsidR="00372A69" w:rsidRDefault="00EF11B4">
      <w:pPr>
        <w:spacing w:line="360" w:lineRule="auto"/>
        <w:ind w:firstLine="709"/>
        <w:jc w:val="both"/>
        <w:rPr>
          <w:sz w:val="24"/>
          <w:szCs w:val="24"/>
        </w:rPr>
      </w:pPr>
      <w:r>
        <w:rPr>
          <w:sz w:val="24"/>
          <w:szCs w:val="24"/>
        </w:rPr>
        <w:t>Para uma política baseada no diálog</w:t>
      </w:r>
      <w:r>
        <w:rPr>
          <w:sz w:val="24"/>
          <w:szCs w:val="24"/>
        </w:rPr>
        <w:t>o, que ignore as relações de classes, a OMS recomenda a combinação de criatividade e a colaboração entre atores governamentais, do mercado e representantes da sociedade civil, desaparecendo o papel direcionador e regulador do Estado em relação a este servi</w:t>
      </w:r>
      <w:r>
        <w:rPr>
          <w:sz w:val="24"/>
          <w:szCs w:val="24"/>
        </w:rPr>
        <w:t>ço público.</w:t>
      </w:r>
    </w:p>
    <w:p w14:paraId="0000003E" w14:textId="77777777" w:rsidR="00372A69" w:rsidRDefault="00EF11B4">
      <w:pPr>
        <w:spacing w:line="360" w:lineRule="auto"/>
        <w:ind w:firstLine="709"/>
        <w:jc w:val="both"/>
        <w:rPr>
          <w:sz w:val="24"/>
          <w:szCs w:val="24"/>
        </w:rPr>
      </w:pPr>
      <w:r>
        <w:rPr>
          <w:sz w:val="24"/>
          <w:szCs w:val="24"/>
        </w:rPr>
        <w:lastRenderedPageBreak/>
        <w:t xml:space="preserve">Esse conjunto de documentos apreciados, ainda que não foram aprovados em contextos históricos homogêneos e isentos de disputadas por um modelo de serviço de saúde, em nossa avaliação, sobre a participação, são propostas que promovem acomodação </w:t>
      </w:r>
      <w:r>
        <w:rPr>
          <w:sz w:val="24"/>
          <w:szCs w:val="24"/>
        </w:rPr>
        <w:t xml:space="preserve">e ao disseminar uma retórica antipolítica com referências a participação instrumental, despolitizada e do tipo parceria Estado-sociedade-mercado. </w:t>
      </w:r>
    </w:p>
    <w:p w14:paraId="0000003F" w14:textId="77777777" w:rsidR="00372A69" w:rsidRDefault="00EF11B4">
      <w:pPr>
        <w:spacing w:line="360" w:lineRule="auto"/>
        <w:ind w:firstLine="709"/>
        <w:jc w:val="both"/>
        <w:rPr>
          <w:sz w:val="24"/>
          <w:szCs w:val="24"/>
        </w:rPr>
      </w:pPr>
      <w:r>
        <w:rPr>
          <w:sz w:val="24"/>
          <w:szCs w:val="24"/>
        </w:rPr>
        <w:t>A participação, criticamente concebida como movimento dialético de transformação, cabe ser enfatizada para se</w:t>
      </w:r>
      <w:r>
        <w:rPr>
          <w:sz w:val="24"/>
          <w:szCs w:val="24"/>
        </w:rPr>
        <w:t xml:space="preserve"> contrapor ao discurso participacionista ou de representação simbólica. A valorização da participação instrumental, sob os </w:t>
      </w:r>
      <w:r>
        <w:rPr>
          <w:sz w:val="24"/>
          <w:szCs w:val="24"/>
          <w:highlight w:val="white"/>
        </w:rPr>
        <w:t xml:space="preserve">auspício do neoliberalismo e ascensão neoconservadora, somada </w:t>
      </w:r>
      <w:r>
        <w:rPr>
          <w:sz w:val="24"/>
          <w:szCs w:val="24"/>
        </w:rPr>
        <w:t>às posturas aliancistas de cooperação, de pactuação e de consenso, fort</w:t>
      </w:r>
      <w:r>
        <w:rPr>
          <w:sz w:val="24"/>
          <w:szCs w:val="24"/>
        </w:rPr>
        <w:t>alece as medidas de aniquilamento dos espaços relativos aos direitos de cidadania e as bases fundantes do Estado Democrático de direito no Brasil.</w:t>
      </w:r>
    </w:p>
    <w:p w14:paraId="00000040" w14:textId="77777777" w:rsidR="00372A69" w:rsidRDefault="00372A69">
      <w:pPr>
        <w:spacing w:line="360" w:lineRule="auto"/>
        <w:ind w:firstLine="709"/>
        <w:jc w:val="both"/>
        <w:rPr>
          <w:rFonts w:ascii="Times New Roman" w:eastAsia="Times New Roman" w:hAnsi="Times New Roman" w:cs="Times New Roman"/>
          <w:sz w:val="24"/>
          <w:szCs w:val="24"/>
        </w:rPr>
      </w:pPr>
    </w:p>
    <w:p w14:paraId="00000041" w14:textId="77777777" w:rsidR="00372A69" w:rsidRDefault="00EF11B4">
      <w:pPr>
        <w:numPr>
          <w:ilvl w:val="0"/>
          <w:numId w:val="1"/>
        </w:numPr>
        <w:spacing w:line="360" w:lineRule="auto"/>
        <w:jc w:val="both"/>
        <w:rPr>
          <w:b/>
          <w:sz w:val="24"/>
          <w:szCs w:val="24"/>
        </w:rPr>
      </w:pPr>
      <w:r>
        <w:rPr>
          <w:b/>
          <w:sz w:val="24"/>
          <w:szCs w:val="24"/>
        </w:rPr>
        <w:t>REFERÊNCIAS</w:t>
      </w:r>
    </w:p>
    <w:p w14:paraId="00000042" w14:textId="77777777" w:rsidR="00372A69" w:rsidRDefault="00EF11B4">
      <w:pPr>
        <w:pBdr>
          <w:top w:val="nil"/>
          <w:left w:val="nil"/>
          <w:bottom w:val="nil"/>
          <w:right w:val="nil"/>
          <w:between w:val="nil"/>
        </w:pBdr>
        <w:spacing w:after="120" w:line="240" w:lineRule="auto"/>
        <w:jc w:val="both"/>
        <w:rPr>
          <w:color w:val="000000"/>
        </w:rPr>
      </w:pPr>
      <w:r>
        <w:rPr>
          <w:color w:val="000000"/>
        </w:rPr>
        <w:t>BASILE, Gonzalo e FEO, Oscar. Hacia una Epistemología de Refundación de los Sistemas de Salud en</w:t>
      </w:r>
      <w:r>
        <w:rPr>
          <w:color w:val="000000"/>
        </w:rPr>
        <w:t xml:space="preserve"> el Siglo XXI: aportes para descolonización de teorías, políticas y prácticas. Revista: VOL.40 N°2 Revista Facultad Nacional de Salud Pública (Universidad de Antioquia, Colombia). Fecha: Mayo-Agosto 2022. Link de descarga: </w:t>
      </w:r>
      <w:hyperlink r:id="rId8">
        <w:r>
          <w:rPr>
            <w:color w:val="0563C1"/>
            <w:u w:val="single"/>
          </w:rPr>
          <w:t>https://revistas.udea.edu.co/index.php/fnsp/article/view/349879/20808220</w:t>
        </w:r>
      </w:hyperlink>
      <w:r>
        <w:rPr>
          <w:color w:val="000000"/>
        </w:rPr>
        <w:t xml:space="preserve"> </w:t>
      </w:r>
    </w:p>
    <w:p w14:paraId="00000043" w14:textId="77777777" w:rsidR="00372A69" w:rsidRDefault="00EF11B4">
      <w:pPr>
        <w:spacing w:after="120" w:line="240" w:lineRule="auto"/>
        <w:jc w:val="both"/>
      </w:pPr>
      <w:r>
        <w:t>FACCHINI, Luiz Augusto. Entrevista: 'A Declaração de Alma-Ata se revestiu de uma grande relevância em vários contextos'. EP</w:t>
      </w:r>
      <w:r>
        <w:t xml:space="preserve">SJV/Fiocruz. Em 14/09/2018. Disponível </w:t>
      </w:r>
      <w:hyperlink r:id="rId9">
        <w:r>
          <w:rPr>
            <w:color w:val="0563C1"/>
            <w:u w:val="single"/>
          </w:rPr>
          <w:t>https://www.epsjv.fiocruz.br/noticias/entrevista/a-declaracao-de-alma-ata-se-revestiu-de-uma-grande-relevancia-em-varios</w:t>
        </w:r>
      </w:hyperlink>
      <w:r>
        <w:t xml:space="preserve"> </w:t>
      </w:r>
    </w:p>
    <w:p w14:paraId="00000044" w14:textId="77777777" w:rsidR="00372A69" w:rsidRDefault="00EF11B4">
      <w:pPr>
        <w:spacing w:after="120" w:line="240" w:lineRule="auto"/>
        <w:jc w:val="both"/>
      </w:pPr>
      <w:r>
        <w:t xml:space="preserve">GIOVANELLA, L. e MENDONÇA, MHM. Atenção primária à saúde. </w:t>
      </w:r>
      <w:r>
        <w:rPr>
          <w:i/>
        </w:rPr>
        <w:t>In</w:t>
      </w:r>
      <w:r>
        <w:t xml:space="preserve">: Giovanella L </w:t>
      </w:r>
      <w:r>
        <w:rPr>
          <w:i/>
        </w:rPr>
        <w:t>et al</w:t>
      </w:r>
      <w:r>
        <w:t>. (orgs.). Políticas e sistemas de saúde no Brasil. 2.</w:t>
      </w:r>
      <w:r>
        <w:t xml:space="preserve"> ed. Rio de Janeiro: Fiocruz, 2012. </w:t>
      </w:r>
    </w:p>
    <w:p w14:paraId="00000045" w14:textId="77777777" w:rsidR="00372A69" w:rsidRDefault="00EF11B4">
      <w:pPr>
        <w:spacing w:after="120" w:line="240" w:lineRule="auto"/>
        <w:jc w:val="both"/>
        <w:rPr>
          <w:color w:val="000000"/>
          <w:highlight w:val="white"/>
        </w:rPr>
      </w:pPr>
      <w:r>
        <w:rPr>
          <w:color w:val="000000"/>
          <w:highlight w:val="white"/>
        </w:rPr>
        <w:t>MARICATO, Ermínia. Nunca fomos tão participativos. Revista Sem Terra, v. jan./fe 2008, n. 43, p. 17-20, 2008Tradução. Acesso em: 04 jul. 2025</w:t>
      </w:r>
    </w:p>
    <w:p w14:paraId="00000046" w14:textId="77777777" w:rsidR="00372A69" w:rsidRDefault="00EF11B4">
      <w:pPr>
        <w:spacing w:after="120" w:line="240" w:lineRule="auto"/>
        <w:jc w:val="both"/>
      </w:pPr>
      <w:r>
        <w:rPr>
          <w:highlight w:val="white"/>
        </w:rPr>
        <w:t>NEWELL, Kenneth W e Organização Mundial da Saúde.  La Salud por el pueblo / e</w:t>
      </w:r>
      <w:r>
        <w:rPr>
          <w:highlight w:val="white"/>
        </w:rPr>
        <w:t xml:space="preserve">ditor, Kenneth W. Newell. Organização Mundial da Saúde. 1975. </w:t>
      </w:r>
      <w:r>
        <w:t xml:space="preserve">Disponível </w:t>
      </w:r>
      <w:hyperlink r:id="rId10">
        <w:r>
          <w:rPr>
            <w:color w:val="0563C1"/>
            <w:u w:val="single"/>
          </w:rPr>
          <w:t>https://iris.paho.org/bitstream/handl</w:t>
        </w:r>
        <w:r>
          <w:rPr>
            <w:color w:val="0563C1"/>
            <w:u w:val="single"/>
          </w:rPr>
          <w:t>e/10665.2/3264/Educacion%20medica%20y%20salud%20%289%29%2C%203.pdf?sequence=1&amp;isAllowed=y</w:t>
        </w:r>
      </w:hyperlink>
      <w:r>
        <w:t xml:space="preserve"> </w:t>
      </w:r>
    </w:p>
    <w:p w14:paraId="00000047" w14:textId="77777777" w:rsidR="00372A69" w:rsidRDefault="00EF11B4">
      <w:pPr>
        <w:pBdr>
          <w:top w:val="nil"/>
          <w:left w:val="nil"/>
          <w:bottom w:val="nil"/>
          <w:right w:val="nil"/>
          <w:between w:val="nil"/>
        </w:pBdr>
        <w:spacing w:after="120" w:line="240" w:lineRule="auto"/>
        <w:jc w:val="both"/>
        <w:rPr>
          <w:color w:val="000000"/>
        </w:rPr>
      </w:pPr>
      <w:r>
        <w:rPr>
          <w:color w:val="000000"/>
        </w:rPr>
        <w:t>NOGUEIRA, M. A. Um Estado para a sociedade civil: temas éticos e políticos para gestão democrática. São Paulo. Cortez, 2004.</w:t>
      </w:r>
    </w:p>
    <w:p w14:paraId="00000048" w14:textId="77777777" w:rsidR="00372A69" w:rsidRDefault="00EF11B4">
      <w:pPr>
        <w:spacing w:after="120" w:line="240" w:lineRule="auto"/>
      </w:pPr>
      <w:r>
        <w:t xml:space="preserve">PIRES-ALVES. FA, CUETO, M. A década de Alma-Ata: a crise do desenvolvimento e a saúde internacional. Ciência &amp; Saúde Coletiva, 22(7):2135-2144, 2017. </w:t>
      </w:r>
    </w:p>
    <w:p w14:paraId="00000049" w14:textId="77777777" w:rsidR="00372A69" w:rsidRDefault="00EF11B4">
      <w:pPr>
        <w:pBdr>
          <w:top w:val="nil"/>
          <w:left w:val="nil"/>
          <w:bottom w:val="nil"/>
          <w:right w:val="nil"/>
          <w:between w:val="nil"/>
        </w:pBdr>
        <w:spacing w:after="120" w:line="240" w:lineRule="auto"/>
        <w:jc w:val="both"/>
        <w:rPr>
          <w:color w:val="000000"/>
        </w:rPr>
      </w:pPr>
      <w:r>
        <w:rPr>
          <w:color w:val="000000"/>
        </w:rPr>
        <w:lastRenderedPageBreak/>
        <w:t>OMS. Declaração de Alma-Ata. Conferência Internacional sobre cuidados primários de saúde. Alma-Ata, URSS,</w:t>
      </w:r>
      <w:r>
        <w:rPr>
          <w:color w:val="000000"/>
        </w:rPr>
        <w:t xml:space="preserve"> 6-12 set 1978. Disponível </w:t>
      </w:r>
      <w:hyperlink r:id="rId11">
        <w:r>
          <w:rPr>
            <w:color w:val="0563C1"/>
            <w:u w:val="single"/>
          </w:rPr>
          <w:t>http://cmdss2011.org/site/wp-content/uploads/2011/07/Declara%C3%A7%C3%A3o-Alma-Ata.pdf</w:t>
        </w:r>
      </w:hyperlink>
      <w:r>
        <w:rPr>
          <w:color w:val="000000"/>
        </w:rPr>
        <w:t xml:space="preserve"> Acesso 21 ag 2018.</w:t>
      </w:r>
    </w:p>
    <w:p w14:paraId="0000004A" w14:textId="77777777" w:rsidR="00372A69" w:rsidRDefault="00EF11B4">
      <w:pPr>
        <w:pBdr>
          <w:top w:val="nil"/>
          <w:left w:val="nil"/>
          <w:bottom w:val="nil"/>
          <w:right w:val="nil"/>
          <w:between w:val="nil"/>
        </w:pBdr>
        <w:spacing w:after="120" w:line="240" w:lineRule="auto"/>
        <w:jc w:val="both"/>
        <w:rPr>
          <w:color w:val="000000"/>
        </w:rPr>
      </w:pPr>
      <w:r>
        <w:rPr>
          <w:color w:val="000000"/>
        </w:rPr>
        <w:t>OMS. Carta de Ott</w:t>
      </w:r>
      <w:r>
        <w:rPr>
          <w:color w:val="000000"/>
        </w:rPr>
        <w:t>awa. Primeira Conferência Internacional sobre Promoção da Saúde. Ottawa, novembro de 1986.</w:t>
      </w:r>
    </w:p>
    <w:p w14:paraId="0000004B" w14:textId="77777777" w:rsidR="00372A69" w:rsidRDefault="00EF11B4">
      <w:pPr>
        <w:pBdr>
          <w:top w:val="nil"/>
          <w:left w:val="nil"/>
          <w:bottom w:val="nil"/>
          <w:right w:val="nil"/>
          <w:between w:val="nil"/>
        </w:pBdr>
        <w:spacing w:after="120" w:line="240" w:lineRule="auto"/>
        <w:jc w:val="both"/>
        <w:rPr>
          <w:color w:val="000000"/>
        </w:rPr>
      </w:pPr>
      <w:r>
        <w:rPr>
          <w:color w:val="000000"/>
        </w:rPr>
        <w:t>OMS. Conferência Mundial sobre Atención Primaria de Salud. Desde Alma-Ata hacia la cobertura sanitaria universal y los Objetivos de Desarrollo Sostenible. Astaná (Ka</w:t>
      </w:r>
      <w:r>
        <w:rPr>
          <w:color w:val="000000"/>
        </w:rPr>
        <w:t>zajstán), 25 y 26 de octubre de 2018</w:t>
      </w:r>
    </w:p>
    <w:p w14:paraId="0000004C" w14:textId="77777777" w:rsidR="00372A69" w:rsidRDefault="00EF11B4">
      <w:pPr>
        <w:pBdr>
          <w:top w:val="nil"/>
          <w:left w:val="nil"/>
          <w:bottom w:val="nil"/>
          <w:right w:val="nil"/>
          <w:between w:val="nil"/>
        </w:pBdr>
        <w:spacing w:after="120" w:line="240" w:lineRule="auto"/>
        <w:jc w:val="both"/>
        <w:rPr>
          <w:color w:val="000000"/>
        </w:rPr>
      </w:pPr>
      <w:r>
        <w:rPr>
          <w:color w:val="000000"/>
        </w:rPr>
        <w:t xml:space="preserve">OMS. Participación social para la cobertura sanitaria universal, la salud y el bienestar. 77.ª Asamblea Mundial de La Salud. 28 de mayo de 2024. Disponível </w:t>
      </w:r>
      <w:hyperlink r:id="rId12">
        <w:r>
          <w:rPr>
            <w:color w:val="0563C1"/>
            <w:u w:val="single"/>
          </w:rPr>
          <w:t>https://www.who.int/news/item/29-05-2024-world-health-assembly-endorses-resolution-on-social-participation</w:t>
        </w:r>
      </w:hyperlink>
      <w:r>
        <w:rPr>
          <w:color w:val="000000"/>
        </w:rPr>
        <w:t xml:space="preserve"> </w:t>
      </w:r>
    </w:p>
    <w:p w14:paraId="0000004D" w14:textId="77777777" w:rsidR="00372A69" w:rsidRDefault="00EF11B4">
      <w:pPr>
        <w:pBdr>
          <w:top w:val="nil"/>
          <w:left w:val="nil"/>
          <w:bottom w:val="nil"/>
          <w:right w:val="nil"/>
          <w:between w:val="nil"/>
        </w:pBdr>
        <w:spacing w:after="120" w:line="240" w:lineRule="auto"/>
        <w:jc w:val="both"/>
        <w:rPr>
          <w:color w:val="000000"/>
        </w:rPr>
      </w:pPr>
      <w:r>
        <w:rPr>
          <w:color w:val="212529"/>
          <w:highlight w:val="white"/>
        </w:rPr>
        <w:t xml:space="preserve">PASTORINI, Alejandra. Quem mexe os fios das políticas </w:t>
      </w:r>
      <w:proofErr w:type="gramStart"/>
      <w:r>
        <w:rPr>
          <w:color w:val="212529"/>
          <w:highlight w:val="white"/>
        </w:rPr>
        <w:t>sociais?:</w:t>
      </w:r>
      <w:proofErr w:type="gramEnd"/>
      <w:r>
        <w:rPr>
          <w:color w:val="212529"/>
          <w:highlight w:val="white"/>
        </w:rPr>
        <w:t xml:space="preserve"> avanços e limites da </w:t>
      </w:r>
      <w:r>
        <w:rPr>
          <w:color w:val="212529"/>
          <w:highlight w:val="white"/>
        </w:rPr>
        <w:t>categoria "concessão-conquista". Serviço Social &amp; Sociedade, São Paulo, v. 18, n. 53, p. 80-101, mar. 1997</w:t>
      </w:r>
    </w:p>
    <w:p w14:paraId="0000004E" w14:textId="77777777" w:rsidR="00372A69" w:rsidRDefault="00EF11B4">
      <w:pPr>
        <w:pBdr>
          <w:top w:val="nil"/>
          <w:left w:val="nil"/>
          <w:bottom w:val="nil"/>
          <w:right w:val="nil"/>
          <w:between w:val="nil"/>
        </w:pBdr>
        <w:spacing w:after="120" w:line="240" w:lineRule="auto"/>
        <w:jc w:val="both"/>
        <w:rPr>
          <w:color w:val="000000"/>
        </w:rPr>
      </w:pPr>
      <w:r>
        <w:rPr>
          <w:color w:val="000000"/>
        </w:rPr>
        <w:t>SILVA. M. A. A hegemonia do Banco Mundial na formulação e no gerenciamento das políticas educacionais. Nuances - Vol. VI- Outubro de 2000, p. 35-53.</w:t>
      </w:r>
    </w:p>
    <w:p w14:paraId="0000004F" w14:textId="77777777" w:rsidR="00372A69" w:rsidRDefault="00EF11B4">
      <w:pPr>
        <w:spacing w:after="120" w:line="240" w:lineRule="auto"/>
        <w:jc w:val="both"/>
      </w:pPr>
      <w:r>
        <w:t>TORRES, Abigail Silvestre. Gestão de serviços públicos: os desafios da atenção à vida pulsando. In PAULA, Renato Francisco dos Santos. Gestão Social e planejamento público: temas de políticas públicas. Editora CRV. Curitiba, 2018</w:t>
      </w:r>
    </w:p>
    <w:p w14:paraId="00000050" w14:textId="77777777" w:rsidR="00372A69" w:rsidRDefault="00EF11B4">
      <w:pPr>
        <w:spacing w:after="120" w:line="240" w:lineRule="auto"/>
        <w:jc w:val="both"/>
      </w:pPr>
      <w:r>
        <w:t xml:space="preserve">Vianna MLW </w:t>
      </w:r>
      <w:r>
        <w:rPr>
          <w:i/>
        </w:rPr>
        <w:t>et al</w:t>
      </w:r>
      <w:r>
        <w:t>. Particip</w:t>
      </w:r>
      <w:r>
        <w:t>ação em saúde: do que estamos falando? Sociologias, v. 11, n. 21, 2009, p. 218-251.</w:t>
      </w:r>
    </w:p>
    <w:sectPr w:rsidR="00372A69">
      <w:headerReference w:type="default" r:id="rId13"/>
      <w:pgSz w:w="11909" w:h="16834"/>
      <w:pgMar w:top="1701" w:right="994" w:bottom="1276" w:left="1418" w:header="3401"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5E41D4" w14:textId="77777777" w:rsidR="00EF11B4" w:rsidRDefault="00EF11B4">
      <w:pPr>
        <w:spacing w:line="240" w:lineRule="auto"/>
      </w:pPr>
      <w:r>
        <w:separator/>
      </w:r>
    </w:p>
  </w:endnote>
  <w:endnote w:type="continuationSeparator" w:id="0">
    <w:p w14:paraId="6B5640E6" w14:textId="77777777" w:rsidR="00EF11B4" w:rsidRDefault="00EF11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LT 45 Light">
    <w:altName w:val="Frutiger LT 45 Light"/>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598B67" w14:textId="77777777" w:rsidR="00EF11B4" w:rsidRDefault="00EF11B4">
      <w:pPr>
        <w:spacing w:line="240" w:lineRule="auto"/>
      </w:pPr>
      <w:r>
        <w:separator/>
      </w:r>
    </w:p>
  </w:footnote>
  <w:footnote w:type="continuationSeparator" w:id="0">
    <w:p w14:paraId="441229CE" w14:textId="77777777" w:rsidR="00EF11B4" w:rsidRDefault="00EF11B4">
      <w:pPr>
        <w:spacing w:line="240" w:lineRule="auto"/>
      </w:pPr>
      <w:r>
        <w:continuationSeparator/>
      </w:r>
    </w:p>
  </w:footnote>
  <w:footnote w:id="1">
    <w:p w14:paraId="00000051" w14:textId="77777777" w:rsidR="00372A69" w:rsidRDefault="00EF11B4">
      <w:pPr>
        <w:shd w:val="clear" w:color="auto" w:fill="FFFFFF"/>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rPr>
        <w:t xml:space="preserve">Universidade de Brasília (UnB/SER/PPGPS). Doutora em Serviço Social pela Pontifícia Universidade Católica de São Paulo (PUC/SP). </w:t>
      </w:r>
      <w:proofErr w:type="gramStart"/>
      <w:r>
        <w:rPr>
          <w:rFonts w:ascii="Times New Roman" w:eastAsia="Times New Roman" w:hAnsi="Times New Roman" w:cs="Times New Roman"/>
          <w:sz w:val="20"/>
          <w:szCs w:val="20"/>
          <w:highlight w:val="white"/>
        </w:rPr>
        <w:t>e-mail</w:t>
      </w:r>
      <w:proofErr w:type="gramEnd"/>
      <w:r>
        <w:rPr>
          <w:rFonts w:ascii="Times New Roman" w:eastAsia="Times New Roman" w:hAnsi="Times New Roman" w:cs="Times New Roman"/>
          <w:sz w:val="20"/>
          <w:szCs w:val="20"/>
          <w:highlight w:val="white"/>
        </w:rPr>
        <w:t xml:space="preserve">: </w:t>
      </w:r>
      <w:hyperlink r:id="rId1">
        <w:r>
          <w:rPr>
            <w:rFonts w:ascii="Times New Roman" w:eastAsia="Times New Roman" w:hAnsi="Times New Roman" w:cs="Times New Roman"/>
            <w:sz w:val="20"/>
            <w:szCs w:val="20"/>
            <w:highlight w:val="white"/>
          </w:rPr>
          <w:t>andreiaoliveirasus@gmail.com</w:t>
        </w:r>
      </w:hyperlink>
      <w:r>
        <w:rPr>
          <w:rFonts w:ascii="Times New Roman" w:eastAsia="Times New Roman" w:hAnsi="Times New Roman" w:cs="Times New Roman"/>
          <w:sz w:val="20"/>
          <w:szCs w:val="20"/>
        </w:rPr>
        <w:t xml:space="preserve"> ou </w:t>
      </w:r>
      <w:hyperlink r:id="rId2">
        <w:r>
          <w:rPr>
            <w:rFonts w:ascii="Times New Roman" w:eastAsia="Times New Roman" w:hAnsi="Times New Roman" w:cs="Times New Roman"/>
            <w:sz w:val="20"/>
            <w:szCs w:val="20"/>
            <w:highlight w:val="white"/>
          </w:rPr>
          <w:t>andreiao@unb.br</w:t>
        </w:r>
      </w:hyperlink>
      <w:r>
        <w:rPr>
          <w:rFonts w:ascii="Times New Roman" w:eastAsia="Times New Roman" w:hAnsi="Times New Roman" w:cs="Times New Roman"/>
          <w:sz w:val="20"/>
          <w:szCs w:val="20"/>
          <w:highlight w:val="white"/>
        </w:rPr>
        <w:t xml:space="preserve"> </w:t>
      </w:r>
    </w:p>
  </w:footnote>
  <w:footnote w:id="2">
    <w:p w14:paraId="00000052" w14:textId="77777777" w:rsidR="00372A69" w:rsidRDefault="00EF11B4">
      <w:pPr>
        <w:shd w:val="clear" w:color="auto" w:fill="FFFFFF"/>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Universidade Federal de Santa Catarina (UFSC/DSS/PPGSS). Doutora em Serviço Social pela Universidade Federal de Pernambuco (UFPE). E-mail: tania.kruger@ufsc.br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53" w14:textId="77777777" w:rsidR="00372A69" w:rsidRDefault="00EF11B4">
    <w:r>
      <w:pict w14:anchorId="0BDA8C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2049" type="#_x0000_t75" style="position:absolute;margin-left:0;margin-top:.55pt;width:595.55pt;height:844.7pt;z-index:-251658752;visibility:visible;mso-wrap-distance-top:9pt;mso-wrap-distance-bottom:9pt;mso-position-horizontal:absolute;mso-position-horizontal-relative:page;mso-position-vertical:absolute;mso-position-vertical-relative:page">
          <v:imagedata r:id="rId1" o:title=""/>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AD4A54"/>
    <w:multiLevelType w:val="multilevel"/>
    <w:tmpl w:val="996C6B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A69"/>
    <w:rsid w:val="00372A69"/>
    <w:rsid w:val="004B2877"/>
    <w:rsid w:val="00EF11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589CD856-78CB-4BA3-BAB1-DB89D13C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NormalWeb">
    <w:name w:val="Normal (Web)"/>
    <w:basedOn w:val="Normal"/>
    <w:uiPriority w:val="99"/>
    <w:unhideWhenUsed/>
    <w:rsid w:val="001637C3"/>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uiPriority w:val="22"/>
    <w:qFormat/>
    <w:rsid w:val="001637C3"/>
    <w:rPr>
      <w:b/>
      <w:bCs/>
    </w:rPr>
  </w:style>
  <w:style w:type="paragraph" w:customStyle="1" w:styleId="Default">
    <w:name w:val="Default"/>
    <w:rsid w:val="001637C3"/>
    <w:pPr>
      <w:autoSpaceDE w:val="0"/>
      <w:autoSpaceDN w:val="0"/>
      <w:adjustRightInd w:val="0"/>
    </w:pPr>
    <w:rPr>
      <w:rFonts w:ascii="Calibri" w:eastAsia="Times New Roman" w:hAnsi="Calibri" w:cs="Calibri"/>
      <w:color w:val="000000"/>
      <w:sz w:val="24"/>
      <w:szCs w:val="24"/>
      <w:lang w:eastAsia="en-US"/>
    </w:rPr>
  </w:style>
  <w:style w:type="paragraph" w:customStyle="1" w:styleId="Pa11">
    <w:name w:val="Pa11"/>
    <w:basedOn w:val="Default"/>
    <w:next w:val="Default"/>
    <w:uiPriority w:val="99"/>
    <w:rsid w:val="001637C3"/>
    <w:pPr>
      <w:spacing w:line="221" w:lineRule="atLeast"/>
    </w:pPr>
    <w:rPr>
      <w:rFonts w:ascii="Frutiger LT 45 Light" w:hAnsi="Frutiger LT 45 Light" w:cs="Times New Roman"/>
      <w:color w:val="FF0000"/>
    </w:rPr>
  </w:style>
  <w:style w:type="character" w:customStyle="1" w:styleId="A7">
    <w:name w:val="A7"/>
    <w:uiPriority w:val="99"/>
    <w:rsid w:val="001637C3"/>
    <w:rPr>
      <w:rFonts w:cs="Frutiger LT 45 Light"/>
      <w:b/>
      <w:bCs/>
      <w:color w:val="000000"/>
      <w:sz w:val="32"/>
      <w:szCs w:val="32"/>
    </w:rPr>
  </w:style>
  <w:style w:type="paragraph" w:styleId="PargrafodaLista">
    <w:name w:val="List Paragraph"/>
    <w:basedOn w:val="Normal"/>
    <w:uiPriority w:val="34"/>
    <w:qFormat/>
    <w:rsid w:val="001637C3"/>
    <w:pPr>
      <w:spacing w:after="200"/>
      <w:ind w:left="720"/>
      <w:contextualSpacing/>
    </w:pPr>
    <w:rPr>
      <w:rFonts w:ascii="Calibri" w:eastAsia="Calibri" w:hAnsi="Calibri" w:cs="Times New Roman"/>
      <w:lang w:eastAsia="en-US"/>
    </w:rPr>
  </w:style>
  <w:style w:type="character" w:customStyle="1" w:styleId="A4">
    <w:name w:val="A4"/>
    <w:uiPriority w:val="99"/>
    <w:rsid w:val="001637C3"/>
    <w:rPr>
      <w:rFonts w:cs="Myriad Pro Light"/>
      <w:color w:val="000000"/>
      <w:sz w:val="22"/>
      <w:szCs w:val="22"/>
    </w:rPr>
  </w:style>
  <w:style w:type="paragraph" w:styleId="SemEspaamento">
    <w:name w:val="No Spacing"/>
    <w:uiPriority w:val="1"/>
    <w:qFormat/>
    <w:rsid w:val="001637C3"/>
    <w:rPr>
      <w:rFonts w:ascii="Calibri" w:eastAsia="Calibri" w:hAnsi="Calibri" w:cs="Times New Roman"/>
      <w:lang w:eastAsia="en-US"/>
    </w:rPr>
  </w:style>
  <w:style w:type="character" w:styleId="Hyperlink">
    <w:name w:val="Hyperlink"/>
    <w:uiPriority w:val="99"/>
    <w:unhideWhenUsed/>
    <w:rsid w:val="006B425A"/>
    <w:rPr>
      <w:color w:val="0563C1"/>
      <w:u w:val="single"/>
    </w:rPr>
  </w:style>
  <w:style w:type="paragraph" w:styleId="Textodenotaderodap">
    <w:name w:val="footnote text"/>
    <w:basedOn w:val="Normal"/>
    <w:link w:val="TextodenotaderodapChar"/>
    <w:uiPriority w:val="99"/>
    <w:semiHidden/>
    <w:unhideWhenUsed/>
    <w:rsid w:val="0098068E"/>
    <w:rPr>
      <w:sz w:val="20"/>
      <w:szCs w:val="20"/>
    </w:rPr>
  </w:style>
  <w:style w:type="character" w:customStyle="1" w:styleId="TextodenotaderodapChar">
    <w:name w:val="Texto de nota de rodapé Char"/>
    <w:basedOn w:val="Fontepargpadro"/>
    <w:link w:val="Textodenotaderodap"/>
    <w:uiPriority w:val="99"/>
    <w:semiHidden/>
    <w:rsid w:val="0098068E"/>
  </w:style>
  <w:style w:type="character" w:styleId="Refdenotaderodap">
    <w:name w:val="footnote reference"/>
    <w:uiPriority w:val="99"/>
    <w:semiHidden/>
    <w:unhideWhenUsed/>
    <w:rsid w:val="0098068E"/>
    <w:rPr>
      <w:vertAlign w:val="superscript"/>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revistas.udea.edu.co/index.php/fnsp/article/view/349879/20808220"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ho.int/news/item/29-05-2024-world-health-assembly-endorses-resolution-on-social-participatio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dss2011.org/site/wp-content/uploads/2011/07/Declara%C3%A7%C3%A3o-Alma-Ata.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iris.paho.org/bitstream/handle/10665.2/3264/Educacion%20medica%20y%20salud%20%289%29%2C%203.pdf?sequence=1&amp;isAllowed=y" TargetMode="External"/><Relationship Id="rId4" Type="http://schemas.openxmlformats.org/officeDocument/2006/relationships/settings" Target="settings.xml"/><Relationship Id="rId9" Type="http://schemas.openxmlformats.org/officeDocument/2006/relationships/hyperlink" Target="https://www.epsjv.fiocruz.br/noticias/entrevista/a-declaracao-de-alma-ata-se-revestiu-de-uma-grande-relevancia-em-varios"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andreiao@unb.br" TargetMode="External"/><Relationship Id="rId1" Type="http://schemas.openxmlformats.org/officeDocument/2006/relationships/hyperlink" Target="mailto:andreiaoliveirasu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Wpnh2hI9CgIHG1HF0thbAIU9A==">CgMxLjA4AHIhMUs4TVdMR1JMenFHSl9IeEd3REhfWmI5UUdkTzF6Nk1f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3937</Words>
  <Characters>22953</Characters>
  <Application>Microsoft Office Word</Application>
  <DocSecurity>0</DocSecurity>
  <Lines>675</Lines>
  <Paragraphs>312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Conta da Microsoft</cp:lastModifiedBy>
  <cp:revision>2</cp:revision>
  <dcterms:created xsi:type="dcterms:W3CDTF">2025-07-07T00:54:00Z</dcterms:created>
  <dcterms:modified xsi:type="dcterms:W3CDTF">2025-07-07T00:54:00Z</dcterms:modified>
</cp:coreProperties>
</file>