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4F377" w14:textId="6E013888" w:rsidR="007709C6" w:rsidRDefault="002E74BA" w:rsidP="0088277C">
      <w:pPr>
        <w:spacing w:line="360" w:lineRule="auto"/>
        <w:ind w:firstLine="567"/>
        <w:jc w:val="both"/>
        <w:rPr>
          <w:sz w:val="24"/>
          <w:szCs w:val="24"/>
        </w:rPr>
      </w:pPr>
      <w:r w:rsidRPr="002E74BA">
        <w:rPr>
          <w:b/>
          <w:sz w:val="24"/>
          <w:szCs w:val="24"/>
        </w:rPr>
        <w:t>MULHER, DIREITO E MERCADO DE TRABALHO:</w:t>
      </w:r>
      <w:r w:rsidRPr="002E74BA">
        <w:rPr>
          <w:sz w:val="24"/>
          <w:szCs w:val="24"/>
        </w:rPr>
        <w:t xml:space="preserve"> uma análise sobre a importância da reinserção feminina no mercado de trabalho a partir do contexto maranhense em 2024</w:t>
      </w:r>
      <w:r w:rsidR="008D232A">
        <w:rPr>
          <w:sz w:val="24"/>
          <w:szCs w:val="24"/>
        </w:rPr>
        <w:t xml:space="preserve">. </w:t>
      </w:r>
    </w:p>
    <w:p w14:paraId="17721F99" w14:textId="77777777" w:rsidR="00887E3F" w:rsidRDefault="00887E3F" w:rsidP="00887E3F">
      <w:pPr>
        <w:spacing w:line="240" w:lineRule="auto"/>
        <w:jc w:val="right"/>
        <w:rPr>
          <w:sz w:val="24"/>
          <w:szCs w:val="24"/>
        </w:rPr>
      </w:pPr>
    </w:p>
    <w:p w14:paraId="76B40FA4" w14:textId="10A0214E" w:rsidR="00887E3F" w:rsidRDefault="00887E3F" w:rsidP="00887E3F">
      <w:pPr>
        <w:spacing w:line="240" w:lineRule="auto"/>
        <w:jc w:val="right"/>
        <w:rPr>
          <w:b/>
          <w:bCs/>
          <w:sz w:val="24"/>
          <w:szCs w:val="24"/>
        </w:rPr>
      </w:pPr>
      <w:r w:rsidRPr="0032737E">
        <w:rPr>
          <w:b/>
          <w:bCs/>
          <w:sz w:val="24"/>
          <w:szCs w:val="24"/>
        </w:rPr>
        <w:t>JULIANE SILVA SANTOS</w:t>
      </w:r>
      <w:r w:rsidRPr="00967041">
        <w:rPr>
          <w:rStyle w:val="Refdenotaderodap"/>
          <w:b/>
          <w:bCs/>
          <w:sz w:val="20"/>
          <w:szCs w:val="20"/>
        </w:rPr>
        <w:footnoteReference w:id="1"/>
      </w:r>
    </w:p>
    <w:p w14:paraId="6A2A7065" w14:textId="246D1C00" w:rsidR="00817FF4" w:rsidRPr="0032737E" w:rsidRDefault="00817FF4" w:rsidP="00887E3F">
      <w:pPr>
        <w:spacing w:line="240" w:lineRule="auto"/>
        <w:jc w:val="right"/>
        <w:rPr>
          <w:b/>
          <w:bCs/>
          <w:sz w:val="24"/>
          <w:szCs w:val="24"/>
        </w:rPr>
      </w:pPr>
      <w:r w:rsidRPr="00817FF4">
        <w:rPr>
          <w:b/>
          <w:bCs/>
          <w:sz w:val="24"/>
          <w:szCs w:val="24"/>
        </w:rPr>
        <w:t>STÉFANY TALITA SILVA MENESES</w:t>
      </w:r>
      <w:r w:rsidRPr="00E412EE">
        <w:rPr>
          <w:rStyle w:val="Refdenotaderodap"/>
          <w:b/>
          <w:bCs/>
          <w:sz w:val="20"/>
          <w:szCs w:val="20"/>
        </w:rPr>
        <w:footnoteReference w:id="2"/>
      </w:r>
    </w:p>
    <w:p w14:paraId="4DDCDC98" w14:textId="77777777" w:rsidR="007709C6" w:rsidRPr="005F3734" w:rsidRDefault="007709C6">
      <w:pPr>
        <w:spacing w:line="240" w:lineRule="auto"/>
        <w:ind w:left="2835"/>
        <w:jc w:val="both"/>
        <w:rPr>
          <w:sz w:val="20"/>
          <w:szCs w:val="20"/>
        </w:rPr>
      </w:pPr>
    </w:p>
    <w:p w14:paraId="68116E85" w14:textId="77777777" w:rsidR="000F4931" w:rsidRPr="006014A5" w:rsidRDefault="00086E88" w:rsidP="006014A5">
      <w:pPr>
        <w:pStyle w:val="Ttulo7"/>
      </w:pPr>
      <w:r w:rsidRPr="006014A5">
        <w:t>Resumo</w:t>
      </w:r>
    </w:p>
    <w:p w14:paraId="7862BD04" w14:textId="5A9B33E4" w:rsidR="000F4931" w:rsidRPr="000F4931" w:rsidRDefault="000F4931" w:rsidP="006014A5">
      <w:pPr>
        <w:pStyle w:val="Ttulo7"/>
        <w:rPr>
          <w:b w:val="0"/>
        </w:rPr>
      </w:pPr>
      <w:r w:rsidRPr="000F4931">
        <w:rPr>
          <w:rFonts w:eastAsia="Times New Roman"/>
          <w:b w:val="0"/>
        </w:rPr>
        <w:t xml:space="preserve">O presente artigo </w:t>
      </w:r>
      <w:r w:rsidR="007A53A6" w:rsidRPr="006014A5">
        <w:rPr>
          <w:rFonts w:eastAsia="Times New Roman"/>
          <w:b w:val="0"/>
        </w:rPr>
        <w:t>trata</w:t>
      </w:r>
      <w:r w:rsidRPr="000F4931">
        <w:rPr>
          <w:rFonts w:eastAsia="Times New Roman"/>
          <w:b w:val="0"/>
        </w:rPr>
        <w:t xml:space="preserve"> </w:t>
      </w:r>
      <w:r w:rsidR="007A53A6" w:rsidRPr="006014A5">
        <w:rPr>
          <w:rFonts w:eastAsia="Times New Roman"/>
          <w:b w:val="0"/>
        </w:rPr>
        <w:t>d</w:t>
      </w:r>
      <w:r w:rsidRPr="000F4931">
        <w:rPr>
          <w:rFonts w:eastAsia="Times New Roman"/>
          <w:b w:val="0"/>
        </w:rPr>
        <w:t xml:space="preserve">a importância da reinserção da mulher no mercado de trabalho, com ênfase no contexto do estado do Maranhão no ano de 2024. A pesquisa discute os avanços do ordenamento jurídico brasileiro no que se refere aos direitos das mulheres, bem como os desafios estruturais, culturais e sociais que ainda dificultam sua efetiva inserção e permanência no ambiente profissional. Destaca-se a relevância da luta feminina por igualdade de oportunidades, com ênfase no papel das políticas públicas e da legislação vigente na promoção de condições laborais mais equitativas. </w:t>
      </w:r>
      <w:r w:rsidRPr="006014A5">
        <w:rPr>
          <w:rFonts w:eastAsia="Times New Roman"/>
          <w:b w:val="0"/>
          <w:bCs/>
        </w:rPr>
        <w:t>A metodologia adotada foi a pesquisa bibliográfica, com base em obras doutrinárias, artigos científicos, legislações nacionais e internacionais, além da análise de dados estatísticos oficiais relacionados à realidade maranhense.</w:t>
      </w:r>
      <w:r w:rsidRPr="000F4931">
        <w:rPr>
          <w:rFonts w:eastAsia="Times New Roman"/>
          <w:b w:val="0"/>
        </w:rPr>
        <w:t xml:space="preserve"> A análise busca contribuir para o debate sobre equidade de gênero e desenvolvimento social, evidenciando a necessidade de ações mais concretas para superar as desigualdades no mundo do trabalho.</w:t>
      </w:r>
    </w:p>
    <w:p w14:paraId="6D49AA11" w14:textId="3D7961DA" w:rsidR="009441BC" w:rsidRPr="006014A5" w:rsidRDefault="009441BC" w:rsidP="006014A5">
      <w:pPr>
        <w:spacing w:line="240" w:lineRule="auto"/>
        <w:ind w:left="2835"/>
        <w:jc w:val="both"/>
        <w:rPr>
          <w:sz w:val="20"/>
          <w:szCs w:val="20"/>
        </w:rPr>
      </w:pPr>
      <w:r w:rsidRPr="006014A5">
        <w:rPr>
          <w:b/>
          <w:bCs/>
          <w:sz w:val="20"/>
          <w:szCs w:val="20"/>
        </w:rPr>
        <w:t>Palavras-chave</w:t>
      </w:r>
      <w:r w:rsidR="00C922BC" w:rsidRPr="006014A5">
        <w:rPr>
          <w:sz w:val="20"/>
          <w:szCs w:val="20"/>
        </w:rPr>
        <w:t xml:space="preserve">: Mulheres do </w:t>
      </w:r>
      <w:r w:rsidRPr="006014A5">
        <w:rPr>
          <w:sz w:val="20"/>
          <w:szCs w:val="20"/>
        </w:rPr>
        <w:t xml:space="preserve">Mercado de trabalho; </w:t>
      </w:r>
      <w:r w:rsidR="00C922BC" w:rsidRPr="006014A5">
        <w:rPr>
          <w:sz w:val="20"/>
          <w:szCs w:val="20"/>
        </w:rPr>
        <w:t xml:space="preserve">Igualdade de gênero; </w:t>
      </w:r>
      <w:r w:rsidR="006014A5" w:rsidRPr="006014A5">
        <w:rPr>
          <w:sz w:val="20"/>
          <w:szCs w:val="20"/>
        </w:rPr>
        <w:t xml:space="preserve">Políticas públicas para mulheres, </w:t>
      </w:r>
      <w:r w:rsidRPr="006014A5">
        <w:rPr>
          <w:sz w:val="20"/>
          <w:szCs w:val="20"/>
        </w:rPr>
        <w:t xml:space="preserve">Direitos trabalhistas; Maranhão; </w:t>
      </w:r>
      <w:r w:rsidR="00C922BC" w:rsidRPr="006014A5">
        <w:rPr>
          <w:sz w:val="20"/>
          <w:szCs w:val="20"/>
        </w:rPr>
        <w:tab/>
      </w:r>
      <w:r w:rsidRPr="006014A5">
        <w:rPr>
          <w:sz w:val="20"/>
          <w:szCs w:val="20"/>
        </w:rPr>
        <w:t>.</w:t>
      </w:r>
    </w:p>
    <w:p w14:paraId="620C1F7A" w14:textId="77777777" w:rsidR="007709C6" w:rsidRPr="006014A5" w:rsidRDefault="007709C6" w:rsidP="006014A5">
      <w:pPr>
        <w:spacing w:line="240" w:lineRule="auto"/>
        <w:ind w:left="2835"/>
        <w:jc w:val="both"/>
        <w:rPr>
          <w:sz w:val="20"/>
          <w:szCs w:val="20"/>
        </w:rPr>
      </w:pPr>
    </w:p>
    <w:p w14:paraId="06207B7E" w14:textId="77777777" w:rsidR="007709C6" w:rsidRPr="006014A5" w:rsidRDefault="00086E88" w:rsidP="006014A5">
      <w:pPr>
        <w:spacing w:line="240" w:lineRule="auto"/>
        <w:ind w:left="2835"/>
        <w:jc w:val="both"/>
        <w:rPr>
          <w:sz w:val="20"/>
          <w:szCs w:val="20"/>
        </w:rPr>
      </w:pPr>
      <w:r w:rsidRPr="006014A5">
        <w:rPr>
          <w:b/>
          <w:sz w:val="20"/>
          <w:szCs w:val="20"/>
        </w:rPr>
        <w:t>Abstract</w:t>
      </w:r>
    </w:p>
    <w:p w14:paraId="30F0634E" w14:textId="77777777" w:rsidR="007A53A6" w:rsidRPr="006014A5" w:rsidRDefault="007A53A6" w:rsidP="006014A5">
      <w:pPr>
        <w:spacing w:line="240" w:lineRule="auto"/>
        <w:ind w:left="2835"/>
        <w:jc w:val="both"/>
        <w:rPr>
          <w:sz w:val="20"/>
          <w:szCs w:val="20"/>
        </w:rPr>
      </w:pPr>
      <w:r w:rsidRPr="006014A5">
        <w:rPr>
          <w:sz w:val="20"/>
          <w:szCs w:val="20"/>
        </w:rPr>
        <w:t xml:space="preserve">This article addresses the importance of women's reintegration into the labor market, with an emphasis on the context of the state of Maranhão in the year 2024. The research discusses the progress of the Brazilian legal system regarding women's rights, as well as the structural, cultural, and social challenges that continue to hinder their effective entry and permanence in the professional environment. The relevance of the female struggle for equal opportunities is highlighted, with emphasis on the role of public policies and current legislation in promoting more equitable working conditions. The methodology adopted was bibliographic research, based on doctrinal works, scientific articles, national and international legislation, in addition to the analysis </w:t>
      </w:r>
      <w:r w:rsidRPr="006014A5">
        <w:rPr>
          <w:sz w:val="20"/>
          <w:szCs w:val="20"/>
        </w:rPr>
        <w:lastRenderedPageBreak/>
        <w:t>of official statistical data related to the Maranhão context. The analysis aims to contribute to the debate on gender equity and social development, highlighting the need for more concrete actions to overcome inequalities in the world of work.</w:t>
      </w:r>
    </w:p>
    <w:p w14:paraId="458B9A15" w14:textId="667EEB7A" w:rsidR="007709C6" w:rsidRPr="005F3734" w:rsidRDefault="006132CF" w:rsidP="008F1A12">
      <w:pPr>
        <w:spacing w:line="240" w:lineRule="auto"/>
        <w:ind w:left="2835"/>
        <w:jc w:val="both"/>
        <w:rPr>
          <w:sz w:val="24"/>
          <w:szCs w:val="24"/>
        </w:rPr>
      </w:pPr>
      <w:r w:rsidRPr="006014A5">
        <w:rPr>
          <w:b/>
          <w:bCs/>
          <w:sz w:val="20"/>
          <w:szCs w:val="20"/>
        </w:rPr>
        <w:t>Keywords</w:t>
      </w:r>
      <w:r w:rsidRPr="006014A5">
        <w:rPr>
          <w:sz w:val="20"/>
          <w:szCs w:val="20"/>
        </w:rPr>
        <w:t xml:space="preserve">: </w:t>
      </w:r>
      <w:r w:rsidR="006014A5" w:rsidRPr="006014A5">
        <w:rPr>
          <w:sz w:val="20"/>
          <w:szCs w:val="20"/>
        </w:rPr>
        <w:t>Women in the labor market; Gender equality; Public policies f</w:t>
      </w:r>
      <w:r w:rsidR="008F1A12">
        <w:rPr>
          <w:sz w:val="20"/>
          <w:szCs w:val="20"/>
        </w:rPr>
        <w:t xml:space="preserve">or women; Labor rights; Maranhão. </w:t>
      </w:r>
    </w:p>
    <w:p w14:paraId="17A2E748" w14:textId="77777777" w:rsidR="007709C6" w:rsidRPr="005F3734" w:rsidRDefault="00086E88" w:rsidP="00DB3DE9">
      <w:pPr>
        <w:tabs>
          <w:tab w:val="left" w:pos="709"/>
          <w:tab w:val="left" w:pos="851"/>
        </w:tabs>
        <w:spacing w:line="360" w:lineRule="auto"/>
        <w:rPr>
          <w:sz w:val="24"/>
          <w:szCs w:val="24"/>
        </w:rPr>
      </w:pPr>
      <w:r w:rsidRPr="005F3734">
        <w:br w:type="page"/>
      </w:r>
      <w:r w:rsidRPr="005F3734">
        <w:rPr>
          <w:b/>
          <w:sz w:val="24"/>
          <w:szCs w:val="24"/>
        </w:rPr>
        <w:lastRenderedPageBreak/>
        <w:t>1</w:t>
      </w:r>
      <w:r w:rsidRPr="005F3734">
        <w:rPr>
          <w:b/>
          <w:sz w:val="24"/>
          <w:szCs w:val="24"/>
        </w:rPr>
        <w:tab/>
        <w:t>INTRODUÇÃO</w:t>
      </w:r>
    </w:p>
    <w:p w14:paraId="5F8F6BDA" w14:textId="77777777" w:rsidR="007709C6" w:rsidRPr="005F3734" w:rsidRDefault="007709C6">
      <w:pPr>
        <w:spacing w:line="360" w:lineRule="auto"/>
        <w:jc w:val="both"/>
        <w:rPr>
          <w:sz w:val="24"/>
          <w:szCs w:val="24"/>
        </w:rPr>
      </w:pPr>
    </w:p>
    <w:p w14:paraId="1C297AF7" w14:textId="77777777" w:rsidR="005E14AD" w:rsidRPr="005E14AD" w:rsidRDefault="005E14AD" w:rsidP="005E14AD">
      <w:pPr>
        <w:pStyle w:val="NormalWeb"/>
        <w:spacing w:before="0" w:beforeAutospacing="0" w:after="0" w:afterAutospacing="0" w:line="360" w:lineRule="auto"/>
        <w:ind w:firstLine="709"/>
        <w:jc w:val="both"/>
        <w:rPr>
          <w:rFonts w:ascii="Arial" w:hAnsi="Arial" w:cs="Arial"/>
        </w:rPr>
      </w:pPr>
      <w:bookmarkStart w:id="1" w:name="_6hpgqp2ffbdg" w:colFirst="0" w:colLast="0"/>
      <w:bookmarkEnd w:id="1"/>
      <w:r w:rsidRPr="005E14AD">
        <w:rPr>
          <w:rFonts w:ascii="Arial" w:hAnsi="Arial" w:cs="Arial"/>
        </w:rPr>
        <w:t xml:space="preserve">O presente estudo tem como propósito refletir, sob a ótica jurídica, sobre os avanços, desafios e a importância da inserção da mulher no mercado de trabalho no contexto brasileiro, com ênfase no Maranhão no ano de 2024. A proposta dialoga com a temática da XII JOINPP, intitulada </w:t>
      </w:r>
      <w:r w:rsidRPr="005E14AD">
        <w:rPr>
          <w:rStyle w:val="nfase"/>
          <w:rFonts w:ascii="Arial" w:hAnsi="Arial" w:cs="Arial"/>
        </w:rPr>
        <w:t>Imperialismo, Colonialismo, Racismo e Guerras: balanço e perspectivas emancipatórias</w:t>
      </w:r>
      <w:r w:rsidRPr="005E14AD">
        <w:rPr>
          <w:rFonts w:ascii="Arial" w:hAnsi="Arial" w:cs="Arial"/>
        </w:rPr>
        <w:t>, ao analisar os mecanismos históricos e normativos que limitaram a participação feminina nas atividades laborais e os esforços empreendidos em busca de maior equidade e emancipação social.</w:t>
      </w:r>
    </w:p>
    <w:p w14:paraId="7E5F175D" w14:textId="77777777" w:rsidR="005E14AD" w:rsidRPr="00004E8F" w:rsidRDefault="005E14AD" w:rsidP="005E14AD">
      <w:pPr>
        <w:pStyle w:val="NormalWeb"/>
        <w:spacing w:before="0" w:beforeAutospacing="0" w:after="0" w:afterAutospacing="0" w:line="360" w:lineRule="auto"/>
        <w:ind w:firstLine="709"/>
        <w:jc w:val="both"/>
        <w:rPr>
          <w:rFonts w:ascii="Arial" w:hAnsi="Arial" w:cs="Arial"/>
          <w:b/>
        </w:rPr>
      </w:pPr>
      <w:r w:rsidRPr="005E14AD">
        <w:rPr>
          <w:rFonts w:ascii="Arial" w:hAnsi="Arial" w:cs="Arial"/>
        </w:rPr>
        <w:t xml:space="preserve">Parte-se da seguinte indagação: </w:t>
      </w:r>
      <w:r w:rsidRPr="00004E8F">
        <w:rPr>
          <w:rStyle w:val="Forte"/>
          <w:rFonts w:ascii="Arial" w:hAnsi="Arial" w:cs="Arial"/>
          <w:b w:val="0"/>
        </w:rPr>
        <w:t xml:space="preserve">Em que medida a evolução legislativa contribuiu para a efetiva reinserção da mulher no mercado de trabalho, especialmente no cenário maranhense </w:t>
      </w:r>
      <w:r w:rsidR="00004E8F">
        <w:rPr>
          <w:rStyle w:val="Forte"/>
          <w:rFonts w:ascii="Arial" w:hAnsi="Arial" w:cs="Arial"/>
          <w:b w:val="0"/>
        </w:rPr>
        <w:t>no ano de 2024</w:t>
      </w:r>
      <w:r w:rsidRPr="00004E8F">
        <w:rPr>
          <w:rStyle w:val="Forte"/>
          <w:rFonts w:ascii="Arial" w:hAnsi="Arial" w:cs="Arial"/>
          <w:b w:val="0"/>
        </w:rPr>
        <w:t>?</w:t>
      </w:r>
    </w:p>
    <w:p w14:paraId="21104F7C" w14:textId="77777777" w:rsidR="005E14AD" w:rsidRPr="00004E8F" w:rsidRDefault="005E14AD" w:rsidP="005E14AD">
      <w:pPr>
        <w:pStyle w:val="NormalWeb"/>
        <w:spacing w:before="0" w:beforeAutospacing="0" w:after="0" w:afterAutospacing="0" w:line="360" w:lineRule="auto"/>
        <w:ind w:firstLine="709"/>
        <w:jc w:val="both"/>
        <w:rPr>
          <w:rFonts w:ascii="Arial" w:hAnsi="Arial" w:cs="Arial"/>
          <w:b/>
        </w:rPr>
      </w:pPr>
      <w:r w:rsidRPr="005E14AD">
        <w:rPr>
          <w:rFonts w:ascii="Arial" w:hAnsi="Arial" w:cs="Arial"/>
        </w:rPr>
        <w:t xml:space="preserve">O objetivo geral do estudo consiste em </w:t>
      </w:r>
      <w:r w:rsidRPr="00004E8F">
        <w:rPr>
          <w:rStyle w:val="Forte"/>
          <w:rFonts w:ascii="Arial" w:hAnsi="Arial" w:cs="Arial"/>
          <w:b w:val="0"/>
        </w:rPr>
        <w:t>analisar a importância da reinserção da mulher no mercado de trabalho à luz das conquistas jurídicas e sociais, destacando seus avanços, entraves e impactos na realidade maranhense</w:t>
      </w:r>
      <w:r w:rsidR="009A5E77">
        <w:rPr>
          <w:rStyle w:val="Forte"/>
          <w:rFonts w:ascii="Arial" w:hAnsi="Arial" w:cs="Arial"/>
          <w:b w:val="0"/>
        </w:rPr>
        <w:t xml:space="preserve"> em especial no ano de 2024</w:t>
      </w:r>
      <w:r w:rsidRPr="00004E8F">
        <w:rPr>
          <w:rFonts w:ascii="Arial" w:hAnsi="Arial" w:cs="Arial"/>
          <w:b/>
        </w:rPr>
        <w:t>.</w:t>
      </w:r>
    </w:p>
    <w:p w14:paraId="09C615E7" w14:textId="77777777" w:rsidR="00E05766" w:rsidRDefault="005E14AD" w:rsidP="005E14AD">
      <w:pPr>
        <w:pStyle w:val="NormalWeb"/>
        <w:spacing w:before="0" w:beforeAutospacing="0" w:after="0" w:afterAutospacing="0" w:line="360" w:lineRule="auto"/>
        <w:ind w:firstLine="709"/>
        <w:jc w:val="both"/>
        <w:rPr>
          <w:rFonts w:ascii="Arial" w:hAnsi="Arial" w:cs="Arial"/>
        </w:rPr>
      </w:pPr>
      <w:r w:rsidRPr="005E14AD">
        <w:rPr>
          <w:rFonts w:ascii="Arial" w:hAnsi="Arial" w:cs="Arial"/>
        </w:rPr>
        <w:t xml:space="preserve">Partindo de um resgate histórico da trajetória das mulheres e de sua inserção no mundo do trabalho, o estudo propõe, no primeiro capítulo, uma análise da evolução dos direitos das mulheres no ordenamento jurídico brasileiro, destacando os principais marcos legislativos e suas repercussões no enfrentamento da lógica patriarcal. </w:t>
      </w:r>
    </w:p>
    <w:p w14:paraId="0F42E7D5" w14:textId="77777777" w:rsidR="005E14AD" w:rsidRPr="005E14AD" w:rsidRDefault="005E14AD" w:rsidP="005E14AD">
      <w:pPr>
        <w:pStyle w:val="NormalWeb"/>
        <w:spacing w:before="0" w:beforeAutospacing="0" w:after="0" w:afterAutospacing="0" w:line="360" w:lineRule="auto"/>
        <w:ind w:firstLine="709"/>
        <w:jc w:val="both"/>
        <w:rPr>
          <w:rFonts w:ascii="Arial" w:hAnsi="Arial" w:cs="Arial"/>
        </w:rPr>
      </w:pPr>
      <w:r w:rsidRPr="005E14AD">
        <w:rPr>
          <w:rFonts w:ascii="Arial" w:hAnsi="Arial" w:cs="Arial"/>
        </w:rPr>
        <w:t>Nesse sentido, a noção de patria</w:t>
      </w:r>
      <w:r w:rsidR="00901920">
        <w:rPr>
          <w:rFonts w:ascii="Arial" w:hAnsi="Arial" w:cs="Arial"/>
        </w:rPr>
        <w:t xml:space="preserve">rcado, conforme exposta por </w:t>
      </w:r>
      <w:r w:rsidRPr="005E14AD">
        <w:rPr>
          <w:rFonts w:ascii="Arial" w:hAnsi="Arial" w:cs="Arial"/>
        </w:rPr>
        <w:t>Weber (</w:t>
      </w:r>
      <w:r w:rsidR="00901920">
        <w:rPr>
          <w:rFonts w:ascii="Arial" w:hAnsi="Arial" w:cs="Arial"/>
        </w:rPr>
        <w:t>2004</w:t>
      </w:r>
      <w:r w:rsidRPr="005E14AD">
        <w:rPr>
          <w:rFonts w:ascii="Arial" w:hAnsi="Arial" w:cs="Arial"/>
        </w:rPr>
        <w:t>), é fundamental para compreender a estrutura de dominação masculina que se estende da esfera familiar para o campo social e institucional.</w:t>
      </w:r>
    </w:p>
    <w:p w14:paraId="14C4909A" w14:textId="77777777" w:rsidR="005E14AD" w:rsidRPr="005E14AD" w:rsidRDefault="005E14AD" w:rsidP="005E14AD">
      <w:pPr>
        <w:pStyle w:val="NormalWeb"/>
        <w:spacing w:before="0" w:beforeAutospacing="0" w:after="0" w:afterAutospacing="0" w:line="360" w:lineRule="auto"/>
        <w:ind w:firstLine="709"/>
        <w:jc w:val="both"/>
        <w:rPr>
          <w:rFonts w:ascii="Arial" w:hAnsi="Arial" w:cs="Arial"/>
        </w:rPr>
      </w:pPr>
      <w:r w:rsidRPr="005E14AD">
        <w:rPr>
          <w:rFonts w:ascii="Arial" w:hAnsi="Arial" w:cs="Arial"/>
        </w:rPr>
        <w:t xml:space="preserve">No segundo capítulo, serão discutidos os impactos das legislações mais recentes voltadas à promoção da igualdade de gênero no trabalho, especialmente aquelas relacionadas à proteção à maternidade, à valorização da atuação profissional feminina e à superação de desigualdades históricas. A partir de documentos internacionais, como a Declaração Universal dos Direitos Humanos de 1948, e da </w:t>
      </w:r>
      <w:r w:rsidRPr="005E14AD">
        <w:rPr>
          <w:rFonts w:ascii="Arial" w:hAnsi="Arial" w:cs="Arial"/>
        </w:rPr>
        <w:lastRenderedPageBreak/>
        <w:t>Constituição Federal de 1988, será destacada a centralidade do princípio da dignidade da pessoa humana como fundamento para a promoção de direitos das mulheres.</w:t>
      </w:r>
    </w:p>
    <w:p w14:paraId="53EC1C97" w14:textId="77777777" w:rsidR="005E14AD" w:rsidRPr="005E14AD" w:rsidRDefault="005E14AD" w:rsidP="00867A8E">
      <w:pPr>
        <w:pStyle w:val="NormalWeb"/>
        <w:spacing w:before="0" w:beforeAutospacing="0" w:after="0" w:afterAutospacing="0" w:line="360" w:lineRule="auto"/>
        <w:ind w:firstLine="709"/>
        <w:jc w:val="both"/>
        <w:rPr>
          <w:rFonts w:ascii="Arial" w:hAnsi="Arial" w:cs="Arial"/>
        </w:rPr>
      </w:pPr>
      <w:r w:rsidRPr="005E14AD">
        <w:rPr>
          <w:rFonts w:ascii="Arial" w:hAnsi="Arial" w:cs="Arial"/>
        </w:rPr>
        <w:t xml:space="preserve">Por fim, o terceiro capítulo abordará a aplicabilidade prática dessas normas e políticas públicas, com base em dados estatísticos e relatos que evidenciam </w:t>
      </w:r>
      <w:r w:rsidR="000535EE">
        <w:rPr>
          <w:rFonts w:ascii="Arial" w:hAnsi="Arial" w:cs="Arial"/>
        </w:rPr>
        <w:t xml:space="preserve">se tiveram avanços </w:t>
      </w:r>
      <w:r w:rsidRPr="005E14AD">
        <w:rPr>
          <w:rFonts w:ascii="Arial" w:hAnsi="Arial" w:cs="Arial"/>
        </w:rPr>
        <w:t>e</w:t>
      </w:r>
      <w:r w:rsidR="000535EE">
        <w:rPr>
          <w:rFonts w:ascii="Arial" w:hAnsi="Arial" w:cs="Arial"/>
        </w:rPr>
        <w:t xml:space="preserve"> possíveis </w:t>
      </w:r>
      <w:r w:rsidRPr="005E14AD">
        <w:rPr>
          <w:rFonts w:ascii="Arial" w:hAnsi="Arial" w:cs="Arial"/>
        </w:rPr>
        <w:t>obstáculos enfrentados pelas mulheres no processo de reinserção no mercado de trabalho</w:t>
      </w:r>
      <w:r w:rsidR="000535EE">
        <w:rPr>
          <w:rFonts w:ascii="Arial" w:hAnsi="Arial" w:cs="Arial"/>
        </w:rPr>
        <w:t xml:space="preserve"> no maranhão no ano de 2024</w:t>
      </w:r>
      <w:r w:rsidRPr="005E14AD">
        <w:rPr>
          <w:rFonts w:ascii="Arial" w:hAnsi="Arial" w:cs="Arial"/>
        </w:rPr>
        <w:t>. Como destaca Matos (2000), são as estratégias cotidianas de resistência que revelam a capacidade das mulheres de enfrentar as incoerências dos sistemas sociais e políticos e construir caminhos para sua afirmação profissional e social.</w:t>
      </w:r>
    </w:p>
    <w:p w14:paraId="2411B2FC" w14:textId="77777777" w:rsidR="005E14AD" w:rsidRPr="00F15DFD" w:rsidRDefault="005E14AD" w:rsidP="007663AA">
      <w:pPr>
        <w:pStyle w:val="Recuodecorpodetexto2"/>
      </w:pPr>
      <w:r w:rsidRPr="00F15DFD">
        <w:t>A metodologia utilizada consiste em pesquisa bibliográfica, fundamentada em obras doutrinárias, artigos científicos, legislações constitucionais e infraconstitucionais, além de dados e documentos oficiais que tratam da temática de gênero e trabalho no Brasil.</w:t>
      </w:r>
    </w:p>
    <w:p w14:paraId="560C3720" w14:textId="77777777" w:rsidR="00153439" w:rsidRDefault="00153439" w:rsidP="000E1BFA">
      <w:pPr>
        <w:spacing w:line="360" w:lineRule="auto"/>
        <w:ind w:firstLine="709"/>
        <w:jc w:val="both"/>
        <w:rPr>
          <w:b/>
          <w:sz w:val="24"/>
          <w:szCs w:val="24"/>
        </w:rPr>
      </w:pPr>
    </w:p>
    <w:p w14:paraId="2DABAEB4" w14:textId="77777777" w:rsidR="008F3E47" w:rsidRPr="005F3734" w:rsidRDefault="008F3E47" w:rsidP="00DB3DE9">
      <w:pPr>
        <w:pStyle w:val="Corpodetexto"/>
      </w:pPr>
      <w:r w:rsidRPr="005F3734">
        <w:t xml:space="preserve">2  </w:t>
      </w:r>
      <w:r w:rsidR="00DB3DE9" w:rsidRPr="005F3734">
        <w:t xml:space="preserve">     </w:t>
      </w:r>
      <w:r w:rsidRPr="005F3734">
        <w:t>DIREITOS DAS MULHERES E A INSERÇÃO NO MERCADO DE TRABALHO</w:t>
      </w:r>
    </w:p>
    <w:p w14:paraId="2E59EE55" w14:textId="77777777" w:rsidR="007709C6" w:rsidRPr="005F3734" w:rsidRDefault="007709C6">
      <w:pPr>
        <w:spacing w:line="360" w:lineRule="auto"/>
        <w:jc w:val="both"/>
        <w:rPr>
          <w:sz w:val="24"/>
          <w:szCs w:val="24"/>
        </w:rPr>
      </w:pPr>
    </w:p>
    <w:p w14:paraId="4B18FC88" w14:textId="77777777" w:rsidR="007B3FAC" w:rsidRPr="00CE2DAD" w:rsidRDefault="007B3FAC" w:rsidP="00CE2DAD">
      <w:pPr>
        <w:pStyle w:val="Recuodecorpodetexto2"/>
      </w:pPr>
      <w:r w:rsidRPr="00CE2DAD">
        <w:t>As mulheres sempre estiveram presentes no mundo do trabalho, como afirma Saffioti (1979), contribuindo de forma significativa para a subsistência familiar, para a produção de riqueza e para a ampliação da força de trabalho feminina no cenário econômico. Apesar disso, essa participação historicamente ocorreu de maneira invisibilizada e marcada por desigualdades estruturais. Ao longo do tempo, mesmo com avanços legislativos e constitucionais, as mulheres ainda enfrentam barreiras para acessar e permanecer no mercado de trabalho em condições de igualdade, seja em razão da disparidade salarial, da dupla jornada ou da ausência de políticas públicas eficazes que promovam a equidade de gênero.</w:t>
      </w:r>
    </w:p>
    <w:p w14:paraId="189CDC74" w14:textId="77777777" w:rsidR="00F55A30" w:rsidRPr="00CE2DAD" w:rsidRDefault="00F55A30" w:rsidP="00CE2DAD">
      <w:pPr>
        <w:pStyle w:val="Recuodecorpodetexto2"/>
      </w:pPr>
      <w:r w:rsidRPr="00CE2DAD">
        <w:t xml:space="preserve">Para compreender o contexto atual do mercado profissional feminino, é necessário realizar uma análise de seu processo histórico, especialmente no âmbito do ordenamento jurídico. Inicialmente, no cenário do Direito Internacional, a Carta das </w:t>
      </w:r>
      <w:r w:rsidRPr="00CE2DAD">
        <w:lastRenderedPageBreak/>
        <w:t>Nações Unidas, de 1945, já declarava a igualdade de direitos entre homens e mulheres:</w:t>
      </w:r>
    </w:p>
    <w:p w14:paraId="54C208F5" w14:textId="77777777" w:rsidR="00562B41" w:rsidRPr="005F3734" w:rsidRDefault="00562B41" w:rsidP="00AD4915">
      <w:pPr>
        <w:pStyle w:val="Recuodecorpodetexto2"/>
        <w:spacing w:line="240" w:lineRule="auto"/>
        <w:rPr>
          <w:sz w:val="20"/>
          <w:szCs w:val="20"/>
        </w:rPr>
      </w:pPr>
    </w:p>
    <w:p w14:paraId="32DE8F66" w14:textId="77777777" w:rsidR="005816DF" w:rsidRPr="005F3734" w:rsidRDefault="00AD4915" w:rsidP="00562B41">
      <w:pPr>
        <w:pStyle w:val="Recuodecorpodetexto3"/>
        <w:spacing w:line="240" w:lineRule="auto"/>
      </w:pPr>
      <w:r w:rsidRPr="005F3734">
        <w:t>“Nós, os povos das Nações Unidas, determinamos salvar as gerações seguintes do flagelo da guerra, que por duas vezes em nossas vidas trouxe tristeza incalculável para a humanidade, e reafirmar a fé nos direitos humanos fundamentais, na dignidade e no valor da pessoa humana, na igualdade de direitos de homens e mulheres e de nações grandes e pequenas, e estabelecer condições sob as quais a justiça e o respeito pelas obrigações decorrentes dos tratados e de outras fontes do direito internacional possam ser mantidos, e para promover o progresso social e melhores padr</w:t>
      </w:r>
      <w:r w:rsidR="00011ACF" w:rsidRPr="005F3734">
        <w:t>ões de vida em maior liberdade [...]</w:t>
      </w:r>
      <w:r w:rsidRPr="005F3734">
        <w:t>” (</w:t>
      </w:r>
      <w:r w:rsidR="00B80695" w:rsidRPr="005F3734">
        <w:t>Carta das Nações Unidas</w:t>
      </w:r>
      <w:r w:rsidRPr="005F3734">
        <w:t>, 1945).</w:t>
      </w:r>
    </w:p>
    <w:p w14:paraId="1F300137" w14:textId="77777777" w:rsidR="00AD4915" w:rsidRPr="005F3734" w:rsidRDefault="00AD4915" w:rsidP="006A7F06">
      <w:pPr>
        <w:spacing w:line="240" w:lineRule="auto"/>
        <w:ind w:left="2268"/>
        <w:jc w:val="both"/>
        <w:rPr>
          <w:sz w:val="20"/>
          <w:szCs w:val="20"/>
        </w:rPr>
      </w:pPr>
    </w:p>
    <w:p w14:paraId="0FAB678F" w14:textId="77777777" w:rsidR="00F55A30" w:rsidRPr="005F3734" w:rsidRDefault="00F55A30" w:rsidP="00FC1DE7">
      <w:pPr>
        <w:pStyle w:val="Recuodecorpodetexto2"/>
      </w:pPr>
      <w:r w:rsidRPr="005F3734">
        <w:t xml:space="preserve">Nesse sentido, já se observava a preocupação com o fato de que a garantia da dignidade da pessoa humana só poderia existir quando houvesse igualdade entre homens e mulheres. </w:t>
      </w:r>
    </w:p>
    <w:p w14:paraId="3DB0A4DA" w14:textId="77777777" w:rsidR="00C41F79" w:rsidRPr="005F3734" w:rsidRDefault="00C41F79" w:rsidP="00C41F79">
      <w:pPr>
        <w:pStyle w:val="Recuodecorpodetexto2"/>
      </w:pPr>
      <w:r w:rsidRPr="005F3734">
        <w:t>No âmbito do ordenamento jurídico internacional, a Declaração Universal dos Direitos Humanos, promulgada em 1948, reafirma o princípio fundamental da igualdade ao estabelecer que todos os seres humanos nascem livres e possuem os mesmos direitos e dignidade. (Declaração Universal dos Direitos Humanos, 1948).</w:t>
      </w:r>
    </w:p>
    <w:p w14:paraId="3CB1191C" w14:textId="77777777" w:rsidR="00332D2F" w:rsidRPr="005F3734" w:rsidRDefault="00F55A30" w:rsidP="006A7F06">
      <w:pPr>
        <w:pStyle w:val="Recuodecorpodetexto2"/>
      </w:pPr>
      <w:r w:rsidRPr="005F3734">
        <w:t xml:space="preserve">No entanto, o marco da inserção das mulheres no mercado de trabalho e o início do seu crescimento no Brasil ocorreu, de forma mais expressiva, entre meados dos séculos XIX e XX, quando operárias de fábricas passaram a lutar por melhores condições e buscar mudanças no ambiente fabril. Mais adiante, o direito ao voto feminino representou, sem sombra de dúvidas, um importante marco na conquista dos direitos das mulheres, inclusive no âmbito trabalhista. </w:t>
      </w:r>
    </w:p>
    <w:p w14:paraId="711D1FCF" w14:textId="2C809678" w:rsidR="00F55A30" w:rsidRPr="005F3734" w:rsidRDefault="00F55A30" w:rsidP="006A7F06">
      <w:pPr>
        <w:pStyle w:val="Recuodecorpodetexto2"/>
      </w:pPr>
      <w:r w:rsidRPr="005F3734">
        <w:t>N</w:t>
      </w:r>
      <w:r w:rsidR="008C6B32">
        <w:t>esse sentido, Sabag (2020</w:t>
      </w:r>
      <w:r w:rsidRPr="005F3734">
        <w:t>) menciona:</w:t>
      </w:r>
    </w:p>
    <w:p w14:paraId="055A43D6" w14:textId="77777777" w:rsidR="00F55A30" w:rsidRPr="005F3734" w:rsidRDefault="00F55A30" w:rsidP="00AD1301">
      <w:pPr>
        <w:pStyle w:val="Recuodecorpodetexto3"/>
        <w:spacing w:line="240" w:lineRule="auto"/>
      </w:pPr>
      <w:r w:rsidRPr="005F3734">
        <w:t>É importante reconhecer o  papel  histórico da Constituição de  1932  na  luta  pelos direitos das mulheres no Brasil. O direito ao voto foi uma conquista importante, que representou uma ampliação significativa da participação política das mulheres e uma mudança importante na cultura política do país.</w:t>
      </w:r>
      <w:r w:rsidR="00332D2F" w:rsidRPr="005F3734">
        <w:t xml:space="preserve"> (Sabag, 2020, p. 13). </w:t>
      </w:r>
    </w:p>
    <w:p w14:paraId="72E91120" w14:textId="77777777" w:rsidR="00697B10" w:rsidRPr="005F3734" w:rsidRDefault="00697B10" w:rsidP="00F55A30">
      <w:pPr>
        <w:ind w:left="2268"/>
        <w:jc w:val="both"/>
        <w:rPr>
          <w:sz w:val="20"/>
          <w:szCs w:val="20"/>
        </w:rPr>
      </w:pPr>
    </w:p>
    <w:p w14:paraId="7242F527" w14:textId="761F1E53" w:rsidR="00F55A30" w:rsidRPr="005F3734" w:rsidRDefault="00F55A30" w:rsidP="00CE2DAD">
      <w:pPr>
        <w:pStyle w:val="Recuodecorpodetexto2"/>
      </w:pPr>
      <w:r w:rsidRPr="005F3734">
        <w:t xml:space="preserve">Destaca-se que a Constituição de 1932 promoveu um papel mais ativo para as mulheres na vida política e na busca por seus direitos nas mais diversas áreas. É indubitável que a conquista do direito ao sufrágio representou um passo importante </w:t>
      </w:r>
      <w:r w:rsidRPr="005F3734">
        <w:lastRenderedPageBreak/>
        <w:t>na luta pela igualdade de gênero. Todavia, mesmo com esse grande avanço legislativo, as mulheres ainda enfrentariam inúmeras dificuldades para ver muitos de seus direitos efetivamente aplicados na prática. Ne</w:t>
      </w:r>
      <w:r w:rsidR="009C09DF">
        <w:t>sse sentido, Pinsky (2015</w:t>
      </w:r>
      <w:r w:rsidRPr="005F3734">
        <w:t>) disserta disserta que:</w:t>
      </w:r>
    </w:p>
    <w:p w14:paraId="0DC3D52D" w14:textId="77777777" w:rsidR="00F55A30" w:rsidRPr="005F3734" w:rsidRDefault="00F55A30" w:rsidP="00F55A30">
      <w:pPr>
        <w:ind w:firstLine="1134"/>
        <w:jc w:val="both"/>
        <w:rPr>
          <w:sz w:val="24"/>
          <w:szCs w:val="24"/>
        </w:rPr>
      </w:pPr>
    </w:p>
    <w:p w14:paraId="2CD5EA81" w14:textId="77777777" w:rsidR="00F55A30" w:rsidRPr="005F3734" w:rsidRDefault="00552057" w:rsidP="00A27780">
      <w:pPr>
        <w:pStyle w:val="Recuodecorpodetexto3"/>
        <w:spacing w:line="240" w:lineRule="auto"/>
      </w:pPr>
      <w:r w:rsidRPr="005F3734">
        <w:t>A</w:t>
      </w:r>
      <w:r w:rsidR="00F55A30" w:rsidRPr="005F3734">
        <w:t xml:space="preserve"> cultura patriarcal e machista ainda prevalecia na sociedade brasileira, o que se refletia em diversas formas de discriminação e desigualdade, como a falta de acesso à educação e ao mercado de trabalho em condições iguais às dos homens.</w:t>
      </w:r>
      <w:r w:rsidR="0064409E" w:rsidRPr="005F3734">
        <w:t xml:space="preserve"> (Pinsky, 2015, p. 23)</w:t>
      </w:r>
      <w:r w:rsidR="00A27780" w:rsidRPr="005F3734">
        <w:t xml:space="preserve">. </w:t>
      </w:r>
    </w:p>
    <w:p w14:paraId="25921176" w14:textId="77777777" w:rsidR="00F55A30" w:rsidRPr="005F3734" w:rsidRDefault="00F55A30" w:rsidP="00F55A30">
      <w:pPr>
        <w:spacing w:line="240" w:lineRule="auto"/>
        <w:ind w:left="2268"/>
        <w:jc w:val="both"/>
        <w:rPr>
          <w:sz w:val="20"/>
          <w:szCs w:val="20"/>
        </w:rPr>
      </w:pPr>
    </w:p>
    <w:p w14:paraId="6FB490FD" w14:textId="77777777" w:rsidR="00F55A30" w:rsidRPr="005F3734" w:rsidRDefault="00F55A30" w:rsidP="00CE2DAD">
      <w:pPr>
        <w:pStyle w:val="Recuodecorpodetexto2"/>
      </w:pPr>
      <w:r w:rsidRPr="005F3734">
        <w:t xml:space="preserve"> Dessa forma, a luta pelos direitos das mulheres necessitava ir além de apenas algumas </w:t>
      </w:r>
      <w:r w:rsidR="00B176AF" w:rsidRPr="005F3734">
        <w:t xml:space="preserve">conquistas, </w:t>
      </w:r>
      <w:r w:rsidRPr="005F3734">
        <w:t>leis e políticas públicas, mas também envolveu a necessidade de conscientização da sociedade sobre a importância da igualdade de gênero e a percepção, bem como a valorização das mulheres. Um trabalho de conscientização foi e continua sendo essencial para o desenvolvimento de uma sociedade mais justa e igualitária para todos, independentemente do gênero (</w:t>
      </w:r>
      <w:r w:rsidR="00E63F89" w:rsidRPr="005F3734">
        <w:t>Bounicore</w:t>
      </w:r>
      <w:r w:rsidRPr="005F3734">
        <w:t>, 2019).</w:t>
      </w:r>
    </w:p>
    <w:p w14:paraId="7D2B31CB" w14:textId="77777777" w:rsidR="00F55A30" w:rsidRPr="005F3734" w:rsidRDefault="00F55A30" w:rsidP="00CE2DAD">
      <w:pPr>
        <w:pStyle w:val="Recuodecorpodetexto2"/>
      </w:pPr>
      <w:r w:rsidRPr="005F3734">
        <w:t>Segundo Pinto (2020), foi somente após a redemocratização do país, com a promulgação da Constituição Federal de 1988, que a igualdade de direitos entre homens e mulheres passou a ser efetivamente mencionada e reconhecida como um princípio fundamental da República.</w:t>
      </w:r>
    </w:p>
    <w:p w14:paraId="7D222A8F" w14:textId="77777777" w:rsidR="005E4B98" w:rsidRDefault="00F55A30" w:rsidP="005E4B98">
      <w:pPr>
        <w:spacing w:line="360" w:lineRule="auto"/>
        <w:ind w:firstLine="709"/>
        <w:jc w:val="both"/>
        <w:rPr>
          <w:sz w:val="24"/>
          <w:szCs w:val="24"/>
        </w:rPr>
      </w:pPr>
      <w:r w:rsidRPr="005F3734">
        <w:rPr>
          <w:sz w:val="24"/>
          <w:szCs w:val="24"/>
        </w:rPr>
        <w:t>A Carta Magna de 1988 configura-se como um dos principais marcos jurídicos da história brasileira, destacando-se na luta pelos direitos das mulheres. Essa Constituição reconheceu expressamente a igualdade de direitos entre homens e mulheres, instituindo diversos mecanismos voltados à proteção e promoção desses direitos (</w:t>
      </w:r>
      <w:r w:rsidR="00E03F23" w:rsidRPr="005F3734">
        <w:rPr>
          <w:sz w:val="24"/>
          <w:szCs w:val="24"/>
        </w:rPr>
        <w:t>Moisés; Sanchez</w:t>
      </w:r>
      <w:r w:rsidRPr="005F3734">
        <w:rPr>
          <w:sz w:val="24"/>
          <w:szCs w:val="24"/>
        </w:rPr>
        <w:t>, 2014).</w:t>
      </w:r>
    </w:p>
    <w:p w14:paraId="22C7ACDB" w14:textId="77777777" w:rsidR="00EB7902" w:rsidRPr="005E4B98" w:rsidRDefault="00EB7902" w:rsidP="005E4B98">
      <w:pPr>
        <w:spacing w:line="360" w:lineRule="auto"/>
        <w:ind w:firstLine="709"/>
        <w:jc w:val="both"/>
        <w:rPr>
          <w:sz w:val="24"/>
          <w:szCs w:val="24"/>
        </w:rPr>
      </w:pPr>
      <w:r w:rsidRPr="005F3734">
        <w:t xml:space="preserve">O artigo 5º da Constituição Federal de 1988 dispõe que todos são iguais perante a lei, sem distinção de qualquer natureza, evidenciando o compromisso do Estado brasileiro com a igualdade de gênero. </w:t>
      </w:r>
      <w:r w:rsidR="00387CAF" w:rsidRPr="005F3734">
        <w:t>O</w:t>
      </w:r>
      <w:r w:rsidRPr="005F3734">
        <w:t xml:space="preserve"> artigo 226 estabelece a família como base da sociedade e assegura a igualdade de direitos e deveres entre homens e mulheres no âmbito familiar, reafirmando o papel fundamental da igualdade também nas relações domésticas (Brasil, 1988).</w:t>
      </w:r>
    </w:p>
    <w:p w14:paraId="613F1F9A" w14:textId="77777777" w:rsidR="00F55A30" w:rsidRPr="005F3734" w:rsidRDefault="00F55A30" w:rsidP="00CE2DAD">
      <w:pPr>
        <w:spacing w:line="360" w:lineRule="auto"/>
        <w:ind w:firstLine="709"/>
        <w:jc w:val="both"/>
        <w:rPr>
          <w:sz w:val="24"/>
          <w:szCs w:val="24"/>
        </w:rPr>
      </w:pPr>
      <w:r w:rsidRPr="005F3734">
        <w:rPr>
          <w:sz w:val="24"/>
          <w:szCs w:val="24"/>
        </w:rPr>
        <w:t xml:space="preserve">Desse modo, a Constituição de 1988 passou a representar um marco jurídico fundamental na luta pela igualdade de gênero. Foi a partir da chamada "Constituição </w:t>
      </w:r>
      <w:r w:rsidRPr="005F3734">
        <w:rPr>
          <w:sz w:val="24"/>
          <w:szCs w:val="24"/>
        </w:rPr>
        <w:lastRenderedPageBreak/>
        <w:t>Cidadã" que as mulheres começaram a ocupar espaços nos mais diversos segmentos do mercado de trabalho, incluindo áreas historicamente masculinas, como a engenharia e as Forças Armadas.</w:t>
      </w:r>
    </w:p>
    <w:p w14:paraId="4DAC532D" w14:textId="77777777" w:rsidR="00F55A30" w:rsidRPr="005F3734" w:rsidRDefault="00F55A30" w:rsidP="00CE2DAD">
      <w:pPr>
        <w:pStyle w:val="Recuodecorpodetexto2"/>
      </w:pPr>
      <w:r w:rsidRPr="005F3734">
        <w:t xml:space="preserve">No entanto, a efetiva concretização da igualdade material de direitos no mercado de trabalho ainda apresenta significativos desafios. As mulheres, em grande parte das carreiras do setor privado, continuam recebendo remunerações inferiores às dos homens. Além disso, são elas, majoritariamente, as responsáveis pelas tarefas domésticas e pelos cuidados com os filhos, o que demonstra a persistência de uma divisão desigual de papéis sociais. </w:t>
      </w:r>
    </w:p>
    <w:p w14:paraId="66FFC554" w14:textId="77777777" w:rsidR="00F55A30" w:rsidRPr="005F3734" w:rsidRDefault="00F55A30" w:rsidP="00CE2DAD">
      <w:pPr>
        <w:spacing w:line="360" w:lineRule="auto"/>
        <w:ind w:firstLine="709"/>
        <w:jc w:val="both"/>
        <w:rPr>
          <w:sz w:val="24"/>
          <w:szCs w:val="24"/>
        </w:rPr>
      </w:pPr>
      <w:r w:rsidRPr="005F3734">
        <w:rPr>
          <w:sz w:val="24"/>
          <w:szCs w:val="24"/>
        </w:rPr>
        <w:t>Nesse contexto, Miranda (2021) aponta que o Brasil, historicamente, apresenta uma cultura marcada pelo machismo, na qual a masculinidade tóxica é valorizada, relegando à mulher uma posição de inferioridade e submissão. Tais valores patriarcais são perpetuados por normas sociais, reforçando estereótipos de gênero e sustentando desigualdades estruturais que alimentam diversas formas de violência contra as mulheres.</w:t>
      </w:r>
    </w:p>
    <w:p w14:paraId="7D421B80" w14:textId="77777777" w:rsidR="00F17465" w:rsidRPr="005F3734" w:rsidRDefault="00F17465" w:rsidP="00CE2DAD">
      <w:pPr>
        <w:pStyle w:val="Recuodecorpodetexto2"/>
      </w:pPr>
      <w:r w:rsidRPr="005F3734">
        <w:t xml:space="preserve">A Consolidação das Leis do Trabalho (CLT), em seu artigo 5º, </w:t>
      </w:r>
      <w:r w:rsidR="00251F9C" w:rsidRPr="005F3734">
        <w:t xml:space="preserve">assegura que a todo trabalho de igual valor deve corresponder salário igual, independentemente do sexo do trabalhador. </w:t>
      </w:r>
      <w:r w:rsidRPr="005F3734">
        <w:t>(Brasil, 1943). No entanto, apesar dessa previsão legal, a realidade ainda revela uma disparidade salarial significativa, além de outras barreiras e preconceitos que dificultam a plena inserção das mulheres no mercado de trabalho.</w:t>
      </w:r>
    </w:p>
    <w:p w14:paraId="6C260498" w14:textId="77777777" w:rsidR="00F55A30" w:rsidRPr="005F3734" w:rsidRDefault="00F55A30" w:rsidP="00CE2DAD">
      <w:pPr>
        <w:spacing w:line="360" w:lineRule="auto"/>
        <w:ind w:firstLine="709"/>
        <w:jc w:val="both"/>
        <w:rPr>
          <w:sz w:val="24"/>
          <w:szCs w:val="24"/>
        </w:rPr>
      </w:pPr>
      <w:r w:rsidRPr="00EE5681">
        <w:rPr>
          <w:sz w:val="24"/>
          <w:szCs w:val="24"/>
        </w:rPr>
        <w:t>Nesse sentido, Thiry-Cherques e Pimenta (2003) destacam que, apesar do</w:t>
      </w:r>
      <w:r w:rsidRPr="005F3734">
        <w:rPr>
          <w:sz w:val="24"/>
          <w:szCs w:val="24"/>
        </w:rPr>
        <w:t xml:space="preserve"> crescimento da participação feminina no mercado de trabalho — estimado em cerca de 15% por década —, o equilíbrio entre os gêneros ainda está distante de ser alcançado. O preconceito permanece como um dos principais fatores que dificultam tanto o ingresso quanto a permanência da mulher no ambiente profissional.</w:t>
      </w:r>
    </w:p>
    <w:p w14:paraId="098B283E" w14:textId="77777777" w:rsidR="00F55A30" w:rsidRPr="005F3734" w:rsidRDefault="00F55A30" w:rsidP="00CE2DAD">
      <w:pPr>
        <w:spacing w:line="360" w:lineRule="auto"/>
        <w:ind w:firstLine="709"/>
        <w:jc w:val="both"/>
        <w:rPr>
          <w:sz w:val="24"/>
          <w:szCs w:val="24"/>
        </w:rPr>
      </w:pPr>
      <w:r w:rsidRPr="005F3734">
        <w:rPr>
          <w:sz w:val="24"/>
          <w:szCs w:val="24"/>
        </w:rPr>
        <w:t>Diante desse panorama, passa-se, a seguir, à análise das principais legislações já estabelecidas no ordenamento jurídico brasileiro voltadas à promoção da igualdade de gênero e à inserção efetiva da mulher na esfera profissional e trabalhista.</w:t>
      </w:r>
    </w:p>
    <w:p w14:paraId="3A939117" w14:textId="77777777" w:rsidR="00D86982" w:rsidRPr="005F3734" w:rsidRDefault="00D86982" w:rsidP="00D86982">
      <w:pPr>
        <w:jc w:val="both"/>
        <w:rPr>
          <w:rFonts w:eastAsia="Times New Roman"/>
          <w:b/>
          <w:bCs/>
          <w:sz w:val="24"/>
          <w:szCs w:val="24"/>
        </w:rPr>
      </w:pPr>
    </w:p>
    <w:p w14:paraId="4A31EC88" w14:textId="77777777" w:rsidR="00D86982" w:rsidRPr="005F3734" w:rsidRDefault="00D86982" w:rsidP="00206F60">
      <w:pPr>
        <w:pStyle w:val="Corpodetexto2"/>
        <w:rPr>
          <w:color w:val="auto"/>
        </w:rPr>
      </w:pPr>
      <w:r w:rsidRPr="005F3734">
        <w:rPr>
          <w:color w:val="auto"/>
        </w:rPr>
        <w:lastRenderedPageBreak/>
        <w:t>3 DAS GARANTIAS E DIREITOS JÁ ADQUIRIDOS NAS LEGISLAÇÕES VIGENTES</w:t>
      </w:r>
    </w:p>
    <w:p w14:paraId="784BFAB0" w14:textId="77777777" w:rsidR="00206F60" w:rsidRPr="005F3734" w:rsidRDefault="00206F60" w:rsidP="00206F60">
      <w:pPr>
        <w:pStyle w:val="Corpodetexto2"/>
        <w:rPr>
          <w:color w:val="auto"/>
        </w:rPr>
      </w:pPr>
    </w:p>
    <w:p w14:paraId="15DD379D" w14:textId="77777777" w:rsidR="00A01293" w:rsidRPr="005F3734" w:rsidRDefault="00A01293" w:rsidP="00A01293">
      <w:pPr>
        <w:pStyle w:val="NormalWeb"/>
        <w:spacing w:before="0" w:beforeAutospacing="0" w:after="0" w:afterAutospacing="0" w:line="360" w:lineRule="auto"/>
        <w:ind w:firstLine="709"/>
        <w:jc w:val="both"/>
        <w:rPr>
          <w:rFonts w:ascii="Arial" w:hAnsi="Arial" w:cs="Arial"/>
          <w:b/>
        </w:rPr>
      </w:pPr>
      <w:r w:rsidRPr="005F3734">
        <w:rPr>
          <w:rStyle w:val="Forte"/>
          <w:rFonts w:ascii="Arial" w:hAnsi="Arial" w:cs="Arial"/>
          <w:b w:val="0"/>
        </w:rPr>
        <w:t xml:space="preserve">O artigo 10, inciso II, alínea </w:t>
      </w:r>
      <w:r w:rsidRPr="005F3734">
        <w:rPr>
          <w:rStyle w:val="nfase"/>
          <w:rFonts w:ascii="Arial" w:hAnsi="Arial" w:cs="Arial"/>
          <w:bCs/>
          <w:i w:val="0"/>
        </w:rPr>
        <w:t>b</w:t>
      </w:r>
      <w:r w:rsidRPr="005F3734">
        <w:rPr>
          <w:rStyle w:val="Forte"/>
          <w:rFonts w:ascii="Arial" w:hAnsi="Arial" w:cs="Arial"/>
        </w:rPr>
        <w:t>,</w:t>
      </w:r>
      <w:r w:rsidRPr="005F3734">
        <w:rPr>
          <w:rStyle w:val="Forte"/>
          <w:rFonts w:ascii="Arial" w:hAnsi="Arial" w:cs="Arial"/>
          <w:b w:val="0"/>
        </w:rPr>
        <w:t xml:space="preserve"> do Ato das Disposições Constitucionais Transitórias (ADCT), incluído pela Constituição Federal de 1988, assegura a estabilidade provisória da gestante. Esse dispositivo veda a dispensa arbitrária ou sem justa causa da empregada gestante, desde a confirmação da gravidez até cinco meses após o parto, garantindo proteção ao vínculo empregatício durante o período mais sensível da maternidade</w:t>
      </w:r>
      <w:r w:rsidRPr="005F3734">
        <w:rPr>
          <w:rFonts w:ascii="Arial" w:hAnsi="Arial" w:cs="Arial"/>
          <w:b/>
        </w:rPr>
        <w:t xml:space="preserve"> </w:t>
      </w:r>
      <w:r w:rsidRPr="005F3734">
        <w:rPr>
          <w:rFonts w:ascii="Arial" w:hAnsi="Arial" w:cs="Arial"/>
        </w:rPr>
        <w:t>(Brasil, 1988).</w:t>
      </w:r>
    </w:p>
    <w:p w14:paraId="62AB374F" w14:textId="77777777" w:rsidR="00D86982" w:rsidRPr="005F3734" w:rsidRDefault="00D86982" w:rsidP="00A01293">
      <w:pPr>
        <w:spacing w:line="360" w:lineRule="auto"/>
        <w:ind w:left="284" w:firstLine="425"/>
        <w:jc w:val="both"/>
        <w:rPr>
          <w:rFonts w:eastAsia="Times New Roman"/>
          <w:sz w:val="24"/>
          <w:szCs w:val="24"/>
        </w:rPr>
      </w:pPr>
      <w:r w:rsidRPr="005F3734">
        <w:rPr>
          <w:rFonts w:eastAsia="Times New Roman"/>
          <w:sz w:val="24"/>
          <w:szCs w:val="24"/>
        </w:rPr>
        <w:t xml:space="preserve">Após a promulgação da </w:t>
      </w:r>
      <w:r w:rsidR="00202FCD" w:rsidRPr="005F3734">
        <w:rPr>
          <w:rFonts w:eastAsia="Times New Roman"/>
          <w:sz w:val="24"/>
          <w:szCs w:val="24"/>
        </w:rPr>
        <w:t>Constituição Federal de 1988</w:t>
      </w:r>
      <w:r w:rsidRPr="005F3734">
        <w:rPr>
          <w:rFonts w:eastAsia="Times New Roman"/>
          <w:sz w:val="24"/>
          <w:szCs w:val="24"/>
        </w:rPr>
        <w:t>, que estabeleceu a equidade de direitos entre homens e mulheres, passou-se à luta pela efetivação desses direitos em diversos instrumentos jurídicos. Nesse sentido, a Lei nº 9.799/1999 acrescentou à CLT, entre outros, o artigo 373-A que dispõe:</w:t>
      </w:r>
    </w:p>
    <w:p w14:paraId="5D75B128" w14:textId="77777777" w:rsidR="00E57917" w:rsidRPr="005F3734" w:rsidRDefault="00E57917" w:rsidP="00D86982">
      <w:pPr>
        <w:ind w:left="284" w:firstLine="850"/>
        <w:jc w:val="both"/>
        <w:rPr>
          <w:rFonts w:eastAsia="Times New Roman"/>
          <w:sz w:val="24"/>
          <w:szCs w:val="24"/>
        </w:rPr>
      </w:pPr>
    </w:p>
    <w:p w14:paraId="071A351C" w14:textId="77777777" w:rsidR="00E5200D" w:rsidRPr="005F3734" w:rsidRDefault="00D86982" w:rsidP="00E5200D">
      <w:pPr>
        <w:pStyle w:val="Recuodecorpodetexto3"/>
        <w:spacing w:line="240" w:lineRule="auto"/>
        <w:rPr>
          <w:rFonts w:eastAsia="Times New Roman"/>
        </w:rPr>
      </w:pPr>
      <w:r w:rsidRPr="005F3734">
        <w:rPr>
          <w:rFonts w:eastAsia="Times New Roman"/>
        </w:rPr>
        <w:t xml:space="preserve">Ressalvadas as disposições legais destinadas a corrigir as distorções que afetem o acesso da mulher ao mercado de trabalho e certas especificida-des estabelecidas nos acordos trabalhistas, é vedado: </w:t>
      </w:r>
    </w:p>
    <w:p w14:paraId="13742407" w14:textId="77777777" w:rsidR="00E5200D" w:rsidRPr="005F3734" w:rsidRDefault="00D86982" w:rsidP="00E5200D">
      <w:pPr>
        <w:pStyle w:val="Recuodecorpodetexto3"/>
        <w:spacing w:line="240" w:lineRule="auto"/>
        <w:rPr>
          <w:rFonts w:eastAsia="Times New Roman"/>
        </w:rPr>
      </w:pPr>
      <w:r w:rsidRPr="005F3734">
        <w:rPr>
          <w:rFonts w:eastAsia="Times New Roman"/>
        </w:rPr>
        <w:t xml:space="preserve">I – publicar ou fazer publicar  anúncio  de  emprego  no  qual  haja  referencia  ao  sexo,  à  idade,  à  cor  ou  situação  familiar,  salvo  quando  a  natureza  da  atividade  a  ser  exercida,  publica  e  notoriamente,  assim  o  exigir;  </w:t>
      </w:r>
    </w:p>
    <w:p w14:paraId="6996E480" w14:textId="77777777" w:rsidR="00E5200D" w:rsidRPr="005F3734" w:rsidRDefault="00D86982" w:rsidP="00E5200D">
      <w:pPr>
        <w:pStyle w:val="Recuodecorpodetexto3"/>
        <w:spacing w:line="240" w:lineRule="auto"/>
        <w:rPr>
          <w:rFonts w:eastAsia="Times New Roman"/>
        </w:rPr>
      </w:pPr>
      <w:r w:rsidRPr="005F3734">
        <w:rPr>
          <w:rFonts w:eastAsia="Times New Roman"/>
        </w:rPr>
        <w:t>II  –  recusar  emprego,  promoção  ou  motivar  a  dispensa  do  trabalho  em  razão  de  sexo,  idade,  cor, situação familiar ou estado de gravidez, salvo quando a natureza da atividade  seja  notória  e  publicamente  incompatível;  III  –  considerar  o  sexo, a idade, a cor ou situação familiar como variável determinante para fins de remuneração, formação profissional e oportunidades de ascensão profissional;</w:t>
      </w:r>
    </w:p>
    <w:p w14:paraId="5CC8F909" w14:textId="77777777" w:rsidR="00E5200D" w:rsidRPr="005F3734" w:rsidRDefault="00D86982" w:rsidP="00E5200D">
      <w:pPr>
        <w:pStyle w:val="Recuodecorpodetexto3"/>
        <w:spacing w:line="240" w:lineRule="auto"/>
        <w:rPr>
          <w:rFonts w:eastAsia="Times New Roman"/>
        </w:rPr>
      </w:pPr>
      <w:r w:rsidRPr="005F3734">
        <w:rPr>
          <w:rFonts w:eastAsia="Times New Roman"/>
        </w:rPr>
        <w:t>IV – exigir atestado ou exame, de qualquer natureza, para comprovação  de  esterilidade  ou  gravidez,  da  admissão  ou  permanência  no emprego;</w:t>
      </w:r>
    </w:p>
    <w:p w14:paraId="2506B5BF" w14:textId="77777777" w:rsidR="00E5200D" w:rsidRPr="005F3734" w:rsidRDefault="00D86982" w:rsidP="00E5200D">
      <w:pPr>
        <w:pStyle w:val="Recuodecorpodetexto3"/>
        <w:spacing w:line="240" w:lineRule="auto"/>
        <w:rPr>
          <w:rFonts w:eastAsia="Times New Roman"/>
        </w:rPr>
      </w:pPr>
      <w:r w:rsidRPr="005F3734">
        <w:rPr>
          <w:rFonts w:eastAsia="Times New Roman"/>
        </w:rPr>
        <w:t xml:space="preserve">V – impedir o acesso ou adotar critérios subjetivos para deferimento de inscrição  ou  aprovação  em  concursos,  em  empresas  privadas,  em  razão  de sexo, idade, situação familiar ou estado de gravidez; </w:t>
      </w:r>
    </w:p>
    <w:p w14:paraId="0D77344F" w14:textId="77777777" w:rsidR="00E4598D" w:rsidRPr="005F3734" w:rsidRDefault="00D86982" w:rsidP="00E4598D">
      <w:pPr>
        <w:pStyle w:val="Recuodecorpodetexto3"/>
        <w:spacing w:line="240" w:lineRule="auto"/>
        <w:rPr>
          <w:rFonts w:eastAsia="Times New Roman"/>
        </w:rPr>
      </w:pPr>
      <w:r w:rsidRPr="005F3734">
        <w:rPr>
          <w:rFonts w:eastAsia="Times New Roman"/>
        </w:rPr>
        <w:t xml:space="preserve">VI – proceder o empregador ou preposto a revistas íntimas na empregadas ou funcionárias;  </w:t>
      </w:r>
    </w:p>
    <w:p w14:paraId="311E7EF6" w14:textId="77777777" w:rsidR="00D86982" w:rsidRPr="005F3734" w:rsidRDefault="00D86982" w:rsidP="00E4598D">
      <w:pPr>
        <w:pStyle w:val="Recuodecorpodetexto3"/>
        <w:spacing w:line="240" w:lineRule="auto"/>
        <w:rPr>
          <w:rFonts w:eastAsia="Times New Roman"/>
        </w:rPr>
      </w:pPr>
      <w:r w:rsidRPr="005F3734">
        <w:rPr>
          <w:rFonts w:eastAsia="Times New Roman"/>
        </w:rPr>
        <w:t>Parágrafo  único  –  O  disposto  neste  artigo  não  obsta  a  adoção  de  medidas  temporárias  que  visem  ao  estabelecimento  das  políticas  de  igualdade  entre  homens  e  mulheres,  em  particular  as  que  se  destinam  a  corrigir  as  distorções  que  afetam  a  formação  profissional,  o  acesso  ao  emprego e as condições gerais de trabalho da mulher.</w:t>
      </w:r>
      <w:r w:rsidR="00E5200D" w:rsidRPr="005F3734">
        <w:t xml:space="preserve"> (Brasil, 1943).</w:t>
      </w:r>
    </w:p>
    <w:p w14:paraId="79F9690C" w14:textId="77777777" w:rsidR="00EF5E03" w:rsidRPr="005F3734" w:rsidRDefault="00EF5E03" w:rsidP="00596ADD">
      <w:pPr>
        <w:spacing w:line="360" w:lineRule="auto"/>
        <w:ind w:firstLine="709"/>
        <w:jc w:val="both"/>
        <w:rPr>
          <w:sz w:val="24"/>
          <w:szCs w:val="24"/>
        </w:rPr>
      </w:pPr>
    </w:p>
    <w:p w14:paraId="703FEEB6" w14:textId="77777777" w:rsidR="00D86982" w:rsidRPr="005F3734" w:rsidRDefault="00944126" w:rsidP="00596ADD">
      <w:pPr>
        <w:spacing w:line="360" w:lineRule="auto"/>
        <w:ind w:firstLine="709"/>
        <w:jc w:val="both"/>
        <w:rPr>
          <w:sz w:val="24"/>
          <w:szCs w:val="24"/>
          <w:shd w:val="clear" w:color="auto" w:fill="FFFFFF"/>
        </w:rPr>
      </w:pPr>
      <w:r w:rsidRPr="005F3734">
        <w:rPr>
          <w:sz w:val="24"/>
          <w:szCs w:val="24"/>
        </w:rPr>
        <w:lastRenderedPageBreak/>
        <w:t>Observa-se que ficou estabelecida com bastante clareza a proibição de comportamentos que, de alguma forma, demonstrem preconceito em relação à condição da mulher no ambiente de trabalho</w:t>
      </w:r>
      <w:r w:rsidR="00D86982" w:rsidRPr="005F3734">
        <w:rPr>
          <w:sz w:val="24"/>
          <w:szCs w:val="24"/>
          <w:shd w:val="clear" w:color="auto" w:fill="FFFFFF"/>
        </w:rPr>
        <w:t>.</w:t>
      </w:r>
    </w:p>
    <w:p w14:paraId="5FB5B7F9" w14:textId="77777777" w:rsidR="00305E2A" w:rsidRPr="005F3734" w:rsidRDefault="00305E2A" w:rsidP="003A0115">
      <w:pPr>
        <w:pStyle w:val="Recuodecorpodetexto2"/>
      </w:pPr>
      <w:r w:rsidRPr="005F3734">
        <w:t>O artigo 461 da Consolidação das Leis do Trabalho determina que, quando a função exercida for idêntica e o trabalho possuir igual valor, deve ser garantida a equiparação salarial entre os empregados, sem qualquer distinção de sexo, idade ou nacionalidade</w:t>
      </w:r>
      <w:r w:rsidR="003A0115" w:rsidRPr="005F3734">
        <w:t xml:space="preserve"> (Brasil, 1943)</w:t>
      </w:r>
      <w:r w:rsidRPr="005F3734">
        <w:t>. No entanto, apesar dessa previsão legal, a realidade demonstra que as mulheres ainda recebem salários inferiores aos dos homens, mesmo quando apresentam o mesmo nível de escolaridade, cumprem jornadas semelhantes e ocupam cargos de igual responsabilidade (Brasil, 1943).</w:t>
      </w:r>
    </w:p>
    <w:p w14:paraId="595FAF09" w14:textId="77777777" w:rsidR="00D86982" w:rsidRPr="005F3734" w:rsidRDefault="00D86982" w:rsidP="00596ADD">
      <w:pPr>
        <w:spacing w:line="360" w:lineRule="auto"/>
        <w:ind w:firstLine="709"/>
        <w:jc w:val="both"/>
        <w:rPr>
          <w:sz w:val="24"/>
          <w:szCs w:val="24"/>
          <w:shd w:val="clear" w:color="auto" w:fill="FFFFFF"/>
        </w:rPr>
      </w:pPr>
      <w:r w:rsidRPr="005F3734">
        <w:rPr>
          <w:sz w:val="24"/>
          <w:szCs w:val="24"/>
          <w:shd w:val="clear" w:color="auto" w:fill="FFFFFF"/>
        </w:rPr>
        <w:t>Por outro lado, as diferenças entre os sexos podem estar diminuindo em função de uma certa flexibilização das atividades industriais, que acabou atingindo o público masculino, resultando em um ingresso maciço de mulheres em ocupações mais qualificadas e, consequentemente, mais bem remuneradas (</w:t>
      </w:r>
      <w:r w:rsidR="00C47CD5" w:rsidRPr="005F3734">
        <w:rPr>
          <w:sz w:val="24"/>
          <w:szCs w:val="24"/>
          <w:shd w:val="clear" w:color="auto" w:fill="FFFFFF"/>
        </w:rPr>
        <w:t>Bruschini; Lombardi, 2003; Bruschini</w:t>
      </w:r>
      <w:r w:rsidRPr="005F3734">
        <w:rPr>
          <w:sz w:val="24"/>
          <w:szCs w:val="24"/>
          <w:shd w:val="clear" w:color="auto" w:fill="FFFFFF"/>
        </w:rPr>
        <w:t xml:space="preserve"> et al., 2008).</w:t>
      </w:r>
    </w:p>
    <w:p w14:paraId="46CAD578" w14:textId="77777777" w:rsidR="00D76DB6" w:rsidRPr="005F3734" w:rsidRDefault="00D76DB6" w:rsidP="00D76DB6">
      <w:pPr>
        <w:pStyle w:val="NormalWeb"/>
        <w:spacing w:before="0" w:beforeAutospacing="0" w:after="0" w:afterAutospacing="0" w:line="360" w:lineRule="auto"/>
        <w:ind w:firstLine="709"/>
        <w:jc w:val="both"/>
        <w:rPr>
          <w:rFonts w:ascii="Arial" w:hAnsi="Arial" w:cs="Arial"/>
        </w:rPr>
      </w:pPr>
      <w:r w:rsidRPr="005F3734">
        <w:rPr>
          <w:rFonts w:ascii="Arial" w:hAnsi="Arial" w:cs="Arial"/>
        </w:rPr>
        <w:t>Pode-se perceber que, a cada avanço legislativo voltado à promoção da igualdade de gênero, há uma resposta, ainda que gradual, por parte do mercado de trabalho no sentido de se adequar às novas exigências. Essa evolução é fruto de uma construção histórica que busca corrigir desigualdades estruturais e ampliar as oportunidades de inserção da mulher em condições justas e igualitárias.</w:t>
      </w:r>
    </w:p>
    <w:p w14:paraId="6E6C3754" w14:textId="77777777" w:rsidR="00837C4E" w:rsidRPr="005F3734" w:rsidRDefault="00837C4E" w:rsidP="00837C4E">
      <w:pPr>
        <w:pStyle w:val="NormalWeb"/>
        <w:spacing w:before="0" w:beforeAutospacing="0" w:after="0" w:afterAutospacing="0" w:line="360" w:lineRule="auto"/>
        <w:ind w:firstLine="709"/>
        <w:jc w:val="both"/>
        <w:rPr>
          <w:rFonts w:ascii="Arial" w:hAnsi="Arial" w:cs="Arial"/>
          <w:b/>
        </w:rPr>
      </w:pPr>
      <w:r w:rsidRPr="005F3734">
        <w:rPr>
          <w:rStyle w:val="Forte"/>
          <w:rFonts w:ascii="Arial" w:hAnsi="Arial" w:cs="Arial"/>
          <w:b w:val="0"/>
        </w:rPr>
        <w:t>Posteriormente, a Lei nº 10.421/2002 acrescentou o artigo 392-A à Consolidação das Leis do Trabalho (CLT), estendendo o direito à licença-maternidade de 120 dias às mães adotivas e às mulheres que recebem crianças de até oito anos sob guarda judicial. Esse afastamento é custeado pela Previdência Social, conforme as normas estabelecidas na Lei nº 8.213/1991, e representa um importante passo na ampliação dos direitos relacionados à maternidade no ambiente laboral</w:t>
      </w:r>
      <w:r w:rsidRPr="005F3734">
        <w:rPr>
          <w:rFonts w:ascii="Arial" w:hAnsi="Arial" w:cs="Arial"/>
          <w:b/>
        </w:rPr>
        <w:t xml:space="preserve"> </w:t>
      </w:r>
      <w:r w:rsidRPr="005F3734">
        <w:rPr>
          <w:rFonts w:ascii="Arial" w:hAnsi="Arial" w:cs="Arial"/>
        </w:rPr>
        <w:t>(Brasil, 2002).</w:t>
      </w:r>
    </w:p>
    <w:p w14:paraId="48939072" w14:textId="77777777" w:rsidR="00763561" w:rsidRPr="005F3734" w:rsidRDefault="00763561" w:rsidP="00763561">
      <w:pPr>
        <w:pStyle w:val="NormalWeb"/>
        <w:spacing w:before="0" w:beforeAutospacing="0" w:after="0" w:afterAutospacing="0" w:line="360" w:lineRule="auto"/>
        <w:ind w:firstLine="709"/>
        <w:jc w:val="both"/>
        <w:rPr>
          <w:rFonts w:ascii="Arial" w:hAnsi="Arial" w:cs="Arial"/>
        </w:rPr>
      </w:pPr>
      <w:r w:rsidRPr="005F3734">
        <w:rPr>
          <w:rFonts w:ascii="Arial" w:hAnsi="Arial" w:cs="Arial"/>
        </w:rPr>
        <w:t xml:space="preserve">A Lei nº 11.770, de 2008, instituiu o Programa Empresa Cidadã, permitindo que a Administração Pública direta, indireta e fundacional, bem como empresas privadas optantes, adotem a prorrogação da licença-maternidade por mais 60 dias, totalizando </w:t>
      </w:r>
      <w:r w:rsidRPr="005F3734">
        <w:rPr>
          <w:rFonts w:ascii="Arial" w:hAnsi="Arial" w:cs="Arial"/>
        </w:rPr>
        <w:lastRenderedPageBreak/>
        <w:t>180 dias de afastamento. No entanto, a adesão ao programa é facultativa e, para que a ampliação do benefício ocorra, é necessário que a gestante requeira a prorrogação até o final do primeiro mês após o parto. A norma estabelece, portanto, dois requisitos: um objetivo, relacionado à adesão da empresa ao programa, e outro subjetivo, que exige manifestação expressa da beneficiária (Brasil, 2008).</w:t>
      </w:r>
    </w:p>
    <w:p w14:paraId="601933DD" w14:textId="77777777" w:rsidR="00DA4442" w:rsidRPr="005F3734" w:rsidRDefault="00071AB6" w:rsidP="00071AB6">
      <w:pPr>
        <w:spacing w:line="360" w:lineRule="auto"/>
        <w:ind w:firstLine="1134"/>
        <w:jc w:val="both"/>
        <w:rPr>
          <w:sz w:val="24"/>
          <w:szCs w:val="24"/>
        </w:rPr>
      </w:pPr>
      <w:r w:rsidRPr="005F3734">
        <w:rPr>
          <w:sz w:val="24"/>
          <w:szCs w:val="24"/>
        </w:rPr>
        <w:t xml:space="preserve">A luta pela ampliação da licença-maternidade não se limita à garantia de um período adequado de recuperação da mulher após o parto, mas também à valorização da convivência entre mãe e filho nos primeiros meses de vida. Tal demanda vem sendo defendida não apenas como um direito da mulher trabalhadora, mas também como um direito da criança, com respaldo da área médica, especialmente da pediatria. </w:t>
      </w:r>
    </w:p>
    <w:p w14:paraId="41E785F1" w14:textId="77777777" w:rsidR="00020BA5" w:rsidRPr="005F3734" w:rsidRDefault="00020BA5" w:rsidP="00020BA5">
      <w:pPr>
        <w:pStyle w:val="NormalWeb"/>
        <w:spacing w:before="0" w:beforeAutospacing="0" w:after="0" w:afterAutospacing="0" w:line="360" w:lineRule="auto"/>
        <w:ind w:firstLine="709"/>
        <w:jc w:val="both"/>
        <w:rPr>
          <w:rFonts w:ascii="Arial" w:hAnsi="Arial" w:cs="Arial"/>
        </w:rPr>
      </w:pPr>
      <w:r w:rsidRPr="005F3734">
        <w:rPr>
          <w:rFonts w:ascii="Arial" w:hAnsi="Arial" w:cs="Arial"/>
        </w:rPr>
        <w:t>De acordo com a Sociedade Brasileira de Pediatria, o aleitamento materno deve ser exclusivo nos primeiros seis meses de vida da criança e, após a introdução da alimentação complementar saudável, mantido até os dois anos de idade ou mais (Sociedade Brasileira de Pediatria, 2024).</w:t>
      </w:r>
    </w:p>
    <w:p w14:paraId="6A0A5487" w14:textId="77777777" w:rsidR="001D2B3C" w:rsidRPr="005F3734" w:rsidRDefault="00D86982" w:rsidP="00CE2DAD">
      <w:pPr>
        <w:pStyle w:val="Recuodecorpodetexto2"/>
        <w:rPr>
          <w:shd w:val="clear" w:color="auto" w:fill="FFFFFF"/>
        </w:rPr>
      </w:pPr>
      <w:r w:rsidRPr="005F3734">
        <w:rPr>
          <w:shd w:val="clear" w:color="auto" w:fill="FFFFFF"/>
        </w:rPr>
        <w:t xml:space="preserve">Entretanto essa prorrogação que viria como base para garantir o bem-estar da mãe e da criança, acabou se tornando motivo para preconceitos no ambiente de trabalho e dispensas, até mesmo a falta de vagas para mulheres com justificativas machistas. </w:t>
      </w:r>
    </w:p>
    <w:p w14:paraId="2959A10D" w14:textId="77777777" w:rsidR="00D86982" w:rsidRPr="005F3734" w:rsidRDefault="00D86982" w:rsidP="00E04D51">
      <w:pPr>
        <w:pStyle w:val="Recuodecorpodetexto2"/>
        <w:rPr>
          <w:shd w:val="clear" w:color="auto" w:fill="FFFFFF"/>
        </w:rPr>
      </w:pPr>
      <w:r w:rsidRPr="005F3734">
        <w:rPr>
          <w:shd w:val="clear" w:color="auto" w:fill="FFFFFF"/>
        </w:rPr>
        <w:t xml:space="preserve">Tornando assim, o que deveria ser uma garantia, em um dos principais motivos de discriminação da mulher no mercado de trabalho, tendo em vista a desvantagem e onerosidade que o empregador deve arcar a mais. Nota-se, que dessa forma a lei retroalimenta um dos principais motivos de segregação trabalhista. </w:t>
      </w:r>
    </w:p>
    <w:p w14:paraId="6E8439AD" w14:textId="77777777" w:rsidR="00D86982" w:rsidRPr="005F3734" w:rsidRDefault="00D86982" w:rsidP="001D2B3C">
      <w:pPr>
        <w:pStyle w:val="Recuodecorpodetexto2"/>
      </w:pPr>
      <w:r w:rsidRPr="005F3734">
        <w:t xml:space="preserve">Percebe-se que a pretensão da norma, ao ter caráter protecionista, acaba por gerar o afastamento da mulher do mercado de trabalho, em razão da falta de compreensão, conscientização e humanização por parte dos empregadores. Estes ainda insistem em seguir padrões advindos do patriarcado que, em vez de promover ambientes de trabalho que favoreçam a produtividade e o desenvolvimento dos </w:t>
      </w:r>
      <w:r w:rsidRPr="005F3734">
        <w:lastRenderedPageBreak/>
        <w:t>empregados, acabam por criar contextos prejudiciais tanto para os trabalhadores quanto para a sociedade como um todo.</w:t>
      </w:r>
    </w:p>
    <w:p w14:paraId="61A58666" w14:textId="77777777" w:rsidR="00EB434A" w:rsidRPr="005F3734" w:rsidRDefault="007D109A" w:rsidP="001D2B3C">
      <w:pPr>
        <w:pStyle w:val="Recuodecorpodetexto2"/>
      </w:pPr>
      <w:r w:rsidRPr="005F3734">
        <w:t>Recentemente, com a promulgação da Lei nº 14.457/2022, que instituiu o Programa Emprega Mais Mulheres, foram ampliadas as possibilidades de conciliação entre trabalho e cuidado parental</w:t>
      </w:r>
      <w:r w:rsidR="005407BB" w:rsidRPr="005F3734">
        <w:t xml:space="preserve"> (Brasil, 2022)</w:t>
      </w:r>
      <w:r w:rsidRPr="005F3734">
        <w:t xml:space="preserve">. A norma prevê a flexibilização da jornada não apenas para mães, mas também para pais que tenham filhos com até seis anos de idade ou com deficiência. </w:t>
      </w:r>
    </w:p>
    <w:p w14:paraId="2621EE44" w14:textId="77777777" w:rsidR="007D109A" w:rsidRPr="005F3734" w:rsidRDefault="007D109A" w:rsidP="001D2B3C">
      <w:pPr>
        <w:pStyle w:val="Recuodecorpodetexto2"/>
      </w:pPr>
      <w:r w:rsidRPr="005F3734">
        <w:t>Entre as medidas disponíveis estão a priorização para o regime de tempo parcial, a antecipação de férias e a concessão de horários flexíveis de entrada e saída, desde que haja acordo formal com a empresa empregadora. Embora represente um avanço, a efetivação desses direitos ainda depende da adesão voluntária das empresas e da iniciativa dos próprios trabalhadores (Brasil, 2022).</w:t>
      </w:r>
    </w:p>
    <w:p w14:paraId="7EBE802A" w14:textId="77777777" w:rsidR="00D86982" w:rsidRPr="005F3734" w:rsidRDefault="00D86982" w:rsidP="001D2B3C">
      <w:pPr>
        <w:pStyle w:val="Recuodecorpodetexto2"/>
      </w:pPr>
      <w:r w:rsidRPr="005F3734">
        <w:t>No entanto, apesar da crescente evolução dos direitos da mulher trabalhadora no ordenamento jurídico pátrio, ainda é necessárias uma ampla conscientização e uma profunda mudança cultural que garantam direitos de parentalidade tanto às mulheres quanto aos homens, acompanhados das respectivas responsabilidades familiares. Ademais, deve-se assegurar às mulheres o efetivo cumprimento dos direitos já conquistados, especialmente no que se refere à igualdade salarial e às condições e tratamentos igualitários entre homens e mulheres no ambiente de trabalho.</w:t>
      </w:r>
    </w:p>
    <w:p w14:paraId="6D47C6D0" w14:textId="77777777" w:rsidR="00D86982" w:rsidRPr="005F3734" w:rsidRDefault="00E57917" w:rsidP="00E57917">
      <w:pPr>
        <w:spacing w:line="360" w:lineRule="auto"/>
        <w:jc w:val="both"/>
        <w:rPr>
          <w:b/>
          <w:bCs/>
        </w:rPr>
      </w:pPr>
      <w:r w:rsidRPr="005F3734">
        <w:rPr>
          <w:b/>
          <w:sz w:val="24"/>
          <w:szCs w:val="24"/>
        </w:rPr>
        <w:t>3</w:t>
      </w:r>
      <w:r w:rsidRPr="005F3734">
        <w:rPr>
          <w:sz w:val="24"/>
          <w:szCs w:val="24"/>
        </w:rPr>
        <w:t xml:space="preserve"> </w:t>
      </w:r>
      <w:r w:rsidR="00D86982" w:rsidRPr="005F3734">
        <w:rPr>
          <w:b/>
          <w:bCs/>
        </w:rPr>
        <w:t>INSERÇÃO DAS MULHERES NO MERCADO DE TRABALHO</w:t>
      </w:r>
      <w:r w:rsidR="002F75FA" w:rsidRPr="005F3734">
        <w:rPr>
          <w:b/>
          <w:bCs/>
        </w:rPr>
        <w:t xml:space="preserve">: </w:t>
      </w:r>
      <w:r w:rsidR="00AD1D86" w:rsidRPr="005F3734">
        <w:rPr>
          <w:b/>
          <w:bCs/>
        </w:rPr>
        <w:t xml:space="preserve">um recorte sobre o </w:t>
      </w:r>
      <w:r w:rsidR="00D86982" w:rsidRPr="005F3734">
        <w:rPr>
          <w:b/>
          <w:bCs/>
        </w:rPr>
        <w:t>Maranhão</w:t>
      </w:r>
      <w:r w:rsidR="004A0785">
        <w:rPr>
          <w:b/>
          <w:bCs/>
        </w:rPr>
        <w:t xml:space="preserve"> no ano de 2024</w:t>
      </w:r>
      <w:r w:rsidR="00D86982" w:rsidRPr="005F3734">
        <w:rPr>
          <w:b/>
          <w:bCs/>
        </w:rPr>
        <w:t xml:space="preserve">. </w:t>
      </w:r>
    </w:p>
    <w:p w14:paraId="75A307A1" w14:textId="77777777" w:rsidR="002F75FA" w:rsidRPr="005F3734" w:rsidRDefault="002F75FA" w:rsidP="00E57917">
      <w:pPr>
        <w:spacing w:line="360" w:lineRule="auto"/>
        <w:jc w:val="both"/>
      </w:pPr>
    </w:p>
    <w:p w14:paraId="0A68A540" w14:textId="77777777" w:rsidR="00C125D6" w:rsidRPr="005F3734" w:rsidRDefault="00C125D6" w:rsidP="008864D5">
      <w:pPr>
        <w:spacing w:line="360" w:lineRule="auto"/>
        <w:ind w:firstLine="709"/>
        <w:jc w:val="both"/>
      </w:pPr>
      <w:r w:rsidRPr="005F3734">
        <w:rPr>
          <w:sz w:val="24"/>
          <w:szCs w:val="24"/>
        </w:rPr>
        <w:t>É evidente que, apesar de todos os avanços legislativos, a efetiva igualdade no mercado de trabalho ainda é uma utopia, mesmo com os diversos progressos significativos já conquistados</w:t>
      </w:r>
      <w:r w:rsidRPr="005F3734">
        <w:t>.</w:t>
      </w:r>
    </w:p>
    <w:p w14:paraId="6B98422B" w14:textId="77777777" w:rsidR="00F72673" w:rsidRPr="0087057E" w:rsidRDefault="00F72673" w:rsidP="00870749">
      <w:pPr>
        <w:pStyle w:val="Recuodecorpodetexto2"/>
      </w:pPr>
      <w:r w:rsidRPr="0087057E">
        <w:t xml:space="preserve">Dessa forma, </w:t>
      </w:r>
      <w:r w:rsidR="00F61992" w:rsidRPr="0087057E">
        <w:t xml:space="preserve">não basta apenas a proteção legal e o reconhecimento, pelo Legislativo, das questões relativas à discriminação no ambiente de trabalho. É imprescindível os empregadores sejam conscientizados sobre a importância da saúde </w:t>
      </w:r>
      <w:r w:rsidR="00F61992" w:rsidRPr="0087057E">
        <w:lastRenderedPageBreak/>
        <w:t>mental e, cumpram efetivamente os dispositivos legais. Só com a aplicação plena e livre de preconceitos das leis protetivas será possível vislumbrar avanços concretos rumo à igualdade real.</w:t>
      </w:r>
    </w:p>
    <w:p w14:paraId="4B2F551F" w14:textId="77777777" w:rsidR="00794D32" w:rsidRPr="005F3734" w:rsidRDefault="00D86982" w:rsidP="003F40CC">
      <w:pPr>
        <w:spacing w:line="360" w:lineRule="auto"/>
        <w:ind w:firstLine="709"/>
        <w:jc w:val="both"/>
        <w:rPr>
          <w:sz w:val="24"/>
          <w:szCs w:val="24"/>
        </w:rPr>
      </w:pPr>
      <w:r w:rsidRPr="005F3734">
        <w:rPr>
          <w:sz w:val="24"/>
          <w:szCs w:val="24"/>
        </w:rPr>
        <w:t>Nesse contexto, o Brasil enfrenta desafios significativos no que tange à implementação efetiva de políticas públicas e à garantia dos direitos das mulheres. Embora existam leis específicas para a proteção feminina, como a Lei Maria da Penha, muitas vezes prevalece a impunidade e a ineficácia na aplicação dessas normas. Além disso, há carência de investimentos em serviços de apoio e proteção às vítimas, assim como uma falta de compreensão por parte dos empregadores, que frequentemente optam por não contratar mulheres competentes para evitar os custos associados ao fornecimento de condições dignas de trabalho.</w:t>
      </w:r>
    </w:p>
    <w:p w14:paraId="71E15682" w14:textId="77777777" w:rsidR="00A56F2A" w:rsidRPr="005F3734" w:rsidRDefault="00F47D81" w:rsidP="00794D32">
      <w:pPr>
        <w:pStyle w:val="Recuodecorpodetexto2"/>
      </w:pPr>
      <w:r w:rsidRPr="005F3734">
        <w:t xml:space="preserve">O mundo jurídico contemporâneo não pode se limitar apenas à reivindicação por proteção da jornada de trabalho, do salário e de outros direitos materiais trabalhistas. É necessário ampliar a proteção aos direitos da personalidade do trabalhador, assegurando maior liberdade no exercício profissional, condições que promovam sua satisfação no ambiente laboral e o atendimento de suas demandas sociais básicas. </w:t>
      </w:r>
    </w:p>
    <w:p w14:paraId="6CC0A7AB" w14:textId="77777777" w:rsidR="00D86982" w:rsidRPr="005F3734" w:rsidRDefault="00F47D81" w:rsidP="00794D32">
      <w:pPr>
        <w:pStyle w:val="Recuodecorpodetexto2"/>
      </w:pPr>
      <w:r w:rsidRPr="005F3734">
        <w:t xml:space="preserve">Embora muitos desses direitos não estejam expressamente previstos na Consolidação das Leis do Trabalho (CLT), encontram respaldo em outras normas jurídicas e são imprescindíveis para a efetiva valorização da pessoa que trabalha. </w:t>
      </w:r>
      <w:r w:rsidR="00D86982" w:rsidRPr="005F3734">
        <w:t>(</w:t>
      </w:r>
      <w:r w:rsidR="007D7F57" w:rsidRPr="005F3734">
        <w:t xml:space="preserve">Rufino, </w:t>
      </w:r>
      <w:r w:rsidR="00D86982" w:rsidRPr="005F3734">
        <w:t>2011).</w:t>
      </w:r>
    </w:p>
    <w:p w14:paraId="35ED416F" w14:textId="77777777" w:rsidR="004906AE" w:rsidRPr="005F3734" w:rsidRDefault="00A104F3" w:rsidP="00B33C15">
      <w:pPr>
        <w:spacing w:line="360" w:lineRule="auto"/>
        <w:ind w:firstLine="709"/>
        <w:jc w:val="both"/>
        <w:rPr>
          <w:sz w:val="24"/>
          <w:szCs w:val="24"/>
        </w:rPr>
      </w:pPr>
      <w:r w:rsidRPr="005F3734">
        <w:rPr>
          <w:sz w:val="24"/>
          <w:szCs w:val="24"/>
        </w:rPr>
        <w:t>Dados do Instituto de Pesquisa Econômica Aplicada (</w:t>
      </w:r>
      <w:r w:rsidR="009D2E63" w:rsidRPr="005F3734">
        <w:rPr>
          <w:sz w:val="24"/>
          <w:szCs w:val="24"/>
        </w:rPr>
        <w:t>IPEA</w:t>
      </w:r>
      <w:r w:rsidRPr="005F3734">
        <w:rPr>
          <w:sz w:val="24"/>
          <w:szCs w:val="24"/>
        </w:rPr>
        <w:t xml:space="preserve">), divulgados por meio da plataforma </w:t>
      </w:r>
      <w:r w:rsidRPr="005F3734">
        <w:rPr>
          <w:rStyle w:val="nfase"/>
          <w:i w:val="0"/>
          <w:sz w:val="24"/>
          <w:szCs w:val="24"/>
        </w:rPr>
        <w:t>Retrato das Desigualdades de Gênero e Raça</w:t>
      </w:r>
      <w:r w:rsidRPr="005F3734">
        <w:rPr>
          <w:sz w:val="24"/>
          <w:szCs w:val="24"/>
        </w:rPr>
        <w:t xml:space="preserve">, </w:t>
      </w:r>
      <w:r w:rsidR="00592ADA" w:rsidRPr="005F3734">
        <w:t>com base em informações atualizadas entre 2016 e 2022, revelaram que:</w:t>
      </w:r>
    </w:p>
    <w:p w14:paraId="69F411F8" w14:textId="77777777" w:rsidR="00D86982" w:rsidRPr="005F3734" w:rsidRDefault="00D86982" w:rsidP="00F16203">
      <w:pPr>
        <w:pStyle w:val="NormalWeb"/>
        <w:ind w:left="2268"/>
        <w:jc w:val="both"/>
        <w:rPr>
          <w:rFonts w:ascii="Arial" w:hAnsi="Arial" w:cs="Arial"/>
          <w:sz w:val="20"/>
          <w:szCs w:val="20"/>
        </w:rPr>
      </w:pPr>
      <w:r w:rsidRPr="005F3734">
        <w:rPr>
          <w:rFonts w:ascii="Arial" w:hAnsi="Arial" w:cs="Arial"/>
          <w:sz w:val="20"/>
          <w:szCs w:val="20"/>
        </w:rPr>
        <w:t>(...) somente pouco mais da metade das mulheres estão no mercado de trabalho no Brasil. São apenas 52% das mulheres negras e 54% das brancas. A diferença é grande para os homens. Entre eles, esse índice é de cerca de 75%.</w:t>
      </w:r>
      <w:r w:rsidRPr="005F3734">
        <w:rPr>
          <w:rFonts w:ascii="Arial" w:hAnsi="Arial" w:cs="Arial"/>
          <w:noProof/>
          <w:sz w:val="20"/>
          <w:szCs w:val="20"/>
        </w:rPr>
        <w:drawing>
          <wp:inline distT="0" distB="0" distL="0" distR="0" wp14:anchorId="34B2A51B" wp14:editId="4474D3F3">
            <wp:extent cx="7620" cy="7620"/>
            <wp:effectExtent l="0" t="0" r="0" b="0"/>
            <wp:docPr id="48504454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5F3734">
        <w:rPr>
          <w:rFonts w:ascii="Arial" w:hAnsi="Arial" w:cs="Arial"/>
          <w:noProof/>
          <w:sz w:val="20"/>
          <w:szCs w:val="20"/>
        </w:rPr>
        <w:drawing>
          <wp:inline distT="0" distB="0" distL="0" distR="0" wp14:anchorId="50F3F4A2" wp14:editId="39FCBF26">
            <wp:extent cx="7620" cy="7620"/>
            <wp:effectExtent l="0" t="0" r="0" b="0"/>
            <wp:docPr id="36568529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5F3734">
        <w:rPr>
          <w:rFonts w:ascii="Arial" w:hAnsi="Arial" w:cs="Arial"/>
          <w:sz w:val="20"/>
          <w:szCs w:val="20"/>
        </w:rPr>
        <w:t xml:space="preserve"> Além de menor espaço em empregos com salário, as mulheres dedicam 10 horas a mais por semana a tarefas domésticas e de cuidado não remunerado que os homens. As mulheres são a maioria da população </w:t>
      </w:r>
      <w:r w:rsidRPr="005F3734">
        <w:rPr>
          <w:rFonts w:ascii="Arial" w:hAnsi="Arial" w:cs="Arial"/>
          <w:sz w:val="20"/>
          <w:szCs w:val="20"/>
        </w:rPr>
        <w:lastRenderedPageBreak/>
        <w:t>brasileira, e as negras são 28% do total</w:t>
      </w:r>
      <w:r w:rsidR="00B33C15" w:rsidRPr="005F3734">
        <w:rPr>
          <w:rFonts w:ascii="Arial" w:hAnsi="Arial" w:cs="Arial"/>
          <w:sz w:val="20"/>
          <w:szCs w:val="20"/>
        </w:rPr>
        <w:t xml:space="preserve"> (Instituto de Pesquisa Econômica Aplicada, 2024).</w:t>
      </w:r>
    </w:p>
    <w:p w14:paraId="53623E58" w14:textId="77777777" w:rsidR="00435513" w:rsidRPr="00870749" w:rsidRDefault="00435513" w:rsidP="00870749">
      <w:pPr>
        <w:pStyle w:val="Recuodecorpodetexto3"/>
        <w:ind w:left="0" w:firstLine="709"/>
        <w:rPr>
          <w:sz w:val="24"/>
          <w:szCs w:val="24"/>
        </w:rPr>
      </w:pPr>
      <w:r w:rsidRPr="00870749">
        <w:rPr>
          <w:sz w:val="24"/>
          <w:szCs w:val="24"/>
        </w:rPr>
        <w:t xml:space="preserve">O </w:t>
      </w:r>
      <w:r w:rsidRPr="00870749">
        <w:rPr>
          <w:rStyle w:val="nfase"/>
          <w:i w:val="0"/>
          <w:sz w:val="24"/>
          <w:szCs w:val="24"/>
        </w:rPr>
        <w:t>Relatório Anual Socioeconômico da Mulher – RASEAM</w:t>
      </w:r>
      <w:r w:rsidRPr="00870749">
        <w:rPr>
          <w:rStyle w:val="nfase"/>
          <w:sz w:val="24"/>
          <w:szCs w:val="24"/>
        </w:rPr>
        <w:t xml:space="preserve"> </w:t>
      </w:r>
      <w:r w:rsidRPr="00870749">
        <w:rPr>
          <w:rStyle w:val="nfase"/>
          <w:i w:val="0"/>
          <w:sz w:val="24"/>
          <w:szCs w:val="24"/>
        </w:rPr>
        <w:t>2025</w:t>
      </w:r>
      <w:r w:rsidRPr="00870749">
        <w:rPr>
          <w:sz w:val="24"/>
          <w:szCs w:val="24"/>
        </w:rPr>
        <w:t xml:space="preserve"> revel</w:t>
      </w:r>
      <w:r w:rsidR="00F666D9" w:rsidRPr="00870749">
        <w:rPr>
          <w:sz w:val="24"/>
          <w:szCs w:val="24"/>
        </w:rPr>
        <w:t>ou</w:t>
      </w:r>
      <w:r w:rsidRPr="00870749">
        <w:rPr>
          <w:sz w:val="24"/>
          <w:szCs w:val="24"/>
        </w:rPr>
        <w:t xml:space="preserve"> que ainda persistem disparidades significativas no acesso das mulheres ao mercado de trabalho, sobretudo nas regiões Norte e Nordeste do país. De acordo com o documento:</w:t>
      </w:r>
    </w:p>
    <w:p w14:paraId="7AFE9B58" w14:textId="77777777" w:rsidR="00435513" w:rsidRPr="005F3734" w:rsidRDefault="00435513" w:rsidP="00C125D6">
      <w:pPr>
        <w:pStyle w:val="Recuodecorpodetexto3"/>
        <w:spacing w:line="240" w:lineRule="auto"/>
      </w:pPr>
    </w:p>
    <w:p w14:paraId="149A75F5" w14:textId="77777777" w:rsidR="00D86982" w:rsidRPr="005F3734" w:rsidRDefault="00D86982" w:rsidP="00C125D6">
      <w:pPr>
        <w:pStyle w:val="Recuodecorpodetexto3"/>
        <w:spacing w:line="240" w:lineRule="auto"/>
      </w:pPr>
      <w:r w:rsidRPr="005F3734">
        <w:t>Regionalmente, as mulheres apresentavam taxa de participação menor nas Regiões Nordeste (43,5%) e Norte (48,3%), esta taxa alcançando 58,8% na Região Centro-Oeste. Por grupos de idade, observa-se que a taxa de participação alcança seu máximo entre 25 e 39 anos: 91,6% para homens e 71,9% para mulheres. A maior discrepância entre as taxas de homens e mulheres, por um lado, ocorre na faixa de 40 a 59 anos (taxa 21,6 pontos percentuais maior para homens). A menor, por outro lado, ocorre entre adolescentes de 14 a 17 anos (diferença de 5,2 pontos percentuais), grupo etário com baixa taxa de participação por ser uma idade no qual o estudo é obrigatório no Brasil, o trabalho sendo permitido por lei apenas na categoria de menor aprendiz</w:t>
      </w:r>
      <w:r w:rsidR="00E51A7F" w:rsidRPr="005F3734">
        <w:t xml:space="preserve"> (</w:t>
      </w:r>
      <w:r w:rsidR="00E51A7F" w:rsidRPr="005F3734">
        <w:rPr>
          <w:rStyle w:val="nfase"/>
          <w:i w:val="0"/>
        </w:rPr>
        <w:t>Relatório Anual Socioeconômico da Mulher – RASEAM</w:t>
      </w:r>
      <w:r w:rsidR="00E51A7F" w:rsidRPr="005F3734">
        <w:rPr>
          <w:rStyle w:val="nfase"/>
        </w:rPr>
        <w:t xml:space="preserve"> </w:t>
      </w:r>
      <w:r w:rsidR="00E51A7F" w:rsidRPr="005F3734">
        <w:rPr>
          <w:rStyle w:val="nfase"/>
          <w:i w:val="0"/>
        </w:rPr>
        <w:t>2025)</w:t>
      </w:r>
      <w:r w:rsidRPr="005F3734">
        <w:t>.</w:t>
      </w:r>
    </w:p>
    <w:p w14:paraId="04ABFC91" w14:textId="77777777" w:rsidR="00D86982" w:rsidRPr="005F3734" w:rsidRDefault="00D86982" w:rsidP="00D86982">
      <w:pPr>
        <w:ind w:left="2268"/>
        <w:jc w:val="both"/>
        <w:rPr>
          <w:sz w:val="20"/>
          <w:szCs w:val="20"/>
        </w:rPr>
      </w:pPr>
    </w:p>
    <w:p w14:paraId="550501DE" w14:textId="77777777" w:rsidR="0092743D" w:rsidRPr="005F3734" w:rsidRDefault="0092743D" w:rsidP="00D86982">
      <w:pPr>
        <w:ind w:left="2268"/>
        <w:jc w:val="both"/>
        <w:rPr>
          <w:sz w:val="20"/>
          <w:szCs w:val="20"/>
        </w:rPr>
      </w:pPr>
    </w:p>
    <w:p w14:paraId="3C258E85" w14:textId="77777777" w:rsidR="00035AF8" w:rsidRPr="005F3734" w:rsidRDefault="0092743D" w:rsidP="00035AF8">
      <w:pPr>
        <w:pStyle w:val="Recuodecorpodetexto2"/>
      </w:pPr>
      <w:r w:rsidRPr="005F3734">
        <w:t>Esses dados reforçam a necessidade de políticas públicas específicas que promovam a equidade regional e etária no acesso ao mercado de trabalho formal, especialmente para mulheres adultas.</w:t>
      </w:r>
    </w:p>
    <w:p w14:paraId="07D95B3D" w14:textId="77777777" w:rsidR="00C9242F" w:rsidRPr="005F3734" w:rsidRDefault="00D726AF" w:rsidP="00D726AF">
      <w:pPr>
        <w:pStyle w:val="Recuodecorpodetexto2"/>
      </w:pPr>
      <w:r w:rsidRPr="005F3734">
        <w:t xml:space="preserve">Complementando os dados apresentados pelo </w:t>
      </w:r>
      <w:r w:rsidRPr="005F3734">
        <w:rPr>
          <w:rStyle w:val="nfase"/>
          <w:i w:val="0"/>
        </w:rPr>
        <w:t>Relatório Anual Socioeconômico da Mulher – RASEAM (2025)</w:t>
      </w:r>
      <w:r w:rsidRPr="005F3734">
        <w:rPr>
          <w:i/>
        </w:rPr>
        <w:t>,</w:t>
      </w:r>
      <w:r w:rsidRPr="005F3734">
        <w:t xml:space="preserve"> o Gráfico </w:t>
      </w:r>
      <w:r w:rsidR="00EA65BC" w:rsidRPr="005F3734">
        <w:t>abaixo</w:t>
      </w:r>
      <w:r w:rsidRPr="005F3734">
        <w:t xml:space="preserve">, elaborado com base em informações da PNAD Contínua do IBGE, reforça a persistência das desigualdades de gênero na participação da força de trabalho, especialmente quando observadas as diferentes faixas etárias. </w:t>
      </w:r>
    </w:p>
    <w:p w14:paraId="388DDB3F" w14:textId="77777777" w:rsidR="00C83BD4" w:rsidRPr="005F3734" w:rsidRDefault="00D726AF" w:rsidP="00C83BD4">
      <w:pPr>
        <w:pStyle w:val="Recuodecorpodetexto2"/>
      </w:pPr>
      <w:r w:rsidRPr="005F3734">
        <w:t>A representação gráfica permite visualizar com clareza que, mesmo nos grupos de idade economicamente mais ativos, a participação das mulheres ainda se encontra abaixo da dos homens.</w:t>
      </w:r>
      <w:r w:rsidR="00C9242F" w:rsidRPr="005F3734">
        <w:t xml:space="preserve">: </w:t>
      </w:r>
    </w:p>
    <w:p w14:paraId="3520E08C" w14:textId="77777777" w:rsidR="00741315" w:rsidRPr="005F3734" w:rsidRDefault="00741315" w:rsidP="00741315">
      <w:pPr>
        <w:pStyle w:val="Recuodecorpodetexto2"/>
      </w:pPr>
      <w:r w:rsidRPr="005F3734">
        <w:t>Tabela 1: Taxa de desocupação das pessoas de 14 anos ou mais de idade por sexo, segundo os grupos de idade - Brasil - 2° trimestre de 2024 (%).</w:t>
      </w:r>
    </w:p>
    <w:p w14:paraId="49531A79" w14:textId="77777777" w:rsidR="00741315" w:rsidRPr="005F3734" w:rsidRDefault="00741315" w:rsidP="00C83BD4">
      <w:pPr>
        <w:pStyle w:val="Recuodecorpodetexto2"/>
      </w:pPr>
    </w:p>
    <w:p w14:paraId="142B75F7" w14:textId="77777777" w:rsidR="00C83BD4" w:rsidRPr="005F3734" w:rsidRDefault="00C83BD4" w:rsidP="00D726AF">
      <w:pPr>
        <w:pStyle w:val="Recuodecorpodetexto2"/>
      </w:pPr>
    </w:p>
    <w:p w14:paraId="62594EAF" w14:textId="77777777" w:rsidR="009D30A0" w:rsidRPr="005F3734" w:rsidRDefault="00C83BD4" w:rsidP="008D23AF">
      <w:pPr>
        <w:pStyle w:val="Recuodecorpodetexto2"/>
        <w:ind w:firstLine="0"/>
        <w:jc w:val="center"/>
      </w:pPr>
      <w:r w:rsidRPr="005F3734">
        <w:rPr>
          <w:noProof/>
        </w:rPr>
        <w:lastRenderedPageBreak/>
        <w:drawing>
          <wp:inline distT="0" distB="0" distL="0" distR="0" wp14:anchorId="303DD58B" wp14:editId="4F360CF0">
            <wp:extent cx="5035138" cy="3598017"/>
            <wp:effectExtent l="0" t="0" r="13335" b="254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72C7421" w14:textId="77777777" w:rsidR="00C45300" w:rsidRPr="005F3734" w:rsidRDefault="00C45300" w:rsidP="0029365B">
      <w:pPr>
        <w:pStyle w:val="Recuodecorpodetexto2"/>
        <w:ind w:firstLine="0"/>
        <w:rPr>
          <w:sz w:val="20"/>
          <w:szCs w:val="20"/>
        </w:rPr>
      </w:pPr>
      <w:r w:rsidRPr="005F3734">
        <w:rPr>
          <w:sz w:val="20"/>
          <w:szCs w:val="20"/>
        </w:rPr>
        <w:t xml:space="preserve">Fonte: Ministério das Mulheres. Observatório Brasil da Igualdade de Gênero, com base em dados do IBGE, 2024. </w:t>
      </w:r>
    </w:p>
    <w:p w14:paraId="1F6FE6B0" w14:textId="77777777" w:rsidR="004717FB" w:rsidRPr="005F3734" w:rsidRDefault="004717FB" w:rsidP="0029365B">
      <w:pPr>
        <w:pStyle w:val="Recuodecorpodetexto2"/>
        <w:ind w:firstLine="0"/>
        <w:rPr>
          <w:sz w:val="20"/>
          <w:szCs w:val="20"/>
        </w:rPr>
      </w:pPr>
    </w:p>
    <w:p w14:paraId="22F1B978" w14:textId="77777777" w:rsidR="00D2182A" w:rsidRPr="005F3734" w:rsidRDefault="00D2182A" w:rsidP="00D2182A">
      <w:pPr>
        <w:spacing w:line="360" w:lineRule="auto"/>
        <w:ind w:firstLine="1134"/>
        <w:jc w:val="both"/>
        <w:rPr>
          <w:sz w:val="24"/>
          <w:szCs w:val="24"/>
        </w:rPr>
      </w:pPr>
      <w:r w:rsidRPr="005F3734">
        <w:rPr>
          <w:sz w:val="24"/>
          <w:szCs w:val="24"/>
        </w:rPr>
        <w:t xml:space="preserve">A situação da desocupação, conforme apresentado no </w:t>
      </w:r>
      <w:r w:rsidRPr="005F3734">
        <w:rPr>
          <w:rStyle w:val="Forte"/>
          <w:b w:val="0"/>
          <w:sz w:val="24"/>
          <w:szCs w:val="24"/>
        </w:rPr>
        <w:t>Relatório Anual Socioeconômico da Mulher – RASEAM (2025)</w:t>
      </w:r>
      <w:r w:rsidRPr="005F3734">
        <w:rPr>
          <w:sz w:val="24"/>
          <w:szCs w:val="24"/>
        </w:rPr>
        <w:t xml:space="preserve">, em que  as mulheres, além de apresentarem menor participação no mercado de trabalho, enfrentam maiores dificuldades para conseguir emprego. </w:t>
      </w:r>
    </w:p>
    <w:p w14:paraId="2E64E7AB" w14:textId="77777777" w:rsidR="00D2182A" w:rsidRPr="005F3734" w:rsidRDefault="00D2182A" w:rsidP="00D2182A">
      <w:pPr>
        <w:spacing w:line="360" w:lineRule="auto"/>
        <w:ind w:firstLine="1134"/>
        <w:jc w:val="both"/>
        <w:rPr>
          <w:sz w:val="24"/>
          <w:szCs w:val="24"/>
        </w:rPr>
      </w:pPr>
      <w:r w:rsidRPr="005F3734">
        <w:rPr>
          <w:sz w:val="24"/>
          <w:szCs w:val="24"/>
        </w:rPr>
        <w:t xml:space="preserve">Quando se considera o recorte racial, mulheres pretas e pardas apresentaram uma taxa ainda mais elevada, de 10,1%, em comparação com 6,6% entre as mulheres brancas e em termos regionais, a desocupação feminina atingiu seu ápice no Nordeste, com 11,6%, e foi menor na região Sul, registrando 5,6% </w:t>
      </w:r>
      <w:r w:rsidRPr="005F3734">
        <w:rPr>
          <w:rStyle w:val="Forte"/>
          <w:b w:val="0"/>
          <w:sz w:val="24"/>
          <w:szCs w:val="24"/>
        </w:rPr>
        <w:t>Relatório Anual Socioeconômico da Mulher – RASEAM (2025)</w:t>
      </w:r>
      <w:r w:rsidRPr="005F3734">
        <w:rPr>
          <w:sz w:val="24"/>
          <w:szCs w:val="24"/>
        </w:rPr>
        <w:t xml:space="preserve">, conforme gráfico abaixo: </w:t>
      </w:r>
    </w:p>
    <w:p w14:paraId="70185200" w14:textId="77777777" w:rsidR="005917B8" w:rsidRPr="005F3734" w:rsidRDefault="00790DF1" w:rsidP="00762B02">
      <w:pPr>
        <w:pStyle w:val="Recuodecorpodetexto2"/>
      </w:pPr>
      <w:r w:rsidRPr="005F3734">
        <w:lastRenderedPageBreak/>
        <w:t xml:space="preserve">Tabela 2: </w:t>
      </w:r>
      <w:r w:rsidR="00762B02" w:rsidRPr="005F3734">
        <w:t>Percentual de mulheres de 14 anos ou mais de idade ocupadas em situação de informalidade, por cor ou raça, segundo as Grandes Regiões - 2° trimestre de 2024 (%).</w:t>
      </w:r>
    </w:p>
    <w:p w14:paraId="700EC3C2" w14:textId="77777777" w:rsidR="005917B8" w:rsidRPr="005F3734" w:rsidRDefault="00123745" w:rsidP="00D2182A">
      <w:pPr>
        <w:spacing w:line="360" w:lineRule="auto"/>
        <w:ind w:firstLine="1134"/>
        <w:jc w:val="both"/>
        <w:rPr>
          <w:sz w:val="24"/>
          <w:szCs w:val="24"/>
        </w:rPr>
      </w:pPr>
      <w:r w:rsidRPr="005F3734">
        <w:rPr>
          <w:noProof/>
          <w:sz w:val="24"/>
          <w:szCs w:val="24"/>
        </w:rPr>
        <w:drawing>
          <wp:anchor distT="0" distB="0" distL="114300" distR="114300" simplePos="0" relativeHeight="251658240" behindDoc="0" locked="0" layoutInCell="1" allowOverlap="1" wp14:anchorId="679B2C0D" wp14:editId="46F5D8E5">
            <wp:simplePos x="0" y="0"/>
            <wp:positionH relativeFrom="page">
              <wp:posOffset>1630392</wp:posOffset>
            </wp:positionH>
            <wp:positionV relativeFrom="paragraph">
              <wp:posOffset>7788</wp:posOffset>
            </wp:positionV>
            <wp:extent cx="4960189" cy="3449955"/>
            <wp:effectExtent l="0" t="0" r="12065" b="17145"/>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p>
    <w:p w14:paraId="0178C9C3" w14:textId="77777777" w:rsidR="005917B8" w:rsidRPr="005F3734" w:rsidRDefault="005917B8" w:rsidP="00D2182A">
      <w:pPr>
        <w:spacing w:line="360" w:lineRule="auto"/>
        <w:ind w:firstLine="1134"/>
        <w:jc w:val="both"/>
        <w:rPr>
          <w:sz w:val="24"/>
          <w:szCs w:val="24"/>
        </w:rPr>
      </w:pPr>
    </w:p>
    <w:p w14:paraId="11E1010E" w14:textId="77777777" w:rsidR="00D86982" w:rsidRPr="005F3734" w:rsidRDefault="00D86982" w:rsidP="00D86982">
      <w:pPr>
        <w:ind w:firstLine="1134"/>
        <w:jc w:val="both"/>
        <w:rPr>
          <w:sz w:val="24"/>
          <w:szCs w:val="24"/>
        </w:rPr>
      </w:pPr>
    </w:p>
    <w:p w14:paraId="7FF226F0" w14:textId="77777777" w:rsidR="00505A1B" w:rsidRPr="005F3734" w:rsidRDefault="00505A1B" w:rsidP="00D86982">
      <w:pPr>
        <w:ind w:firstLine="1134"/>
        <w:jc w:val="both"/>
        <w:rPr>
          <w:sz w:val="24"/>
          <w:szCs w:val="24"/>
        </w:rPr>
      </w:pPr>
    </w:p>
    <w:p w14:paraId="07CCBB04" w14:textId="77777777" w:rsidR="00123745" w:rsidRPr="005F3734" w:rsidRDefault="00123745" w:rsidP="00125242">
      <w:pPr>
        <w:pStyle w:val="NormalWeb"/>
        <w:spacing w:before="0" w:beforeAutospacing="0" w:after="0" w:afterAutospacing="0" w:line="360" w:lineRule="auto"/>
        <w:ind w:firstLine="709"/>
        <w:jc w:val="both"/>
        <w:rPr>
          <w:rFonts w:ascii="Arial" w:hAnsi="Arial" w:cs="Arial"/>
        </w:rPr>
      </w:pPr>
    </w:p>
    <w:p w14:paraId="542F4106" w14:textId="77777777" w:rsidR="00123745" w:rsidRPr="005F3734" w:rsidRDefault="00123745" w:rsidP="00125242">
      <w:pPr>
        <w:pStyle w:val="NormalWeb"/>
        <w:spacing w:before="0" w:beforeAutospacing="0" w:after="0" w:afterAutospacing="0" w:line="360" w:lineRule="auto"/>
        <w:ind w:firstLine="709"/>
        <w:jc w:val="both"/>
        <w:rPr>
          <w:rFonts w:ascii="Arial" w:hAnsi="Arial" w:cs="Arial"/>
        </w:rPr>
      </w:pPr>
    </w:p>
    <w:p w14:paraId="33DE6257" w14:textId="77777777" w:rsidR="00123745" w:rsidRPr="005F3734" w:rsidRDefault="00123745" w:rsidP="00125242">
      <w:pPr>
        <w:pStyle w:val="NormalWeb"/>
        <w:spacing w:before="0" w:beforeAutospacing="0" w:after="0" w:afterAutospacing="0" w:line="360" w:lineRule="auto"/>
        <w:ind w:firstLine="709"/>
        <w:jc w:val="both"/>
        <w:rPr>
          <w:rFonts w:ascii="Arial" w:hAnsi="Arial" w:cs="Arial"/>
        </w:rPr>
      </w:pPr>
    </w:p>
    <w:p w14:paraId="756F714E" w14:textId="77777777" w:rsidR="00123745" w:rsidRPr="005F3734" w:rsidRDefault="00123745" w:rsidP="00125242">
      <w:pPr>
        <w:pStyle w:val="NormalWeb"/>
        <w:spacing w:before="0" w:beforeAutospacing="0" w:after="0" w:afterAutospacing="0" w:line="360" w:lineRule="auto"/>
        <w:ind w:firstLine="709"/>
        <w:jc w:val="both"/>
        <w:rPr>
          <w:rFonts w:ascii="Arial" w:hAnsi="Arial" w:cs="Arial"/>
        </w:rPr>
      </w:pPr>
    </w:p>
    <w:p w14:paraId="4F5AA509" w14:textId="77777777" w:rsidR="00123745" w:rsidRPr="005F3734" w:rsidRDefault="00123745" w:rsidP="00125242">
      <w:pPr>
        <w:pStyle w:val="NormalWeb"/>
        <w:spacing w:before="0" w:beforeAutospacing="0" w:after="0" w:afterAutospacing="0" w:line="360" w:lineRule="auto"/>
        <w:ind w:firstLine="709"/>
        <w:jc w:val="both"/>
        <w:rPr>
          <w:rFonts w:ascii="Arial" w:hAnsi="Arial" w:cs="Arial"/>
        </w:rPr>
      </w:pPr>
    </w:p>
    <w:p w14:paraId="637A3318" w14:textId="77777777" w:rsidR="00123745" w:rsidRPr="005F3734" w:rsidRDefault="00123745" w:rsidP="00125242">
      <w:pPr>
        <w:pStyle w:val="NormalWeb"/>
        <w:spacing w:before="0" w:beforeAutospacing="0" w:after="0" w:afterAutospacing="0" w:line="360" w:lineRule="auto"/>
        <w:ind w:firstLine="709"/>
        <w:jc w:val="both"/>
        <w:rPr>
          <w:rFonts w:ascii="Arial" w:hAnsi="Arial" w:cs="Arial"/>
        </w:rPr>
      </w:pPr>
    </w:p>
    <w:p w14:paraId="6206FDFA" w14:textId="77777777" w:rsidR="00123745" w:rsidRPr="005F3734" w:rsidRDefault="00123745" w:rsidP="00125242">
      <w:pPr>
        <w:pStyle w:val="NormalWeb"/>
        <w:spacing w:before="0" w:beforeAutospacing="0" w:after="0" w:afterAutospacing="0" w:line="360" w:lineRule="auto"/>
        <w:ind w:firstLine="709"/>
        <w:jc w:val="both"/>
        <w:rPr>
          <w:rFonts w:ascii="Arial" w:hAnsi="Arial" w:cs="Arial"/>
        </w:rPr>
      </w:pPr>
    </w:p>
    <w:p w14:paraId="414A4CFE" w14:textId="77777777" w:rsidR="00123745" w:rsidRPr="005F3734" w:rsidRDefault="00123745" w:rsidP="00125242">
      <w:pPr>
        <w:pStyle w:val="NormalWeb"/>
        <w:spacing w:before="0" w:beforeAutospacing="0" w:after="0" w:afterAutospacing="0" w:line="360" w:lineRule="auto"/>
        <w:ind w:firstLine="709"/>
        <w:jc w:val="both"/>
        <w:rPr>
          <w:rFonts w:ascii="Arial" w:hAnsi="Arial" w:cs="Arial"/>
        </w:rPr>
      </w:pPr>
    </w:p>
    <w:p w14:paraId="5A7878B3" w14:textId="77777777" w:rsidR="00123745" w:rsidRPr="005F3734" w:rsidRDefault="00123745" w:rsidP="00125242">
      <w:pPr>
        <w:pStyle w:val="NormalWeb"/>
        <w:spacing w:before="0" w:beforeAutospacing="0" w:after="0" w:afterAutospacing="0" w:line="360" w:lineRule="auto"/>
        <w:ind w:firstLine="709"/>
        <w:jc w:val="both"/>
        <w:rPr>
          <w:rFonts w:ascii="Arial" w:hAnsi="Arial" w:cs="Arial"/>
        </w:rPr>
      </w:pPr>
    </w:p>
    <w:p w14:paraId="5ABB4F5B" w14:textId="77777777" w:rsidR="00123745" w:rsidRPr="005F3734" w:rsidRDefault="00123745" w:rsidP="00125242">
      <w:pPr>
        <w:pStyle w:val="NormalWeb"/>
        <w:spacing w:before="0" w:beforeAutospacing="0" w:after="0" w:afterAutospacing="0" w:line="360" w:lineRule="auto"/>
        <w:ind w:firstLine="709"/>
        <w:jc w:val="both"/>
        <w:rPr>
          <w:rFonts w:ascii="Arial" w:hAnsi="Arial" w:cs="Arial"/>
        </w:rPr>
      </w:pPr>
    </w:p>
    <w:p w14:paraId="5EE03837" w14:textId="77777777" w:rsidR="006C0477" w:rsidRPr="005F3734" w:rsidRDefault="006C0477" w:rsidP="006C0477">
      <w:pPr>
        <w:pStyle w:val="Recuodecorpodetexto2"/>
        <w:ind w:firstLine="0"/>
        <w:rPr>
          <w:sz w:val="20"/>
          <w:szCs w:val="20"/>
        </w:rPr>
      </w:pPr>
      <w:r w:rsidRPr="005F3734">
        <w:rPr>
          <w:sz w:val="20"/>
          <w:szCs w:val="20"/>
        </w:rPr>
        <w:t xml:space="preserve">Fonte: Ministério das Mulheres. Observatório Brasil da Igualdade de Gênero, com base em dados do IBGE, 2024. </w:t>
      </w:r>
    </w:p>
    <w:p w14:paraId="5AD96DDF" w14:textId="77777777" w:rsidR="00BC6E82" w:rsidRPr="005F3734" w:rsidRDefault="00BC6E82" w:rsidP="00125242">
      <w:pPr>
        <w:pStyle w:val="NormalWeb"/>
        <w:spacing w:before="0" w:beforeAutospacing="0" w:after="0" w:afterAutospacing="0" w:line="360" w:lineRule="auto"/>
        <w:ind w:firstLine="709"/>
        <w:jc w:val="both"/>
        <w:rPr>
          <w:rFonts w:ascii="Arial" w:hAnsi="Arial" w:cs="Arial"/>
        </w:rPr>
      </w:pPr>
    </w:p>
    <w:p w14:paraId="6258E052" w14:textId="77777777" w:rsidR="00125242" w:rsidRPr="005F3734" w:rsidRDefault="00125242" w:rsidP="001E6E6A">
      <w:pPr>
        <w:pStyle w:val="NormalWeb"/>
        <w:spacing w:before="0" w:beforeAutospacing="0" w:after="0" w:afterAutospacing="0" w:line="360" w:lineRule="auto"/>
        <w:ind w:firstLine="709"/>
        <w:jc w:val="both"/>
        <w:rPr>
          <w:rFonts w:ascii="Arial" w:hAnsi="Arial" w:cs="Arial"/>
        </w:rPr>
      </w:pPr>
      <w:r w:rsidRPr="005F3734">
        <w:rPr>
          <w:rFonts w:ascii="Arial" w:hAnsi="Arial" w:cs="Arial"/>
        </w:rPr>
        <w:t xml:space="preserve">O </w:t>
      </w:r>
      <w:r w:rsidR="00795F9B" w:rsidRPr="005F3734">
        <w:rPr>
          <w:rFonts w:ascii="Arial" w:hAnsi="Arial" w:cs="Arial"/>
        </w:rPr>
        <w:t>g</w:t>
      </w:r>
      <w:r w:rsidRPr="005F3734">
        <w:rPr>
          <w:rFonts w:ascii="Arial" w:hAnsi="Arial" w:cs="Arial"/>
        </w:rPr>
        <w:t>ráfico apresent</w:t>
      </w:r>
      <w:r w:rsidR="00795F9B" w:rsidRPr="005F3734">
        <w:rPr>
          <w:rFonts w:ascii="Arial" w:hAnsi="Arial" w:cs="Arial"/>
        </w:rPr>
        <w:t>ou</w:t>
      </w:r>
      <w:r w:rsidRPr="005F3734">
        <w:rPr>
          <w:rFonts w:ascii="Arial" w:hAnsi="Arial" w:cs="Arial"/>
        </w:rPr>
        <w:t xml:space="preserve"> o percentual de mulheres de 14 anos ou mais ocupadas em situação de informalidade no Brasil, no segundo trimestre de 2024, com recorte por cor ou raça e região geográfica. Os dados evidenciam uma disparidade significativa entre </w:t>
      </w:r>
      <w:r w:rsidRPr="005F3734">
        <w:rPr>
          <w:rStyle w:val="Forte"/>
          <w:rFonts w:ascii="Arial" w:hAnsi="Arial" w:cs="Arial"/>
          <w:b w:val="0"/>
        </w:rPr>
        <w:t>mulheres brancas</w:t>
      </w:r>
      <w:r w:rsidRPr="005F3734">
        <w:rPr>
          <w:rFonts w:ascii="Arial" w:hAnsi="Arial" w:cs="Arial"/>
          <w:b/>
        </w:rPr>
        <w:t xml:space="preserve"> </w:t>
      </w:r>
      <w:r w:rsidRPr="005F3734">
        <w:rPr>
          <w:rFonts w:ascii="Arial" w:hAnsi="Arial" w:cs="Arial"/>
        </w:rPr>
        <w:t>e</w:t>
      </w:r>
      <w:r w:rsidRPr="005F3734">
        <w:rPr>
          <w:rFonts w:ascii="Arial" w:hAnsi="Arial" w:cs="Arial"/>
          <w:b/>
        </w:rPr>
        <w:t xml:space="preserve"> </w:t>
      </w:r>
      <w:r w:rsidRPr="005F3734">
        <w:rPr>
          <w:rStyle w:val="Forte"/>
          <w:rFonts w:ascii="Arial" w:hAnsi="Arial" w:cs="Arial"/>
          <w:b w:val="0"/>
        </w:rPr>
        <w:t>mulheres pretas ou pardas</w:t>
      </w:r>
      <w:r w:rsidRPr="005F3734">
        <w:rPr>
          <w:rFonts w:ascii="Arial" w:hAnsi="Arial" w:cs="Arial"/>
          <w:b/>
        </w:rPr>
        <w:t>,</w:t>
      </w:r>
      <w:r w:rsidRPr="005F3734">
        <w:rPr>
          <w:rFonts w:ascii="Arial" w:hAnsi="Arial" w:cs="Arial"/>
        </w:rPr>
        <w:t xml:space="preserve"> sendo estas últimas as mais atingidas </w:t>
      </w:r>
      <w:r w:rsidRPr="001E6E6A">
        <w:rPr>
          <w:rFonts w:ascii="Arial" w:hAnsi="Arial" w:cs="Arial"/>
        </w:rPr>
        <w:t>pela informalidade em todas as regiões do país</w:t>
      </w:r>
      <w:r w:rsidR="001E6E6A" w:rsidRPr="001E6E6A">
        <w:rPr>
          <w:rFonts w:ascii="Arial" w:hAnsi="Arial" w:cs="Arial"/>
        </w:rPr>
        <w:t xml:space="preserve"> (</w:t>
      </w:r>
      <w:r w:rsidR="00626B8A">
        <w:rPr>
          <w:rStyle w:val="Forte"/>
          <w:rFonts w:ascii="Arial" w:hAnsi="Arial" w:cs="Arial"/>
          <w:b w:val="0"/>
        </w:rPr>
        <w:t>Brasil</w:t>
      </w:r>
      <w:r w:rsidR="001E6E6A" w:rsidRPr="001E6E6A">
        <w:rPr>
          <w:rStyle w:val="Forte"/>
          <w:rFonts w:ascii="Arial" w:hAnsi="Arial" w:cs="Arial"/>
          <w:b w:val="0"/>
        </w:rPr>
        <w:t>, 2025)</w:t>
      </w:r>
      <w:r w:rsidRPr="001E6E6A">
        <w:rPr>
          <w:rFonts w:ascii="Arial" w:hAnsi="Arial" w:cs="Arial"/>
        </w:rPr>
        <w:t>.</w:t>
      </w:r>
    </w:p>
    <w:p w14:paraId="06A2A19A" w14:textId="77777777" w:rsidR="00125242" w:rsidRPr="005F3734" w:rsidRDefault="00125242" w:rsidP="00125242">
      <w:pPr>
        <w:pStyle w:val="NormalWeb"/>
        <w:spacing w:before="0" w:beforeAutospacing="0" w:after="0" w:afterAutospacing="0" w:line="360" w:lineRule="auto"/>
        <w:ind w:firstLine="709"/>
        <w:jc w:val="both"/>
        <w:rPr>
          <w:rFonts w:ascii="Arial" w:hAnsi="Arial" w:cs="Arial"/>
        </w:rPr>
      </w:pPr>
      <w:r w:rsidRPr="005F3734">
        <w:rPr>
          <w:rFonts w:ascii="Arial" w:hAnsi="Arial" w:cs="Arial"/>
        </w:rPr>
        <w:t xml:space="preserve">Em </w:t>
      </w:r>
      <w:r w:rsidRPr="005F3734">
        <w:rPr>
          <w:rStyle w:val="Forte"/>
          <w:rFonts w:ascii="Arial" w:hAnsi="Arial" w:cs="Arial"/>
          <w:b w:val="0"/>
        </w:rPr>
        <w:t>âmbito nacional</w:t>
      </w:r>
      <w:r w:rsidRPr="005F3734">
        <w:rPr>
          <w:rFonts w:ascii="Arial" w:hAnsi="Arial" w:cs="Arial"/>
          <w:b/>
        </w:rPr>
        <w:t xml:space="preserve">, </w:t>
      </w:r>
      <w:r w:rsidRPr="005F3734">
        <w:rPr>
          <w:rStyle w:val="Forte"/>
          <w:rFonts w:ascii="Arial" w:hAnsi="Arial" w:cs="Arial"/>
          <w:b w:val="0"/>
        </w:rPr>
        <w:t>41,0%</w:t>
      </w:r>
      <w:r w:rsidRPr="005F3734">
        <w:rPr>
          <w:rFonts w:ascii="Arial" w:hAnsi="Arial" w:cs="Arial"/>
        </w:rPr>
        <w:t xml:space="preserve"> das mulheres </w:t>
      </w:r>
      <w:r w:rsidRPr="005F3734">
        <w:rPr>
          <w:rStyle w:val="Forte"/>
          <w:rFonts w:ascii="Arial" w:hAnsi="Arial" w:cs="Arial"/>
          <w:b w:val="0"/>
        </w:rPr>
        <w:t>pretas ou pardas</w:t>
      </w:r>
      <w:r w:rsidRPr="005F3734">
        <w:rPr>
          <w:rFonts w:ascii="Arial" w:hAnsi="Arial" w:cs="Arial"/>
        </w:rPr>
        <w:t xml:space="preserve"> estão inseridas em ocupações informais, enquanto o percentual entre as mulheres </w:t>
      </w:r>
      <w:r w:rsidRPr="005F3734">
        <w:rPr>
          <w:rStyle w:val="Forte"/>
          <w:rFonts w:ascii="Arial" w:hAnsi="Arial" w:cs="Arial"/>
          <w:b w:val="0"/>
        </w:rPr>
        <w:t>brancas</w:t>
      </w:r>
      <w:r w:rsidRPr="005F3734">
        <w:rPr>
          <w:rFonts w:ascii="Arial" w:hAnsi="Arial" w:cs="Arial"/>
          <w:b/>
        </w:rPr>
        <w:t xml:space="preserve"> </w:t>
      </w:r>
      <w:r w:rsidRPr="005F3734">
        <w:rPr>
          <w:rFonts w:ascii="Arial" w:hAnsi="Arial" w:cs="Arial"/>
        </w:rPr>
        <w:t>é de</w:t>
      </w:r>
      <w:r w:rsidRPr="005F3734">
        <w:rPr>
          <w:rFonts w:ascii="Arial" w:hAnsi="Arial" w:cs="Arial"/>
          <w:b/>
        </w:rPr>
        <w:t xml:space="preserve"> </w:t>
      </w:r>
      <w:r w:rsidRPr="005F3734">
        <w:rPr>
          <w:rStyle w:val="Forte"/>
          <w:rFonts w:ascii="Arial" w:hAnsi="Arial" w:cs="Arial"/>
          <w:b w:val="0"/>
        </w:rPr>
        <w:t>31,7%</w:t>
      </w:r>
      <w:r w:rsidRPr="005F3734">
        <w:rPr>
          <w:rFonts w:ascii="Arial" w:hAnsi="Arial" w:cs="Arial"/>
          <w:b/>
        </w:rPr>
        <w:t>.</w:t>
      </w:r>
      <w:r w:rsidRPr="005F3734">
        <w:rPr>
          <w:rFonts w:ascii="Arial" w:hAnsi="Arial" w:cs="Arial"/>
        </w:rPr>
        <w:t xml:space="preserve"> Essa diferença de quase 10 pontos percentuais reforça o impacto interseccional do racismo e do sexismo no mercado de trabalho</w:t>
      </w:r>
      <w:r w:rsidR="00A21B3C">
        <w:rPr>
          <w:rFonts w:ascii="Arial" w:hAnsi="Arial" w:cs="Arial"/>
        </w:rPr>
        <w:t xml:space="preserve"> </w:t>
      </w:r>
      <w:r w:rsidR="00B37B4D" w:rsidRPr="001E6E6A">
        <w:rPr>
          <w:rFonts w:ascii="Arial" w:hAnsi="Arial" w:cs="Arial"/>
        </w:rPr>
        <w:t>(</w:t>
      </w:r>
      <w:r w:rsidR="00B37B4D">
        <w:rPr>
          <w:rStyle w:val="Forte"/>
          <w:rFonts w:ascii="Arial" w:hAnsi="Arial" w:cs="Arial"/>
          <w:b w:val="0"/>
        </w:rPr>
        <w:t>Brasil</w:t>
      </w:r>
      <w:r w:rsidR="00B37B4D" w:rsidRPr="001E6E6A">
        <w:rPr>
          <w:rStyle w:val="Forte"/>
          <w:rFonts w:ascii="Arial" w:hAnsi="Arial" w:cs="Arial"/>
          <w:b w:val="0"/>
        </w:rPr>
        <w:t>, 2025)</w:t>
      </w:r>
      <w:r w:rsidR="00B37B4D" w:rsidRPr="001E6E6A">
        <w:rPr>
          <w:rFonts w:ascii="Arial" w:hAnsi="Arial" w:cs="Arial"/>
        </w:rPr>
        <w:t>.</w:t>
      </w:r>
    </w:p>
    <w:p w14:paraId="281E556E" w14:textId="77777777" w:rsidR="00505A1B" w:rsidRPr="005F3734" w:rsidRDefault="001B2C2E" w:rsidP="000E4118">
      <w:pPr>
        <w:spacing w:line="360" w:lineRule="auto"/>
        <w:ind w:firstLine="709"/>
        <w:jc w:val="both"/>
        <w:rPr>
          <w:sz w:val="24"/>
          <w:szCs w:val="24"/>
        </w:rPr>
      </w:pPr>
      <w:r w:rsidRPr="005F3734">
        <w:rPr>
          <w:sz w:val="24"/>
          <w:szCs w:val="24"/>
        </w:rPr>
        <w:lastRenderedPageBreak/>
        <w:t xml:space="preserve">Essa disparidade se repete regionalmente. No Norte e no Nordeste, a informalidade entre mulheres pretas ou pardas atinge </w:t>
      </w:r>
      <w:r w:rsidRPr="005F3734">
        <w:rPr>
          <w:rStyle w:val="Forte"/>
          <w:b w:val="0"/>
          <w:sz w:val="24"/>
          <w:szCs w:val="24"/>
        </w:rPr>
        <w:t>48,6%</w:t>
      </w:r>
      <w:r w:rsidRPr="005F3734">
        <w:rPr>
          <w:sz w:val="24"/>
          <w:szCs w:val="24"/>
        </w:rPr>
        <w:t xml:space="preserve">, sendo que, entre as brancas, os índices são de </w:t>
      </w:r>
      <w:r w:rsidRPr="005F3734">
        <w:rPr>
          <w:rStyle w:val="Forte"/>
          <w:b w:val="0"/>
          <w:sz w:val="24"/>
          <w:szCs w:val="24"/>
        </w:rPr>
        <w:t>38,8%</w:t>
      </w:r>
      <w:r w:rsidRPr="005F3734">
        <w:rPr>
          <w:b/>
          <w:sz w:val="24"/>
          <w:szCs w:val="24"/>
        </w:rPr>
        <w:t xml:space="preserve"> </w:t>
      </w:r>
      <w:r w:rsidRPr="005F3734">
        <w:rPr>
          <w:sz w:val="24"/>
          <w:szCs w:val="24"/>
        </w:rPr>
        <w:t>e</w:t>
      </w:r>
      <w:r w:rsidRPr="005F3734">
        <w:rPr>
          <w:b/>
          <w:sz w:val="24"/>
          <w:szCs w:val="24"/>
        </w:rPr>
        <w:t xml:space="preserve"> </w:t>
      </w:r>
      <w:r w:rsidRPr="005F3734">
        <w:rPr>
          <w:rStyle w:val="Forte"/>
          <w:b w:val="0"/>
          <w:sz w:val="24"/>
          <w:szCs w:val="24"/>
        </w:rPr>
        <w:t>3</w:t>
      </w:r>
      <w:r w:rsidR="005A37D9" w:rsidRPr="005F3734">
        <w:rPr>
          <w:rStyle w:val="Forte"/>
          <w:b w:val="0"/>
          <w:sz w:val="24"/>
          <w:szCs w:val="24"/>
        </w:rPr>
        <w:t>9,8</w:t>
      </w:r>
      <w:r w:rsidRPr="005F3734">
        <w:rPr>
          <w:rStyle w:val="Forte"/>
          <w:b w:val="0"/>
          <w:sz w:val="24"/>
          <w:szCs w:val="24"/>
        </w:rPr>
        <w:t>%,</w:t>
      </w:r>
      <w:r w:rsidRPr="005F3734">
        <w:rPr>
          <w:sz w:val="24"/>
          <w:szCs w:val="24"/>
        </w:rPr>
        <w:t xml:space="preserve"> respectivamente. Mesmo nas regiões com menor percentual de informalidade, </w:t>
      </w:r>
      <w:r w:rsidRPr="00A52F60">
        <w:rPr>
          <w:sz w:val="24"/>
          <w:szCs w:val="24"/>
        </w:rPr>
        <w:t>como o Sul e o Centro-Oeste, os índices seguem mais elevados entre as mulheres negras</w:t>
      </w:r>
      <w:r w:rsidR="00833D9C" w:rsidRPr="00A52F60">
        <w:rPr>
          <w:sz w:val="24"/>
          <w:szCs w:val="24"/>
        </w:rPr>
        <w:t xml:space="preserve"> </w:t>
      </w:r>
      <w:r w:rsidR="00805E9A" w:rsidRPr="00A52F60">
        <w:rPr>
          <w:sz w:val="24"/>
          <w:szCs w:val="24"/>
        </w:rPr>
        <w:t>(</w:t>
      </w:r>
      <w:r w:rsidR="00805E9A" w:rsidRPr="00A52F60">
        <w:rPr>
          <w:rStyle w:val="Forte"/>
          <w:b w:val="0"/>
          <w:sz w:val="24"/>
          <w:szCs w:val="24"/>
        </w:rPr>
        <w:t>Brasil, 2025)</w:t>
      </w:r>
      <w:r w:rsidR="00805E9A" w:rsidRPr="00A52F60">
        <w:rPr>
          <w:sz w:val="24"/>
          <w:szCs w:val="24"/>
        </w:rPr>
        <w:t>.</w:t>
      </w:r>
    </w:p>
    <w:p w14:paraId="2EC0378D" w14:textId="77777777" w:rsidR="00840EDA" w:rsidRPr="005F3734" w:rsidRDefault="00840EDA" w:rsidP="0087057E">
      <w:pPr>
        <w:pStyle w:val="Recuodecorpodetexto2"/>
      </w:pPr>
      <w:r w:rsidRPr="005F3734">
        <w:t>A informalidade retratada no gráfico, implica ausência de garantias trabalhistas, previdência social, proteção contra demissão arbitrária e acesso a direitos como licença-maternidade e aposentadoria, o que evidencia a vulnerabilidade estrutural imposta a essas mulheres. Assim, os dados confirmam que a cor e o gênero continuam sendo determinantes para a forma de inserção da mulher no mercado de trabalho, apontando para a necessidade de políticas interseccionais que enfrentem tanto o racismo quanto o sexismo institucionalizados.</w:t>
      </w:r>
    </w:p>
    <w:p w14:paraId="1F1FE6DB" w14:textId="77777777" w:rsidR="00793947" w:rsidRPr="005F3734" w:rsidRDefault="00D86982" w:rsidP="000E4118">
      <w:pPr>
        <w:spacing w:line="360" w:lineRule="auto"/>
        <w:ind w:firstLine="1134"/>
        <w:jc w:val="both"/>
        <w:rPr>
          <w:sz w:val="24"/>
          <w:szCs w:val="24"/>
        </w:rPr>
      </w:pPr>
      <w:r w:rsidRPr="005F3734">
        <w:rPr>
          <w:sz w:val="24"/>
          <w:szCs w:val="24"/>
        </w:rPr>
        <w:t>Portanto, os dados apresentados tornam evidente que a participação e a proteção das mulheres no mercado de trabalho ainda estão longe de ser plenamente alcançadas. É necessária uma mudança profunda tanto nas estruturas do mercado quanto nos papéis sociais para que a inserção feminina ocorra de forma inclusiva, humanizada e igualitária.</w:t>
      </w:r>
    </w:p>
    <w:p w14:paraId="25E80FBD" w14:textId="77777777" w:rsidR="00793947" w:rsidRPr="005F3734" w:rsidRDefault="00793947" w:rsidP="000E4118">
      <w:pPr>
        <w:spacing w:line="360" w:lineRule="auto"/>
        <w:ind w:firstLine="1134"/>
        <w:jc w:val="both"/>
        <w:rPr>
          <w:sz w:val="24"/>
          <w:szCs w:val="24"/>
        </w:rPr>
      </w:pPr>
      <w:r w:rsidRPr="005F3734">
        <w:rPr>
          <w:sz w:val="24"/>
          <w:szCs w:val="24"/>
        </w:rPr>
        <w:t>Ao trazer a discussão para a realidade do estado do Maranhão, percebe-se que a região Nordeste apresenta um dos mais elevados percentuais de desocupação e informalidade do país. Esse cenário repercute diretamente na desigualdade de gênero. De acordo com o 2º Relatório de Transparência Salarial, elaborado pelos Ministérios do Trabalho e Emprego (MTE) e das Mulheres com base em dados enviados por empresas com cem ou mais funcionários</w:t>
      </w:r>
      <w:r w:rsidR="00A22968" w:rsidRPr="005F3734">
        <w:rPr>
          <w:sz w:val="24"/>
          <w:szCs w:val="24"/>
        </w:rPr>
        <w:t xml:space="preserve">: </w:t>
      </w:r>
    </w:p>
    <w:p w14:paraId="52B097A2" w14:textId="77777777" w:rsidR="00D86982" w:rsidRPr="005F3734" w:rsidRDefault="00A22968" w:rsidP="001061A2">
      <w:pPr>
        <w:spacing w:line="240" w:lineRule="auto"/>
        <w:ind w:left="2268"/>
        <w:jc w:val="both"/>
        <w:rPr>
          <w:sz w:val="20"/>
          <w:szCs w:val="20"/>
        </w:rPr>
      </w:pPr>
      <w:r w:rsidRPr="005F3734">
        <w:rPr>
          <w:sz w:val="20"/>
          <w:szCs w:val="20"/>
        </w:rPr>
        <w:t xml:space="preserve"> </w:t>
      </w:r>
      <w:r w:rsidR="00D86982" w:rsidRPr="005F3734">
        <w:rPr>
          <w:sz w:val="20"/>
          <w:szCs w:val="20"/>
        </w:rPr>
        <w:t>A remuneração média dos homens é de R$ 3.359,54, enquanto a das mulheres é de R$ 2.498,15. É o que aponta o 2º Relatório de Transparência Salarial, documento elaborado pelos ministérios do Trabalho e Emprego (MTE) e das Mulheres com o recorte de gênero, a partir dos dados extraídos de informações enviadas pelas empresas com 100 ou mais funcionários, exigência da </w:t>
      </w:r>
      <w:hyperlink r:id="rId10" w:tgtFrame="_blank" w:history="1">
        <w:r w:rsidR="00D86982" w:rsidRPr="005F3734">
          <w:rPr>
            <w:rStyle w:val="Hyperlink"/>
            <w:color w:val="auto"/>
            <w:sz w:val="20"/>
            <w:szCs w:val="20"/>
            <w:u w:val="none"/>
          </w:rPr>
          <w:t>Lei nº 14.611/2023</w:t>
        </w:r>
      </w:hyperlink>
      <w:r w:rsidR="00DB2A68" w:rsidRPr="005F3734">
        <w:rPr>
          <w:rStyle w:val="Hyperlink"/>
          <w:color w:val="auto"/>
          <w:sz w:val="20"/>
          <w:szCs w:val="20"/>
          <w:u w:val="none"/>
        </w:rPr>
        <w:t xml:space="preserve"> </w:t>
      </w:r>
      <w:r w:rsidR="00DB2A68" w:rsidRPr="005F3734">
        <w:t xml:space="preserve">(Brasil, 2024).  </w:t>
      </w:r>
      <w:r w:rsidR="00E60D0B" w:rsidRPr="005F3734">
        <w:rPr>
          <w:rStyle w:val="Hyperlink"/>
          <w:color w:val="auto"/>
          <w:sz w:val="20"/>
          <w:szCs w:val="20"/>
          <w:u w:val="none"/>
        </w:rPr>
        <w:t xml:space="preserve">. </w:t>
      </w:r>
    </w:p>
    <w:p w14:paraId="5BB5F0C0" w14:textId="77777777" w:rsidR="00D86982" w:rsidRPr="005F3734" w:rsidRDefault="00D86982" w:rsidP="00D86982">
      <w:pPr>
        <w:ind w:left="2268"/>
        <w:jc w:val="both"/>
        <w:rPr>
          <w:sz w:val="20"/>
          <w:szCs w:val="20"/>
        </w:rPr>
      </w:pPr>
    </w:p>
    <w:p w14:paraId="6DE1D9DA" w14:textId="77777777" w:rsidR="008410B1" w:rsidRPr="005F3734" w:rsidRDefault="008410B1" w:rsidP="00D86982">
      <w:pPr>
        <w:ind w:left="2268"/>
        <w:jc w:val="both"/>
        <w:rPr>
          <w:sz w:val="20"/>
          <w:szCs w:val="20"/>
        </w:rPr>
      </w:pPr>
    </w:p>
    <w:p w14:paraId="0C6F73D0" w14:textId="77777777" w:rsidR="008410B1" w:rsidRPr="005F3734" w:rsidRDefault="008410B1" w:rsidP="001668C8">
      <w:pPr>
        <w:spacing w:line="360" w:lineRule="auto"/>
        <w:ind w:firstLine="709"/>
        <w:jc w:val="both"/>
        <w:rPr>
          <w:sz w:val="24"/>
          <w:szCs w:val="24"/>
        </w:rPr>
      </w:pPr>
      <w:r w:rsidRPr="005F3734">
        <w:rPr>
          <w:sz w:val="24"/>
          <w:szCs w:val="24"/>
        </w:rPr>
        <w:lastRenderedPageBreak/>
        <w:t xml:space="preserve">Isso representa uma diferença salarial de </w:t>
      </w:r>
      <w:r w:rsidRPr="005F3734">
        <w:rPr>
          <w:rStyle w:val="Forte"/>
          <w:b w:val="0"/>
          <w:sz w:val="24"/>
          <w:szCs w:val="24"/>
        </w:rPr>
        <w:t>15,7% a menos</w:t>
      </w:r>
      <w:r w:rsidRPr="005F3734">
        <w:rPr>
          <w:sz w:val="24"/>
          <w:szCs w:val="24"/>
        </w:rPr>
        <w:t xml:space="preserve"> para as mulheres no Maranhão, evidenciando uma desigualdade estrutural que ainda persiste no mercado de trabalho regional (Brasil, 2024). </w:t>
      </w:r>
      <w:r w:rsidR="00C44CFF" w:rsidRPr="005F3734">
        <w:rPr>
          <w:sz w:val="24"/>
          <w:szCs w:val="24"/>
        </w:rPr>
        <w:t xml:space="preserve"> </w:t>
      </w:r>
    </w:p>
    <w:p w14:paraId="2ABAB088" w14:textId="77777777" w:rsidR="006077B7" w:rsidRDefault="002B041E" w:rsidP="0001571C">
      <w:pPr>
        <w:pStyle w:val="Recuodecorpodetexto2"/>
      </w:pPr>
      <w:r w:rsidRPr="005F3734">
        <w:t xml:space="preserve">O cenário maranhense ainda evidencia a necessidade de políticas públicas mais eficazes voltadas à promoção da equidade salarial e à redução da discriminação de gênero no ambiente laboral. As mulheres seguem recebendo salários inferiores aos dos homens e permanecem, em grande medida, concentradas em ocupações informais e de baixa remuneração. </w:t>
      </w:r>
    </w:p>
    <w:p w14:paraId="57130D33" w14:textId="77777777" w:rsidR="006C4708" w:rsidRDefault="00573E79" w:rsidP="006C4708">
      <w:pPr>
        <w:pStyle w:val="Recuodecorpodetexto2"/>
      </w:pPr>
      <w:r>
        <w:t xml:space="preserve">O </w:t>
      </w:r>
      <w:r w:rsidRPr="00573E79">
        <w:rPr>
          <w:rStyle w:val="Forte"/>
          <w:b w:val="0"/>
        </w:rPr>
        <w:t xml:space="preserve">Relatório </w:t>
      </w:r>
      <w:r w:rsidR="006C4708">
        <w:rPr>
          <w:rStyle w:val="Forte"/>
          <w:b w:val="0"/>
        </w:rPr>
        <w:t>ainda</w:t>
      </w:r>
      <w:r>
        <w:t xml:space="preserve"> revelou </w:t>
      </w:r>
      <w:r w:rsidR="006C4708">
        <w:t xml:space="preserve">que </w:t>
      </w:r>
      <w:r w:rsidR="006C4708" w:rsidRPr="006C4708">
        <w:rPr>
          <w:rStyle w:val="Forte"/>
          <w:b w:val="0"/>
        </w:rPr>
        <w:t>632 empresas maranhenses</w:t>
      </w:r>
      <w:r w:rsidR="006C4708">
        <w:t xml:space="preserve"> participaram do levantamento, abrangendo aproximadamente </w:t>
      </w:r>
      <w:r w:rsidR="006C4708" w:rsidRPr="006C4708">
        <w:rPr>
          <w:rStyle w:val="Forte"/>
          <w:b w:val="0"/>
        </w:rPr>
        <w:t>229 mil pessoas empregadas</w:t>
      </w:r>
      <w:r w:rsidR="006C4708">
        <w:t xml:space="preserve">. No recorte por raça, o relatório apontou que o número de </w:t>
      </w:r>
      <w:r w:rsidR="006C4708" w:rsidRPr="006C4708">
        <w:rPr>
          <w:rStyle w:val="Forte"/>
          <w:b w:val="0"/>
        </w:rPr>
        <w:t>mulheres negras</w:t>
      </w:r>
      <w:r w:rsidR="006C4708">
        <w:t xml:space="preserve"> é consideravelmente maior que o de mulheres não negras nas empresas analisadas, com </w:t>
      </w:r>
      <w:r w:rsidR="006C4708" w:rsidRPr="006C4708">
        <w:rPr>
          <w:rStyle w:val="Forte"/>
          <w:b w:val="0"/>
        </w:rPr>
        <w:t>63,8 mil e 23 mil</w:t>
      </w:r>
      <w:r w:rsidR="006C4708">
        <w:t xml:space="preserve"> registros, respectivamente. Apesar dessa expressiva presença, as </w:t>
      </w:r>
      <w:r w:rsidR="006C4708" w:rsidRPr="006C4708">
        <w:rPr>
          <w:rStyle w:val="Forte"/>
          <w:b w:val="0"/>
        </w:rPr>
        <w:t>mulheres negras recebem, em média, 18% a menos</w:t>
      </w:r>
      <w:r w:rsidR="006C4708" w:rsidRPr="006C4708">
        <w:rPr>
          <w:b/>
        </w:rPr>
        <w:t xml:space="preserve"> </w:t>
      </w:r>
      <w:r w:rsidR="006C4708">
        <w:t xml:space="preserve">do que as mulheres não negras (Brasil, 2025). </w:t>
      </w:r>
    </w:p>
    <w:p w14:paraId="10EE356C" w14:textId="77777777" w:rsidR="00B502EA" w:rsidRDefault="006C4708" w:rsidP="006C4708">
      <w:pPr>
        <w:pStyle w:val="Recuodecorpodetexto2"/>
      </w:pPr>
      <w:r>
        <w:t xml:space="preserve">O relatório também identificou que, no Maranhão, </w:t>
      </w:r>
      <w:r w:rsidRPr="00D802B1">
        <w:rPr>
          <w:rStyle w:val="Forte"/>
          <w:b w:val="0"/>
        </w:rPr>
        <w:t>68,8% das empresas afirma</w:t>
      </w:r>
      <w:r w:rsidR="002B4B7E">
        <w:rPr>
          <w:rStyle w:val="Forte"/>
          <w:b w:val="0"/>
        </w:rPr>
        <w:t>ram</w:t>
      </w:r>
      <w:r w:rsidRPr="00D802B1">
        <w:rPr>
          <w:rStyle w:val="Forte"/>
          <w:b w:val="0"/>
        </w:rPr>
        <w:t>m possuir planos de cargos e salários</w:t>
      </w:r>
      <w:r w:rsidRPr="00D802B1">
        <w:rPr>
          <w:b/>
        </w:rPr>
        <w:t xml:space="preserve">, </w:t>
      </w:r>
      <w:r w:rsidRPr="00D802B1">
        <w:t xml:space="preserve">enquanto </w:t>
      </w:r>
      <w:r w:rsidRPr="00D802B1">
        <w:rPr>
          <w:rStyle w:val="Forte"/>
          <w:b w:val="0"/>
        </w:rPr>
        <w:t>30% possuem políticas de incentivo à contratação de mulheres</w:t>
      </w:r>
      <w:r w:rsidR="00200134" w:rsidRPr="00B502EA">
        <w:t>, e que</w:t>
      </w:r>
      <w:r w:rsidRPr="00D802B1">
        <w:rPr>
          <w:b/>
        </w:rPr>
        <w:t xml:space="preserve"> </w:t>
      </w:r>
      <w:r w:rsidRPr="00D802B1">
        <w:rPr>
          <w:rStyle w:val="Forte"/>
          <w:b w:val="0"/>
        </w:rPr>
        <w:t>32,9% adotam medidas para promoção de mulheres a cargos de direção e gerência</w:t>
      </w:r>
      <w:r w:rsidRPr="00D802B1">
        <w:rPr>
          <w:b/>
        </w:rPr>
        <w:t xml:space="preserve">; </w:t>
      </w:r>
      <w:r w:rsidRPr="00D802B1">
        <w:t>e apenas</w:t>
      </w:r>
      <w:r w:rsidRPr="00D802B1">
        <w:rPr>
          <w:b/>
        </w:rPr>
        <w:t xml:space="preserve"> </w:t>
      </w:r>
      <w:r w:rsidRPr="00D802B1">
        <w:rPr>
          <w:rStyle w:val="Forte"/>
          <w:b w:val="0"/>
        </w:rPr>
        <w:t>22,6%</w:t>
      </w:r>
      <w:r w:rsidRPr="00D802B1">
        <w:rPr>
          <w:b/>
        </w:rPr>
        <w:t xml:space="preserve"> </w:t>
      </w:r>
      <w:r w:rsidRPr="00D802B1">
        <w:t>implementam incentivos específicos para a</w:t>
      </w:r>
      <w:r w:rsidRPr="00D802B1">
        <w:rPr>
          <w:b/>
        </w:rPr>
        <w:t xml:space="preserve"> </w:t>
      </w:r>
      <w:r w:rsidRPr="00D802B1">
        <w:rPr>
          <w:rStyle w:val="Forte"/>
          <w:b w:val="0"/>
        </w:rPr>
        <w:t>contratação de mulheres negras</w:t>
      </w:r>
      <w:r w:rsidR="00B502EA">
        <w:rPr>
          <w:rStyle w:val="Forte"/>
          <w:b w:val="0"/>
        </w:rPr>
        <w:t xml:space="preserve"> </w:t>
      </w:r>
      <w:r w:rsidR="00B502EA">
        <w:t>(Brasil, 2025).</w:t>
      </w:r>
    </w:p>
    <w:p w14:paraId="1D84262F" w14:textId="77777777" w:rsidR="00057726" w:rsidRDefault="00211526" w:rsidP="0001571C">
      <w:pPr>
        <w:pStyle w:val="Recuodecorpodetexto2"/>
      </w:pPr>
      <w:r>
        <w:t xml:space="preserve">Tais informações evidenciam que, embora haja iniciativas institucionais em curso, </w:t>
      </w:r>
      <w:r w:rsidRPr="00FE6507">
        <w:rPr>
          <w:rStyle w:val="Forte"/>
          <w:b w:val="0"/>
        </w:rPr>
        <w:t>a promoção da igualdade de oportunidades entre homens e mulheres ainda enfrenta entraves significativos no ambiente de trabalho maranhense</w:t>
      </w:r>
      <w:r w:rsidRPr="00FE6507">
        <w:rPr>
          <w:b/>
        </w:rPr>
        <w:t>.</w:t>
      </w:r>
      <w:r>
        <w:t xml:space="preserve"> </w:t>
      </w:r>
    </w:p>
    <w:p w14:paraId="71B9AA85" w14:textId="77777777" w:rsidR="00573E79" w:rsidRDefault="00211526" w:rsidP="0001571C">
      <w:pPr>
        <w:pStyle w:val="Recuodecorpodetexto2"/>
      </w:pPr>
      <w:r>
        <w:t xml:space="preserve">A persistência das disparidades salariais e a baixa adesão a políticas de inclusão demonstram a necessidade de </w:t>
      </w:r>
      <w:r w:rsidRPr="00FE6507">
        <w:rPr>
          <w:rStyle w:val="Forte"/>
          <w:b w:val="0"/>
        </w:rPr>
        <w:t>ações mais consistentes e estruturadas</w:t>
      </w:r>
      <w:r w:rsidRPr="00FE6507">
        <w:rPr>
          <w:b/>
        </w:rPr>
        <w:t>,</w:t>
      </w:r>
      <w:r>
        <w:t xml:space="preserve"> tanto no setor público quanto no privado, para garantir a valorização profissional das mulheres e a superação das desigualdades de gênero no mercado de trabalho.</w:t>
      </w:r>
    </w:p>
    <w:p w14:paraId="7ACF9B29" w14:textId="77777777" w:rsidR="00573E79" w:rsidRPr="005F3734" w:rsidRDefault="00573E79" w:rsidP="0001571C">
      <w:pPr>
        <w:pStyle w:val="Recuodecorpodetexto2"/>
      </w:pPr>
    </w:p>
    <w:p w14:paraId="09807500" w14:textId="77777777" w:rsidR="00D86982" w:rsidRPr="005F3734" w:rsidRDefault="00D86982" w:rsidP="009145C9">
      <w:pPr>
        <w:spacing w:line="360" w:lineRule="auto"/>
        <w:ind w:firstLine="1134"/>
        <w:jc w:val="both"/>
        <w:rPr>
          <w:sz w:val="24"/>
          <w:szCs w:val="24"/>
        </w:rPr>
      </w:pPr>
      <w:r w:rsidRPr="005F3734">
        <w:rPr>
          <w:sz w:val="24"/>
          <w:szCs w:val="24"/>
        </w:rPr>
        <w:lastRenderedPageBreak/>
        <w:t xml:space="preserve">O estado do Maranhão ainda convive com um mercado de trabalho marcado por discriminação e pela dificuldade na efetiva aplicação da proteção legal ao direito à igualdade. </w:t>
      </w:r>
    </w:p>
    <w:p w14:paraId="20153347" w14:textId="77777777" w:rsidR="00D86982" w:rsidRPr="005F3734" w:rsidRDefault="00D86982" w:rsidP="00961B91">
      <w:pPr>
        <w:spacing w:line="360" w:lineRule="auto"/>
        <w:ind w:firstLine="1134"/>
        <w:jc w:val="both"/>
        <w:rPr>
          <w:sz w:val="24"/>
          <w:szCs w:val="24"/>
        </w:rPr>
      </w:pPr>
      <w:r w:rsidRPr="005F3734">
        <w:rPr>
          <w:sz w:val="24"/>
          <w:szCs w:val="24"/>
        </w:rPr>
        <w:t>Mais do que nunca, é essencial que a responsabilidade do empregador seja respaldada pela atuação do Estado, por meio de uma fiscalização rigorosa e da aplicação efetiva de sanções aos que impõem jornadas excessivas ou violam direitos trabalhistas. É preciso assegurar que os direitos fundamentais dos trabalhador</w:t>
      </w:r>
      <w:r w:rsidR="00F1115D" w:rsidRPr="005F3734">
        <w:rPr>
          <w:sz w:val="24"/>
          <w:szCs w:val="24"/>
        </w:rPr>
        <w:t xml:space="preserve">es, </w:t>
      </w:r>
      <w:r w:rsidR="00961B91" w:rsidRPr="005F3734">
        <w:rPr>
          <w:sz w:val="24"/>
          <w:szCs w:val="24"/>
        </w:rPr>
        <w:t xml:space="preserve">em especial das mulheres, </w:t>
      </w:r>
      <w:r w:rsidRPr="005F3734">
        <w:rPr>
          <w:sz w:val="24"/>
          <w:szCs w:val="24"/>
        </w:rPr>
        <w:t>sejam respeitados de forma equitativa.</w:t>
      </w:r>
    </w:p>
    <w:p w14:paraId="685D000F" w14:textId="77777777" w:rsidR="00D86982" w:rsidRPr="005F3734" w:rsidRDefault="00D86982" w:rsidP="00961B91">
      <w:pPr>
        <w:spacing w:line="360" w:lineRule="auto"/>
        <w:ind w:firstLine="1134"/>
        <w:jc w:val="both"/>
        <w:rPr>
          <w:sz w:val="24"/>
          <w:szCs w:val="24"/>
        </w:rPr>
      </w:pPr>
      <w:r w:rsidRPr="005F3734">
        <w:rPr>
          <w:sz w:val="24"/>
          <w:szCs w:val="24"/>
        </w:rPr>
        <w:t>Conclui-se, portanto, que a responsabilidade do empregador deve ser complementada pela presença ativa do poder público, garantindo não apenas o cumprimento da legislação, mas também a promoção de um ambiente de trabalho digno, inclusivo e igualitário para todos.</w:t>
      </w:r>
    </w:p>
    <w:p w14:paraId="52D83469" w14:textId="77777777" w:rsidR="007709C6" w:rsidRPr="005F3734" w:rsidRDefault="007709C6">
      <w:pPr>
        <w:spacing w:line="360" w:lineRule="auto"/>
        <w:jc w:val="both"/>
        <w:rPr>
          <w:sz w:val="24"/>
          <w:szCs w:val="24"/>
        </w:rPr>
      </w:pPr>
    </w:p>
    <w:p w14:paraId="4B5F8EBD" w14:textId="77777777" w:rsidR="007709C6" w:rsidRPr="005F3734" w:rsidRDefault="00086E88">
      <w:pPr>
        <w:spacing w:line="360" w:lineRule="auto"/>
        <w:jc w:val="both"/>
        <w:rPr>
          <w:sz w:val="24"/>
          <w:szCs w:val="24"/>
        </w:rPr>
      </w:pPr>
      <w:r w:rsidRPr="005F3734">
        <w:rPr>
          <w:b/>
          <w:sz w:val="24"/>
          <w:szCs w:val="24"/>
        </w:rPr>
        <w:t>3</w:t>
      </w:r>
      <w:r w:rsidRPr="005F3734">
        <w:rPr>
          <w:b/>
          <w:sz w:val="24"/>
          <w:szCs w:val="24"/>
        </w:rPr>
        <w:tab/>
        <w:t>CONCLUSÃO</w:t>
      </w:r>
    </w:p>
    <w:p w14:paraId="2BF3C666" w14:textId="77777777" w:rsidR="007709C6" w:rsidRPr="005F3734" w:rsidRDefault="007709C6">
      <w:pPr>
        <w:spacing w:line="360" w:lineRule="auto"/>
        <w:jc w:val="both"/>
        <w:rPr>
          <w:sz w:val="24"/>
          <w:szCs w:val="24"/>
        </w:rPr>
      </w:pPr>
    </w:p>
    <w:p w14:paraId="420EF372" w14:textId="77777777" w:rsidR="0048307A" w:rsidRPr="0048307A" w:rsidRDefault="0048307A" w:rsidP="0048307A">
      <w:pPr>
        <w:pStyle w:val="Recuodecorpodetexto2"/>
        <w:rPr>
          <w:rFonts w:eastAsia="Times New Roman"/>
        </w:rPr>
      </w:pPr>
      <w:r w:rsidRPr="0048307A">
        <w:rPr>
          <w:rFonts w:eastAsia="Times New Roman"/>
        </w:rPr>
        <w:t xml:space="preserve">A presente pesquisa teve como objetivo analisar, sob a perspectiva jurídica, os avanços, desafios e a importância da reinserção da mulher no mercado de trabalho, com ênfase no contexto maranhense no ano de 2024. </w:t>
      </w:r>
    </w:p>
    <w:p w14:paraId="529E45B0" w14:textId="77777777" w:rsidR="0048307A" w:rsidRPr="0048307A" w:rsidRDefault="0048307A" w:rsidP="0048307A">
      <w:pPr>
        <w:spacing w:line="360" w:lineRule="auto"/>
        <w:ind w:firstLine="709"/>
        <w:jc w:val="both"/>
        <w:rPr>
          <w:rFonts w:eastAsia="Times New Roman"/>
          <w:sz w:val="24"/>
          <w:szCs w:val="24"/>
        </w:rPr>
      </w:pPr>
      <w:r w:rsidRPr="0048307A">
        <w:rPr>
          <w:rFonts w:eastAsia="Times New Roman"/>
          <w:sz w:val="24"/>
          <w:szCs w:val="24"/>
        </w:rPr>
        <w:t>A partir do resgate histórico das conquistas legislativas voltadas à igualdade de gênero, foi possível observar que o ordenamento jurídico brasileiro, ainda que contemple dispositivos fundamentais de proteção à mulher, não tem sido plenamente eficaz para assegurar a equidade nas relações laborais.</w:t>
      </w:r>
    </w:p>
    <w:p w14:paraId="1CE452A5" w14:textId="77777777" w:rsidR="0048307A" w:rsidRDefault="0048307A" w:rsidP="0048307A">
      <w:pPr>
        <w:spacing w:line="360" w:lineRule="auto"/>
        <w:ind w:firstLine="709"/>
        <w:jc w:val="both"/>
        <w:rPr>
          <w:rFonts w:eastAsia="Times New Roman"/>
          <w:sz w:val="24"/>
          <w:szCs w:val="24"/>
        </w:rPr>
      </w:pPr>
      <w:r w:rsidRPr="0048307A">
        <w:rPr>
          <w:rFonts w:eastAsia="Times New Roman"/>
          <w:sz w:val="24"/>
          <w:szCs w:val="24"/>
        </w:rPr>
        <w:t xml:space="preserve">Os dados apresentados revelam um cenário preocupante: o Maranhão permanece entre os estados com os maiores índices de desocupação e informalidade no país, realidade que afeta especialmente as mulheres. </w:t>
      </w:r>
    </w:p>
    <w:p w14:paraId="7E435862" w14:textId="77777777" w:rsidR="0048307A" w:rsidRPr="0048307A" w:rsidRDefault="0048307A" w:rsidP="0048307A">
      <w:pPr>
        <w:spacing w:line="360" w:lineRule="auto"/>
        <w:ind w:firstLine="709"/>
        <w:jc w:val="both"/>
        <w:rPr>
          <w:rFonts w:eastAsia="Times New Roman"/>
          <w:sz w:val="24"/>
          <w:szCs w:val="24"/>
        </w:rPr>
      </w:pPr>
      <w:r w:rsidRPr="0048307A">
        <w:rPr>
          <w:rFonts w:eastAsia="Times New Roman"/>
          <w:sz w:val="24"/>
          <w:szCs w:val="24"/>
        </w:rPr>
        <w:t xml:space="preserve">A desigualdade salarial entre homens e mulheres, bem como a escassez de políticas empresariais voltadas à valorização e promoção feminina no ambiente de trabalho, reforçam a persistência de barreiras estruturais. Além disso, mesmo com a expressiva presença de mulheres negras nas empresas maranhenses, sua </w:t>
      </w:r>
      <w:r w:rsidRPr="0048307A">
        <w:rPr>
          <w:rFonts w:eastAsia="Times New Roman"/>
          <w:sz w:val="24"/>
          <w:szCs w:val="24"/>
        </w:rPr>
        <w:lastRenderedPageBreak/>
        <w:t>remuneração permanece inferior à das mulheres não negras, revelando que as desigualdades de gênero frequentemente se entrelaçam a outras formas de discriminação, como o racismo.</w:t>
      </w:r>
    </w:p>
    <w:p w14:paraId="78A29CA3" w14:textId="77777777" w:rsidR="0048307A" w:rsidRDefault="0048307A" w:rsidP="0048307A">
      <w:pPr>
        <w:spacing w:line="360" w:lineRule="auto"/>
        <w:ind w:firstLine="709"/>
        <w:jc w:val="both"/>
        <w:rPr>
          <w:rFonts w:eastAsia="Times New Roman"/>
          <w:sz w:val="24"/>
          <w:szCs w:val="24"/>
        </w:rPr>
      </w:pPr>
      <w:r w:rsidRPr="0048307A">
        <w:rPr>
          <w:rFonts w:eastAsia="Times New Roman"/>
          <w:sz w:val="24"/>
          <w:szCs w:val="24"/>
        </w:rPr>
        <w:t xml:space="preserve">Conclui-se, portanto, que embora haja avanços legais e institucionais, estes ainda não se traduzem em igualdade substancial no cotidiano laboral das mulheres maranhenses. </w:t>
      </w:r>
    </w:p>
    <w:p w14:paraId="11600EEE" w14:textId="77777777" w:rsidR="0048307A" w:rsidRPr="0048307A" w:rsidRDefault="0048307A" w:rsidP="0048307A">
      <w:pPr>
        <w:spacing w:line="360" w:lineRule="auto"/>
        <w:ind w:firstLine="709"/>
        <w:jc w:val="both"/>
        <w:rPr>
          <w:rFonts w:eastAsia="Times New Roman"/>
          <w:sz w:val="24"/>
          <w:szCs w:val="24"/>
        </w:rPr>
      </w:pPr>
      <w:r w:rsidRPr="0048307A">
        <w:rPr>
          <w:rFonts w:eastAsia="Times New Roman"/>
          <w:sz w:val="24"/>
          <w:szCs w:val="24"/>
        </w:rPr>
        <w:t>É indispensável o fortalecimento de políticas públicas voltadas à equidade de gênero, bem como o engajamento do setor privado na promoção de ambientes de trabalho mais justos, inclusivos e sensíveis às especificidades das mulheres. O desafio da reinserção plena e digna da mulher no mercado de trabalho permanece atual e exige não apenas normas, mas ações efetivas, contínuas e transformadoras.</w:t>
      </w:r>
    </w:p>
    <w:p w14:paraId="2D2981BA" w14:textId="77777777" w:rsidR="0048307A" w:rsidRDefault="0048307A" w:rsidP="0048307A">
      <w:pPr>
        <w:pStyle w:val="Recuodecorpodetexto2"/>
        <w:rPr>
          <w:rStyle w:val="Forte"/>
          <w:b w:val="0"/>
        </w:rPr>
      </w:pPr>
      <w:r w:rsidRPr="0048307A">
        <w:rPr>
          <w:rStyle w:val="Forte"/>
          <w:b w:val="0"/>
        </w:rPr>
        <w:t>Diante disso, propõe-se o aprofundamento de estudos sobre os impactos da informalidade na vida das mulheres maranhenses, bem como a investigação de experiências exitosas de reinserção feminina em contextos regionais diversos, que possam servir de referência para políticas públicas. Sugere-se, ainda, que novas pesquisas explorem a relação entre maternidade, cuidado e acesso ao mercado de trabalho, com atenção especial às estratégias de enfrentamento adotadas por mulheres em situação de vulnerabilidade social</w:t>
      </w:r>
      <w:r>
        <w:rPr>
          <w:rStyle w:val="Forte"/>
          <w:b w:val="0"/>
        </w:rPr>
        <w:t>.</w:t>
      </w:r>
    </w:p>
    <w:p w14:paraId="2C627811" w14:textId="77777777" w:rsidR="007709C6" w:rsidRPr="0048307A" w:rsidRDefault="0048307A" w:rsidP="0048307A">
      <w:pPr>
        <w:pStyle w:val="Recuodecorpodetexto2"/>
        <w:rPr>
          <w:bCs/>
        </w:rPr>
      </w:pPr>
      <w:r w:rsidRPr="0048307A">
        <w:rPr>
          <w:rStyle w:val="Forte"/>
          <w:b w:val="0"/>
        </w:rPr>
        <w:t>Por fim, é necessário fomentar o debate interdisciplinar entre Direito, Serviço Social, Economia e Sociologia para que, de forma articulada, se promovam encaminhamentos concretos que garantam condições dignas e igualitárias para a atuação profissional das mulheres em todo o território nacional.</w:t>
      </w:r>
    </w:p>
    <w:p w14:paraId="58A4E031" w14:textId="77777777" w:rsidR="000912B4" w:rsidRPr="005F3734" w:rsidRDefault="000912B4">
      <w:pPr>
        <w:spacing w:line="360" w:lineRule="auto"/>
        <w:jc w:val="center"/>
        <w:rPr>
          <w:sz w:val="24"/>
          <w:szCs w:val="24"/>
        </w:rPr>
      </w:pPr>
    </w:p>
    <w:p w14:paraId="4839A499" w14:textId="77777777" w:rsidR="007709C6" w:rsidRPr="005F3734" w:rsidRDefault="00FC1DE7" w:rsidP="00FC1DE7">
      <w:pPr>
        <w:spacing w:line="360" w:lineRule="auto"/>
        <w:rPr>
          <w:sz w:val="24"/>
          <w:szCs w:val="24"/>
        </w:rPr>
      </w:pPr>
      <w:r w:rsidRPr="005F3734">
        <w:rPr>
          <w:b/>
          <w:sz w:val="24"/>
          <w:szCs w:val="24"/>
        </w:rPr>
        <w:t>REFERÊNCIAS</w:t>
      </w:r>
    </w:p>
    <w:p w14:paraId="666C5187" w14:textId="77777777" w:rsidR="007709C6" w:rsidRPr="008466FD" w:rsidRDefault="007709C6" w:rsidP="008466FD">
      <w:pPr>
        <w:spacing w:line="240" w:lineRule="auto"/>
        <w:jc w:val="both"/>
      </w:pPr>
    </w:p>
    <w:p w14:paraId="7704845F" w14:textId="53F368AD" w:rsidR="008466FD" w:rsidRPr="007433DF" w:rsidRDefault="008466FD" w:rsidP="00000AA4">
      <w:pPr>
        <w:spacing w:line="240" w:lineRule="auto"/>
        <w:jc w:val="both"/>
        <w:rPr>
          <w:sz w:val="24"/>
          <w:szCs w:val="24"/>
        </w:rPr>
      </w:pPr>
      <w:r w:rsidRPr="007433DF">
        <w:rPr>
          <w:rStyle w:val="Forte"/>
          <w:b w:val="0"/>
          <w:sz w:val="24"/>
          <w:szCs w:val="24"/>
        </w:rPr>
        <w:t>BRASIL</w:t>
      </w:r>
      <w:r w:rsidRPr="007433DF">
        <w:rPr>
          <w:rStyle w:val="Forte"/>
          <w:sz w:val="24"/>
          <w:szCs w:val="24"/>
        </w:rPr>
        <w:t>.</w:t>
      </w:r>
      <w:r w:rsidRPr="007433DF">
        <w:rPr>
          <w:sz w:val="24"/>
          <w:szCs w:val="24"/>
        </w:rPr>
        <w:t xml:space="preserve"> </w:t>
      </w:r>
      <w:r w:rsidRPr="007433DF">
        <w:rPr>
          <w:rStyle w:val="nfase"/>
          <w:sz w:val="24"/>
          <w:szCs w:val="24"/>
        </w:rPr>
        <w:t>Consolidação das Leis do Trabalho (CLT)</w:t>
      </w:r>
      <w:r w:rsidRPr="007433DF">
        <w:rPr>
          <w:sz w:val="24"/>
          <w:szCs w:val="24"/>
        </w:rPr>
        <w:t>. Decreto-Lei nº 5.452, de 1º de maio de 1943. Aprova a Consolidação das Leis do Trabalho. Diário Oficial da União: seção 1, p. 9737, 9 ago. 1943. Disponível em:</w:t>
      </w:r>
      <w:r w:rsidR="00FA5E5C" w:rsidRPr="00FA5E5C">
        <w:rPr>
          <w:sz w:val="24"/>
          <w:szCs w:val="24"/>
        </w:rPr>
        <w:t xml:space="preserve"> </w:t>
      </w:r>
      <w:r w:rsidR="00FA5E5C" w:rsidRPr="007433DF">
        <w:rPr>
          <w:sz w:val="24"/>
          <w:szCs w:val="24"/>
        </w:rPr>
        <w:t>https://www.planalto.gov.br/ccivil_03/decreto</w:t>
      </w:r>
      <w:r w:rsidRPr="007433DF">
        <w:rPr>
          <w:sz w:val="24"/>
          <w:szCs w:val="24"/>
        </w:rPr>
        <w:t xml:space="preserve">-lei/del5452.htm. </w:t>
      </w:r>
      <w:r w:rsidR="007433DF" w:rsidRPr="007433DF">
        <w:rPr>
          <w:sz w:val="24"/>
          <w:szCs w:val="24"/>
        </w:rPr>
        <w:t>Acesso em: 06 jun. 2025.</w:t>
      </w:r>
    </w:p>
    <w:p w14:paraId="6480A0FA" w14:textId="49AFC424" w:rsidR="00FC1DE7" w:rsidRPr="005F3734" w:rsidRDefault="00FC1DE7" w:rsidP="00FC1DE7">
      <w:pPr>
        <w:spacing w:after="240" w:line="240" w:lineRule="auto"/>
        <w:jc w:val="both"/>
        <w:rPr>
          <w:sz w:val="24"/>
          <w:szCs w:val="24"/>
        </w:rPr>
      </w:pPr>
      <w:r w:rsidRPr="005F3734">
        <w:rPr>
          <w:sz w:val="24"/>
          <w:szCs w:val="24"/>
        </w:rPr>
        <w:lastRenderedPageBreak/>
        <w:t xml:space="preserve">BRASIL. Constituição (1988). </w:t>
      </w:r>
      <w:r w:rsidRPr="005F3734">
        <w:rPr>
          <w:i/>
          <w:iCs/>
          <w:sz w:val="24"/>
          <w:szCs w:val="24"/>
        </w:rPr>
        <w:t>Constituição da República Federativa do Brasil: promulgada em 5 de outubro de 1988</w:t>
      </w:r>
      <w:r w:rsidRPr="005F3734">
        <w:rPr>
          <w:sz w:val="24"/>
          <w:szCs w:val="24"/>
        </w:rPr>
        <w:t>. Brasília: Senado Federal, 1988.</w:t>
      </w:r>
    </w:p>
    <w:p w14:paraId="35AC771B" w14:textId="77777777" w:rsidR="00F87CF9" w:rsidRDefault="00F87CF9" w:rsidP="00F87CF9">
      <w:pPr>
        <w:pStyle w:val="Corpodetexto3"/>
      </w:pPr>
      <w:r w:rsidRPr="005F3734">
        <w:t xml:space="preserve">BRASIL. Mulheres ganham 15,7% a menos que homens no Maranhão, revela 2º Relatório de Transparência Salarial. Secretaria de Comunicação Social. Governo Federal, 02 jul. 2024. Disponível em: </w:t>
      </w:r>
      <w:r w:rsidR="00925CF5" w:rsidRPr="005F3734">
        <w:t xml:space="preserve">https://www.gov.br/secom/pt-br/assuntos/noticias-regionalizadas/igualdade-salarial/2o-relatorio-detransparencia/m </w:t>
      </w:r>
      <w:r w:rsidRPr="005F3734">
        <w:t>ulheres-ganham-15-7-a-menos-que-homens-no-maranhao-revela-2o-relatorio-de-transparencia-salarial. Acesso em: 06 ju</w:t>
      </w:r>
      <w:r w:rsidR="00321A7E" w:rsidRPr="005F3734">
        <w:t>n</w:t>
      </w:r>
      <w:r w:rsidRPr="005F3734">
        <w:t>. 2025.</w:t>
      </w:r>
    </w:p>
    <w:p w14:paraId="346209F2" w14:textId="77777777" w:rsidR="001517BA" w:rsidRPr="005F3734" w:rsidRDefault="001517BA" w:rsidP="00F87CF9">
      <w:pPr>
        <w:pStyle w:val="Corpodetexto3"/>
      </w:pPr>
      <w:r w:rsidRPr="001517BA">
        <w:rPr>
          <w:rStyle w:val="Forte"/>
          <w:b w:val="0"/>
        </w:rPr>
        <w:t>BRASIL.</w:t>
      </w:r>
      <w:r>
        <w:t xml:space="preserve"> Ministério das Mulheres. </w:t>
      </w:r>
      <w:r>
        <w:rPr>
          <w:rStyle w:val="Forte"/>
        </w:rPr>
        <w:t>Relatório Anual Socioeconômico da Mulher: RASEAM</w:t>
      </w:r>
      <w:r>
        <w:t xml:space="preserve">. Ano 7, mar. 2025. Brasília: Observatório Brasil da Igualdade de Gênero, 2025. Disponível em: </w:t>
      </w:r>
      <w:r w:rsidR="00274E31" w:rsidRPr="00274E31">
        <w:t>https://www.gov.br/mulheres/pt-br/central-de-conteudos/publicacoes/raseam-2025.pdf</w:t>
      </w:r>
      <w:r>
        <w:t>. Acesso em: 06 jun. 2025.</w:t>
      </w:r>
    </w:p>
    <w:p w14:paraId="3024592A" w14:textId="77777777" w:rsidR="00FC1DE7" w:rsidRPr="005F3734" w:rsidRDefault="00FC1DE7" w:rsidP="00FC1DE7">
      <w:pPr>
        <w:spacing w:after="240" w:line="240" w:lineRule="auto"/>
        <w:jc w:val="both"/>
        <w:rPr>
          <w:sz w:val="24"/>
          <w:szCs w:val="24"/>
        </w:rPr>
      </w:pPr>
      <w:r w:rsidRPr="005F3734">
        <w:rPr>
          <w:sz w:val="24"/>
          <w:szCs w:val="24"/>
        </w:rPr>
        <w:t xml:space="preserve">BRUSCHINI, C.; LOMBARDI, M. R. Mulheres e homens no mercado de trabalho brasileiro: um retrato dos anos 1990. In: MARUANI, M.; HIRATA, H. (Orgs.). </w:t>
      </w:r>
      <w:r w:rsidRPr="005F3734">
        <w:rPr>
          <w:i/>
          <w:iCs/>
          <w:sz w:val="24"/>
          <w:szCs w:val="24"/>
        </w:rPr>
        <w:t>As novas fronteiras da desigualdade: homens e mulheres no mercado de trabalho</w:t>
      </w:r>
      <w:r w:rsidRPr="005F3734">
        <w:rPr>
          <w:sz w:val="24"/>
          <w:szCs w:val="24"/>
        </w:rPr>
        <w:t>. São Paulo: Senac, 2003.</w:t>
      </w:r>
    </w:p>
    <w:p w14:paraId="7D7D6856" w14:textId="77777777" w:rsidR="00FC1DE7" w:rsidRPr="005F3734" w:rsidRDefault="00FC1DE7" w:rsidP="00FC1DE7">
      <w:pPr>
        <w:spacing w:after="240" w:line="240" w:lineRule="auto"/>
        <w:jc w:val="both"/>
        <w:rPr>
          <w:sz w:val="24"/>
          <w:szCs w:val="24"/>
        </w:rPr>
      </w:pPr>
      <w:r w:rsidRPr="005F3734">
        <w:rPr>
          <w:sz w:val="24"/>
          <w:szCs w:val="24"/>
        </w:rPr>
        <w:t xml:space="preserve">BRUSCHINI, C.; RICOLDI, A. M.; MERCADO, C. M. Trabalho e gênero no Brasil até 2005: uma comparação regional. In: COSTA, A. O.; SORJ, B.; BRUSCHINI, C.; HIRATA, H. (Orgs.). </w:t>
      </w:r>
      <w:r w:rsidRPr="00B8273C">
        <w:rPr>
          <w:b/>
          <w:i/>
          <w:iCs/>
          <w:sz w:val="24"/>
          <w:szCs w:val="24"/>
        </w:rPr>
        <w:t>Mercado de Trabalho e Gênero:</w:t>
      </w:r>
      <w:r w:rsidRPr="005F3734">
        <w:rPr>
          <w:i/>
          <w:iCs/>
          <w:sz w:val="24"/>
          <w:szCs w:val="24"/>
        </w:rPr>
        <w:t xml:space="preserve"> comparações internacionais</w:t>
      </w:r>
      <w:r w:rsidRPr="005F3734">
        <w:rPr>
          <w:sz w:val="24"/>
          <w:szCs w:val="24"/>
        </w:rPr>
        <w:t>. Rio de Janeiro: Editora FGV, 2008.</w:t>
      </w:r>
    </w:p>
    <w:p w14:paraId="7EF4D77D" w14:textId="77777777" w:rsidR="003E0816" w:rsidRPr="001054AC" w:rsidRDefault="003E0816" w:rsidP="001054AC">
      <w:pPr>
        <w:spacing w:after="240" w:line="240" w:lineRule="auto"/>
        <w:jc w:val="both"/>
        <w:rPr>
          <w:i/>
          <w:sz w:val="24"/>
          <w:szCs w:val="24"/>
        </w:rPr>
      </w:pPr>
      <w:r w:rsidRPr="001054AC">
        <w:rPr>
          <w:sz w:val="24"/>
          <w:szCs w:val="24"/>
        </w:rPr>
        <w:t>INSTITUTO BRASILEIRO DE GEOGRAFIA E ESTATÍSTICA (IBGE</w:t>
      </w:r>
      <w:r w:rsidRPr="001054AC">
        <w:rPr>
          <w:i/>
          <w:sz w:val="24"/>
          <w:szCs w:val="24"/>
        </w:rPr>
        <w:t xml:space="preserve">). </w:t>
      </w:r>
      <w:r w:rsidRPr="001054AC">
        <w:rPr>
          <w:rStyle w:val="nfase"/>
          <w:i w:val="0"/>
          <w:sz w:val="24"/>
          <w:szCs w:val="24"/>
        </w:rPr>
        <w:t>Pesquisa Nacional por Amostra de Domicílios Contínua: 2º trimestre de 2024</w:t>
      </w:r>
      <w:r w:rsidRPr="001054AC">
        <w:rPr>
          <w:i/>
          <w:sz w:val="24"/>
          <w:szCs w:val="24"/>
        </w:rPr>
        <w:t xml:space="preserve">. </w:t>
      </w:r>
      <w:r w:rsidRPr="001054AC">
        <w:rPr>
          <w:sz w:val="24"/>
          <w:szCs w:val="24"/>
        </w:rPr>
        <w:t xml:space="preserve">Ministério das Mulheres. </w:t>
      </w:r>
      <w:r w:rsidRPr="001C3E34">
        <w:rPr>
          <w:b/>
          <w:sz w:val="24"/>
          <w:szCs w:val="24"/>
        </w:rPr>
        <w:t>Observatório Brasil da Igualdade de Gênero</w:t>
      </w:r>
      <w:r w:rsidRPr="001054AC">
        <w:rPr>
          <w:sz w:val="24"/>
          <w:szCs w:val="24"/>
        </w:rPr>
        <w:t xml:space="preserve">. </w:t>
      </w:r>
      <w:r w:rsidRPr="001054AC">
        <w:rPr>
          <w:i/>
          <w:sz w:val="24"/>
          <w:szCs w:val="24"/>
        </w:rPr>
        <w:t xml:space="preserve">Disponível em: </w:t>
      </w:r>
      <w:r w:rsidRPr="001054AC">
        <w:rPr>
          <w:sz w:val="24"/>
          <w:szCs w:val="24"/>
        </w:rPr>
        <w:t>https://www.gov.br/mulheres/pt-br/central-de-conteudos/publicacoes/raseam-2025.pdf/view.</w:t>
      </w:r>
      <w:r w:rsidRPr="001054AC">
        <w:rPr>
          <w:i/>
          <w:sz w:val="24"/>
          <w:szCs w:val="24"/>
        </w:rPr>
        <w:t xml:space="preserve"> Acesso em: 06 jul. 2025.</w:t>
      </w:r>
    </w:p>
    <w:p w14:paraId="11FBC5E8" w14:textId="77777777" w:rsidR="009B71AD" w:rsidRPr="001054AC" w:rsidRDefault="009B71AD" w:rsidP="001054AC">
      <w:pPr>
        <w:spacing w:after="240" w:line="240" w:lineRule="auto"/>
        <w:jc w:val="both"/>
        <w:rPr>
          <w:sz w:val="24"/>
          <w:szCs w:val="24"/>
        </w:rPr>
      </w:pPr>
      <w:r w:rsidRPr="001054AC">
        <w:rPr>
          <w:rStyle w:val="relative"/>
          <w:sz w:val="24"/>
          <w:szCs w:val="24"/>
        </w:rPr>
        <w:t>INSTITUTO DE PESQUISA ECONÔMICA APLICADA (</w:t>
      </w:r>
      <w:r w:rsidR="003E0816" w:rsidRPr="001054AC">
        <w:rPr>
          <w:rStyle w:val="relative"/>
          <w:sz w:val="24"/>
          <w:szCs w:val="24"/>
        </w:rPr>
        <w:t>IPEA</w:t>
      </w:r>
      <w:r w:rsidRPr="001054AC">
        <w:rPr>
          <w:rStyle w:val="relative"/>
          <w:sz w:val="24"/>
          <w:szCs w:val="24"/>
        </w:rPr>
        <w:t xml:space="preserve">). </w:t>
      </w:r>
      <w:r w:rsidRPr="001054AC">
        <w:rPr>
          <w:rStyle w:val="nfase"/>
          <w:sz w:val="24"/>
          <w:szCs w:val="24"/>
        </w:rPr>
        <w:t>Retrato das Desigualdades de Gênero e Raça: indicadores 2016–2022</w:t>
      </w:r>
      <w:r w:rsidRPr="001054AC">
        <w:rPr>
          <w:rStyle w:val="relative"/>
          <w:sz w:val="24"/>
          <w:szCs w:val="24"/>
        </w:rPr>
        <w:t>. Brasília: Ipea, 2024. Disponível em:</w:t>
      </w:r>
      <w:r w:rsidRPr="001054AC">
        <w:rPr>
          <w:sz w:val="24"/>
          <w:szCs w:val="24"/>
        </w:rPr>
        <w:t xml:space="preserve"> https://www.ipea.gov.br/retrato/</w:t>
      </w:r>
      <w:r w:rsidRPr="001054AC">
        <w:rPr>
          <w:rStyle w:val="relative"/>
          <w:sz w:val="24"/>
          <w:szCs w:val="24"/>
        </w:rPr>
        <w:t>. Acesso em: 06 jun. 2025.</w:t>
      </w:r>
      <w:r w:rsidR="003E0816" w:rsidRPr="001054AC">
        <w:rPr>
          <w:rStyle w:val="relative"/>
          <w:sz w:val="24"/>
          <w:szCs w:val="24"/>
        </w:rPr>
        <w:tab/>
      </w:r>
    </w:p>
    <w:p w14:paraId="02E4138D" w14:textId="77777777" w:rsidR="00FC1DE7" w:rsidRPr="005F3734" w:rsidRDefault="00FC1DE7" w:rsidP="00FC1DE7">
      <w:pPr>
        <w:spacing w:after="240" w:line="240" w:lineRule="auto"/>
        <w:jc w:val="both"/>
        <w:rPr>
          <w:sz w:val="24"/>
          <w:szCs w:val="24"/>
        </w:rPr>
      </w:pPr>
      <w:r w:rsidRPr="005F3734">
        <w:rPr>
          <w:sz w:val="24"/>
          <w:szCs w:val="24"/>
        </w:rPr>
        <w:t xml:space="preserve">MATOS, Maria Izilda S. de. </w:t>
      </w:r>
      <w:r w:rsidRPr="00900650">
        <w:rPr>
          <w:b/>
          <w:iCs/>
          <w:sz w:val="24"/>
          <w:szCs w:val="24"/>
        </w:rPr>
        <w:t>Por uma História da Mulher</w:t>
      </w:r>
      <w:r w:rsidRPr="005F3734">
        <w:rPr>
          <w:sz w:val="24"/>
          <w:szCs w:val="24"/>
        </w:rPr>
        <w:t>. Bauru – SP: EDUSC, 2000.</w:t>
      </w:r>
    </w:p>
    <w:p w14:paraId="02CEB988" w14:textId="77777777" w:rsidR="00FC1DE7" w:rsidRPr="005F3734" w:rsidRDefault="00FC1DE7" w:rsidP="00FC1DE7">
      <w:pPr>
        <w:spacing w:after="240" w:line="240" w:lineRule="auto"/>
        <w:jc w:val="both"/>
        <w:rPr>
          <w:sz w:val="24"/>
          <w:szCs w:val="24"/>
        </w:rPr>
      </w:pPr>
      <w:r w:rsidRPr="005F3734">
        <w:rPr>
          <w:sz w:val="24"/>
          <w:szCs w:val="24"/>
        </w:rPr>
        <w:t xml:space="preserve">MIRANDA, Douglas. </w:t>
      </w:r>
      <w:r w:rsidRPr="00422AEE">
        <w:rPr>
          <w:b/>
          <w:sz w:val="24"/>
          <w:szCs w:val="24"/>
        </w:rPr>
        <w:t>A Lei Maria da Penha e o combate à violência doméstica: a efetividade da lei n. 11.340/2006</w:t>
      </w:r>
      <w:r w:rsidRPr="005F3734">
        <w:rPr>
          <w:sz w:val="24"/>
          <w:szCs w:val="24"/>
        </w:rPr>
        <w:t xml:space="preserve">. </w:t>
      </w:r>
      <w:r w:rsidRPr="005F3734">
        <w:rPr>
          <w:i/>
          <w:iCs/>
          <w:sz w:val="24"/>
          <w:szCs w:val="24"/>
        </w:rPr>
        <w:t>Anima Educação</w:t>
      </w:r>
      <w:r w:rsidRPr="005F3734">
        <w:rPr>
          <w:sz w:val="24"/>
          <w:szCs w:val="24"/>
        </w:rPr>
        <w:t>, 2021.</w:t>
      </w:r>
    </w:p>
    <w:p w14:paraId="4FB03774" w14:textId="77777777" w:rsidR="00FC1DE7" w:rsidRPr="005F3734" w:rsidRDefault="00FC1DE7" w:rsidP="00FC1DE7">
      <w:pPr>
        <w:spacing w:after="240" w:line="240" w:lineRule="auto"/>
        <w:jc w:val="both"/>
        <w:rPr>
          <w:sz w:val="24"/>
          <w:szCs w:val="24"/>
        </w:rPr>
      </w:pPr>
      <w:r w:rsidRPr="005F3734">
        <w:rPr>
          <w:sz w:val="24"/>
          <w:szCs w:val="24"/>
        </w:rPr>
        <w:t xml:space="preserve">MOISÉS, José Álvaro; SANCHEZ, Beatriz Rodrigues. Representação política das mulheres e qualidade da democracia: o caso do Brasil. In: </w:t>
      </w:r>
      <w:r w:rsidRPr="005F3734">
        <w:rPr>
          <w:i/>
          <w:iCs/>
          <w:sz w:val="24"/>
          <w:szCs w:val="24"/>
        </w:rPr>
        <w:t xml:space="preserve">O Congresso Nacional, os partidos políticos e o sistema de integridade: representação, participação e controle </w:t>
      </w:r>
      <w:r w:rsidRPr="005F3734">
        <w:rPr>
          <w:i/>
          <w:iCs/>
          <w:sz w:val="24"/>
          <w:szCs w:val="24"/>
        </w:rPr>
        <w:lastRenderedPageBreak/>
        <w:t>interinstitucional no Brasil contemporâneo</w:t>
      </w:r>
      <w:r w:rsidRPr="005F3734">
        <w:rPr>
          <w:sz w:val="24"/>
          <w:szCs w:val="24"/>
        </w:rPr>
        <w:t>. Rio de Janeiro: Fundação Konrad Adenauer, 2014. p. 89-115.</w:t>
      </w:r>
    </w:p>
    <w:p w14:paraId="364C2B96" w14:textId="77777777" w:rsidR="00FC1DE7" w:rsidRPr="005F3734" w:rsidRDefault="00FC1DE7" w:rsidP="00FC1DE7">
      <w:pPr>
        <w:spacing w:after="240" w:line="240" w:lineRule="auto"/>
        <w:jc w:val="both"/>
        <w:rPr>
          <w:sz w:val="24"/>
          <w:szCs w:val="24"/>
        </w:rPr>
      </w:pPr>
      <w:r w:rsidRPr="005F3734">
        <w:rPr>
          <w:sz w:val="24"/>
          <w:szCs w:val="24"/>
        </w:rPr>
        <w:t xml:space="preserve">PINSKY, Carla Bassanezi. </w:t>
      </w:r>
      <w:r w:rsidRPr="00F94B1D">
        <w:rPr>
          <w:b/>
          <w:iCs/>
          <w:sz w:val="24"/>
          <w:szCs w:val="24"/>
        </w:rPr>
        <w:t>Nova história das mulheres no Brasil</w:t>
      </w:r>
      <w:r w:rsidRPr="005F3734">
        <w:rPr>
          <w:sz w:val="24"/>
          <w:szCs w:val="24"/>
        </w:rPr>
        <w:t>. São Paulo: Editora Contexto, 2015.</w:t>
      </w:r>
    </w:p>
    <w:p w14:paraId="2330F282" w14:textId="77777777" w:rsidR="00FC1DE7" w:rsidRPr="005F3734" w:rsidRDefault="00FC1DE7" w:rsidP="00FC1DE7">
      <w:pPr>
        <w:spacing w:after="240" w:line="240" w:lineRule="auto"/>
        <w:jc w:val="both"/>
        <w:rPr>
          <w:sz w:val="24"/>
          <w:szCs w:val="24"/>
        </w:rPr>
      </w:pPr>
      <w:r w:rsidRPr="005F3734">
        <w:rPr>
          <w:sz w:val="24"/>
          <w:szCs w:val="24"/>
        </w:rPr>
        <w:t xml:space="preserve">PINTO, Celi Regina Jardim. Paradoxos da participação política da mulher no Brasil. </w:t>
      </w:r>
      <w:r w:rsidRPr="003379A9">
        <w:rPr>
          <w:b/>
          <w:iCs/>
          <w:sz w:val="24"/>
          <w:szCs w:val="24"/>
        </w:rPr>
        <w:t>Revista USP</w:t>
      </w:r>
      <w:r w:rsidRPr="005F3734">
        <w:rPr>
          <w:sz w:val="24"/>
          <w:szCs w:val="24"/>
        </w:rPr>
        <w:t>, n. 49, p. 98-112, 2020.</w:t>
      </w:r>
    </w:p>
    <w:p w14:paraId="27D436FA" w14:textId="77777777" w:rsidR="00FC1DE7" w:rsidRPr="005F3734" w:rsidRDefault="00FC1DE7" w:rsidP="00FC1DE7">
      <w:pPr>
        <w:spacing w:after="240" w:line="240" w:lineRule="auto"/>
        <w:jc w:val="both"/>
        <w:rPr>
          <w:sz w:val="24"/>
          <w:szCs w:val="24"/>
        </w:rPr>
      </w:pPr>
      <w:r w:rsidRPr="005F3734">
        <w:rPr>
          <w:sz w:val="24"/>
          <w:szCs w:val="24"/>
        </w:rPr>
        <w:t xml:space="preserve">RUFINO, Regina Célia Pezzuto. </w:t>
      </w:r>
      <w:r w:rsidRPr="003379A9">
        <w:rPr>
          <w:b/>
          <w:iCs/>
          <w:sz w:val="24"/>
          <w:szCs w:val="24"/>
        </w:rPr>
        <w:t>Assédio Moral no Âmbito da Empresa</w:t>
      </w:r>
      <w:r w:rsidRPr="005F3734">
        <w:rPr>
          <w:sz w:val="24"/>
          <w:szCs w:val="24"/>
        </w:rPr>
        <w:t>. São Paulo: LTr, 2011.</w:t>
      </w:r>
    </w:p>
    <w:p w14:paraId="134DCED1" w14:textId="77777777" w:rsidR="00FC1DE7" w:rsidRPr="005F3734" w:rsidRDefault="00FC1DE7" w:rsidP="00FC1DE7">
      <w:pPr>
        <w:spacing w:after="240" w:line="240" w:lineRule="auto"/>
        <w:jc w:val="both"/>
        <w:rPr>
          <w:sz w:val="24"/>
          <w:szCs w:val="24"/>
        </w:rPr>
      </w:pPr>
      <w:r w:rsidRPr="005F3734">
        <w:rPr>
          <w:sz w:val="24"/>
          <w:szCs w:val="24"/>
        </w:rPr>
        <w:t xml:space="preserve">SAFFIOTI, Heleieth I.B. </w:t>
      </w:r>
      <w:r w:rsidRPr="004A3BB6">
        <w:rPr>
          <w:b/>
          <w:iCs/>
          <w:sz w:val="24"/>
          <w:szCs w:val="24"/>
        </w:rPr>
        <w:t>A Mulher na Sociedade de Classes: Mito e Realidade</w:t>
      </w:r>
      <w:r w:rsidRPr="005F3734">
        <w:rPr>
          <w:sz w:val="24"/>
          <w:szCs w:val="24"/>
        </w:rPr>
        <w:t>. Petrópolis: Vozes, 1979.</w:t>
      </w:r>
    </w:p>
    <w:p w14:paraId="2B03F208" w14:textId="77777777" w:rsidR="00FC1DE7" w:rsidRPr="005F3734" w:rsidRDefault="00FC1DE7" w:rsidP="00292C43">
      <w:pPr>
        <w:spacing w:after="240" w:line="240" w:lineRule="auto"/>
        <w:jc w:val="both"/>
        <w:rPr>
          <w:sz w:val="24"/>
          <w:szCs w:val="24"/>
        </w:rPr>
      </w:pPr>
      <w:r w:rsidRPr="005F3734">
        <w:rPr>
          <w:sz w:val="24"/>
          <w:szCs w:val="24"/>
        </w:rPr>
        <w:t xml:space="preserve">SABAG, Juliana Elias. </w:t>
      </w:r>
      <w:r w:rsidRPr="00E47553">
        <w:rPr>
          <w:b/>
          <w:sz w:val="24"/>
          <w:szCs w:val="24"/>
        </w:rPr>
        <w:t>Evolução dos direitos das mulheres no Brasil</w:t>
      </w:r>
      <w:r w:rsidRPr="005F3734">
        <w:rPr>
          <w:sz w:val="24"/>
          <w:szCs w:val="24"/>
        </w:rPr>
        <w:t xml:space="preserve">. </w:t>
      </w:r>
      <w:r w:rsidRPr="005F3734">
        <w:rPr>
          <w:i/>
          <w:iCs/>
          <w:sz w:val="24"/>
          <w:szCs w:val="24"/>
        </w:rPr>
        <w:t>ETIC – Encontro de Iniciação Científica</w:t>
      </w:r>
      <w:r w:rsidRPr="005F3734">
        <w:rPr>
          <w:sz w:val="24"/>
          <w:szCs w:val="24"/>
        </w:rPr>
        <w:t>, ISSN 2176-8498, v. 16, n. 16, 2020.</w:t>
      </w:r>
    </w:p>
    <w:p w14:paraId="5168E908" w14:textId="77777777" w:rsidR="00854990" w:rsidRPr="00292C43" w:rsidRDefault="00854990" w:rsidP="00292C43">
      <w:pPr>
        <w:spacing w:after="240" w:line="240" w:lineRule="auto"/>
        <w:jc w:val="both"/>
        <w:rPr>
          <w:sz w:val="24"/>
          <w:szCs w:val="24"/>
        </w:rPr>
      </w:pPr>
      <w:r w:rsidRPr="00292C43">
        <w:rPr>
          <w:sz w:val="24"/>
          <w:szCs w:val="24"/>
        </w:rPr>
        <w:t xml:space="preserve">SOCIEDADE BRASILEIRA DE PEDIATRIA. </w:t>
      </w:r>
      <w:r w:rsidRPr="00292C43">
        <w:rPr>
          <w:rStyle w:val="nfase"/>
          <w:b/>
          <w:sz w:val="24"/>
          <w:szCs w:val="24"/>
        </w:rPr>
        <w:t>Guia Prático de Aleitamento Materno</w:t>
      </w:r>
      <w:r w:rsidRPr="00292C43">
        <w:rPr>
          <w:b/>
          <w:sz w:val="24"/>
          <w:szCs w:val="24"/>
        </w:rPr>
        <w:t xml:space="preserve">. Departamento Científico de Aleitamento Materno </w:t>
      </w:r>
      <w:r w:rsidRPr="00292C43">
        <w:rPr>
          <w:sz w:val="24"/>
          <w:szCs w:val="24"/>
        </w:rPr>
        <w:t>(2022–2024), nº 165, 26 ago. 2024. Disponível em: https://www.sbp.com.br. Acesso em: 20 jun. 2025.</w:t>
      </w:r>
    </w:p>
    <w:p w14:paraId="3E9499D9" w14:textId="77777777" w:rsidR="00FC1DE7" w:rsidRPr="00292C43" w:rsidRDefault="00E05766" w:rsidP="00292C43">
      <w:pPr>
        <w:pStyle w:val="Corpodetexto3"/>
      </w:pPr>
      <w:r w:rsidRPr="00292C43">
        <w:t>WEBER, Max. Economia e Sociedade: fundamentos da sociologia compreensiva. vol. 2. Tradução de Regis Barbosa e Karen Elsabe Barbosa. São Paulo: Editora Universidade de Brasília, 2004.</w:t>
      </w:r>
    </w:p>
    <w:p w14:paraId="65DEF039" w14:textId="77777777" w:rsidR="007709C6" w:rsidRPr="005F3734" w:rsidRDefault="007709C6" w:rsidP="00FC1DE7">
      <w:pPr>
        <w:spacing w:after="240" w:line="240" w:lineRule="auto"/>
        <w:jc w:val="both"/>
        <w:rPr>
          <w:rFonts w:eastAsia="Calibri"/>
          <w:sz w:val="24"/>
          <w:szCs w:val="24"/>
        </w:rPr>
      </w:pPr>
    </w:p>
    <w:sectPr w:rsidR="007709C6" w:rsidRPr="005F3734" w:rsidSect="000F118A">
      <w:headerReference w:type="default" r:id="rId11"/>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2F751" w14:textId="77777777" w:rsidR="00412F70" w:rsidRDefault="00412F70">
      <w:pPr>
        <w:spacing w:line="240" w:lineRule="auto"/>
      </w:pPr>
      <w:r>
        <w:separator/>
      </w:r>
    </w:p>
  </w:endnote>
  <w:endnote w:type="continuationSeparator" w:id="0">
    <w:p w14:paraId="1085C7C1" w14:textId="77777777" w:rsidR="00412F70" w:rsidRDefault="00412F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8E5EA" w14:textId="77777777" w:rsidR="00412F70" w:rsidRDefault="00412F70">
      <w:pPr>
        <w:spacing w:line="240" w:lineRule="auto"/>
      </w:pPr>
      <w:r>
        <w:separator/>
      </w:r>
    </w:p>
  </w:footnote>
  <w:footnote w:type="continuationSeparator" w:id="0">
    <w:p w14:paraId="3F50B482" w14:textId="77777777" w:rsidR="00412F70" w:rsidRDefault="00412F70">
      <w:pPr>
        <w:spacing w:line="240" w:lineRule="auto"/>
      </w:pPr>
      <w:r>
        <w:continuationSeparator/>
      </w:r>
    </w:p>
  </w:footnote>
  <w:footnote w:id="1">
    <w:p w14:paraId="74C8F70B" w14:textId="77777777" w:rsidR="00887E3F" w:rsidRPr="00E412EE" w:rsidRDefault="00887E3F" w:rsidP="00E412EE">
      <w:pPr>
        <w:spacing w:line="240" w:lineRule="auto"/>
        <w:jc w:val="both"/>
        <w:rPr>
          <w:b/>
          <w:sz w:val="20"/>
          <w:szCs w:val="20"/>
        </w:rPr>
      </w:pPr>
      <w:r w:rsidRPr="00E412EE">
        <w:rPr>
          <w:rStyle w:val="Refdenotaderodap"/>
          <w:sz w:val="20"/>
          <w:szCs w:val="20"/>
        </w:rPr>
        <w:footnoteRef/>
      </w:r>
      <w:r w:rsidRPr="00E412EE">
        <w:rPr>
          <w:sz w:val="20"/>
          <w:szCs w:val="20"/>
        </w:rPr>
        <w:t xml:space="preserve"> Mestre em Direito e Instituições do Sistema de Justiça</w:t>
      </w:r>
      <w:r w:rsidRPr="00E412EE">
        <w:rPr>
          <w:b/>
          <w:sz w:val="20"/>
          <w:szCs w:val="20"/>
        </w:rPr>
        <w:t xml:space="preserve"> - </w:t>
      </w:r>
      <w:r w:rsidRPr="00E412EE">
        <w:rPr>
          <w:sz w:val="20"/>
          <w:szCs w:val="20"/>
        </w:rPr>
        <w:t>PPGDIR/UFMA</w:t>
      </w:r>
      <w:r w:rsidRPr="00E412EE">
        <w:rPr>
          <w:b/>
          <w:sz w:val="20"/>
          <w:szCs w:val="20"/>
        </w:rPr>
        <w:t xml:space="preserve">. </w:t>
      </w:r>
      <w:r w:rsidRPr="00E412EE">
        <w:rPr>
          <w:sz w:val="20"/>
          <w:szCs w:val="20"/>
        </w:rPr>
        <w:t>Advogada. Professora do Curso de Direito do Centro Universitário Estácio São Luís e Coordenadora das Pós-graduação em Direito Penal e Processual Penal e Direito Militar. Pós-graduada em Direito Penal, São Luís – Maranhão.</w:t>
      </w:r>
    </w:p>
  </w:footnote>
  <w:footnote w:id="2">
    <w:p w14:paraId="33BF4DCD" w14:textId="4D188B50" w:rsidR="00E412EE" w:rsidRPr="00E412EE" w:rsidRDefault="00817FF4" w:rsidP="00E412EE">
      <w:pPr>
        <w:spacing w:line="240" w:lineRule="auto"/>
        <w:jc w:val="both"/>
        <w:rPr>
          <w:sz w:val="20"/>
          <w:szCs w:val="20"/>
        </w:rPr>
      </w:pPr>
      <w:r w:rsidRPr="00E412EE">
        <w:rPr>
          <w:rStyle w:val="Refdenotaderodap"/>
          <w:sz w:val="20"/>
          <w:szCs w:val="20"/>
        </w:rPr>
        <w:footnoteRef/>
      </w:r>
      <w:r w:rsidRPr="00E412EE">
        <w:rPr>
          <w:sz w:val="20"/>
          <w:szCs w:val="20"/>
        </w:rPr>
        <w:t xml:space="preserve"> Advogada. </w:t>
      </w:r>
      <w:r w:rsidR="00E412EE" w:rsidRPr="00E412EE">
        <w:rPr>
          <w:sz w:val="20"/>
          <w:szCs w:val="20"/>
        </w:rPr>
        <w:t>Bacharela em Direito – Universidade CEUMA. Especialista em Direito Constitucional – Faculdade Estácio de Sá / CERS. E</w:t>
      </w:r>
      <w:bookmarkStart w:id="0" w:name="_GoBack"/>
      <w:bookmarkEnd w:id="0"/>
      <w:r w:rsidR="00E412EE" w:rsidRPr="00E412EE">
        <w:rPr>
          <w:sz w:val="20"/>
          <w:szCs w:val="20"/>
        </w:rPr>
        <w:t>specialista em Direito Civil e Processo Civil – UNINASSAU – Centro Universitário Maurício de Nassau</w:t>
      </w:r>
      <w:r w:rsidR="00E412EE" w:rsidRPr="00E412EE">
        <w:rPr>
          <w:sz w:val="20"/>
          <w:szCs w:val="20"/>
        </w:rPr>
        <w:t>.</w:t>
      </w:r>
    </w:p>
    <w:p w14:paraId="08D7ECE4" w14:textId="56F5EE2E" w:rsidR="00817FF4" w:rsidRDefault="00817FF4" w:rsidP="00D5350F">
      <w:pPr>
        <w:pStyle w:val="Textodenotaderodap"/>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D093D" w14:textId="77777777" w:rsidR="007709C6" w:rsidRDefault="00086E88">
    <w:r>
      <w:rPr>
        <w:noProof/>
      </w:rPr>
      <w:drawing>
        <wp:anchor distT="0" distB="0" distL="0" distR="0" simplePos="0" relativeHeight="251658240" behindDoc="1" locked="0" layoutInCell="1" hidden="0" allowOverlap="1" wp14:anchorId="336DE33C" wp14:editId="14131EB4">
          <wp:simplePos x="0" y="0"/>
          <wp:positionH relativeFrom="page">
            <wp:posOffset>0</wp:posOffset>
          </wp:positionH>
          <wp:positionV relativeFrom="page">
            <wp:posOffset>6985</wp:posOffset>
          </wp:positionV>
          <wp:extent cx="7563485" cy="1072769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9C6"/>
    <w:rsid w:val="00000AA4"/>
    <w:rsid w:val="00004E8F"/>
    <w:rsid w:val="00011ACF"/>
    <w:rsid w:val="0001571C"/>
    <w:rsid w:val="00017378"/>
    <w:rsid w:val="00020BA5"/>
    <w:rsid w:val="00023C6A"/>
    <w:rsid w:val="000357BD"/>
    <w:rsid w:val="00035AF8"/>
    <w:rsid w:val="000535EE"/>
    <w:rsid w:val="00057726"/>
    <w:rsid w:val="00071AB6"/>
    <w:rsid w:val="000827ED"/>
    <w:rsid w:val="00083AF7"/>
    <w:rsid w:val="00086E88"/>
    <w:rsid w:val="000912B4"/>
    <w:rsid w:val="00095A6B"/>
    <w:rsid w:val="000B0A8E"/>
    <w:rsid w:val="000E1BFA"/>
    <w:rsid w:val="000E4118"/>
    <w:rsid w:val="000F118A"/>
    <w:rsid w:val="000F4931"/>
    <w:rsid w:val="001054AC"/>
    <w:rsid w:val="001061A2"/>
    <w:rsid w:val="0012036C"/>
    <w:rsid w:val="00123745"/>
    <w:rsid w:val="00125242"/>
    <w:rsid w:val="00137A17"/>
    <w:rsid w:val="001517BA"/>
    <w:rsid w:val="00153439"/>
    <w:rsid w:val="00155DA9"/>
    <w:rsid w:val="00161331"/>
    <w:rsid w:val="001668C8"/>
    <w:rsid w:val="0017637F"/>
    <w:rsid w:val="00184F50"/>
    <w:rsid w:val="001954D4"/>
    <w:rsid w:val="001A2E70"/>
    <w:rsid w:val="001B2A6E"/>
    <w:rsid w:val="001B2C2E"/>
    <w:rsid w:val="001B6CC7"/>
    <w:rsid w:val="001C3E34"/>
    <w:rsid w:val="001C3E5C"/>
    <w:rsid w:val="001D2B3C"/>
    <w:rsid w:val="001E6E6A"/>
    <w:rsid w:val="001F112F"/>
    <w:rsid w:val="00200134"/>
    <w:rsid w:val="00202FCD"/>
    <w:rsid w:val="00206F60"/>
    <w:rsid w:val="00211526"/>
    <w:rsid w:val="00232F5D"/>
    <w:rsid w:val="00251F9C"/>
    <w:rsid w:val="0026302C"/>
    <w:rsid w:val="00270965"/>
    <w:rsid w:val="00274E31"/>
    <w:rsid w:val="00284E60"/>
    <w:rsid w:val="00285E6F"/>
    <w:rsid w:val="00292C43"/>
    <w:rsid w:val="00292CB1"/>
    <w:rsid w:val="0029365B"/>
    <w:rsid w:val="002A62BF"/>
    <w:rsid w:val="002B041E"/>
    <w:rsid w:val="002B4B7E"/>
    <w:rsid w:val="002D1062"/>
    <w:rsid w:val="002E74BA"/>
    <w:rsid w:val="002F75FA"/>
    <w:rsid w:val="00301709"/>
    <w:rsid w:val="00305E2A"/>
    <w:rsid w:val="00314947"/>
    <w:rsid w:val="00320F0D"/>
    <w:rsid w:val="00321A7E"/>
    <w:rsid w:val="00332D2F"/>
    <w:rsid w:val="003379A9"/>
    <w:rsid w:val="00350540"/>
    <w:rsid w:val="003677D9"/>
    <w:rsid w:val="00382589"/>
    <w:rsid w:val="00387CAF"/>
    <w:rsid w:val="00390D95"/>
    <w:rsid w:val="003A0115"/>
    <w:rsid w:val="003B47F5"/>
    <w:rsid w:val="003E0816"/>
    <w:rsid w:val="003F40CC"/>
    <w:rsid w:val="003F476A"/>
    <w:rsid w:val="00412F70"/>
    <w:rsid w:val="00413098"/>
    <w:rsid w:val="00422AEE"/>
    <w:rsid w:val="00427633"/>
    <w:rsid w:val="00435513"/>
    <w:rsid w:val="004432B8"/>
    <w:rsid w:val="00443E94"/>
    <w:rsid w:val="0045692B"/>
    <w:rsid w:val="0045745A"/>
    <w:rsid w:val="00466458"/>
    <w:rsid w:val="004717FB"/>
    <w:rsid w:val="0047577B"/>
    <w:rsid w:val="0048307A"/>
    <w:rsid w:val="004906A8"/>
    <w:rsid w:val="004906AE"/>
    <w:rsid w:val="0049787F"/>
    <w:rsid w:val="004A0785"/>
    <w:rsid w:val="004A3BB6"/>
    <w:rsid w:val="004B4436"/>
    <w:rsid w:val="004D005F"/>
    <w:rsid w:val="004D688C"/>
    <w:rsid w:val="004F4763"/>
    <w:rsid w:val="00505A1B"/>
    <w:rsid w:val="00514BD7"/>
    <w:rsid w:val="00532659"/>
    <w:rsid w:val="005407BB"/>
    <w:rsid w:val="0054460B"/>
    <w:rsid w:val="00552057"/>
    <w:rsid w:val="00555874"/>
    <w:rsid w:val="00562B41"/>
    <w:rsid w:val="00573E79"/>
    <w:rsid w:val="00574DB1"/>
    <w:rsid w:val="005816DF"/>
    <w:rsid w:val="0058522D"/>
    <w:rsid w:val="00586B44"/>
    <w:rsid w:val="005917B8"/>
    <w:rsid w:val="00592ADA"/>
    <w:rsid w:val="00596ADD"/>
    <w:rsid w:val="005A37D9"/>
    <w:rsid w:val="005A55AB"/>
    <w:rsid w:val="005B33F4"/>
    <w:rsid w:val="005B3694"/>
    <w:rsid w:val="005C2CC2"/>
    <w:rsid w:val="005C48DC"/>
    <w:rsid w:val="005C7265"/>
    <w:rsid w:val="005E14AD"/>
    <w:rsid w:val="005E4B98"/>
    <w:rsid w:val="005F3734"/>
    <w:rsid w:val="005F5635"/>
    <w:rsid w:val="006014A5"/>
    <w:rsid w:val="006077B7"/>
    <w:rsid w:val="006132CF"/>
    <w:rsid w:val="00626B8A"/>
    <w:rsid w:val="0064409E"/>
    <w:rsid w:val="00676A43"/>
    <w:rsid w:val="006802CE"/>
    <w:rsid w:val="006812DD"/>
    <w:rsid w:val="00685315"/>
    <w:rsid w:val="006931A8"/>
    <w:rsid w:val="00694DB1"/>
    <w:rsid w:val="00697B10"/>
    <w:rsid w:val="006A7F06"/>
    <w:rsid w:val="006B0D74"/>
    <w:rsid w:val="006B6097"/>
    <w:rsid w:val="006C0477"/>
    <w:rsid w:val="006C4708"/>
    <w:rsid w:val="006F2597"/>
    <w:rsid w:val="007153CF"/>
    <w:rsid w:val="007365AF"/>
    <w:rsid w:val="00741315"/>
    <w:rsid w:val="007433DF"/>
    <w:rsid w:val="00753F36"/>
    <w:rsid w:val="00762B02"/>
    <w:rsid w:val="00763561"/>
    <w:rsid w:val="007663AA"/>
    <w:rsid w:val="007709C6"/>
    <w:rsid w:val="00783C86"/>
    <w:rsid w:val="00790DF1"/>
    <w:rsid w:val="00793947"/>
    <w:rsid w:val="00794D32"/>
    <w:rsid w:val="00795F9B"/>
    <w:rsid w:val="007967C0"/>
    <w:rsid w:val="007A53A6"/>
    <w:rsid w:val="007B3FAC"/>
    <w:rsid w:val="007C1784"/>
    <w:rsid w:val="007C5175"/>
    <w:rsid w:val="007D109A"/>
    <w:rsid w:val="007D7F57"/>
    <w:rsid w:val="007F2755"/>
    <w:rsid w:val="00805E9A"/>
    <w:rsid w:val="00817FF4"/>
    <w:rsid w:val="0082431A"/>
    <w:rsid w:val="00833D9C"/>
    <w:rsid w:val="00837C4E"/>
    <w:rsid w:val="00840EDA"/>
    <w:rsid w:val="008410B1"/>
    <w:rsid w:val="008466FD"/>
    <w:rsid w:val="00850D28"/>
    <w:rsid w:val="00854990"/>
    <w:rsid w:val="00855764"/>
    <w:rsid w:val="00864CDC"/>
    <w:rsid w:val="00867A8E"/>
    <w:rsid w:val="0087057E"/>
    <w:rsid w:val="00870749"/>
    <w:rsid w:val="0088277C"/>
    <w:rsid w:val="008864D5"/>
    <w:rsid w:val="00887895"/>
    <w:rsid w:val="00887E3F"/>
    <w:rsid w:val="008A07F9"/>
    <w:rsid w:val="008A25CB"/>
    <w:rsid w:val="008B30BF"/>
    <w:rsid w:val="008C3DFC"/>
    <w:rsid w:val="008C6B32"/>
    <w:rsid w:val="008D232A"/>
    <w:rsid w:val="008D23AF"/>
    <w:rsid w:val="008E6E4E"/>
    <w:rsid w:val="008E7444"/>
    <w:rsid w:val="008F1A12"/>
    <w:rsid w:val="008F3E47"/>
    <w:rsid w:val="0090046F"/>
    <w:rsid w:val="00900650"/>
    <w:rsid w:val="00901920"/>
    <w:rsid w:val="009145C9"/>
    <w:rsid w:val="00924A09"/>
    <w:rsid w:val="00925CF5"/>
    <w:rsid w:val="0092743D"/>
    <w:rsid w:val="009330E4"/>
    <w:rsid w:val="00944126"/>
    <w:rsid w:val="009441BC"/>
    <w:rsid w:val="00947577"/>
    <w:rsid w:val="00961B91"/>
    <w:rsid w:val="009763B8"/>
    <w:rsid w:val="009A5E77"/>
    <w:rsid w:val="009B71AD"/>
    <w:rsid w:val="009C09DF"/>
    <w:rsid w:val="009D2E63"/>
    <w:rsid w:val="009D30A0"/>
    <w:rsid w:val="009D41CB"/>
    <w:rsid w:val="00A01293"/>
    <w:rsid w:val="00A104F3"/>
    <w:rsid w:val="00A176B3"/>
    <w:rsid w:val="00A212DC"/>
    <w:rsid w:val="00A21B3C"/>
    <w:rsid w:val="00A22968"/>
    <w:rsid w:val="00A27780"/>
    <w:rsid w:val="00A52F60"/>
    <w:rsid w:val="00A56506"/>
    <w:rsid w:val="00A56F2A"/>
    <w:rsid w:val="00A60423"/>
    <w:rsid w:val="00A606F7"/>
    <w:rsid w:val="00A63CC1"/>
    <w:rsid w:val="00A72A3A"/>
    <w:rsid w:val="00A85E02"/>
    <w:rsid w:val="00AD1301"/>
    <w:rsid w:val="00AD1D86"/>
    <w:rsid w:val="00AD4915"/>
    <w:rsid w:val="00B062DA"/>
    <w:rsid w:val="00B176AF"/>
    <w:rsid w:val="00B33C15"/>
    <w:rsid w:val="00B37B4D"/>
    <w:rsid w:val="00B502EA"/>
    <w:rsid w:val="00B62B3F"/>
    <w:rsid w:val="00B67E5A"/>
    <w:rsid w:val="00B72D8E"/>
    <w:rsid w:val="00B77E99"/>
    <w:rsid w:val="00B80695"/>
    <w:rsid w:val="00B8273C"/>
    <w:rsid w:val="00B84608"/>
    <w:rsid w:val="00BC1C55"/>
    <w:rsid w:val="00BC46CA"/>
    <w:rsid w:val="00BC6E82"/>
    <w:rsid w:val="00BE08CA"/>
    <w:rsid w:val="00BE5DF2"/>
    <w:rsid w:val="00C125D6"/>
    <w:rsid w:val="00C41F79"/>
    <w:rsid w:val="00C44CFF"/>
    <w:rsid w:val="00C45300"/>
    <w:rsid w:val="00C47CD5"/>
    <w:rsid w:val="00C56F05"/>
    <w:rsid w:val="00C77721"/>
    <w:rsid w:val="00C83BD4"/>
    <w:rsid w:val="00C922BC"/>
    <w:rsid w:val="00C9242F"/>
    <w:rsid w:val="00CD25F5"/>
    <w:rsid w:val="00CD58AF"/>
    <w:rsid w:val="00CE2DAD"/>
    <w:rsid w:val="00CF5E73"/>
    <w:rsid w:val="00D0447E"/>
    <w:rsid w:val="00D2182A"/>
    <w:rsid w:val="00D226AF"/>
    <w:rsid w:val="00D228D4"/>
    <w:rsid w:val="00D459FF"/>
    <w:rsid w:val="00D512C2"/>
    <w:rsid w:val="00D5350F"/>
    <w:rsid w:val="00D726AF"/>
    <w:rsid w:val="00D73387"/>
    <w:rsid w:val="00D73388"/>
    <w:rsid w:val="00D76DB6"/>
    <w:rsid w:val="00D802B1"/>
    <w:rsid w:val="00D86982"/>
    <w:rsid w:val="00DA4442"/>
    <w:rsid w:val="00DB2A68"/>
    <w:rsid w:val="00DB3DE9"/>
    <w:rsid w:val="00E030BE"/>
    <w:rsid w:val="00E03F23"/>
    <w:rsid w:val="00E04D51"/>
    <w:rsid w:val="00E05766"/>
    <w:rsid w:val="00E412EE"/>
    <w:rsid w:val="00E4598D"/>
    <w:rsid w:val="00E47553"/>
    <w:rsid w:val="00E51A7F"/>
    <w:rsid w:val="00E5200D"/>
    <w:rsid w:val="00E57917"/>
    <w:rsid w:val="00E60D0B"/>
    <w:rsid w:val="00E63F89"/>
    <w:rsid w:val="00E67CE3"/>
    <w:rsid w:val="00EA65BC"/>
    <w:rsid w:val="00EB434A"/>
    <w:rsid w:val="00EB7902"/>
    <w:rsid w:val="00EC74D0"/>
    <w:rsid w:val="00ED1111"/>
    <w:rsid w:val="00EE5681"/>
    <w:rsid w:val="00EF1241"/>
    <w:rsid w:val="00EF19E7"/>
    <w:rsid w:val="00EF3A7D"/>
    <w:rsid w:val="00EF5E03"/>
    <w:rsid w:val="00F1115D"/>
    <w:rsid w:val="00F15DFD"/>
    <w:rsid w:val="00F16203"/>
    <w:rsid w:val="00F17465"/>
    <w:rsid w:val="00F4665E"/>
    <w:rsid w:val="00F47D81"/>
    <w:rsid w:val="00F55A30"/>
    <w:rsid w:val="00F61992"/>
    <w:rsid w:val="00F666D9"/>
    <w:rsid w:val="00F72673"/>
    <w:rsid w:val="00F759C2"/>
    <w:rsid w:val="00F75E20"/>
    <w:rsid w:val="00F76468"/>
    <w:rsid w:val="00F87CF9"/>
    <w:rsid w:val="00F90369"/>
    <w:rsid w:val="00F94B1D"/>
    <w:rsid w:val="00FA4C39"/>
    <w:rsid w:val="00FA5E5C"/>
    <w:rsid w:val="00FC1DE7"/>
    <w:rsid w:val="00FE61C9"/>
    <w:rsid w:val="00FE65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32D96"/>
  <w15:docId w15:val="{D1A57A57-779B-449E-8A17-33FEE0D93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E74B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har"/>
    <w:uiPriority w:val="9"/>
    <w:unhideWhenUsed/>
    <w:qFormat/>
    <w:rsid w:val="00EF19E7"/>
    <w:pPr>
      <w:keepNext/>
      <w:spacing w:line="240" w:lineRule="auto"/>
      <w:ind w:left="2835"/>
      <w:jc w:val="both"/>
      <w:outlineLvl w:val="6"/>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tulo7Char">
    <w:name w:val="Título 7 Char"/>
    <w:basedOn w:val="Fontepargpadro"/>
    <w:link w:val="Ttulo7"/>
    <w:uiPriority w:val="9"/>
    <w:rsid w:val="00EF19E7"/>
    <w:rPr>
      <w:b/>
      <w:sz w:val="20"/>
      <w:szCs w:val="20"/>
    </w:rPr>
  </w:style>
  <w:style w:type="paragraph" w:styleId="Recuodecorpodetexto">
    <w:name w:val="Body Text Indent"/>
    <w:basedOn w:val="Normal"/>
    <w:link w:val="RecuodecorpodetextoChar"/>
    <w:uiPriority w:val="99"/>
    <w:unhideWhenUsed/>
    <w:rsid w:val="00137A17"/>
    <w:pPr>
      <w:spacing w:line="240" w:lineRule="auto"/>
      <w:ind w:left="2835"/>
      <w:jc w:val="both"/>
    </w:pPr>
    <w:rPr>
      <w:sz w:val="20"/>
      <w:szCs w:val="20"/>
    </w:rPr>
  </w:style>
  <w:style w:type="character" w:customStyle="1" w:styleId="RecuodecorpodetextoChar">
    <w:name w:val="Recuo de corpo de texto Char"/>
    <w:basedOn w:val="Fontepargpadro"/>
    <w:link w:val="Recuodecorpodetexto"/>
    <w:uiPriority w:val="99"/>
    <w:rsid w:val="00137A17"/>
    <w:rPr>
      <w:sz w:val="20"/>
      <w:szCs w:val="20"/>
    </w:rPr>
  </w:style>
  <w:style w:type="paragraph" w:styleId="Textodenotaderodap">
    <w:name w:val="footnote text"/>
    <w:basedOn w:val="Normal"/>
    <w:link w:val="TextodenotaderodapChar"/>
    <w:uiPriority w:val="99"/>
    <w:semiHidden/>
    <w:unhideWhenUsed/>
    <w:rsid w:val="00390D95"/>
    <w:pPr>
      <w:spacing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390D95"/>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390D95"/>
    <w:rPr>
      <w:vertAlign w:val="superscript"/>
    </w:rPr>
  </w:style>
  <w:style w:type="paragraph" w:styleId="Recuodecorpodetexto2">
    <w:name w:val="Body Text Indent 2"/>
    <w:basedOn w:val="Normal"/>
    <w:link w:val="Recuodecorpodetexto2Char"/>
    <w:uiPriority w:val="99"/>
    <w:unhideWhenUsed/>
    <w:rsid w:val="00390D95"/>
    <w:pPr>
      <w:spacing w:line="360" w:lineRule="auto"/>
      <w:ind w:firstLine="709"/>
      <w:jc w:val="both"/>
    </w:pPr>
    <w:rPr>
      <w:sz w:val="24"/>
      <w:szCs w:val="24"/>
    </w:rPr>
  </w:style>
  <w:style w:type="character" w:customStyle="1" w:styleId="Recuodecorpodetexto2Char">
    <w:name w:val="Recuo de corpo de texto 2 Char"/>
    <w:basedOn w:val="Fontepargpadro"/>
    <w:link w:val="Recuodecorpodetexto2"/>
    <w:uiPriority w:val="99"/>
    <w:rsid w:val="00390D95"/>
    <w:rPr>
      <w:sz w:val="24"/>
      <w:szCs w:val="24"/>
    </w:rPr>
  </w:style>
  <w:style w:type="paragraph" w:styleId="Recuodecorpodetexto3">
    <w:name w:val="Body Text Indent 3"/>
    <w:basedOn w:val="Normal"/>
    <w:link w:val="Recuodecorpodetexto3Char"/>
    <w:uiPriority w:val="99"/>
    <w:unhideWhenUsed/>
    <w:rsid w:val="00390D95"/>
    <w:pPr>
      <w:spacing w:line="360" w:lineRule="auto"/>
      <w:ind w:left="2268"/>
      <w:jc w:val="both"/>
    </w:pPr>
    <w:rPr>
      <w:sz w:val="20"/>
      <w:szCs w:val="20"/>
    </w:rPr>
  </w:style>
  <w:style w:type="character" w:customStyle="1" w:styleId="Recuodecorpodetexto3Char">
    <w:name w:val="Recuo de corpo de texto 3 Char"/>
    <w:basedOn w:val="Fontepargpadro"/>
    <w:link w:val="Recuodecorpodetexto3"/>
    <w:uiPriority w:val="99"/>
    <w:rsid w:val="00390D95"/>
    <w:rPr>
      <w:sz w:val="20"/>
      <w:szCs w:val="20"/>
    </w:rPr>
  </w:style>
  <w:style w:type="paragraph" w:styleId="Corpodetexto">
    <w:name w:val="Body Text"/>
    <w:basedOn w:val="Normal"/>
    <w:link w:val="CorpodetextoChar"/>
    <w:uiPriority w:val="99"/>
    <w:unhideWhenUsed/>
    <w:rsid w:val="008F3E47"/>
    <w:pPr>
      <w:jc w:val="both"/>
    </w:pPr>
    <w:rPr>
      <w:b/>
      <w:sz w:val="24"/>
      <w:szCs w:val="24"/>
    </w:rPr>
  </w:style>
  <w:style w:type="character" w:customStyle="1" w:styleId="CorpodetextoChar">
    <w:name w:val="Corpo de texto Char"/>
    <w:basedOn w:val="Fontepargpadro"/>
    <w:link w:val="Corpodetexto"/>
    <w:uiPriority w:val="99"/>
    <w:rsid w:val="008F3E47"/>
    <w:rPr>
      <w:b/>
      <w:sz w:val="24"/>
      <w:szCs w:val="24"/>
    </w:rPr>
  </w:style>
  <w:style w:type="character" w:styleId="Hyperlink">
    <w:name w:val="Hyperlink"/>
    <w:basedOn w:val="Fontepargpadro"/>
    <w:uiPriority w:val="99"/>
    <w:unhideWhenUsed/>
    <w:rsid w:val="00F55A30"/>
    <w:rPr>
      <w:color w:val="0000FF" w:themeColor="hyperlink"/>
      <w:u w:val="single"/>
    </w:rPr>
  </w:style>
  <w:style w:type="paragraph" w:styleId="NormalWeb">
    <w:name w:val="Normal (Web)"/>
    <w:basedOn w:val="Normal"/>
    <w:uiPriority w:val="99"/>
    <w:unhideWhenUsed/>
    <w:rsid w:val="00EB7902"/>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06F60"/>
    <w:pPr>
      <w:jc w:val="both"/>
    </w:pPr>
    <w:rPr>
      <w:rFonts w:eastAsia="Times New Roman"/>
      <w:b/>
      <w:bCs/>
      <w:color w:val="000000"/>
      <w:sz w:val="24"/>
      <w:szCs w:val="24"/>
    </w:rPr>
  </w:style>
  <w:style w:type="character" w:customStyle="1" w:styleId="Corpodetexto2Char">
    <w:name w:val="Corpo de texto 2 Char"/>
    <w:basedOn w:val="Fontepargpadro"/>
    <w:link w:val="Corpodetexto2"/>
    <w:uiPriority w:val="99"/>
    <w:rsid w:val="00206F60"/>
    <w:rPr>
      <w:rFonts w:eastAsia="Times New Roman"/>
      <w:b/>
      <w:bCs/>
      <w:color w:val="000000"/>
      <w:sz w:val="24"/>
      <w:szCs w:val="24"/>
    </w:rPr>
  </w:style>
  <w:style w:type="character" w:styleId="Forte">
    <w:name w:val="Strong"/>
    <w:basedOn w:val="Fontepargpadro"/>
    <w:uiPriority w:val="22"/>
    <w:qFormat/>
    <w:rsid w:val="005C48DC"/>
    <w:rPr>
      <w:b/>
      <w:bCs/>
    </w:rPr>
  </w:style>
  <w:style w:type="character" w:styleId="nfase">
    <w:name w:val="Emphasis"/>
    <w:basedOn w:val="Fontepargpadro"/>
    <w:uiPriority w:val="20"/>
    <w:qFormat/>
    <w:rsid w:val="005C48DC"/>
    <w:rPr>
      <w:i/>
      <w:iCs/>
    </w:rPr>
  </w:style>
  <w:style w:type="character" w:customStyle="1" w:styleId="relative">
    <w:name w:val="relative"/>
    <w:basedOn w:val="Fontepargpadro"/>
    <w:rsid w:val="009B71AD"/>
  </w:style>
  <w:style w:type="paragraph" w:styleId="Corpodetexto3">
    <w:name w:val="Body Text 3"/>
    <w:basedOn w:val="Normal"/>
    <w:link w:val="Corpodetexto3Char"/>
    <w:uiPriority w:val="99"/>
    <w:unhideWhenUsed/>
    <w:rsid w:val="00F87CF9"/>
    <w:pPr>
      <w:spacing w:after="240" w:line="240" w:lineRule="auto"/>
      <w:jc w:val="both"/>
    </w:pPr>
    <w:rPr>
      <w:sz w:val="24"/>
      <w:szCs w:val="24"/>
    </w:rPr>
  </w:style>
  <w:style w:type="character" w:customStyle="1" w:styleId="Corpodetexto3Char">
    <w:name w:val="Corpo de texto 3 Char"/>
    <w:basedOn w:val="Fontepargpadro"/>
    <w:link w:val="Corpodetexto3"/>
    <w:uiPriority w:val="99"/>
    <w:rsid w:val="00F87CF9"/>
    <w:rPr>
      <w:sz w:val="24"/>
      <w:szCs w:val="24"/>
    </w:rPr>
  </w:style>
  <w:style w:type="paragraph" w:styleId="Cabealho">
    <w:name w:val="header"/>
    <w:basedOn w:val="Normal"/>
    <w:link w:val="CabealhoChar"/>
    <w:uiPriority w:val="99"/>
    <w:unhideWhenUsed/>
    <w:rsid w:val="002D1062"/>
    <w:pPr>
      <w:tabs>
        <w:tab w:val="center" w:pos="4252"/>
        <w:tab w:val="right" w:pos="8504"/>
      </w:tabs>
      <w:spacing w:line="240" w:lineRule="auto"/>
    </w:pPr>
  </w:style>
  <w:style w:type="character" w:customStyle="1" w:styleId="CabealhoChar">
    <w:name w:val="Cabeçalho Char"/>
    <w:basedOn w:val="Fontepargpadro"/>
    <w:link w:val="Cabealho"/>
    <w:uiPriority w:val="99"/>
    <w:rsid w:val="002D1062"/>
  </w:style>
  <w:style w:type="paragraph" w:styleId="Rodap">
    <w:name w:val="footer"/>
    <w:basedOn w:val="Normal"/>
    <w:link w:val="RodapChar"/>
    <w:uiPriority w:val="99"/>
    <w:unhideWhenUsed/>
    <w:rsid w:val="002D1062"/>
    <w:pPr>
      <w:tabs>
        <w:tab w:val="center" w:pos="4252"/>
        <w:tab w:val="right" w:pos="8504"/>
      </w:tabs>
      <w:spacing w:line="240" w:lineRule="auto"/>
    </w:pPr>
  </w:style>
  <w:style w:type="character" w:customStyle="1" w:styleId="RodapChar">
    <w:name w:val="Rodapé Char"/>
    <w:basedOn w:val="Fontepargpadro"/>
    <w:link w:val="Rodap"/>
    <w:uiPriority w:val="99"/>
    <w:rsid w:val="002D1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979215">
      <w:bodyDiv w:val="1"/>
      <w:marLeft w:val="0"/>
      <w:marRight w:val="0"/>
      <w:marTop w:val="0"/>
      <w:marBottom w:val="0"/>
      <w:divBdr>
        <w:top w:val="none" w:sz="0" w:space="0" w:color="auto"/>
        <w:left w:val="none" w:sz="0" w:space="0" w:color="auto"/>
        <w:bottom w:val="none" w:sz="0" w:space="0" w:color="auto"/>
        <w:right w:val="none" w:sz="0" w:space="0" w:color="auto"/>
      </w:divBdr>
    </w:div>
    <w:div w:id="321741291">
      <w:bodyDiv w:val="1"/>
      <w:marLeft w:val="0"/>
      <w:marRight w:val="0"/>
      <w:marTop w:val="0"/>
      <w:marBottom w:val="0"/>
      <w:divBdr>
        <w:top w:val="none" w:sz="0" w:space="0" w:color="auto"/>
        <w:left w:val="none" w:sz="0" w:space="0" w:color="auto"/>
        <w:bottom w:val="none" w:sz="0" w:space="0" w:color="auto"/>
        <w:right w:val="none" w:sz="0" w:space="0" w:color="auto"/>
      </w:divBdr>
    </w:div>
    <w:div w:id="507722159">
      <w:bodyDiv w:val="1"/>
      <w:marLeft w:val="0"/>
      <w:marRight w:val="0"/>
      <w:marTop w:val="0"/>
      <w:marBottom w:val="0"/>
      <w:divBdr>
        <w:top w:val="none" w:sz="0" w:space="0" w:color="auto"/>
        <w:left w:val="none" w:sz="0" w:space="0" w:color="auto"/>
        <w:bottom w:val="none" w:sz="0" w:space="0" w:color="auto"/>
        <w:right w:val="none" w:sz="0" w:space="0" w:color="auto"/>
      </w:divBdr>
    </w:div>
    <w:div w:id="566375970">
      <w:bodyDiv w:val="1"/>
      <w:marLeft w:val="0"/>
      <w:marRight w:val="0"/>
      <w:marTop w:val="0"/>
      <w:marBottom w:val="0"/>
      <w:divBdr>
        <w:top w:val="none" w:sz="0" w:space="0" w:color="auto"/>
        <w:left w:val="none" w:sz="0" w:space="0" w:color="auto"/>
        <w:bottom w:val="none" w:sz="0" w:space="0" w:color="auto"/>
        <w:right w:val="none" w:sz="0" w:space="0" w:color="auto"/>
      </w:divBdr>
    </w:div>
    <w:div w:id="618073279">
      <w:bodyDiv w:val="1"/>
      <w:marLeft w:val="0"/>
      <w:marRight w:val="0"/>
      <w:marTop w:val="0"/>
      <w:marBottom w:val="0"/>
      <w:divBdr>
        <w:top w:val="none" w:sz="0" w:space="0" w:color="auto"/>
        <w:left w:val="none" w:sz="0" w:space="0" w:color="auto"/>
        <w:bottom w:val="none" w:sz="0" w:space="0" w:color="auto"/>
        <w:right w:val="none" w:sz="0" w:space="0" w:color="auto"/>
      </w:divBdr>
    </w:div>
    <w:div w:id="751581101">
      <w:bodyDiv w:val="1"/>
      <w:marLeft w:val="0"/>
      <w:marRight w:val="0"/>
      <w:marTop w:val="0"/>
      <w:marBottom w:val="0"/>
      <w:divBdr>
        <w:top w:val="none" w:sz="0" w:space="0" w:color="auto"/>
        <w:left w:val="none" w:sz="0" w:space="0" w:color="auto"/>
        <w:bottom w:val="none" w:sz="0" w:space="0" w:color="auto"/>
        <w:right w:val="none" w:sz="0" w:space="0" w:color="auto"/>
      </w:divBdr>
    </w:div>
    <w:div w:id="825439655">
      <w:bodyDiv w:val="1"/>
      <w:marLeft w:val="0"/>
      <w:marRight w:val="0"/>
      <w:marTop w:val="0"/>
      <w:marBottom w:val="0"/>
      <w:divBdr>
        <w:top w:val="none" w:sz="0" w:space="0" w:color="auto"/>
        <w:left w:val="none" w:sz="0" w:space="0" w:color="auto"/>
        <w:bottom w:val="none" w:sz="0" w:space="0" w:color="auto"/>
        <w:right w:val="none" w:sz="0" w:space="0" w:color="auto"/>
      </w:divBdr>
    </w:div>
    <w:div w:id="857937012">
      <w:bodyDiv w:val="1"/>
      <w:marLeft w:val="0"/>
      <w:marRight w:val="0"/>
      <w:marTop w:val="0"/>
      <w:marBottom w:val="0"/>
      <w:divBdr>
        <w:top w:val="none" w:sz="0" w:space="0" w:color="auto"/>
        <w:left w:val="none" w:sz="0" w:space="0" w:color="auto"/>
        <w:bottom w:val="none" w:sz="0" w:space="0" w:color="auto"/>
        <w:right w:val="none" w:sz="0" w:space="0" w:color="auto"/>
      </w:divBdr>
    </w:div>
    <w:div w:id="915819941">
      <w:bodyDiv w:val="1"/>
      <w:marLeft w:val="0"/>
      <w:marRight w:val="0"/>
      <w:marTop w:val="0"/>
      <w:marBottom w:val="0"/>
      <w:divBdr>
        <w:top w:val="none" w:sz="0" w:space="0" w:color="auto"/>
        <w:left w:val="none" w:sz="0" w:space="0" w:color="auto"/>
        <w:bottom w:val="none" w:sz="0" w:space="0" w:color="auto"/>
        <w:right w:val="none" w:sz="0" w:space="0" w:color="auto"/>
      </w:divBdr>
      <w:divsChild>
        <w:div w:id="982739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3891426">
      <w:bodyDiv w:val="1"/>
      <w:marLeft w:val="0"/>
      <w:marRight w:val="0"/>
      <w:marTop w:val="0"/>
      <w:marBottom w:val="0"/>
      <w:divBdr>
        <w:top w:val="none" w:sz="0" w:space="0" w:color="auto"/>
        <w:left w:val="none" w:sz="0" w:space="0" w:color="auto"/>
        <w:bottom w:val="none" w:sz="0" w:space="0" w:color="auto"/>
        <w:right w:val="none" w:sz="0" w:space="0" w:color="auto"/>
      </w:divBdr>
    </w:div>
    <w:div w:id="1314944538">
      <w:bodyDiv w:val="1"/>
      <w:marLeft w:val="0"/>
      <w:marRight w:val="0"/>
      <w:marTop w:val="0"/>
      <w:marBottom w:val="0"/>
      <w:divBdr>
        <w:top w:val="none" w:sz="0" w:space="0" w:color="auto"/>
        <w:left w:val="none" w:sz="0" w:space="0" w:color="auto"/>
        <w:bottom w:val="none" w:sz="0" w:space="0" w:color="auto"/>
        <w:right w:val="none" w:sz="0" w:space="0" w:color="auto"/>
      </w:divBdr>
    </w:div>
    <w:div w:id="1398165799">
      <w:bodyDiv w:val="1"/>
      <w:marLeft w:val="0"/>
      <w:marRight w:val="0"/>
      <w:marTop w:val="0"/>
      <w:marBottom w:val="0"/>
      <w:divBdr>
        <w:top w:val="none" w:sz="0" w:space="0" w:color="auto"/>
        <w:left w:val="none" w:sz="0" w:space="0" w:color="auto"/>
        <w:bottom w:val="none" w:sz="0" w:space="0" w:color="auto"/>
        <w:right w:val="none" w:sz="0" w:space="0" w:color="auto"/>
      </w:divBdr>
    </w:div>
    <w:div w:id="1568569554">
      <w:bodyDiv w:val="1"/>
      <w:marLeft w:val="0"/>
      <w:marRight w:val="0"/>
      <w:marTop w:val="0"/>
      <w:marBottom w:val="0"/>
      <w:divBdr>
        <w:top w:val="none" w:sz="0" w:space="0" w:color="auto"/>
        <w:left w:val="none" w:sz="0" w:space="0" w:color="auto"/>
        <w:bottom w:val="none" w:sz="0" w:space="0" w:color="auto"/>
        <w:right w:val="none" w:sz="0" w:space="0" w:color="auto"/>
      </w:divBdr>
    </w:div>
    <w:div w:id="1711565539">
      <w:bodyDiv w:val="1"/>
      <w:marLeft w:val="0"/>
      <w:marRight w:val="0"/>
      <w:marTop w:val="0"/>
      <w:marBottom w:val="0"/>
      <w:divBdr>
        <w:top w:val="none" w:sz="0" w:space="0" w:color="auto"/>
        <w:left w:val="none" w:sz="0" w:space="0" w:color="auto"/>
        <w:bottom w:val="none" w:sz="0" w:space="0" w:color="auto"/>
        <w:right w:val="none" w:sz="0" w:space="0" w:color="auto"/>
      </w:divBdr>
    </w:div>
    <w:div w:id="1851793881">
      <w:bodyDiv w:val="1"/>
      <w:marLeft w:val="0"/>
      <w:marRight w:val="0"/>
      <w:marTop w:val="0"/>
      <w:marBottom w:val="0"/>
      <w:divBdr>
        <w:top w:val="none" w:sz="0" w:space="0" w:color="auto"/>
        <w:left w:val="none" w:sz="0" w:space="0" w:color="auto"/>
        <w:bottom w:val="none" w:sz="0" w:space="0" w:color="auto"/>
        <w:right w:val="none" w:sz="0" w:space="0" w:color="auto"/>
      </w:divBdr>
    </w:div>
    <w:div w:id="1881630857">
      <w:bodyDiv w:val="1"/>
      <w:marLeft w:val="0"/>
      <w:marRight w:val="0"/>
      <w:marTop w:val="0"/>
      <w:marBottom w:val="0"/>
      <w:divBdr>
        <w:top w:val="none" w:sz="0" w:space="0" w:color="auto"/>
        <w:left w:val="none" w:sz="0" w:space="0" w:color="auto"/>
        <w:bottom w:val="none" w:sz="0" w:space="0" w:color="auto"/>
        <w:right w:val="none" w:sz="0" w:space="0" w:color="auto"/>
      </w:divBdr>
    </w:div>
    <w:div w:id="2058779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planalto.gov.br/ccivil_03/_ato2023-2026/2023/lei/l14611.htm" TargetMode="External"/><Relationship Id="rId4" Type="http://schemas.openxmlformats.org/officeDocument/2006/relationships/webSettings" Target="webSettings.xml"/><Relationship Id="rId9"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Mulheres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14 a 17 anos</c:v>
                </c:pt>
                <c:pt idx="1">
                  <c:v>18 a 24 anos</c:v>
                </c:pt>
                <c:pt idx="2">
                  <c:v>25 a 39 anos</c:v>
                </c:pt>
                <c:pt idx="3">
                  <c:v>40 a 59 anos</c:v>
                </c:pt>
                <c:pt idx="4">
                  <c:v>60 anos ou mais</c:v>
                </c:pt>
              </c:strCache>
            </c:strRef>
          </c:cat>
          <c:val>
            <c:numRef>
              <c:f>Planilha1!$B$2:$B$6</c:f>
              <c:numCache>
                <c:formatCode>General</c:formatCode>
                <c:ptCount val="5"/>
                <c:pt idx="0">
                  <c:v>34</c:v>
                </c:pt>
                <c:pt idx="1">
                  <c:v>17.100000000000001</c:v>
                </c:pt>
                <c:pt idx="2">
                  <c:v>8.3000000000000007</c:v>
                </c:pt>
                <c:pt idx="3">
                  <c:v>5.7</c:v>
                </c:pt>
                <c:pt idx="4">
                  <c:v>2.8</c:v>
                </c:pt>
              </c:numCache>
            </c:numRef>
          </c:val>
          <c:extLst>
            <c:ext xmlns:c16="http://schemas.microsoft.com/office/drawing/2014/chart" uri="{C3380CC4-5D6E-409C-BE32-E72D297353CC}">
              <c16:uniqueId val="{00000000-D6B0-4F49-B361-0CB24EFE3190}"/>
            </c:ext>
          </c:extLst>
        </c:ser>
        <c:ser>
          <c:idx val="1"/>
          <c:order val="1"/>
          <c:tx>
            <c:strRef>
              <c:f>Planilha1!$C$1</c:f>
              <c:strCache>
                <c:ptCount val="1"/>
                <c:pt idx="0">
                  <c:v>Homens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14 a 17 anos</c:v>
                </c:pt>
                <c:pt idx="1">
                  <c:v>18 a 24 anos</c:v>
                </c:pt>
                <c:pt idx="2">
                  <c:v>25 a 39 anos</c:v>
                </c:pt>
                <c:pt idx="3">
                  <c:v>40 a 59 anos</c:v>
                </c:pt>
                <c:pt idx="4">
                  <c:v>60 anos ou mais</c:v>
                </c:pt>
              </c:strCache>
            </c:strRef>
          </c:cat>
          <c:val>
            <c:numRef>
              <c:f>Planilha1!$C$2:$C$6</c:f>
              <c:numCache>
                <c:formatCode>General</c:formatCode>
                <c:ptCount val="5"/>
                <c:pt idx="0">
                  <c:v>24.1</c:v>
                </c:pt>
                <c:pt idx="1">
                  <c:v>12</c:v>
                </c:pt>
                <c:pt idx="2">
                  <c:v>4.8</c:v>
                </c:pt>
                <c:pt idx="3">
                  <c:v>3.7</c:v>
                </c:pt>
                <c:pt idx="4">
                  <c:v>3.2</c:v>
                </c:pt>
              </c:numCache>
            </c:numRef>
          </c:val>
          <c:extLst>
            <c:ext xmlns:c16="http://schemas.microsoft.com/office/drawing/2014/chart" uri="{C3380CC4-5D6E-409C-BE32-E72D297353CC}">
              <c16:uniqueId val="{00000003-D6B0-4F49-B361-0CB24EFE3190}"/>
            </c:ext>
          </c:extLst>
        </c:ser>
        <c:dLbls>
          <c:dLblPos val="outEnd"/>
          <c:showLegendKey val="0"/>
          <c:showVal val="1"/>
          <c:showCatName val="0"/>
          <c:showSerName val="0"/>
          <c:showPercent val="0"/>
          <c:showBubbleSize val="0"/>
        </c:dLbls>
        <c:gapWidth val="219"/>
        <c:overlap val="-27"/>
        <c:axId val="1107963631"/>
        <c:axId val="1109082351"/>
      </c:barChart>
      <c:catAx>
        <c:axId val="110796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09082351"/>
        <c:crosses val="autoZero"/>
        <c:auto val="1"/>
        <c:lblAlgn val="ctr"/>
        <c:lblOffset val="100"/>
        <c:noMultiLvlLbl val="0"/>
      </c:catAx>
      <c:valAx>
        <c:axId val="1109082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07963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932961504811898E-2"/>
          <c:y val="0.14450412448443944"/>
          <c:w val="0.83427074219889197"/>
          <c:h val="0.68190694913135863"/>
        </c:manualLayout>
      </c:layout>
      <c:barChart>
        <c:barDir val="col"/>
        <c:grouping val="clustered"/>
        <c:varyColors val="0"/>
        <c:ser>
          <c:idx val="0"/>
          <c:order val="0"/>
          <c:tx>
            <c:strRef>
              <c:f>Planilha1!$B$1</c:f>
              <c:strCache>
                <c:ptCount val="1"/>
                <c:pt idx="0">
                  <c:v>Brancas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Planilha1!$A$2:$A$10</c:f>
              <c:strCache>
                <c:ptCount val="6"/>
                <c:pt idx="0">
                  <c:v>Brasil</c:v>
                </c:pt>
                <c:pt idx="1">
                  <c:v>Norte</c:v>
                </c:pt>
                <c:pt idx="2">
                  <c:v>Nordeste</c:v>
                </c:pt>
                <c:pt idx="3">
                  <c:v>Sudeste </c:v>
                </c:pt>
                <c:pt idx="4">
                  <c:v>Sul</c:v>
                </c:pt>
                <c:pt idx="5">
                  <c:v>Centro-Oeste</c:v>
                </c:pt>
              </c:strCache>
            </c:strRef>
          </c:cat>
          <c:val>
            <c:numRef>
              <c:f>Planilha1!$B$2:$B$10</c:f>
              <c:numCache>
                <c:formatCode>General</c:formatCode>
                <c:ptCount val="6"/>
                <c:pt idx="0">
                  <c:v>31.7</c:v>
                </c:pt>
                <c:pt idx="1">
                  <c:v>38.799999999999997</c:v>
                </c:pt>
                <c:pt idx="2">
                  <c:v>39.799999999999997</c:v>
                </c:pt>
                <c:pt idx="3">
                  <c:v>31.2</c:v>
                </c:pt>
                <c:pt idx="4">
                  <c:v>28.8</c:v>
                </c:pt>
                <c:pt idx="5">
                  <c:v>29.2</c:v>
                </c:pt>
              </c:numCache>
            </c:numRef>
          </c:val>
          <c:extLst>
            <c:ext xmlns:c16="http://schemas.microsoft.com/office/drawing/2014/chart" uri="{C3380CC4-5D6E-409C-BE32-E72D297353CC}">
              <c16:uniqueId val="{00000000-1E6B-4C8E-87B3-FCDFEF11A70F}"/>
            </c:ext>
          </c:extLst>
        </c:ser>
        <c:ser>
          <c:idx val="1"/>
          <c:order val="1"/>
          <c:tx>
            <c:strRef>
              <c:f>Planilha1!$C$1</c:f>
              <c:strCache>
                <c:ptCount val="1"/>
                <c:pt idx="0">
                  <c:v>Pretas ou pardas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Planilha1!$A$2:$A$10</c:f>
              <c:strCache>
                <c:ptCount val="6"/>
                <c:pt idx="0">
                  <c:v>Brasil</c:v>
                </c:pt>
                <c:pt idx="1">
                  <c:v>Norte</c:v>
                </c:pt>
                <c:pt idx="2">
                  <c:v>Nordeste</c:v>
                </c:pt>
                <c:pt idx="3">
                  <c:v>Sudeste </c:v>
                </c:pt>
                <c:pt idx="4">
                  <c:v>Sul</c:v>
                </c:pt>
                <c:pt idx="5">
                  <c:v>Centro-Oeste</c:v>
                </c:pt>
              </c:strCache>
            </c:strRef>
          </c:cat>
          <c:val>
            <c:numRef>
              <c:f>Planilha1!$C$2:$C$10</c:f>
              <c:numCache>
                <c:formatCode>General</c:formatCode>
                <c:ptCount val="6"/>
                <c:pt idx="0">
                  <c:v>41</c:v>
                </c:pt>
                <c:pt idx="1">
                  <c:v>48.6</c:v>
                </c:pt>
                <c:pt idx="2">
                  <c:v>48.6</c:v>
                </c:pt>
                <c:pt idx="3">
                  <c:v>36.799999999999997</c:v>
                </c:pt>
                <c:pt idx="4">
                  <c:v>32.200000000000003</c:v>
                </c:pt>
                <c:pt idx="5">
                  <c:v>35</c:v>
                </c:pt>
              </c:numCache>
            </c:numRef>
          </c:val>
          <c:extLst>
            <c:ext xmlns:c16="http://schemas.microsoft.com/office/drawing/2014/chart" uri="{C3380CC4-5D6E-409C-BE32-E72D297353CC}">
              <c16:uniqueId val="{00000001-1E6B-4C8E-87B3-FCDFEF11A70F}"/>
            </c:ext>
          </c:extLst>
        </c:ser>
        <c:dLbls>
          <c:dLblPos val="outEnd"/>
          <c:showLegendKey val="0"/>
          <c:showVal val="1"/>
          <c:showCatName val="0"/>
          <c:showSerName val="0"/>
          <c:showPercent val="0"/>
          <c:showBubbleSize val="0"/>
        </c:dLbls>
        <c:gapWidth val="219"/>
        <c:overlap val="-27"/>
        <c:axId val="1470529215"/>
        <c:axId val="1470530047"/>
        <c:extLst>
          <c:ext xmlns:c15="http://schemas.microsoft.com/office/drawing/2012/chart" uri="{02D57815-91ED-43cb-92C2-25804820EDAC}">
            <c15:filteredBarSeries>
              <c15:ser>
                <c:idx val="2"/>
                <c:order val="2"/>
                <c:tx>
                  <c:strRef>
                    <c:extLst>
                      <c:ext uri="{02D57815-91ED-43cb-92C2-25804820EDAC}">
                        <c15:formulaRef>
                          <c15:sqref>Planilha1!#REF!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extLst>
                      <c:ext uri="{02D57815-91ED-43cb-92C2-25804820EDAC}">
                        <c15:formulaRef>
                          <c15:sqref>Planilha1!$A$2:$A$10</c15:sqref>
                        </c15:formulaRef>
                      </c:ext>
                    </c:extLst>
                    <c:strCache>
                      <c:ptCount val="6"/>
                      <c:pt idx="0">
                        <c:v>Brasil</c:v>
                      </c:pt>
                      <c:pt idx="1">
                        <c:v>Norte</c:v>
                      </c:pt>
                      <c:pt idx="2">
                        <c:v>Nordeste</c:v>
                      </c:pt>
                      <c:pt idx="3">
                        <c:v>Sudeste </c:v>
                      </c:pt>
                      <c:pt idx="4">
                        <c:v>Sul</c:v>
                      </c:pt>
                      <c:pt idx="5">
                        <c:v>Centro-Oeste</c:v>
                      </c:pt>
                    </c:strCache>
                  </c:strRef>
                </c:cat>
                <c:val>
                  <c:numRef>
                    <c:extLst>
                      <c:ext uri="{02D57815-91ED-43cb-92C2-25804820EDAC}">
                        <c15:formulaRef>
                          <c15:sqref>Planilha1!#REF!</c15:sqref>
                        </c15:formulaRef>
                      </c:ext>
                    </c:extLst>
                    <c:numCache>
                      <c:formatCode>General</c:formatCode>
                      <c:ptCount val="1"/>
                      <c:pt idx="0">
                        <c:v>1</c:v>
                      </c:pt>
                    </c:numCache>
                  </c:numRef>
                </c:val>
                <c:extLst>
                  <c:ext xmlns:c16="http://schemas.microsoft.com/office/drawing/2014/chart" uri="{C3380CC4-5D6E-409C-BE32-E72D297353CC}">
                    <c16:uniqueId val="{00000002-1E6B-4C8E-87B3-FCDFEF11A70F}"/>
                  </c:ext>
                </c:extLst>
              </c15:ser>
            </c15:filteredBarSeries>
          </c:ext>
        </c:extLst>
      </c:barChart>
      <c:catAx>
        <c:axId val="1470529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70530047"/>
        <c:crosses val="autoZero"/>
        <c:auto val="1"/>
        <c:lblAlgn val="ctr"/>
        <c:lblOffset val="100"/>
        <c:noMultiLvlLbl val="0"/>
      </c:catAx>
      <c:valAx>
        <c:axId val="1470530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70529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79178-2C1C-4322-9006-1193F1A19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6037</Words>
  <Characters>32601</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35</cp:revision>
  <dcterms:created xsi:type="dcterms:W3CDTF">2025-07-07T01:32:00Z</dcterms:created>
  <dcterms:modified xsi:type="dcterms:W3CDTF">2025-07-07T02:12:00Z</dcterms:modified>
</cp:coreProperties>
</file>