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6BE5B" w14:textId="318B5803" w:rsidR="00D00C1C" w:rsidRPr="00680A6C" w:rsidRDefault="00947BFE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927318">
        <w:rPr>
          <w:rFonts w:ascii="Arial" w:hAnsi="Arial" w:cs="Arial"/>
          <w:b/>
          <w:color w:val="000000"/>
          <w:sz w:val="24"/>
          <w:szCs w:val="24"/>
        </w:rPr>
        <w:t>PERCEPÇÕES DE GESTORES SOBRE O ATENDIMENTO À MULHERES TRANS VENEZUELANAS EM BOA VISTA</w:t>
      </w:r>
      <w:r w:rsidR="00566958" w:rsidRPr="00927318">
        <w:rPr>
          <w:rFonts w:ascii="Arial" w:hAnsi="Arial" w:cs="Arial"/>
          <w:b/>
          <w:color w:val="000000"/>
          <w:sz w:val="24"/>
          <w:szCs w:val="24"/>
        </w:rPr>
        <w:t xml:space="preserve"> E</w:t>
      </w:r>
      <w:r w:rsidRPr="00927318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sdt>
        <w:sdtPr>
          <w:rPr>
            <w:rFonts w:ascii="Arial" w:hAnsi="Arial" w:cs="Arial"/>
          </w:rPr>
          <w:tag w:val="goog_rdk_0"/>
          <w:id w:val="475522878"/>
        </w:sdtPr>
        <w:sdtContent/>
      </w:sdt>
      <w:r w:rsidRPr="00927318">
        <w:rPr>
          <w:rFonts w:ascii="Arial" w:hAnsi="Arial" w:cs="Arial"/>
          <w:b/>
          <w:color w:val="000000"/>
          <w:sz w:val="24"/>
          <w:szCs w:val="24"/>
        </w:rPr>
        <w:t>MANAUS</w:t>
      </w:r>
    </w:p>
    <w:p w14:paraId="2E56BE5C" w14:textId="5B1AC360" w:rsidR="00D00C1C" w:rsidRPr="007352A2" w:rsidRDefault="008866B4" w:rsidP="008866B4">
      <w:pPr>
        <w:spacing w:line="240" w:lineRule="auto"/>
        <w:ind w:left="2835"/>
        <w:jc w:val="right"/>
        <w:rPr>
          <w:rFonts w:ascii="Arial" w:hAnsi="Arial" w:cs="Arial"/>
          <w:color w:val="000000"/>
          <w:sz w:val="20"/>
          <w:szCs w:val="20"/>
        </w:rPr>
      </w:pPr>
      <w:r w:rsidRPr="007352A2">
        <w:rPr>
          <w:rFonts w:ascii="Arial" w:hAnsi="Arial" w:cs="Arial"/>
          <w:color w:val="000000"/>
          <w:sz w:val="20"/>
          <w:szCs w:val="20"/>
        </w:rPr>
        <w:t xml:space="preserve">Renata </w:t>
      </w:r>
      <w:proofErr w:type="spellStart"/>
      <w:r w:rsidRPr="007352A2">
        <w:rPr>
          <w:rFonts w:ascii="Arial" w:hAnsi="Arial" w:cs="Arial"/>
          <w:color w:val="000000"/>
          <w:sz w:val="20"/>
          <w:szCs w:val="20"/>
        </w:rPr>
        <w:t>Layssa</w:t>
      </w:r>
      <w:proofErr w:type="spellEnd"/>
      <w:r w:rsidRPr="007352A2">
        <w:rPr>
          <w:rFonts w:ascii="Arial" w:hAnsi="Arial" w:cs="Arial"/>
          <w:color w:val="000000"/>
          <w:sz w:val="20"/>
          <w:szCs w:val="20"/>
        </w:rPr>
        <w:t xml:space="preserve"> Ferreira da Silva</w:t>
      </w:r>
      <w:r w:rsidR="00C73979" w:rsidRPr="007352A2">
        <w:rPr>
          <w:rStyle w:val="Refdenotaderodap"/>
          <w:rFonts w:ascii="Arial" w:hAnsi="Arial" w:cs="Arial"/>
          <w:color w:val="000000"/>
          <w:sz w:val="20"/>
          <w:szCs w:val="20"/>
        </w:rPr>
        <w:footnoteReference w:id="1"/>
      </w:r>
    </w:p>
    <w:p w14:paraId="450B8156" w14:textId="296DEED2" w:rsidR="008866B4" w:rsidRPr="007352A2" w:rsidRDefault="002771D5" w:rsidP="008866B4">
      <w:pPr>
        <w:spacing w:line="240" w:lineRule="auto"/>
        <w:ind w:left="2835"/>
        <w:jc w:val="right"/>
        <w:rPr>
          <w:rFonts w:ascii="Arial" w:hAnsi="Arial" w:cs="Arial"/>
          <w:color w:val="000000"/>
          <w:sz w:val="20"/>
          <w:szCs w:val="20"/>
        </w:rPr>
      </w:pPr>
      <w:r w:rsidRPr="007352A2">
        <w:rPr>
          <w:rFonts w:ascii="Arial" w:hAnsi="Arial" w:cs="Arial"/>
          <w:color w:val="000000"/>
          <w:sz w:val="20"/>
          <w:szCs w:val="20"/>
        </w:rPr>
        <w:t>Marcus Vinicius Barbosa Chagas</w:t>
      </w:r>
      <w:r w:rsidR="00204308" w:rsidRPr="007352A2">
        <w:rPr>
          <w:rStyle w:val="Refdenotaderodap"/>
          <w:rFonts w:ascii="Arial" w:hAnsi="Arial" w:cs="Arial"/>
          <w:color w:val="000000"/>
          <w:sz w:val="20"/>
          <w:szCs w:val="20"/>
        </w:rPr>
        <w:footnoteReference w:id="2"/>
      </w:r>
    </w:p>
    <w:p w14:paraId="5F3881A3" w14:textId="6905345A" w:rsidR="002771D5" w:rsidRPr="007352A2" w:rsidRDefault="00622907" w:rsidP="008866B4">
      <w:pPr>
        <w:spacing w:line="240" w:lineRule="auto"/>
        <w:ind w:left="2835"/>
        <w:jc w:val="right"/>
        <w:rPr>
          <w:rFonts w:ascii="Arial" w:hAnsi="Arial" w:cs="Arial"/>
          <w:color w:val="000000"/>
          <w:sz w:val="20"/>
          <w:szCs w:val="20"/>
        </w:rPr>
      </w:pPr>
      <w:r w:rsidRPr="007352A2">
        <w:rPr>
          <w:rFonts w:ascii="Arial" w:hAnsi="Arial" w:cs="Arial"/>
          <w:color w:val="000000"/>
          <w:sz w:val="20"/>
          <w:szCs w:val="20"/>
        </w:rPr>
        <w:t>Rodrigo Natan do Nascimento Almeida</w:t>
      </w:r>
      <w:r w:rsidR="006A3F11" w:rsidRPr="007352A2">
        <w:rPr>
          <w:rStyle w:val="Refdenotaderodap"/>
          <w:rFonts w:ascii="Arial" w:hAnsi="Arial" w:cs="Arial"/>
          <w:color w:val="000000"/>
          <w:sz w:val="20"/>
          <w:szCs w:val="20"/>
        </w:rPr>
        <w:footnoteReference w:id="3"/>
      </w:r>
    </w:p>
    <w:p w14:paraId="49AE4972" w14:textId="2D96629E" w:rsidR="00A66076" w:rsidRPr="007352A2" w:rsidRDefault="00A66076" w:rsidP="008866B4">
      <w:pPr>
        <w:spacing w:line="240" w:lineRule="auto"/>
        <w:ind w:left="2835"/>
        <w:jc w:val="right"/>
        <w:rPr>
          <w:rFonts w:ascii="Arial" w:hAnsi="Arial" w:cs="Arial"/>
          <w:color w:val="000000"/>
          <w:sz w:val="20"/>
          <w:szCs w:val="20"/>
        </w:rPr>
      </w:pPr>
      <w:r w:rsidRPr="007352A2">
        <w:rPr>
          <w:rFonts w:ascii="Arial" w:hAnsi="Arial" w:cs="Arial"/>
          <w:color w:val="000000"/>
          <w:sz w:val="20"/>
          <w:szCs w:val="20"/>
        </w:rPr>
        <w:t>Carla Michelle Rodrigues Abreu</w:t>
      </w:r>
      <w:r w:rsidR="006A3F11" w:rsidRPr="007352A2">
        <w:rPr>
          <w:rStyle w:val="Refdenotaderodap"/>
          <w:rFonts w:ascii="Arial" w:hAnsi="Arial" w:cs="Arial"/>
          <w:color w:val="000000"/>
          <w:sz w:val="20"/>
          <w:szCs w:val="20"/>
        </w:rPr>
        <w:footnoteReference w:id="4"/>
      </w:r>
    </w:p>
    <w:p w14:paraId="1B2B8211" w14:textId="61959497" w:rsidR="00A66076" w:rsidRPr="007352A2" w:rsidRDefault="002A1544" w:rsidP="008866B4">
      <w:pPr>
        <w:spacing w:line="240" w:lineRule="auto"/>
        <w:ind w:left="2835"/>
        <w:jc w:val="right"/>
        <w:rPr>
          <w:rFonts w:ascii="Arial" w:hAnsi="Arial" w:cs="Arial"/>
          <w:color w:val="000000"/>
          <w:sz w:val="20"/>
          <w:szCs w:val="20"/>
        </w:rPr>
      </w:pPr>
      <w:r w:rsidRPr="007352A2">
        <w:rPr>
          <w:rFonts w:ascii="Arial" w:hAnsi="Arial" w:cs="Arial"/>
          <w:color w:val="000000"/>
          <w:sz w:val="20"/>
          <w:szCs w:val="20"/>
        </w:rPr>
        <w:t>Sara Fiterman Lima</w:t>
      </w:r>
      <w:r w:rsidR="006A3F11" w:rsidRPr="007352A2">
        <w:rPr>
          <w:rStyle w:val="Refdenotaderodap"/>
          <w:rFonts w:ascii="Arial" w:hAnsi="Arial" w:cs="Arial"/>
          <w:color w:val="000000"/>
          <w:sz w:val="20"/>
          <w:szCs w:val="20"/>
        </w:rPr>
        <w:footnoteReference w:id="5"/>
      </w:r>
    </w:p>
    <w:p w14:paraId="1A80AFA5" w14:textId="77777777" w:rsidR="002001D9" w:rsidRPr="00680A6C" w:rsidRDefault="002001D9">
      <w:pPr>
        <w:spacing w:line="240" w:lineRule="auto"/>
        <w:ind w:left="2835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5D" w14:textId="77777777" w:rsidR="00D00C1C" w:rsidRPr="00680A6C" w:rsidRDefault="00947BFE" w:rsidP="00872719">
      <w:pPr>
        <w:spacing w:line="240" w:lineRule="auto"/>
        <w:ind w:left="2835"/>
        <w:jc w:val="both"/>
        <w:rPr>
          <w:rFonts w:ascii="Arial" w:hAnsi="Arial" w:cs="Arial"/>
          <w:color w:val="000000"/>
          <w:sz w:val="20"/>
          <w:szCs w:val="20"/>
        </w:rPr>
      </w:pPr>
      <w:r w:rsidRPr="00680A6C">
        <w:rPr>
          <w:rFonts w:ascii="Arial" w:hAnsi="Arial" w:cs="Arial"/>
          <w:b/>
          <w:color w:val="000000"/>
          <w:sz w:val="20"/>
          <w:szCs w:val="20"/>
        </w:rPr>
        <w:t>RESUMO</w:t>
      </w:r>
    </w:p>
    <w:p w14:paraId="2E56BE5F" w14:textId="2038D597" w:rsidR="00D00C1C" w:rsidRPr="00680A6C" w:rsidRDefault="00947BFE" w:rsidP="0087271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5"/>
        <w:jc w:val="both"/>
        <w:rPr>
          <w:rFonts w:ascii="Arial" w:hAnsi="Arial" w:cs="Arial"/>
          <w:color w:val="000000"/>
          <w:sz w:val="20"/>
          <w:szCs w:val="20"/>
        </w:rPr>
      </w:pPr>
      <w:r w:rsidRPr="00680A6C">
        <w:rPr>
          <w:rFonts w:ascii="Arial" w:hAnsi="Arial" w:cs="Arial"/>
          <w:b/>
          <w:color w:val="000000"/>
          <w:sz w:val="20"/>
          <w:szCs w:val="20"/>
        </w:rPr>
        <w:t xml:space="preserve">Introdução: </w:t>
      </w:r>
      <w:r w:rsidRPr="00680A6C">
        <w:rPr>
          <w:rFonts w:ascii="Arial" w:hAnsi="Arial" w:cs="Arial"/>
          <w:color w:val="000000"/>
          <w:sz w:val="20"/>
          <w:szCs w:val="20"/>
        </w:rPr>
        <w:t>O aumento do fluxo migratório venezuelano no Brasil, evidencia a necessidade de atenção a grupos historicamente marginalizados, como a população LGBTQIAPN+.</w:t>
      </w:r>
      <w:r w:rsidRPr="00680A6C">
        <w:rPr>
          <w:rFonts w:ascii="Arial" w:hAnsi="Arial" w:cs="Arial"/>
          <w:sz w:val="20"/>
          <w:szCs w:val="20"/>
        </w:rPr>
        <w:t xml:space="preserve"> </w:t>
      </w:r>
      <w:r w:rsidRPr="00680A6C">
        <w:rPr>
          <w:rFonts w:ascii="Arial" w:hAnsi="Arial" w:cs="Arial"/>
          <w:b/>
          <w:sz w:val="20"/>
          <w:szCs w:val="20"/>
        </w:rPr>
        <w:t>O</w:t>
      </w:r>
      <w:r w:rsidRPr="00680A6C">
        <w:rPr>
          <w:rFonts w:ascii="Arial" w:hAnsi="Arial" w:cs="Arial"/>
          <w:b/>
          <w:color w:val="000000"/>
          <w:sz w:val="20"/>
          <w:szCs w:val="20"/>
        </w:rPr>
        <w:t>bjetivo:</w:t>
      </w:r>
      <w:r w:rsidRPr="00680A6C">
        <w:rPr>
          <w:rFonts w:ascii="Arial" w:hAnsi="Arial" w:cs="Arial"/>
          <w:color w:val="000000"/>
          <w:sz w:val="20"/>
          <w:szCs w:val="20"/>
        </w:rPr>
        <w:t xml:space="preserve"> </w:t>
      </w:r>
      <w:r w:rsidRPr="00680A6C">
        <w:rPr>
          <w:rFonts w:ascii="Arial" w:hAnsi="Arial" w:cs="Arial"/>
          <w:sz w:val="20"/>
          <w:szCs w:val="20"/>
        </w:rPr>
        <w:t>C</w:t>
      </w:r>
      <w:r w:rsidRPr="00680A6C">
        <w:rPr>
          <w:rFonts w:ascii="Arial" w:hAnsi="Arial" w:cs="Arial"/>
          <w:color w:val="000000"/>
          <w:sz w:val="20"/>
          <w:szCs w:val="20"/>
        </w:rPr>
        <w:t xml:space="preserve">ompreender os desafios enfrentados por gestores de saúde para garantir o atendimento a mulheres transgênero venezuelanas migrantes. </w:t>
      </w:r>
      <w:r w:rsidRPr="00680A6C">
        <w:rPr>
          <w:rFonts w:ascii="Arial" w:hAnsi="Arial" w:cs="Arial"/>
          <w:b/>
          <w:color w:val="000000"/>
          <w:sz w:val="20"/>
          <w:szCs w:val="20"/>
        </w:rPr>
        <w:t>Metodologia:</w:t>
      </w:r>
      <w:r w:rsidRPr="00680A6C">
        <w:rPr>
          <w:rFonts w:ascii="Arial" w:hAnsi="Arial" w:cs="Arial"/>
          <w:color w:val="000000"/>
          <w:sz w:val="20"/>
          <w:szCs w:val="20"/>
        </w:rPr>
        <w:t xml:space="preserve"> Trata-se de uma pesquisa qualitativa, realizada em Bo</w:t>
      </w:r>
      <w:r w:rsidRPr="00680A6C">
        <w:rPr>
          <w:rFonts w:ascii="Arial" w:hAnsi="Arial" w:cs="Arial"/>
          <w:sz w:val="20"/>
          <w:szCs w:val="20"/>
        </w:rPr>
        <w:t xml:space="preserve">a Vista </w:t>
      </w:r>
      <w:r w:rsidRPr="00680A6C">
        <w:rPr>
          <w:rFonts w:ascii="Arial" w:hAnsi="Arial" w:cs="Arial"/>
          <w:color w:val="000000"/>
          <w:sz w:val="20"/>
          <w:szCs w:val="20"/>
        </w:rPr>
        <w:t xml:space="preserve">(RR) e Manaus (AM), onde foram realizadas entrevistas individuais semiestruturadas com 14 gestores. Foi realizada a Análise de Conteúdo. </w:t>
      </w:r>
      <w:r w:rsidR="008360A7">
        <w:rPr>
          <w:rFonts w:ascii="Arial" w:hAnsi="Arial" w:cs="Arial"/>
          <w:color w:val="000000"/>
          <w:sz w:val="20"/>
          <w:szCs w:val="20"/>
        </w:rPr>
        <w:t xml:space="preserve">As categorias foram </w:t>
      </w:r>
      <w:r w:rsidR="007375CB">
        <w:rPr>
          <w:rFonts w:ascii="Arial" w:hAnsi="Arial" w:cs="Arial"/>
          <w:color w:val="000000"/>
          <w:sz w:val="20"/>
          <w:szCs w:val="20"/>
        </w:rPr>
        <w:t xml:space="preserve">interpretadas segundo </w:t>
      </w:r>
      <w:r w:rsidR="007375CB" w:rsidRPr="007375CB">
        <w:rPr>
          <w:rFonts w:ascii="Arial" w:hAnsi="Arial" w:cs="Arial"/>
          <w:color w:val="000000"/>
          <w:sz w:val="20"/>
          <w:szCs w:val="20"/>
        </w:rPr>
        <w:t>Pierre Bourdieu</w:t>
      </w:r>
      <w:r w:rsidR="007375CB">
        <w:rPr>
          <w:rFonts w:ascii="Arial" w:hAnsi="Arial" w:cs="Arial"/>
          <w:color w:val="000000"/>
          <w:sz w:val="20"/>
          <w:szCs w:val="20"/>
        </w:rPr>
        <w:t xml:space="preserve">. </w:t>
      </w:r>
      <w:r w:rsidRPr="00680A6C">
        <w:rPr>
          <w:rFonts w:ascii="Arial" w:hAnsi="Arial" w:cs="Arial"/>
          <w:b/>
          <w:color w:val="000000"/>
          <w:sz w:val="20"/>
          <w:szCs w:val="20"/>
        </w:rPr>
        <w:t>Resultados e discussão:</w:t>
      </w:r>
      <w:r w:rsidRPr="00680A6C">
        <w:rPr>
          <w:rFonts w:ascii="Arial" w:hAnsi="Arial" w:cs="Arial"/>
          <w:color w:val="000000"/>
          <w:sz w:val="20"/>
          <w:szCs w:val="20"/>
        </w:rPr>
        <w:t xml:space="preserve"> Foram geradas duas categorias: 1) Desafios no atendimento: que relata a sobrecarga do sistema de saúde devido ao aumento de migrantes</w:t>
      </w:r>
      <w:r w:rsidR="00722D50">
        <w:rPr>
          <w:rFonts w:ascii="Arial" w:hAnsi="Arial" w:cs="Arial"/>
          <w:color w:val="000000"/>
          <w:sz w:val="20"/>
          <w:szCs w:val="20"/>
        </w:rPr>
        <w:t xml:space="preserve"> e</w:t>
      </w:r>
      <w:r w:rsidRPr="00680A6C">
        <w:rPr>
          <w:rFonts w:ascii="Arial" w:hAnsi="Arial" w:cs="Arial"/>
          <w:color w:val="000000"/>
          <w:sz w:val="20"/>
          <w:szCs w:val="20"/>
        </w:rPr>
        <w:t xml:space="preserve"> a dificuldade em identificar especificidades de gênero; 2) Estratégias de cuidado em saúde: cooperação com profissionais LGBTQIAPN+ para realização dos atendimentos e criação de ambulatório </w:t>
      </w:r>
      <w:r w:rsidR="00872719" w:rsidRPr="00680A6C">
        <w:rPr>
          <w:rFonts w:ascii="Arial" w:hAnsi="Arial" w:cs="Arial"/>
          <w:color w:val="000000"/>
          <w:sz w:val="20"/>
          <w:szCs w:val="20"/>
        </w:rPr>
        <w:t>transexualizador</w:t>
      </w:r>
      <w:r w:rsidRPr="00680A6C">
        <w:rPr>
          <w:rFonts w:ascii="Arial" w:hAnsi="Arial" w:cs="Arial"/>
          <w:color w:val="000000"/>
          <w:sz w:val="20"/>
          <w:szCs w:val="20"/>
        </w:rPr>
        <w:t xml:space="preserve">. </w:t>
      </w:r>
      <w:r w:rsidRPr="00680A6C">
        <w:rPr>
          <w:rFonts w:ascii="Arial" w:hAnsi="Arial" w:cs="Arial"/>
          <w:b/>
          <w:color w:val="000000"/>
          <w:sz w:val="20"/>
          <w:szCs w:val="20"/>
        </w:rPr>
        <w:t>Conclusão:</w:t>
      </w:r>
      <w:r w:rsidRPr="00680A6C">
        <w:rPr>
          <w:rFonts w:ascii="Arial" w:hAnsi="Arial" w:cs="Arial"/>
          <w:color w:val="000000"/>
          <w:sz w:val="20"/>
          <w:szCs w:val="20"/>
        </w:rPr>
        <w:t xml:space="preserve"> Barreiras estruturais comprometem a efetividade do atendimento, sendo fundamental implementar políticas públicas inclusivas e interseccionais para garantir cuidado digno a essa população.</w:t>
      </w:r>
    </w:p>
    <w:p w14:paraId="2E56BE61" w14:textId="4A17C622" w:rsidR="00D00C1C" w:rsidRPr="00680A6C" w:rsidRDefault="00947BFE" w:rsidP="00C73979">
      <w:pPr>
        <w:spacing w:line="240" w:lineRule="auto"/>
        <w:ind w:left="2835"/>
        <w:jc w:val="both"/>
        <w:rPr>
          <w:rFonts w:ascii="Arial" w:hAnsi="Arial" w:cs="Arial"/>
          <w:color w:val="000000"/>
          <w:sz w:val="20"/>
          <w:szCs w:val="20"/>
        </w:rPr>
      </w:pPr>
      <w:r w:rsidRPr="00680A6C">
        <w:rPr>
          <w:rFonts w:ascii="Arial" w:hAnsi="Arial" w:cs="Arial"/>
          <w:b/>
          <w:color w:val="000000"/>
          <w:sz w:val="20"/>
          <w:szCs w:val="20"/>
        </w:rPr>
        <w:t>Palavras-chaves:</w:t>
      </w:r>
      <w:r w:rsidRPr="00680A6C">
        <w:rPr>
          <w:rFonts w:ascii="Arial" w:hAnsi="Arial" w:cs="Arial"/>
          <w:sz w:val="24"/>
          <w:szCs w:val="24"/>
        </w:rPr>
        <w:t xml:space="preserve"> </w:t>
      </w:r>
      <w:r w:rsidRPr="00680A6C">
        <w:rPr>
          <w:rFonts w:ascii="Arial" w:hAnsi="Arial" w:cs="Arial"/>
          <w:color w:val="000000"/>
          <w:sz w:val="20"/>
          <w:szCs w:val="20"/>
        </w:rPr>
        <w:t>Migração Internacional; Pessoas Transgênero; Políticas Públicas.</w:t>
      </w:r>
    </w:p>
    <w:p w14:paraId="0383A2E9" w14:textId="77777777" w:rsidR="000F1F74" w:rsidRDefault="000F1F74" w:rsidP="00C73979">
      <w:pPr>
        <w:spacing w:line="240" w:lineRule="auto"/>
        <w:ind w:left="2835"/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14:paraId="2E56BE63" w14:textId="4CAC27E7" w:rsidR="00D00C1C" w:rsidRPr="00C73979" w:rsidRDefault="00947BFE" w:rsidP="00C73979">
      <w:pPr>
        <w:spacing w:line="240" w:lineRule="auto"/>
        <w:ind w:left="2835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680A6C">
        <w:rPr>
          <w:rFonts w:ascii="Arial" w:hAnsi="Arial" w:cs="Arial"/>
          <w:b/>
          <w:color w:val="000000"/>
          <w:sz w:val="20"/>
          <w:szCs w:val="20"/>
          <w:lang w:val="en-US"/>
        </w:rPr>
        <w:t>ABSTRACT</w:t>
      </w:r>
    </w:p>
    <w:p w14:paraId="09907E89" w14:textId="6FD8D485" w:rsidR="0013128F" w:rsidRDefault="0013128F">
      <w:pPr>
        <w:spacing w:line="240" w:lineRule="auto"/>
        <w:ind w:left="2835"/>
        <w:jc w:val="both"/>
        <w:rPr>
          <w:rFonts w:ascii="Arial" w:hAnsi="Arial" w:cs="Arial"/>
          <w:sz w:val="20"/>
          <w:szCs w:val="20"/>
          <w:lang w:val="en-US"/>
        </w:rPr>
      </w:pPr>
      <w:r w:rsidRPr="0013128F">
        <w:rPr>
          <w:rFonts w:ascii="Arial" w:hAnsi="Arial" w:cs="Arial"/>
          <w:b/>
          <w:bCs/>
          <w:sz w:val="20"/>
          <w:szCs w:val="20"/>
          <w:lang w:val="en-US"/>
        </w:rPr>
        <w:t>Introduction</w:t>
      </w:r>
      <w:r w:rsidRPr="0013128F">
        <w:rPr>
          <w:rFonts w:ascii="Arial" w:hAnsi="Arial" w:cs="Arial"/>
          <w:sz w:val="20"/>
          <w:szCs w:val="20"/>
          <w:lang w:val="en-US"/>
        </w:rPr>
        <w:t xml:space="preserve">: The increase in the Venezuelan migratory flow in Brazil highlights the need for attention to historically marginalized groups, such as the LGBTQIAPN+ population. </w:t>
      </w:r>
      <w:r w:rsidRPr="0013128F">
        <w:rPr>
          <w:rFonts w:ascii="Arial" w:hAnsi="Arial" w:cs="Arial"/>
          <w:b/>
          <w:bCs/>
          <w:sz w:val="20"/>
          <w:szCs w:val="20"/>
          <w:lang w:val="en-US"/>
        </w:rPr>
        <w:t>Objective</w:t>
      </w:r>
      <w:r w:rsidRPr="0013128F">
        <w:rPr>
          <w:rFonts w:ascii="Arial" w:hAnsi="Arial" w:cs="Arial"/>
          <w:sz w:val="20"/>
          <w:szCs w:val="20"/>
          <w:lang w:val="en-US"/>
        </w:rPr>
        <w:t xml:space="preserve">: To understand the challenges faced by health managers to ensure care for Venezuelan transgender migrant women. </w:t>
      </w:r>
      <w:r w:rsidRPr="0013128F">
        <w:rPr>
          <w:rFonts w:ascii="Arial" w:hAnsi="Arial" w:cs="Arial"/>
          <w:b/>
          <w:bCs/>
          <w:sz w:val="20"/>
          <w:szCs w:val="20"/>
          <w:lang w:val="en-US"/>
        </w:rPr>
        <w:t>Methodology</w:t>
      </w:r>
      <w:r w:rsidRPr="0013128F">
        <w:rPr>
          <w:rFonts w:ascii="Arial" w:hAnsi="Arial" w:cs="Arial"/>
          <w:sz w:val="20"/>
          <w:szCs w:val="20"/>
          <w:lang w:val="en-US"/>
        </w:rPr>
        <w:t xml:space="preserve">: This is qualitative research, carried out in Boa Vista (RR) and Manaus (AM), where individual semi-structured interviews were conducted with 14 </w:t>
      </w:r>
      <w:r w:rsidRPr="0013128F">
        <w:rPr>
          <w:rFonts w:ascii="Arial" w:hAnsi="Arial" w:cs="Arial"/>
          <w:sz w:val="20"/>
          <w:szCs w:val="20"/>
          <w:lang w:val="en-US"/>
        </w:rPr>
        <w:lastRenderedPageBreak/>
        <w:t xml:space="preserve">managers. Content Analysis was performed. The categories were interpreted according to Pierre Bourdieu. </w:t>
      </w:r>
      <w:r w:rsidRPr="0013128F">
        <w:rPr>
          <w:rFonts w:ascii="Arial" w:hAnsi="Arial" w:cs="Arial"/>
          <w:b/>
          <w:bCs/>
          <w:sz w:val="20"/>
          <w:szCs w:val="20"/>
          <w:lang w:val="en-US"/>
        </w:rPr>
        <w:t>Results and discussion</w:t>
      </w:r>
      <w:r w:rsidRPr="0013128F">
        <w:rPr>
          <w:rFonts w:ascii="Arial" w:hAnsi="Arial" w:cs="Arial"/>
          <w:sz w:val="20"/>
          <w:szCs w:val="20"/>
          <w:lang w:val="en-US"/>
        </w:rPr>
        <w:t xml:space="preserve">: Two categories were generated: 1) Challenges in care: which reports the overload of the health system due to the increase in migrants and the difficulty in identifying gender specificities; 2) Health care strategies: cooperation with LGBTQIAPN+ professionals to carry out care and create a transsexualizing outpatient clinic. </w:t>
      </w:r>
      <w:r w:rsidRPr="0013128F">
        <w:rPr>
          <w:rFonts w:ascii="Arial" w:hAnsi="Arial" w:cs="Arial"/>
          <w:b/>
          <w:bCs/>
          <w:sz w:val="20"/>
          <w:szCs w:val="20"/>
          <w:lang w:val="en-US"/>
        </w:rPr>
        <w:t>Conclusion</w:t>
      </w:r>
      <w:r w:rsidRPr="0013128F">
        <w:rPr>
          <w:rFonts w:ascii="Arial" w:hAnsi="Arial" w:cs="Arial"/>
          <w:sz w:val="20"/>
          <w:szCs w:val="20"/>
          <w:lang w:val="en-US"/>
        </w:rPr>
        <w:t xml:space="preserve">: Structural barriers compromise the effectiveness of care, and it is essential to implement inclusive and intersectional public policies to ensure dignified care for this population. </w:t>
      </w:r>
    </w:p>
    <w:p w14:paraId="2E56BE65" w14:textId="781CF283" w:rsidR="00D00C1C" w:rsidRPr="00680A6C" w:rsidRDefault="00947BFE">
      <w:pPr>
        <w:spacing w:line="240" w:lineRule="auto"/>
        <w:ind w:left="2835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680A6C">
        <w:rPr>
          <w:rFonts w:ascii="Arial" w:hAnsi="Arial" w:cs="Arial"/>
          <w:b/>
          <w:color w:val="000000"/>
          <w:sz w:val="20"/>
          <w:szCs w:val="20"/>
          <w:lang w:val="en-US"/>
        </w:rPr>
        <w:t>Keywords</w:t>
      </w:r>
      <w:r w:rsidRPr="00680A6C">
        <w:rPr>
          <w:rFonts w:ascii="Arial" w:hAnsi="Arial" w:cs="Arial"/>
          <w:color w:val="000000"/>
          <w:sz w:val="20"/>
          <w:szCs w:val="20"/>
          <w:lang w:val="en-US"/>
        </w:rPr>
        <w:t>: International Migration; Transgender people; Public Policies.</w:t>
      </w:r>
    </w:p>
    <w:p w14:paraId="3D920BE8" w14:textId="77777777" w:rsidR="00D469A2" w:rsidRPr="00680A6C" w:rsidRDefault="00D469A2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2E56BE69" w14:textId="77777777" w:rsidR="00D00C1C" w:rsidRPr="00680A6C" w:rsidRDefault="00947BFE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b/>
          <w:color w:val="000000"/>
          <w:sz w:val="24"/>
          <w:szCs w:val="24"/>
        </w:rPr>
        <w:t>1 INTRODUÇÃO</w:t>
      </w:r>
    </w:p>
    <w:p w14:paraId="682907A2" w14:textId="77777777" w:rsidR="00D469A2" w:rsidRPr="00680A6C" w:rsidRDefault="00D469A2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6A" w14:textId="26DF861F" w:rsidR="00D00C1C" w:rsidRPr="00680A6C" w:rsidRDefault="00947BFE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O Brasil tem registrado um aumento nos fluxos migratórios, especialmente de venezuelanos, em razão de uma profunda crise política, econômica e social na Venezuela. Essa crise é resultado de múltiplos fatores interligados, como disputas históricas, problemas no setor produtivo, dificuldades socioeconômicas e interesses geopolíticos. Diante da pobreza e da falta de acesso a serviços básicos, muitos venezuelanos têm buscado refúgio no Brasil (Soares </w:t>
      </w:r>
      <w:r w:rsidRPr="00680A6C">
        <w:rPr>
          <w:rFonts w:ascii="Arial" w:hAnsi="Arial" w:cs="Arial"/>
          <w:i/>
          <w:color w:val="000000"/>
          <w:sz w:val="24"/>
          <w:szCs w:val="24"/>
        </w:rPr>
        <w:t>et al</w:t>
      </w:r>
      <w:r w:rsidRPr="00680A6C">
        <w:rPr>
          <w:rFonts w:ascii="Arial" w:hAnsi="Arial" w:cs="Arial"/>
          <w:color w:val="000000"/>
          <w:sz w:val="24"/>
          <w:szCs w:val="24"/>
        </w:rPr>
        <w:t>., 2023).</w:t>
      </w:r>
    </w:p>
    <w:p w14:paraId="2E56BE6B" w14:textId="77777777" w:rsidR="00D00C1C" w:rsidRPr="00680A6C" w:rsidRDefault="00947BFE">
      <w:pP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Dentro desse fluxo migratório intenso, é fundamental reconhecer a existência de grupos que historicamente enfrentam marginalização, como a população LGBTQIAPN+ (lésbicas, gays, bissexuais, transgêneros, queer, intersexuais, assexuais e outras identidades de gênero e orientações sexuais). Esses indivíduos, além das vulnerabilidades socioeconômicas e dificuldades de acesso a serviços básicos, são alvos de discriminação e violência em razão de sua identidade de gênero ou orientação sexual (Menezes, 2020).</w:t>
      </w:r>
    </w:p>
    <w:p w14:paraId="2E56BE6C" w14:textId="77777777" w:rsidR="00D00C1C" w:rsidRPr="00680A6C" w:rsidRDefault="00947BFE">
      <w:pP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No caso específico dos venezuelanos que buscam refúgio no Brasil, Dil </w:t>
      </w:r>
      <w:r w:rsidRPr="00680A6C">
        <w:rPr>
          <w:rFonts w:ascii="Arial" w:hAnsi="Arial" w:cs="Arial"/>
          <w:i/>
          <w:color w:val="000000"/>
          <w:sz w:val="24"/>
          <w:szCs w:val="24"/>
        </w:rPr>
        <w:t>et al</w:t>
      </w:r>
      <w:r w:rsidRPr="00680A6C">
        <w:rPr>
          <w:rFonts w:ascii="Arial" w:hAnsi="Arial" w:cs="Arial"/>
          <w:color w:val="000000"/>
          <w:sz w:val="24"/>
          <w:szCs w:val="24"/>
        </w:rPr>
        <w:t>. (2023) apontam que a migração pode representar tanto uma chance de recomeço quanto um novo cenário de dificuldades. Por isso, torna-se essencial a implementação de políticas e ações que levem em conta as particularidades da população LGBTQIAPN+ nesse processo.</w:t>
      </w:r>
    </w:p>
    <w:p w14:paraId="2E56BE6D" w14:textId="77777777" w:rsidR="00D00C1C" w:rsidRPr="00680A6C" w:rsidRDefault="00947BFE">
      <w:pP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lastRenderedPageBreak/>
        <w:t xml:space="preserve">O Brasil figura entre os países mais violentos para pessoas transgênero, com elevados índices de violência, o que intensifica os desafios para a população transgênero migrante que busca segurança e dignidade. Essas pessoas estão especialmente expostas a abusos por parte da sociedade e até mesmo de agentes públicos e migratórios (Lenci, 2022). </w:t>
      </w:r>
    </w:p>
    <w:p w14:paraId="2E56BE6E" w14:textId="77777777" w:rsidR="00D00C1C" w:rsidRPr="00680A6C" w:rsidRDefault="00947BFE">
      <w:pP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Nesse contexto, os gestores públicos têm papel fundamental na construção e coordenação de políticas que garantam acesso e qualidade nos serviços voltados às mulheres transgênero migrantes. Suas percepções influenciam diretamente a formulação de estratégias e a efetividade do atendimento, reforçando a urgência de uma abordagem intersetorial que integre saúde, assistência social, direitos humanos e inserção no mercado de trabalho (Pereira e Lemos, 2021). Dessa forma, o presente estudo teve como objetivo compreender os desafios enfrentados pelos gestores para garantir o cuidado em saúde a mulheres transgênero venezuelanas migrantes.</w:t>
      </w:r>
    </w:p>
    <w:p w14:paraId="66CCBD80" w14:textId="77777777" w:rsidR="00872719" w:rsidRPr="00680A6C" w:rsidRDefault="00872719" w:rsidP="0087271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6F" w14:textId="45FF1B72" w:rsidR="00D00C1C" w:rsidRPr="00680A6C" w:rsidRDefault="00947BFE" w:rsidP="0087271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80A6C">
        <w:rPr>
          <w:rFonts w:ascii="Arial" w:hAnsi="Arial" w:cs="Arial"/>
          <w:b/>
          <w:sz w:val="24"/>
          <w:szCs w:val="24"/>
        </w:rPr>
        <w:t>2 METODOLOGIA</w:t>
      </w:r>
    </w:p>
    <w:p w14:paraId="79889B84" w14:textId="77777777" w:rsidR="00872719" w:rsidRPr="00680A6C" w:rsidRDefault="00872719" w:rsidP="0013128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E56BE70" w14:textId="77777777" w:rsidR="00D00C1C" w:rsidRPr="00680A6C" w:rsidRDefault="00947BFE">
      <w:pP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Tratou-se de uma pesquisa de abordagem qualitativa, realizada a partir do recorte de um estudo multicêntrico intitulado: </w:t>
      </w:r>
      <w:r w:rsidRPr="00680A6C">
        <w:rPr>
          <w:rFonts w:ascii="Arial" w:hAnsi="Arial" w:cs="Arial"/>
          <w:i/>
          <w:color w:val="000000"/>
          <w:sz w:val="24"/>
          <w:szCs w:val="24"/>
        </w:rPr>
        <w:t>“</w:t>
      </w:r>
      <w:proofErr w:type="spellStart"/>
      <w:r w:rsidRPr="00680A6C">
        <w:rPr>
          <w:rFonts w:ascii="Arial" w:hAnsi="Arial" w:cs="Arial"/>
          <w:i/>
          <w:color w:val="000000"/>
          <w:sz w:val="24"/>
          <w:szCs w:val="24"/>
        </w:rPr>
        <w:t>Redressing</w:t>
      </w:r>
      <w:proofErr w:type="spellEnd"/>
      <w:r w:rsidRPr="00680A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680A6C">
        <w:rPr>
          <w:rFonts w:ascii="Arial" w:hAnsi="Arial" w:cs="Arial"/>
          <w:i/>
          <w:color w:val="000000"/>
          <w:sz w:val="24"/>
          <w:szCs w:val="24"/>
        </w:rPr>
        <w:t>Gendered</w:t>
      </w:r>
      <w:proofErr w:type="spellEnd"/>
      <w:r w:rsidRPr="00680A6C">
        <w:rPr>
          <w:rFonts w:ascii="Arial" w:hAnsi="Arial" w:cs="Arial"/>
          <w:i/>
          <w:color w:val="000000"/>
          <w:sz w:val="24"/>
          <w:szCs w:val="24"/>
        </w:rPr>
        <w:t xml:space="preserve"> Health </w:t>
      </w:r>
      <w:proofErr w:type="spellStart"/>
      <w:r w:rsidRPr="00680A6C">
        <w:rPr>
          <w:rFonts w:ascii="Arial" w:hAnsi="Arial" w:cs="Arial"/>
          <w:i/>
          <w:color w:val="000000"/>
          <w:sz w:val="24"/>
          <w:szCs w:val="24"/>
        </w:rPr>
        <w:t>Inequalities</w:t>
      </w:r>
      <w:proofErr w:type="spellEnd"/>
      <w:r w:rsidRPr="00680A6C">
        <w:rPr>
          <w:rFonts w:ascii="Arial" w:hAnsi="Arial" w:cs="Arial"/>
          <w:i/>
          <w:color w:val="000000"/>
          <w:sz w:val="24"/>
          <w:szCs w:val="24"/>
        </w:rPr>
        <w:t xml:space="preserve"> of </w:t>
      </w:r>
      <w:proofErr w:type="spellStart"/>
      <w:r w:rsidRPr="00680A6C">
        <w:rPr>
          <w:rFonts w:ascii="Arial" w:hAnsi="Arial" w:cs="Arial"/>
          <w:i/>
          <w:color w:val="000000"/>
          <w:sz w:val="24"/>
          <w:szCs w:val="24"/>
        </w:rPr>
        <w:t>Displaced</w:t>
      </w:r>
      <w:proofErr w:type="spellEnd"/>
      <w:r w:rsidRPr="00680A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680A6C">
        <w:rPr>
          <w:rFonts w:ascii="Arial" w:hAnsi="Arial" w:cs="Arial"/>
          <w:i/>
          <w:color w:val="000000"/>
          <w:sz w:val="24"/>
          <w:szCs w:val="24"/>
        </w:rPr>
        <w:t>Women</w:t>
      </w:r>
      <w:proofErr w:type="spellEnd"/>
      <w:r w:rsidRPr="00680A6C">
        <w:rPr>
          <w:rFonts w:ascii="Arial" w:hAnsi="Arial" w:cs="Arial"/>
          <w:i/>
          <w:color w:val="000000"/>
          <w:sz w:val="24"/>
          <w:szCs w:val="24"/>
        </w:rPr>
        <w:t xml:space="preserve"> and Girls in </w:t>
      </w:r>
      <w:proofErr w:type="spellStart"/>
      <w:r w:rsidRPr="00680A6C">
        <w:rPr>
          <w:rFonts w:ascii="Arial" w:hAnsi="Arial" w:cs="Arial"/>
          <w:i/>
          <w:color w:val="000000"/>
          <w:sz w:val="24"/>
          <w:szCs w:val="24"/>
        </w:rPr>
        <w:t>Contexts</w:t>
      </w:r>
      <w:proofErr w:type="spellEnd"/>
      <w:r w:rsidRPr="00680A6C">
        <w:rPr>
          <w:rFonts w:ascii="Arial" w:hAnsi="Arial" w:cs="Arial"/>
          <w:i/>
          <w:color w:val="000000"/>
          <w:sz w:val="24"/>
          <w:szCs w:val="24"/>
        </w:rPr>
        <w:t xml:space="preserve"> of </w:t>
      </w:r>
      <w:proofErr w:type="spellStart"/>
      <w:r w:rsidRPr="00680A6C">
        <w:rPr>
          <w:rFonts w:ascii="Arial" w:hAnsi="Arial" w:cs="Arial"/>
          <w:i/>
          <w:color w:val="000000"/>
          <w:sz w:val="24"/>
          <w:szCs w:val="24"/>
        </w:rPr>
        <w:t>Protracted</w:t>
      </w:r>
      <w:proofErr w:type="spellEnd"/>
      <w:r w:rsidRPr="00680A6C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proofErr w:type="spellStart"/>
      <w:r w:rsidRPr="00680A6C">
        <w:rPr>
          <w:rFonts w:ascii="Arial" w:hAnsi="Arial" w:cs="Arial"/>
          <w:i/>
          <w:color w:val="000000"/>
          <w:sz w:val="24"/>
          <w:szCs w:val="24"/>
        </w:rPr>
        <w:t>Crisis</w:t>
      </w:r>
      <w:proofErr w:type="spellEnd"/>
      <w:r w:rsidRPr="00680A6C">
        <w:rPr>
          <w:rFonts w:ascii="Arial" w:hAnsi="Arial" w:cs="Arial"/>
          <w:i/>
          <w:color w:val="000000"/>
          <w:sz w:val="24"/>
          <w:szCs w:val="24"/>
        </w:rPr>
        <w:t xml:space="preserve"> in Central and South </w:t>
      </w:r>
      <w:proofErr w:type="spellStart"/>
      <w:r w:rsidRPr="00680A6C">
        <w:rPr>
          <w:rFonts w:ascii="Arial" w:hAnsi="Arial" w:cs="Arial"/>
          <w:i/>
          <w:color w:val="000000"/>
          <w:sz w:val="24"/>
          <w:szCs w:val="24"/>
        </w:rPr>
        <w:t>America</w:t>
      </w:r>
      <w:proofErr w:type="spellEnd"/>
      <w:r w:rsidRPr="00680A6C">
        <w:rPr>
          <w:rFonts w:ascii="Arial" w:hAnsi="Arial" w:cs="Arial"/>
          <w:i/>
          <w:color w:val="000000"/>
          <w:sz w:val="24"/>
          <w:szCs w:val="24"/>
        </w:rPr>
        <w:t xml:space="preserve"> (</w:t>
      </w:r>
      <w:proofErr w:type="spellStart"/>
      <w:r w:rsidRPr="00680A6C">
        <w:rPr>
          <w:rFonts w:ascii="Arial" w:hAnsi="Arial" w:cs="Arial"/>
          <w:i/>
          <w:color w:val="000000"/>
          <w:sz w:val="24"/>
          <w:szCs w:val="24"/>
        </w:rPr>
        <w:t>ReGHID</w:t>
      </w:r>
      <w:proofErr w:type="spellEnd"/>
      <w:r w:rsidRPr="00680A6C">
        <w:rPr>
          <w:rFonts w:ascii="Arial" w:hAnsi="Arial" w:cs="Arial"/>
          <w:i/>
          <w:color w:val="000000"/>
          <w:sz w:val="24"/>
          <w:szCs w:val="24"/>
        </w:rPr>
        <w:t>)”</w:t>
      </w:r>
      <w:r w:rsidRPr="00680A6C">
        <w:rPr>
          <w:rFonts w:ascii="Arial" w:hAnsi="Arial" w:cs="Arial"/>
          <w:color w:val="000000"/>
          <w:sz w:val="24"/>
          <w:szCs w:val="24"/>
        </w:rPr>
        <w:t>. Com uma amostra do tipo intencional, composta por gestores de instituições governamentais, intergovernamentais e não governamentais vinculados a serviços intersetoriais de acolhimento com a oferta de cuidados em saúde no escopo de atuação para às mulheres transgênero que migraram da Venezuela para Boa Vista-Roraima e Manaus-Amazonas (Robison, 2013).</w:t>
      </w:r>
    </w:p>
    <w:p w14:paraId="2E56BE71" w14:textId="77777777" w:rsidR="00D00C1C" w:rsidRPr="00680A6C" w:rsidRDefault="00947BFE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A coleta de dados foi realizada entre fevereiro e setembro de 2021, nas cidades de Boa Vista (RR) e Manaus (AM), locais que foram escolhidos por estarem próximos à fronteira venezuelana, sendo locais de destino e de passagem na rota de migração, consequentemente agregando um contingente relevante de  venezuelanos.</w:t>
      </w:r>
    </w:p>
    <w:p w14:paraId="2E56BE72" w14:textId="77777777" w:rsidR="00D00C1C" w:rsidRPr="00680A6C" w:rsidRDefault="00947BFE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lastRenderedPageBreak/>
        <w:t xml:space="preserve">Foram realizadas entrevistas individuais semiestruturadas, que, segundo </w:t>
      </w:r>
      <w:proofErr w:type="spellStart"/>
      <w:r w:rsidRPr="00680A6C">
        <w:rPr>
          <w:rFonts w:ascii="Arial" w:hAnsi="Arial" w:cs="Arial"/>
          <w:color w:val="000000"/>
          <w:sz w:val="24"/>
          <w:szCs w:val="24"/>
        </w:rPr>
        <w:t>Minayo</w:t>
      </w:r>
      <w:proofErr w:type="spellEnd"/>
      <w:r w:rsidRPr="00680A6C">
        <w:rPr>
          <w:rFonts w:ascii="Arial" w:hAnsi="Arial" w:cs="Arial"/>
          <w:color w:val="000000"/>
          <w:sz w:val="24"/>
          <w:szCs w:val="24"/>
        </w:rPr>
        <w:t xml:space="preserve"> (2017), são conversas com intenção que combinam questões fechadas e abertas. As entrevistas aconteceram em horários e locais previamente agendados, nas formas on-line e presencial. Os instrumentos foram um questionário estruturado com dados sociodemográficos e profissionais de cada participante e, um roteiro semiestruturado. </w:t>
      </w:r>
    </w:p>
    <w:p w14:paraId="2E56BE73" w14:textId="53B59C4D" w:rsidR="00D00C1C" w:rsidRPr="00680A6C" w:rsidRDefault="00947BFE" w:rsidP="00927318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Para a análise dos dados coletados foi realizada a Análise de Conteúdo (Bardin, 2009), cujos passos incluem: pré-análise, exploração do material coletado  e tratamentos dos resultados. </w:t>
      </w:r>
      <w:r w:rsidR="006F6085" w:rsidRPr="006F6085">
        <w:rPr>
          <w:rFonts w:ascii="Arial" w:hAnsi="Arial" w:cs="Arial"/>
          <w:color w:val="000000"/>
          <w:sz w:val="24"/>
          <w:szCs w:val="24"/>
        </w:rPr>
        <w:t>Foram geradas duas categorias</w:t>
      </w:r>
      <w:r w:rsidR="006F6085">
        <w:rPr>
          <w:rFonts w:ascii="Arial" w:hAnsi="Arial" w:cs="Arial"/>
          <w:color w:val="000000"/>
          <w:sz w:val="24"/>
          <w:szCs w:val="24"/>
        </w:rPr>
        <w:t xml:space="preserve"> temáticas</w:t>
      </w:r>
      <w:r w:rsidR="002D7F47">
        <w:rPr>
          <w:rFonts w:ascii="Arial" w:hAnsi="Arial" w:cs="Arial"/>
          <w:color w:val="000000"/>
          <w:sz w:val="24"/>
          <w:szCs w:val="24"/>
        </w:rPr>
        <w:t xml:space="preserve"> da análise d</w:t>
      </w:r>
      <w:r w:rsidR="00290F00">
        <w:rPr>
          <w:rFonts w:ascii="Arial" w:hAnsi="Arial" w:cs="Arial"/>
          <w:color w:val="000000"/>
          <w:sz w:val="24"/>
          <w:szCs w:val="24"/>
        </w:rPr>
        <w:t>os dados</w:t>
      </w:r>
      <w:r w:rsidR="006F6085" w:rsidRPr="006F6085">
        <w:rPr>
          <w:rFonts w:ascii="Arial" w:hAnsi="Arial" w:cs="Arial"/>
          <w:color w:val="000000"/>
          <w:sz w:val="24"/>
          <w:szCs w:val="24"/>
        </w:rPr>
        <w:t>:</w:t>
      </w:r>
      <w:r w:rsidR="006F6085">
        <w:rPr>
          <w:rFonts w:ascii="Arial" w:hAnsi="Arial" w:cs="Arial"/>
          <w:color w:val="000000"/>
          <w:sz w:val="24"/>
          <w:szCs w:val="24"/>
        </w:rPr>
        <w:t xml:space="preserve"> </w:t>
      </w:r>
      <w:r w:rsidR="006F6085" w:rsidRPr="006F6085">
        <w:rPr>
          <w:rFonts w:ascii="Arial" w:hAnsi="Arial" w:cs="Arial"/>
          <w:color w:val="000000"/>
          <w:sz w:val="24"/>
          <w:szCs w:val="24"/>
        </w:rPr>
        <w:t>Desafios no atendimento</w:t>
      </w:r>
      <w:r w:rsidR="003D4D85">
        <w:rPr>
          <w:rFonts w:ascii="Arial" w:hAnsi="Arial" w:cs="Arial"/>
          <w:color w:val="000000"/>
          <w:sz w:val="24"/>
          <w:szCs w:val="24"/>
        </w:rPr>
        <w:t xml:space="preserve"> e </w:t>
      </w:r>
      <w:r w:rsidR="006F6085" w:rsidRPr="006F6085">
        <w:rPr>
          <w:rFonts w:ascii="Arial" w:hAnsi="Arial" w:cs="Arial"/>
          <w:color w:val="000000"/>
          <w:sz w:val="24"/>
          <w:szCs w:val="24"/>
        </w:rPr>
        <w:t>Estratégias de cuidado em saúde</w:t>
      </w:r>
      <w:r w:rsidR="00290F00">
        <w:rPr>
          <w:rFonts w:ascii="Arial" w:hAnsi="Arial" w:cs="Arial"/>
          <w:color w:val="000000"/>
          <w:sz w:val="24"/>
          <w:szCs w:val="24"/>
        </w:rPr>
        <w:t>.</w:t>
      </w:r>
      <w:r w:rsidR="00927318" w:rsidRPr="00927318">
        <w:t xml:space="preserve"> </w:t>
      </w:r>
      <w:r w:rsidR="00927318" w:rsidRPr="00927318">
        <w:rPr>
          <w:rFonts w:ascii="Arial" w:hAnsi="Arial" w:cs="Arial"/>
          <w:color w:val="000000"/>
          <w:sz w:val="24"/>
          <w:szCs w:val="24"/>
        </w:rPr>
        <w:t xml:space="preserve">As categorias identificadas foram discutidas e interpretadas com base no referencial teórico de </w:t>
      </w:r>
      <w:r w:rsidR="00927318" w:rsidRPr="00927318">
        <w:rPr>
          <w:rFonts w:ascii="Arial" w:hAnsi="Arial" w:cs="Arial"/>
          <w:i/>
          <w:iCs/>
          <w:color w:val="000000"/>
          <w:sz w:val="24"/>
          <w:szCs w:val="24"/>
        </w:rPr>
        <w:t>Pierre Bourdieu</w:t>
      </w:r>
      <w:r w:rsidR="00927318" w:rsidRPr="00927318">
        <w:rPr>
          <w:rFonts w:ascii="Arial" w:hAnsi="Arial" w:cs="Arial"/>
          <w:color w:val="000000"/>
          <w:sz w:val="24"/>
          <w:szCs w:val="24"/>
        </w:rPr>
        <w:t xml:space="preserve"> (1986), tendo em vista a análise das dinâmicas de poder relacionadas ao fenômeno investigado, utilizando os conceitos de capital cultural e social.</w:t>
      </w:r>
    </w:p>
    <w:p w14:paraId="2E56BE74" w14:textId="77777777" w:rsidR="00D00C1C" w:rsidRPr="00680A6C" w:rsidRDefault="00947BFE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A pesquisa seguiu todos os preceitos éticos contidos nas Resoluções CNS 466/2012 e CNS 510/2016 e foi aprovada no CEP da Universidade Federal do Maranhão, através do protocolo CAAE 35617020.9.1001.5087. Para garantir o anonimato dos participantes, foram utilizados nomes fictícios. </w:t>
      </w:r>
    </w:p>
    <w:p w14:paraId="2E56BE75" w14:textId="77777777" w:rsidR="00D00C1C" w:rsidRPr="00680A6C" w:rsidRDefault="00D00C1C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76" w14:textId="77777777" w:rsidR="00D00C1C" w:rsidRPr="00680A6C" w:rsidRDefault="00947BFE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80A6C">
        <w:rPr>
          <w:rFonts w:ascii="Arial" w:hAnsi="Arial" w:cs="Arial"/>
          <w:b/>
          <w:sz w:val="24"/>
          <w:szCs w:val="24"/>
        </w:rPr>
        <w:t xml:space="preserve">3 </w:t>
      </w:r>
      <w:r w:rsidRPr="00680A6C">
        <w:rPr>
          <w:rFonts w:ascii="Arial" w:hAnsi="Arial" w:cs="Arial"/>
          <w:b/>
          <w:color w:val="000000"/>
          <w:sz w:val="24"/>
          <w:szCs w:val="24"/>
        </w:rPr>
        <w:t>RESULTADOS E DISCUSSÃO</w:t>
      </w:r>
    </w:p>
    <w:p w14:paraId="5350DEB7" w14:textId="77777777" w:rsidR="00680A6C" w:rsidRPr="00680A6C" w:rsidRDefault="00680A6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77" w14:textId="77777777" w:rsidR="00D00C1C" w:rsidRPr="00680A6C" w:rsidRDefault="00947BFE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80A6C">
        <w:rPr>
          <w:rFonts w:ascii="Arial" w:hAnsi="Arial" w:cs="Arial"/>
          <w:b/>
          <w:sz w:val="24"/>
          <w:szCs w:val="24"/>
        </w:rPr>
        <w:t>3</w:t>
      </w:r>
      <w:r w:rsidRPr="00680A6C">
        <w:rPr>
          <w:rFonts w:ascii="Arial" w:hAnsi="Arial" w:cs="Arial"/>
          <w:b/>
          <w:color w:val="000000"/>
          <w:sz w:val="24"/>
          <w:szCs w:val="24"/>
        </w:rPr>
        <w:t>.1 Descrição do perfil sociodemográficos dos gestores</w:t>
      </w:r>
    </w:p>
    <w:p w14:paraId="37096EDA" w14:textId="77777777" w:rsidR="00680A6C" w:rsidRPr="00680A6C" w:rsidRDefault="00680A6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E56BE78" w14:textId="77777777" w:rsidR="00D00C1C" w:rsidRPr="00680A6C" w:rsidRDefault="00947BF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0A6C">
        <w:rPr>
          <w:rFonts w:ascii="Arial" w:hAnsi="Arial" w:cs="Arial"/>
          <w:sz w:val="24"/>
          <w:szCs w:val="24"/>
        </w:rPr>
        <w:t>Participaram do estudo 14 gestores, 7 de Boa Vista (RR) e 7 de Manaus (AM) O perfil dos gestores entrevistados das duas cidades se mostraram com uma  predominância feminina, autodeclarada branca e de nacionalidade brasileira. Em Boa Vista, são mais velhos (53–54 anos), com formação em Sociologia, Relações Internacionais e Educação, e experiência de 6 meses a 10 anos. Em Manaus, são mais jovens (32–41 anos), formados em Serviço Social, com 2 a 3 anos de atuação. Todos estão envolvidos com iniciativas locais e organizações internacionais.</w:t>
      </w:r>
    </w:p>
    <w:p w14:paraId="7C6E48DE" w14:textId="77777777" w:rsidR="00680A6C" w:rsidRPr="00680A6C" w:rsidRDefault="00680A6C">
      <w:pP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79" w14:textId="77777777" w:rsidR="00D00C1C" w:rsidRPr="00680A6C" w:rsidRDefault="00947BFE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80A6C">
        <w:rPr>
          <w:rFonts w:ascii="Arial" w:hAnsi="Arial" w:cs="Arial"/>
          <w:b/>
          <w:sz w:val="24"/>
          <w:szCs w:val="24"/>
        </w:rPr>
        <w:t>3</w:t>
      </w:r>
      <w:r w:rsidRPr="00680A6C">
        <w:rPr>
          <w:rFonts w:ascii="Arial" w:hAnsi="Arial" w:cs="Arial"/>
          <w:b/>
          <w:color w:val="000000"/>
          <w:sz w:val="24"/>
          <w:szCs w:val="24"/>
        </w:rPr>
        <w:t>.2 Desafios no atendimento</w:t>
      </w:r>
    </w:p>
    <w:p w14:paraId="2DBEC55C" w14:textId="77777777" w:rsidR="00680A6C" w:rsidRPr="00680A6C" w:rsidRDefault="00680A6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E56BE7A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Os gestores relataram que devido ao aumento do fluxo de refugiados, o sistema de saúde brasileiro se encontrou saturado, resultando em atendimentos realizados de forma desordenada e frequentemente insuficiente. Essa realidade foi exacerbada pela falta de preparação e estratégias adequadas para lidar com a população transgênero migrante.</w:t>
      </w:r>
    </w:p>
    <w:p w14:paraId="22360249" w14:textId="77777777" w:rsidR="00680A6C" w:rsidRPr="00680A6C" w:rsidRDefault="00680A6C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7B" w14:textId="77777777" w:rsidR="00D00C1C" w:rsidRPr="00680A6C" w:rsidRDefault="00947BFE">
      <w:pPr>
        <w:spacing w:line="240" w:lineRule="auto"/>
        <w:ind w:left="2267"/>
        <w:jc w:val="both"/>
        <w:rPr>
          <w:rFonts w:ascii="Arial" w:hAnsi="Arial" w:cs="Arial"/>
          <w:color w:val="000000"/>
          <w:sz w:val="20"/>
          <w:szCs w:val="20"/>
        </w:rPr>
      </w:pPr>
      <w:r w:rsidRPr="00680A6C">
        <w:rPr>
          <w:rFonts w:ascii="Arial" w:hAnsi="Arial" w:cs="Arial"/>
          <w:i/>
          <w:color w:val="000000"/>
          <w:sz w:val="20"/>
          <w:szCs w:val="20"/>
        </w:rPr>
        <w:t>[...] com esse número grande de refugiados de 2018 para cá ficou mais difícil ainda [...] as demandas elas estão sendo trabalhadas de uma forma muito atropelada, você é faz o mínimo [...] é o mínimo do mínimo, sem preparação.” (Tucumã).</w:t>
      </w:r>
    </w:p>
    <w:p w14:paraId="2E56BE7C" w14:textId="77777777" w:rsidR="00D00C1C" w:rsidRPr="00680A6C" w:rsidRDefault="00D00C1C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7D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A ausência de reconhecimento do capital social e cultural dessa população reflete a limitação dos profissionais de saúde, que não valorizam o conhecimento necessário para oferecer cuidados integrais, restringindo-se a fornecer atendimentos secundários ou complementares.</w:t>
      </w:r>
    </w:p>
    <w:p w14:paraId="2E56BE7E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O capital sociocultural das mulheres transgênero migrantes influencia diretamente seu acesso e percepção nas instituições de poder, como o sistema de saúde, cujas demandas requerem uma abordagem integrada que considere suas particularidades biopsicossociais e os estressores do processo migratório.</w:t>
      </w:r>
    </w:p>
    <w:p w14:paraId="2E56BE7F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As migrantes transgênero venezuelanas enfrentam necessidades de saúde específicas, agravadas pelo processo migratório e pela sobrecarga dos serviços de saúde, exigindo abordagens sensíveis e integradas, pois a interação entre fatores fisiológicos, neurológicos, imunológicos e metabólicos interagem com as condições do processo migratório (Vieira </w:t>
      </w:r>
      <w:r w:rsidRPr="00551DBA">
        <w:rPr>
          <w:rFonts w:ascii="Arial" w:hAnsi="Arial" w:cs="Arial"/>
          <w:i/>
          <w:color w:val="000000"/>
          <w:sz w:val="24"/>
          <w:szCs w:val="24"/>
        </w:rPr>
        <w:t>et al.,</w:t>
      </w:r>
      <w:r w:rsidRPr="00680A6C">
        <w:rPr>
          <w:rFonts w:ascii="Arial" w:hAnsi="Arial" w:cs="Arial"/>
          <w:color w:val="000000"/>
          <w:sz w:val="24"/>
          <w:szCs w:val="24"/>
        </w:rPr>
        <w:t xml:space="preserve"> 2019).</w:t>
      </w:r>
    </w:p>
    <w:p w14:paraId="2E56BE80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A vulnerabilidade desproporcional das mulheres transgênero e outras populações-chave, expostas a condições precárias, reflete uma carência significativa de capital social, o que limita suas redes de suporte e acesso a recursos essenciais, como água potável e saneamento básico, exigindo ações urgentes por meio de </w:t>
      </w:r>
      <w:r w:rsidRPr="00680A6C">
        <w:rPr>
          <w:rFonts w:ascii="Arial" w:hAnsi="Arial" w:cs="Arial"/>
          <w:color w:val="000000"/>
          <w:sz w:val="24"/>
          <w:szCs w:val="24"/>
        </w:rPr>
        <w:lastRenderedPageBreak/>
        <w:t>programas de prevenção e tratamento que sejam acessíveis, culturalmente competentes e adaptados às suas necessidades específicas (Bourdieu, 2001).</w:t>
      </w:r>
    </w:p>
    <w:p w14:paraId="317A932D" w14:textId="1363F70E" w:rsidR="00680A6C" w:rsidRDefault="00947BFE" w:rsidP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Os gestores também destacaram aspectos relacionados ao reconhecimento das especificidades de gênero no cuidado e as dificuldades encontradas ao lidar com demandas relacionadas à diversidade de gênero, evidenciando a necessidade de ajustar suas práticas para enfrentar os desafios estruturais e subjetivos que impactam a oferta de cuidado integral.</w:t>
      </w:r>
    </w:p>
    <w:p w14:paraId="72EFE1FB" w14:textId="77777777" w:rsidR="00947BFE" w:rsidRPr="00680A6C" w:rsidRDefault="00947BFE" w:rsidP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82" w14:textId="77777777" w:rsidR="00D00C1C" w:rsidRPr="00680A6C" w:rsidRDefault="00947BFE">
      <w:pPr>
        <w:spacing w:line="240" w:lineRule="auto"/>
        <w:ind w:left="2267"/>
        <w:jc w:val="both"/>
        <w:rPr>
          <w:rFonts w:ascii="Arial" w:hAnsi="Arial" w:cs="Arial"/>
          <w:color w:val="000000"/>
          <w:sz w:val="20"/>
          <w:szCs w:val="20"/>
        </w:rPr>
      </w:pPr>
      <w:r w:rsidRPr="00680A6C">
        <w:rPr>
          <w:rFonts w:ascii="Arial" w:hAnsi="Arial" w:cs="Arial"/>
          <w:i/>
          <w:color w:val="000000"/>
          <w:sz w:val="20"/>
          <w:szCs w:val="20"/>
        </w:rPr>
        <w:t>Mas quando a pessoa trans vem, a gente atende como a gente atende homem cis, a mulher cis, ou a mulher gay, o homem gay ou o trans e ele apresenta … uma especificidade a gente observa e cuida pra que ele tenha a melhor encaminhamento a partir da sua especificidade [...]. (Camu-camu)</w:t>
      </w:r>
    </w:p>
    <w:p w14:paraId="2E56BE83" w14:textId="77777777" w:rsidR="00D00C1C" w:rsidRPr="00680A6C" w:rsidRDefault="00D00C1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84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A ausência de treinamento direcionado e a discriminação nos serviços de saúde podem resultar em abordagens genéricas ou inseguras, reforçando as desigualdades sociais e reproduzindo um sistema excludente que dificulta o acolhimento, a integração e a legitimação do capital sociocultural das populações transgênero.</w:t>
      </w:r>
    </w:p>
    <w:p w14:paraId="7D26414E" w14:textId="0F509C21" w:rsidR="00C505E4" w:rsidRDefault="00C505E4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C505E4">
        <w:rPr>
          <w:rFonts w:ascii="Arial" w:hAnsi="Arial" w:cs="Arial"/>
          <w:color w:val="000000"/>
          <w:sz w:val="24"/>
          <w:szCs w:val="24"/>
        </w:rPr>
        <w:t xml:space="preserve">O </w:t>
      </w:r>
      <w:r>
        <w:rPr>
          <w:rFonts w:ascii="Arial" w:hAnsi="Arial" w:cs="Arial"/>
          <w:color w:val="000000"/>
          <w:sz w:val="24"/>
          <w:szCs w:val="24"/>
        </w:rPr>
        <w:t>relato</w:t>
      </w:r>
      <w:r w:rsidRPr="00C505E4">
        <w:rPr>
          <w:rFonts w:ascii="Arial" w:hAnsi="Arial" w:cs="Arial"/>
          <w:color w:val="000000"/>
          <w:sz w:val="24"/>
          <w:szCs w:val="24"/>
        </w:rPr>
        <w:t xml:space="preserve"> de atendimento igualitário </w:t>
      </w:r>
      <w:r>
        <w:rPr>
          <w:rFonts w:ascii="Arial" w:hAnsi="Arial" w:cs="Arial"/>
          <w:color w:val="000000"/>
          <w:sz w:val="24"/>
          <w:szCs w:val="24"/>
        </w:rPr>
        <w:t>sugere</w:t>
      </w:r>
      <w:r w:rsidRPr="00C505E4">
        <w:rPr>
          <w:rFonts w:ascii="Arial" w:hAnsi="Arial" w:cs="Arial"/>
          <w:color w:val="000000"/>
          <w:sz w:val="24"/>
          <w:szCs w:val="24"/>
        </w:rPr>
        <w:t xml:space="preserve"> imparcialidade, mas ignora as especificidades da população transgênero, revelando a falta de reconhecimento de suas vivências. Para um cuidado efetivo, é essencial que profissionais de saúde estejam capacitados para abordar essas particularidades de forma proativa.</w:t>
      </w:r>
    </w:p>
    <w:p w14:paraId="2E56BE86" w14:textId="338F78C0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Assim, para que o sistema de saúde seja mais inclusivo, é necessário fortalecer tanto o capital cultural dos profissionais, capacitando-os para reconhecer e atender as especificidades da população LGBTQIAPN+, quanto o capital social das pessoas atendidas, garantindo redes de suporte que ampliem seu acesso a serviços e direitos de forma equitativa (Bourdieu, 2001).</w:t>
      </w:r>
    </w:p>
    <w:p w14:paraId="2E56BE87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Profissionais frequentemente não estão preparados para atender às necessidades específicas de pacientes transgênero, resultando em lacunas na prestação de cuidados e destacando a necessidade de uma abordagem integral </w:t>
      </w:r>
      <w:r w:rsidRPr="00680A6C">
        <w:rPr>
          <w:rFonts w:ascii="Arial" w:hAnsi="Arial" w:cs="Arial"/>
          <w:color w:val="000000"/>
          <w:sz w:val="24"/>
          <w:szCs w:val="24"/>
        </w:rPr>
        <w:lastRenderedPageBreak/>
        <w:t>desde o primeiro contato. Essas falhas podem agravar condições de saúde e aumentar o sofrimento psicológico (Borges e Passos, 2021).</w:t>
      </w:r>
    </w:p>
    <w:p w14:paraId="671E3A9B" w14:textId="7ECF0832" w:rsidR="00551DBA" w:rsidRDefault="00551DBA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551DBA">
        <w:rPr>
          <w:rFonts w:ascii="Arial" w:hAnsi="Arial" w:cs="Arial"/>
          <w:color w:val="000000"/>
          <w:sz w:val="24"/>
          <w:szCs w:val="24"/>
        </w:rPr>
        <w:t>Gestores destacaram desafios na qualificação da assistência à população trans, especialmente no acesso à hormonização e ao acompanhamento da transição. O limitado capital cultural de mulheres trans, agravado pela marginalização e falta de acesso a informações, frequentemente as leva a recorrer a métodos inseguros, com riscos à saúde física e emocional.</w:t>
      </w:r>
    </w:p>
    <w:p w14:paraId="6017D433" w14:textId="3510F89C" w:rsidR="00FA611A" w:rsidRDefault="00FA611A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A611A">
        <w:rPr>
          <w:rFonts w:ascii="Arial" w:hAnsi="Arial" w:cs="Arial"/>
          <w:color w:val="000000"/>
          <w:sz w:val="24"/>
          <w:szCs w:val="24"/>
        </w:rPr>
        <w:t>A hormonização é uma etapa central na afirmação de gênero, pois permite que muitas pessoas trans alinhem sua autoimagem à identidade de gênero por meio de mudanças corporais (Silva et al., 2022). No SUS, esse cuidado é garantido pelo "Processo Transexualizador", que inclui hormonioterapia, apoio psicológico e cirurgias, promovendo um atendimento integral e humanizado (Brasil, 2023).</w:t>
      </w:r>
    </w:p>
    <w:p w14:paraId="4935EF67" w14:textId="10FEC69B" w:rsidR="008672B5" w:rsidRDefault="008672B5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8672B5">
        <w:rPr>
          <w:rFonts w:ascii="Arial" w:hAnsi="Arial" w:cs="Arial"/>
          <w:color w:val="000000"/>
          <w:sz w:val="24"/>
          <w:szCs w:val="24"/>
        </w:rPr>
        <w:t>O capital cultural da população trans é frequentemente reduzido por barreiras linguísticas, culturais e pela marginalização. Ampliar o acesso à informação em saúde fortalece esse capital e, ao promover inclusão por meio de políticas públicas, também se amplia seu capital social.</w:t>
      </w:r>
    </w:p>
    <w:p w14:paraId="2E56BE8B" w14:textId="346CB3AE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Os gestores também perceberam a prevalência de infecções sexualmente transmissíveis (IST’s) entre refugiados como uma problemática significativa de saúde pública, atribuída a fatores como condições de vida precárias, acesso limitado a serviços de saúde e barreiras culturais.</w:t>
      </w:r>
    </w:p>
    <w:p w14:paraId="2E56BE8C" w14:textId="77777777" w:rsidR="00D00C1C" w:rsidRPr="00680A6C" w:rsidRDefault="00D00C1C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8D" w14:textId="77777777" w:rsidR="00D00C1C" w:rsidRPr="00680A6C" w:rsidRDefault="00947BFE">
      <w:pPr>
        <w:spacing w:line="240" w:lineRule="auto"/>
        <w:ind w:left="2160"/>
        <w:jc w:val="both"/>
        <w:rPr>
          <w:rFonts w:ascii="Arial" w:hAnsi="Arial" w:cs="Arial"/>
          <w:color w:val="000000"/>
          <w:sz w:val="20"/>
          <w:szCs w:val="20"/>
        </w:rPr>
      </w:pPr>
      <w:r w:rsidRPr="00680A6C">
        <w:rPr>
          <w:rFonts w:ascii="Arial" w:hAnsi="Arial" w:cs="Arial"/>
          <w:i/>
          <w:color w:val="000000"/>
          <w:sz w:val="20"/>
          <w:szCs w:val="20"/>
        </w:rPr>
        <w:t>[...] a gente tem um alto índice de sífilis, desses 2 anos eu ainda não tive nenhum refugiado por exemplo, não tivesse sido identificado com nenhuma IST [...] a IST ela sempre está ali presente [...] infelizmente, infelizmente o índice é muito grande, isso é muito grande. (Tucumã)</w:t>
      </w:r>
    </w:p>
    <w:p w14:paraId="2E56BE8E" w14:textId="77777777" w:rsidR="00D00C1C" w:rsidRPr="00680A6C" w:rsidRDefault="00D00C1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8F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O acesso à saúde sexual e reprodutiva de migrantes deve ser assegurado por meio de parcerias entre instituições que ofereçam testagem e tratamento gratuitos, aliadas a campanhas educativas de prevenção às ISTs.</w:t>
      </w:r>
    </w:p>
    <w:p w14:paraId="2E56BE90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A situação das mulheres transgênero é particularmente crítica, conforme um estudo realizado no Nordeste do Brasil, que revelou uma prevalência de HIV de </w:t>
      </w:r>
      <w:r w:rsidRPr="00680A6C">
        <w:rPr>
          <w:rFonts w:ascii="Arial" w:hAnsi="Arial" w:cs="Arial"/>
          <w:color w:val="000000"/>
          <w:sz w:val="24"/>
          <w:szCs w:val="24"/>
        </w:rPr>
        <w:lastRenderedPageBreak/>
        <w:t>24,3%, além de altas taxas de sífilis concomitante. Esse cenário é agravado pela discriminação, que limita o acesso a serviços de saúde e informações essenciais sobre prevenção e tratamento (UNAIDS, 2023).</w:t>
      </w:r>
    </w:p>
    <w:p w14:paraId="2E56BE91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A exclusão de pessoas LGBTQIAPN+ dos serviços de saúde acarreta consequências graves, especialmente no contexto do HIV/AIDS. A ausência de acesso a cuidados preventivos e tratamentos adequados agrava a situação, elevando o risco de transmissão e o surgimento de complicações associadas ao HIV e outras IST’s (UNAIDS, 2023).</w:t>
      </w:r>
    </w:p>
    <w:p w14:paraId="5E4A48D3" w14:textId="77777777" w:rsidR="00680A6C" w:rsidRPr="00680A6C" w:rsidRDefault="00680A6C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92" w14:textId="77777777" w:rsidR="00D00C1C" w:rsidRPr="00680A6C" w:rsidRDefault="00947BFE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80A6C">
        <w:rPr>
          <w:rFonts w:ascii="Arial" w:hAnsi="Arial" w:cs="Arial"/>
          <w:b/>
          <w:sz w:val="24"/>
          <w:szCs w:val="24"/>
        </w:rPr>
        <w:t>3</w:t>
      </w:r>
      <w:r w:rsidRPr="00680A6C">
        <w:rPr>
          <w:rFonts w:ascii="Arial" w:hAnsi="Arial" w:cs="Arial"/>
          <w:b/>
          <w:color w:val="000000"/>
          <w:sz w:val="24"/>
          <w:szCs w:val="24"/>
        </w:rPr>
        <w:t>.3 Estratégias de cuidado em saúde</w:t>
      </w:r>
    </w:p>
    <w:p w14:paraId="2CF92348" w14:textId="77777777" w:rsidR="00680A6C" w:rsidRPr="00680A6C" w:rsidRDefault="00680A6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94" w14:textId="5D97EA6C" w:rsidR="00D00C1C" w:rsidRDefault="00036211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036211">
        <w:rPr>
          <w:rFonts w:ascii="Arial" w:hAnsi="Arial" w:cs="Arial"/>
          <w:color w:val="000000"/>
          <w:sz w:val="24"/>
          <w:szCs w:val="24"/>
        </w:rPr>
        <w:t>A atuação de profissionais que respeitam as identidades LGBTQIAPN+ e a parceria com especialistas sensíveis reforçam a importância de redes de apoio que assegurem um cuidado seguro, acolhedor e de qualidade.</w:t>
      </w:r>
    </w:p>
    <w:p w14:paraId="7F6D78E3" w14:textId="77777777" w:rsidR="00036211" w:rsidRPr="00680A6C" w:rsidRDefault="00036211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95" w14:textId="77777777" w:rsidR="00D00C1C" w:rsidRPr="00680A6C" w:rsidRDefault="00947BFE">
      <w:pPr>
        <w:spacing w:line="240" w:lineRule="auto"/>
        <w:ind w:left="2267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i/>
          <w:color w:val="000000"/>
          <w:sz w:val="20"/>
          <w:szCs w:val="20"/>
        </w:rPr>
        <w:t xml:space="preserve">[...] quando é o serviço que elas precisam, por exemplo, de um dentista, alguma coisa do tipo, a gente tem parceria com alguns profissionais. Médicos clínicos gerais, que são pessoas LGBT, de dentro da </w:t>
      </w:r>
      <w:proofErr w:type="spellStart"/>
      <w:r w:rsidRPr="00680A6C">
        <w:rPr>
          <w:rFonts w:ascii="Arial" w:hAnsi="Arial" w:cs="Arial"/>
          <w:i/>
          <w:color w:val="000000"/>
          <w:sz w:val="20"/>
          <w:szCs w:val="20"/>
        </w:rPr>
        <w:t>da</w:t>
      </w:r>
      <w:proofErr w:type="spellEnd"/>
      <w:r w:rsidRPr="00680A6C">
        <w:rPr>
          <w:rFonts w:ascii="Arial" w:hAnsi="Arial" w:cs="Arial"/>
          <w:i/>
          <w:color w:val="000000"/>
          <w:sz w:val="20"/>
          <w:szCs w:val="20"/>
        </w:rPr>
        <w:t xml:space="preserve"> marinha  daqui da cidade de Manaus, e que ele vem até a CASAMIGA, porque ele é um associado do manifesto [...] da nossa associação, então ele vem até a CASAMIGA, e ele atende essas pessoas lá da casa, é... [...] pra poder conseguir ali ter uma atenção maior. (Tucumã)</w:t>
      </w:r>
    </w:p>
    <w:p w14:paraId="2E56BE96" w14:textId="77777777" w:rsidR="00D00C1C" w:rsidRPr="00680A6C" w:rsidRDefault="00D00C1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5B2B3D4D" w14:textId="65638D3E" w:rsidR="00DD7021" w:rsidRDefault="00DD7021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DD7021">
        <w:rPr>
          <w:rFonts w:ascii="Arial" w:hAnsi="Arial" w:cs="Arial"/>
          <w:color w:val="000000"/>
          <w:sz w:val="24"/>
          <w:szCs w:val="24"/>
        </w:rPr>
        <w:t>Essas iniciativas fortalecem o capital social das pessoas trans ao conectá-las a redes de cuidado antes inacessíveis e promoverem espaços acolhedores e respeitosos. Ao considerar suas especificidades de gênero e sexualidade, ampliam seu capital cultural e evidenciam a necessidade de mudanças estruturais para garantir um cuidado contínuo e sensível.</w:t>
      </w:r>
    </w:p>
    <w:p w14:paraId="2E56BE98" w14:textId="7C120A8A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O histórico do ambulatório transexualizador em Manaus destaca o papel do ativismo social na redução das iniquidades em saúde, evidenciando a importância da sociedade civil na defesa do direito à saúde como um direito universal.</w:t>
      </w:r>
    </w:p>
    <w:p w14:paraId="2E56BE99" w14:textId="77777777" w:rsidR="00D00C1C" w:rsidRPr="00680A6C" w:rsidRDefault="00D00C1C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9A" w14:textId="77777777" w:rsidR="00D00C1C" w:rsidRPr="00680A6C" w:rsidRDefault="00947BFE">
      <w:pPr>
        <w:spacing w:line="240" w:lineRule="auto"/>
        <w:ind w:left="2267"/>
        <w:jc w:val="both"/>
        <w:rPr>
          <w:rFonts w:ascii="Arial" w:hAnsi="Arial" w:cs="Arial"/>
          <w:color w:val="000000"/>
          <w:sz w:val="20"/>
          <w:szCs w:val="20"/>
        </w:rPr>
      </w:pPr>
      <w:r w:rsidRPr="00680A6C">
        <w:rPr>
          <w:rFonts w:ascii="Arial" w:hAnsi="Arial" w:cs="Arial"/>
          <w:i/>
          <w:color w:val="000000"/>
          <w:sz w:val="20"/>
          <w:szCs w:val="20"/>
        </w:rPr>
        <w:lastRenderedPageBreak/>
        <w:t>[...] um ambulatório transexualizador [só saiu por conta dos movimentos sociais a Dra. Darem [que acabou conseguindo o espaço, e criou a primeira sala que ela fazia atendimento [...] foi na marra mesmo, e depois que o ambulatório já estava em funcionamento, mesmo que de forma muito precarizada é que o poder público soube da existência, e aí por meio da política teve que ter um pouco mais de apoio, uma estruturação. Ele ainda não funciona da maneira como a gente esperava [...] a política de assistência de saúde para essas pessoas aqui em Manaus ela ainda não funciona, na sua forma integral. (Tucumã)</w:t>
      </w:r>
    </w:p>
    <w:p w14:paraId="2E56BE9B" w14:textId="77777777" w:rsidR="00D00C1C" w:rsidRPr="00680A6C" w:rsidRDefault="00D00C1C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9C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A criação do ambulatório expressa a mobilização e o compromisso de profissionais de saúde como transformadores da oferta de cuidados especializados para a população transgênero, constituindo um significativo processo de acumulação de capital sociocultural para profissionais e usuários. </w:t>
      </w:r>
    </w:p>
    <w:p w14:paraId="2E56BE9D" w14:textId="2AAF0A50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O ambulatório foi criado por meio da colaboração entre movimentos sociais e a Drª Darem</w:t>
      </w:r>
      <w:r w:rsidR="000F1F74">
        <w:rPr>
          <w:rFonts w:ascii="Arial" w:hAnsi="Arial" w:cs="Arial"/>
          <w:color w:val="000000"/>
          <w:sz w:val="24"/>
          <w:szCs w:val="24"/>
        </w:rPr>
        <w:t xml:space="preserve">, </w:t>
      </w:r>
      <w:r w:rsidRPr="00680A6C">
        <w:rPr>
          <w:rFonts w:ascii="Arial" w:hAnsi="Arial" w:cs="Arial"/>
          <w:color w:val="000000"/>
          <w:sz w:val="24"/>
          <w:szCs w:val="24"/>
        </w:rPr>
        <w:t>reconhecida por sua defesa dos direitos da população trans. Inicialmente, o atendimento foi realizado em condições precárias com estrutura limitada e, somente após o início das atividades, o poder público passou a apoiar o serviço. O reconhecimento pelo Ministério da Saúde foi um marco significativo, embora desafios ainda persistam para o pleno funcionamento do ambulatório (Brasil, 2023).</w:t>
      </w:r>
    </w:p>
    <w:p w14:paraId="2E56BE9E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A manutenção de ambulatórios transexualizadores dependem fortemente da colaboração entre movimentos sociais, profissionais de saúde e políticas públicas inclusivas. Estas parcerias possibilitam a criação de redes de apoio que orientam e facilitam o acesso a hormonização e outros cuidados relacionados à transição de gênero (Brasil, 2023).</w:t>
      </w:r>
    </w:p>
    <w:p w14:paraId="2E56BE9F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Os cuidados de saúde específicos para homens transgênero, especialmente na área reprodutiva e ginecológica, ressaltam a urgência de abordagens mais sensíveis ao gênero, inclusive mediante a linguagem adotada e seus significados sociais.</w:t>
      </w:r>
    </w:p>
    <w:p w14:paraId="4DE7F768" w14:textId="77777777" w:rsidR="00680A6C" w:rsidRPr="00680A6C" w:rsidRDefault="00680A6C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A0" w14:textId="77777777" w:rsidR="00D00C1C" w:rsidRPr="00680A6C" w:rsidRDefault="00947BFE">
      <w:pPr>
        <w:spacing w:line="240" w:lineRule="auto"/>
        <w:ind w:left="2267"/>
        <w:jc w:val="both"/>
        <w:rPr>
          <w:rFonts w:ascii="Arial" w:hAnsi="Arial" w:cs="Arial"/>
          <w:color w:val="000000"/>
          <w:sz w:val="20"/>
          <w:szCs w:val="20"/>
        </w:rPr>
      </w:pPr>
      <w:r w:rsidRPr="00680A6C">
        <w:rPr>
          <w:rFonts w:ascii="Arial" w:hAnsi="Arial" w:cs="Arial"/>
          <w:i/>
          <w:color w:val="000000"/>
          <w:sz w:val="20"/>
          <w:szCs w:val="20"/>
        </w:rPr>
        <w:t xml:space="preserve">Homens trans... pessoas que têm vagina, demandam cuidados, os meninos trans, eles têm que ter acesso colpocitológico [...] exame de Papanicolau. Então, isso também é um cuidado que também temos que ter, mas assim, o </w:t>
      </w:r>
      <w:r w:rsidRPr="00680A6C">
        <w:rPr>
          <w:rFonts w:ascii="Arial" w:hAnsi="Arial" w:cs="Arial"/>
          <w:i/>
          <w:color w:val="000000"/>
          <w:sz w:val="20"/>
          <w:szCs w:val="20"/>
        </w:rPr>
        <w:lastRenderedPageBreak/>
        <w:t xml:space="preserve">ano passado tivemos um menino trans. Então assim, cuidado todo especial voltado pra ele individual, pra ele ter esse cuidado, por isso quando eu falo mulheres invariavelmente eu </w:t>
      </w:r>
      <w:proofErr w:type="spellStart"/>
      <w:r w:rsidRPr="00680A6C">
        <w:rPr>
          <w:rFonts w:ascii="Arial" w:hAnsi="Arial" w:cs="Arial"/>
          <w:i/>
          <w:color w:val="000000"/>
          <w:sz w:val="20"/>
          <w:szCs w:val="20"/>
        </w:rPr>
        <w:t>tô</w:t>
      </w:r>
      <w:proofErr w:type="spellEnd"/>
      <w:r w:rsidRPr="00680A6C">
        <w:rPr>
          <w:rFonts w:ascii="Arial" w:hAnsi="Arial" w:cs="Arial"/>
          <w:i/>
          <w:color w:val="000000"/>
          <w:sz w:val="20"/>
          <w:szCs w:val="20"/>
        </w:rPr>
        <w:t xml:space="preserve"> pensando nas pessoas com vagina que engravidam, e querem engravidar, ou não querem e acabam engravidando, por aí afora [...]. (Piquiá)</w:t>
      </w:r>
    </w:p>
    <w:p w14:paraId="2E56BEA1" w14:textId="77777777" w:rsidR="00D00C1C" w:rsidRPr="00680A6C" w:rsidRDefault="00D00C1C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A2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Para que o capital cultural da população trans seja reconhecido, os serviços de saúde devem adaptar protocolos e práticas, ampliando a compreensão sobre identidades trans. Isso exige não apenas capacitação técnica, mas também uma mudança simbólica que valorize e integre as vivências e necessidades específicas dos homens transgênero.</w:t>
      </w:r>
    </w:p>
    <w:p w14:paraId="2E56BEA3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A prevenção do câncer cervical em homens transgênero é garantida pelo SUS; no entanto, a falta de preparo e sensibilidade dos profissionais de saúde compromete a efetividade dessas ações, ampliando a vulnerabilidade desse grupo. Esse despreparo, aliado a atendimentos frequentemente discriminatórios, cria barreiras significativas nos programas de rastreamento, desestimulando a busca por cuidados preventivos por parte dessa população (Brasil, 2023; Monteiro, 2024).</w:t>
      </w:r>
    </w:p>
    <w:p w14:paraId="2E56BEA4" w14:textId="77777777" w:rsidR="00D00C1C" w:rsidRPr="00680A6C" w:rsidRDefault="00D00C1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A5" w14:textId="77777777" w:rsidR="00D00C1C" w:rsidRPr="00680A6C" w:rsidRDefault="00947BFE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80A6C">
        <w:rPr>
          <w:rFonts w:ascii="Arial" w:hAnsi="Arial" w:cs="Arial"/>
          <w:b/>
          <w:sz w:val="24"/>
          <w:szCs w:val="24"/>
        </w:rPr>
        <w:t>4</w:t>
      </w:r>
      <w:r w:rsidRPr="00680A6C">
        <w:rPr>
          <w:rFonts w:ascii="Arial" w:hAnsi="Arial" w:cs="Arial"/>
          <w:b/>
          <w:color w:val="000000"/>
          <w:sz w:val="24"/>
          <w:szCs w:val="24"/>
        </w:rPr>
        <w:t xml:space="preserve"> CONCLUSÃO</w:t>
      </w:r>
    </w:p>
    <w:p w14:paraId="635A9CD4" w14:textId="77777777" w:rsidR="00680A6C" w:rsidRPr="00680A6C" w:rsidRDefault="00680A6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A6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A análise do cuidado prestado às mulheres transgênero venezuelanas migrantes no Brasil evidencia a complexidade das interações vivenciadas pelos gestores, que atuam em um sistema de saúde e assistência social marcado por limitações estruturais e institucionais. Esses profissionais enfrentam desafios significativos para atender às múltiplas necessidades dessa população, cujas experiências de exclusão são intensificadas por normas culturais e institucionais que muitas vezes reforçam a marginalização.</w:t>
      </w:r>
    </w:p>
    <w:p w14:paraId="2E56BEA7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As percepções dos gestores revelam obstáculos que comprometem a efetividade do atendimento às mulheres transgênero venezuelanas, ressaltando a urgência de um compromisso mais firme do Estado na garantia de direitos e na construção de um campo assistencial inclusivo e humanizado. É fundamental que o </w:t>
      </w:r>
      <w:r w:rsidRPr="00680A6C">
        <w:rPr>
          <w:rFonts w:ascii="Arial" w:hAnsi="Arial" w:cs="Arial"/>
          <w:color w:val="000000"/>
          <w:sz w:val="24"/>
          <w:szCs w:val="24"/>
        </w:rPr>
        <w:lastRenderedPageBreak/>
        <w:t>sistema de saúde e assistência social reconheça a vulnerabilidade específica dessas mulheres e atue de forma articulada, preventiva e sensível à diversidade.</w:t>
      </w:r>
    </w:p>
    <w:p w14:paraId="2E56BEA8" w14:textId="77777777" w:rsidR="00D00C1C" w:rsidRPr="00680A6C" w:rsidRDefault="00947BFE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Nesse sentido, torna-se essencial a implementação de políticas públicas que promovam capacitações regulares para gestores e equipes, com foco na equidade de gênero e na valorização da diversidade. Somente por meio da formação continuada e do fortalecimento institucional será possível desenvolver estratégias eficazes de acolhimento, garantindo dignidade, proteção e integração às mulheres transgênero em situação de migração.</w:t>
      </w:r>
    </w:p>
    <w:p w14:paraId="662FF955" w14:textId="77777777" w:rsidR="00680A6C" w:rsidRPr="00680A6C" w:rsidRDefault="00680A6C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A9" w14:textId="77777777" w:rsidR="00D00C1C" w:rsidRPr="00680A6C" w:rsidRDefault="00947BFE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680A6C">
        <w:rPr>
          <w:rFonts w:ascii="Arial" w:hAnsi="Arial" w:cs="Arial"/>
          <w:b/>
          <w:color w:val="000000"/>
          <w:sz w:val="24"/>
          <w:szCs w:val="24"/>
        </w:rPr>
        <w:t>REFERÊNCIAS</w:t>
      </w:r>
    </w:p>
    <w:p w14:paraId="2DD29C89" w14:textId="77777777" w:rsidR="00680A6C" w:rsidRPr="00680A6C" w:rsidRDefault="00680A6C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2E56BEAA" w14:textId="77777777" w:rsidR="00D00C1C" w:rsidRPr="00680A6C" w:rsidRDefault="00947BFE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BARDIN, Laurence. </w:t>
      </w:r>
      <w:r w:rsidRPr="00680A6C">
        <w:rPr>
          <w:rFonts w:ascii="Arial" w:hAnsi="Arial" w:cs="Arial"/>
          <w:b/>
          <w:i/>
          <w:color w:val="000000"/>
          <w:sz w:val="24"/>
          <w:szCs w:val="24"/>
        </w:rPr>
        <w:t>Análise de conteúdo</w:t>
      </w:r>
      <w:r w:rsidRPr="00680A6C">
        <w:rPr>
          <w:rFonts w:ascii="Arial" w:hAnsi="Arial" w:cs="Arial"/>
          <w:b/>
          <w:color w:val="000000"/>
          <w:sz w:val="24"/>
          <w:szCs w:val="24"/>
        </w:rPr>
        <w:t xml:space="preserve">. </w:t>
      </w:r>
      <w:r w:rsidRPr="00680A6C">
        <w:rPr>
          <w:rFonts w:ascii="Arial" w:hAnsi="Arial" w:cs="Arial"/>
          <w:color w:val="000000"/>
          <w:sz w:val="24"/>
          <w:szCs w:val="24"/>
        </w:rPr>
        <w:t>Lisboa: Edições 70, LDA, 2009.</w:t>
      </w:r>
    </w:p>
    <w:p w14:paraId="2E56BEAB" w14:textId="77777777" w:rsidR="00D00C1C" w:rsidRPr="00680A6C" w:rsidRDefault="00D00C1C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AC" w14:textId="77777777" w:rsidR="00D00C1C" w:rsidRPr="00680A6C" w:rsidRDefault="00947BFE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BORGES, Mariana da costa; PASSOS, Marco Aurélio </w:t>
      </w:r>
      <w:proofErr w:type="spellStart"/>
      <w:r w:rsidRPr="00680A6C">
        <w:rPr>
          <w:rFonts w:ascii="Arial" w:hAnsi="Arial" w:cs="Arial"/>
          <w:color w:val="000000"/>
          <w:sz w:val="24"/>
          <w:szCs w:val="24"/>
        </w:rPr>
        <w:t>Ninomia</w:t>
      </w:r>
      <w:proofErr w:type="spellEnd"/>
      <w:r w:rsidRPr="00680A6C">
        <w:rPr>
          <w:rFonts w:ascii="Arial" w:hAnsi="Arial" w:cs="Arial"/>
          <w:color w:val="000000"/>
          <w:sz w:val="24"/>
          <w:szCs w:val="24"/>
        </w:rPr>
        <w:t xml:space="preserve">. A importância do atendimento humanizado da equipe de enfermagem no cuidado de pacientes trans. </w:t>
      </w:r>
      <w:r w:rsidRPr="00680A6C">
        <w:rPr>
          <w:rFonts w:ascii="Arial" w:hAnsi="Arial" w:cs="Arial"/>
          <w:b/>
          <w:color w:val="000000"/>
          <w:sz w:val="24"/>
          <w:szCs w:val="24"/>
        </w:rPr>
        <w:t>Revista JRG de Estudos Acadêmicos</w:t>
      </w:r>
      <w:r w:rsidRPr="00680A6C">
        <w:rPr>
          <w:rFonts w:ascii="Arial" w:hAnsi="Arial" w:cs="Arial"/>
          <w:color w:val="000000"/>
          <w:sz w:val="24"/>
          <w:szCs w:val="24"/>
        </w:rPr>
        <w:t>, v. 4, n. 8, p. 12-22, 2021.</w:t>
      </w:r>
    </w:p>
    <w:p w14:paraId="2E56BEAD" w14:textId="77777777" w:rsidR="00D00C1C" w:rsidRPr="00680A6C" w:rsidRDefault="00D00C1C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AE" w14:textId="77777777" w:rsidR="00D00C1C" w:rsidRPr="00680A6C" w:rsidRDefault="00947BFE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BOURDIEU, Pierre. </w:t>
      </w:r>
      <w:r w:rsidRPr="00680A6C">
        <w:rPr>
          <w:rFonts w:ascii="Arial" w:hAnsi="Arial" w:cs="Arial"/>
          <w:b/>
          <w:color w:val="000000"/>
          <w:sz w:val="24"/>
          <w:szCs w:val="24"/>
        </w:rPr>
        <w:t xml:space="preserve">O poder simbólico. </w:t>
      </w:r>
      <w:r w:rsidRPr="00680A6C">
        <w:rPr>
          <w:rFonts w:ascii="Arial" w:hAnsi="Arial" w:cs="Arial"/>
          <w:color w:val="000000"/>
          <w:sz w:val="24"/>
          <w:szCs w:val="24"/>
        </w:rPr>
        <w:t>7. ed. Rio de Janeiro: Bertrand Brasil, 2001.</w:t>
      </w:r>
    </w:p>
    <w:p w14:paraId="2E56BEAF" w14:textId="77777777" w:rsidR="00D00C1C" w:rsidRPr="00680A6C" w:rsidRDefault="00D00C1C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B0" w14:textId="77777777" w:rsidR="00D00C1C" w:rsidRPr="00680A6C" w:rsidRDefault="00947BFE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  <w:lang w:val="en-US"/>
        </w:rPr>
        <w:t xml:space="preserve">BOURDIEU, Pierre. </w:t>
      </w:r>
      <w:r w:rsidRPr="00680A6C">
        <w:rPr>
          <w:rFonts w:ascii="Arial" w:hAnsi="Arial" w:cs="Arial"/>
          <w:b/>
          <w:color w:val="000000"/>
          <w:sz w:val="24"/>
          <w:szCs w:val="24"/>
          <w:lang w:val="en-US"/>
        </w:rPr>
        <w:t>The Forms of Capital.</w:t>
      </w:r>
      <w:r w:rsidRPr="00680A6C">
        <w:rPr>
          <w:rFonts w:ascii="Arial" w:hAnsi="Arial" w:cs="Arial"/>
          <w:color w:val="000000"/>
          <w:sz w:val="24"/>
          <w:szCs w:val="24"/>
          <w:lang w:val="en-US"/>
        </w:rPr>
        <w:t xml:space="preserve"> In: RICHARDSON, John G. Handbook of Theory and Research for the Sociology of Education. </w:t>
      </w:r>
      <w:r w:rsidRPr="00680A6C">
        <w:rPr>
          <w:rFonts w:ascii="Arial" w:hAnsi="Arial" w:cs="Arial"/>
          <w:color w:val="000000"/>
          <w:sz w:val="24"/>
          <w:szCs w:val="24"/>
        </w:rPr>
        <w:t>New York: Greenwood, 1986, p. 241-258.</w:t>
      </w:r>
    </w:p>
    <w:p w14:paraId="2E56BEB1" w14:textId="77777777" w:rsidR="00D00C1C" w:rsidRPr="00680A6C" w:rsidRDefault="00D00C1C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B2" w14:textId="77777777" w:rsidR="00D00C1C" w:rsidRPr="00680A6C" w:rsidRDefault="00947BFE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>BRASIL. Ministério da Saúde.</w:t>
      </w:r>
      <w:r w:rsidRPr="00680A6C">
        <w:rPr>
          <w:rFonts w:ascii="Arial" w:hAnsi="Arial" w:cs="Arial"/>
          <w:b/>
          <w:color w:val="000000"/>
          <w:sz w:val="24"/>
          <w:szCs w:val="24"/>
        </w:rPr>
        <w:t xml:space="preserve"> Mulheres trans e travestis contam com atendimento especializado no SUS.</w:t>
      </w:r>
      <w:r w:rsidRPr="00680A6C">
        <w:rPr>
          <w:rFonts w:ascii="Arial" w:hAnsi="Arial" w:cs="Arial"/>
          <w:color w:val="000000"/>
          <w:sz w:val="24"/>
          <w:szCs w:val="24"/>
        </w:rPr>
        <w:t xml:space="preserve"> 2023. Disponível em: https://www.gov.br/saude/pt-br/assuntos/noticias/2023/marco/mulheres-trans-e-travestis-contam-com-atendimento-especializado-no-sus. Acesso em: 5 set. 2024.</w:t>
      </w:r>
    </w:p>
    <w:p w14:paraId="2E56BEB3" w14:textId="77777777" w:rsidR="00D00C1C" w:rsidRPr="00680A6C" w:rsidRDefault="00D00C1C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B4" w14:textId="77777777" w:rsidR="00D00C1C" w:rsidRPr="00680A6C" w:rsidRDefault="00947BFE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 xml:space="preserve">DIL, Gabriel; MOURA, Ariel Augusto Lira de; COSTA, Bernardo Leandro Carvalho. </w:t>
      </w:r>
      <w:r w:rsidRPr="00680A6C">
        <w:rPr>
          <w:rFonts w:ascii="Arial" w:hAnsi="Arial" w:cs="Arial"/>
          <w:b/>
          <w:color w:val="222222"/>
          <w:sz w:val="24"/>
          <w:szCs w:val="24"/>
          <w:highlight w:val="white"/>
        </w:rPr>
        <w:t>Explorando o paradoxo da migração LGBTI+</w:t>
      </w:r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>. Revista Direitos Culturais, [S.L.], v. 18, n. 46, p. 81-96, 28 dez. 2023. Universidade Regional Integrada do Alto U​</w:t>
      </w:r>
      <w:proofErr w:type="spellStart"/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>ruguai</w:t>
      </w:r>
      <w:proofErr w:type="spellEnd"/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 xml:space="preserve"> e das </w:t>
      </w:r>
      <w:proofErr w:type="spellStart"/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>Missoes</w:t>
      </w:r>
      <w:proofErr w:type="spellEnd"/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>. Disponível em: https://doi.org/10.31512/rdc.v18i46.1526. Acesso em: 05 jul. 2024.</w:t>
      </w:r>
    </w:p>
    <w:p w14:paraId="2E56BEB5" w14:textId="77777777" w:rsidR="00D00C1C" w:rsidRPr="00680A6C" w:rsidRDefault="00D00C1C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B6" w14:textId="77777777" w:rsidR="00D00C1C" w:rsidRPr="00680A6C" w:rsidRDefault="00947BFE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LENCI, Livia De Felice (Org.). </w:t>
      </w:r>
      <w:r w:rsidRPr="00680A6C">
        <w:rPr>
          <w:rFonts w:ascii="Arial" w:hAnsi="Arial" w:cs="Arial"/>
          <w:b/>
          <w:color w:val="000000"/>
          <w:sz w:val="24"/>
          <w:szCs w:val="24"/>
        </w:rPr>
        <w:t>Manual de atendimento jurídico a migrantes e refugiados</w:t>
      </w:r>
      <w:r w:rsidRPr="00680A6C">
        <w:rPr>
          <w:rFonts w:ascii="Arial" w:hAnsi="Arial" w:cs="Arial"/>
          <w:color w:val="000000"/>
          <w:sz w:val="24"/>
          <w:szCs w:val="24"/>
        </w:rPr>
        <w:t>. Coordenação Natália Maciel, Marcelo Torelly, João Chaves. -- Brasília, DF: OIM - Organização Internacional para as Migrações, 2022.</w:t>
      </w:r>
    </w:p>
    <w:p w14:paraId="2E56BEB7" w14:textId="77777777" w:rsidR="00D00C1C" w:rsidRPr="00680A6C" w:rsidRDefault="00D00C1C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B8" w14:textId="77777777" w:rsidR="00D00C1C" w:rsidRPr="00680A6C" w:rsidRDefault="00947BFE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lastRenderedPageBreak/>
        <w:t xml:space="preserve">MENESES, Cleber Souza; ENNES, Marcelo </w:t>
      </w:r>
      <w:proofErr w:type="spellStart"/>
      <w:r w:rsidRPr="00680A6C">
        <w:rPr>
          <w:rFonts w:ascii="Arial" w:hAnsi="Arial" w:cs="Arial"/>
          <w:color w:val="000000"/>
          <w:sz w:val="24"/>
          <w:szCs w:val="24"/>
        </w:rPr>
        <w:t>Alario</w:t>
      </w:r>
      <w:proofErr w:type="spellEnd"/>
      <w:r w:rsidRPr="00680A6C">
        <w:rPr>
          <w:rFonts w:ascii="Arial" w:hAnsi="Arial" w:cs="Arial"/>
          <w:color w:val="000000"/>
          <w:sz w:val="24"/>
          <w:szCs w:val="24"/>
        </w:rPr>
        <w:t xml:space="preserve">. </w:t>
      </w:r>
      <w:r w:rsidRPr="00680A6C">
        <w:rPr>
          <w:rFonts w:ascii="Arial" w:hAnsi="Arial" w:cs="Arial"/>
          <w:b/>
          <w:color w:val="000000"/>
          <w:sz w:val="24"/>
          <w:szCs w:val="24"/>
        </w:rPr>
        <w:t>Chegadas e partidas da “Diáspora Trans”</w:t>
      </w:r>
      <w:r w:rsidRPr="00680A6C">
        <w:rPr>
          <w:rFonts w:ascii="Arial" w:hAnsi="Arial" w:cs="Arial"/>
          <w:color w:val="000000"/>
          <w:sz w:val="24"/>
          <w:szCs w:val="24"/>
        </w:rPr>
        <w:t>: processos migratórios e trânsitos de gênero entre mulheres trans e travestis. Revista Periódicus, Salvador, v. 2, n. 19, p. 73-101, jul.-dez. 2023.</w:t>
      </w:r>
    </w:p>
    <w:p w14:paraId="2E56BEB9" w14:textId="77777777" w:rsidR="00D00C1C" w:rsidRPr="00680A6C" w:rsidRDefault="00D00C1C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BA" w14:textId="77777777" w:rsidR="00D00C1C" w:rsidRPr="00680A6C" w:rsidRDefault="00947BFE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MINAYO, Maria Cecília de Souza. </w:t>
      </w:r>
      <w:r w:rsidRPr="00680A6C">
        <w:rPr>
          <w:rFonts w:ascii="Arial" w:hAnsi="Arial" w:cs="Arial"/>
          <w:b/>
          <w:color w:val="000000"/>
          <w:sz w:val="24"/>
          <w:szCs w:val="24"/>
        </w:rPr>
        <w:t>O desafio do conhecimento</w:t>
      </w:r>
      <w:r w:rsidRPr="00680A6C">
        <w:rPr>
          <w:rFonts w:ascii="Arial" w:hAnsi="Arial" w:cs="Arial"/>
          <w:color w:val="000000"/>
          <w:sz w:val="24"/>
          <w:szCs w:val="24"/>
        </w:rPr>
        <w:t>: pesquisa qualitativa em saúde. 14. ed. São Paulo: Hucitec, 2017.</w:t>
      </w:r>
    </w:p>
    <w:p w14:paraId="2E56BEBB" w14:textId="77777777" w:rsidR="00D00C1C" w:rsidRPr="00680A6C" w:rsidRDefault="00D00C1C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BC" w14:textId="77777777" w:rsidR="00D00C1C" w:rsidRPr="00680A6C" w:rsidRDefault="00947BFE" w:rsidP="00680A6C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highlight w:val="white"/>
        </w:rPr>
      </w:pPr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 xml:space="preserve">MONTEIRO, </w:t>
      </w:r>
      <w:proofErr w:type="spellStart"/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>Dhiego</w:t>
      </w:r>
      <w:proofErr w:type="spellEnd"/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>. </w:t>
      </w:r>
      <w:r w:rsidRPr="00680A6C">
        <w:rPr>
          <w:rFonts w:ascii="Arial" w:hAnsi="Arial" w:cs="Arial"/>
          <w:b/>
          <w:color w:val="222222"/>
          <w:sz w:val="24"/>
          <w:szCs w:val="24"/>
          <w:highlight w:val="white"/>
        </w:rPr>
        <w:t>Como é o acesso à saúde pública para pessoas trans no Brasil?</w:t>
      </w:r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> 2024. Disponível em: https://www.invivo.fiocruz.br/saude/saude-publica-para-pessoas-trans/. Acesso em: 26 nov. 2024.</w:t>
      </w:r>
    </w:p>
    <w:p w14:paraId="2E56BEBD" w14:textId="77777777" w:rsidR="00D00C1C" w:rsidRPr="00680A6C" w:rsidRDefault="00D00C1C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BE" w14:textId="77777777" w:rsidR="00D00C1C" w:rsidRPr="00680A6C" w:rsidRDefault="00947BFE" w:rsidP="00680A6C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highlight w:val="white"/>
          <w:lang w:val="en-US"/>
        </w:rPr>
      </w:pPr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 xml:space="preserve">PEREIRA, Bárbara Cristina Silva; LEMOS, </w:t>
      </w:r>
      <w:proofErr w:type="spellStart"/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>Silse</w:t>
      </w:r>
      <w:proofErr w:type="spellEnd"/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 xml:space="preserve"> Teixeira de Freitas. </w:t>
      </w:r>
      <w:r w:rsidRPr="00680A6C">
        <w:rPr>
          <w:rFonts w:ascii="Arial" w:hAnsi="Arial" w:cs="Arial"/>
          <w:b/>
          <w:color w:val="222222"/>
          <w:sz w:val="24"/>
          <w:szCs w:val="24"/>
          <w:highlight w:val="white"/>
        </w:rPr>
        <w:t>O trabalho do/a assistente social no atendimento à população transgênero e travesti</w:t>
      </w:r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>. Serviço Social &amp; Sociedade</w:t>
      </w:r>
      <w:r w:rsidRPr="00680A6C">
        <w:rPr>
          <w:rFonts w:ascii="Arial" w:hAnsi="Arial" w:cs="Arial"/>
          <w:b/>
          <w:color w:val="222222"/>
          <w:sz w:val="24"/>
          <w:szCs w:val="24"/>
          <w:highlight w:val="white"/>
        </w:rPr>
        <w:t>,</w:t>
      </w:r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 xml:space="preserve"> [S.L.], n. 142, p. 529-548, dez. 2021. </w:t>
      </w:r>
      <w:proofErr w:type="spellStart"/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>FapUNIFESP</w:t>
      </w:r>
      <w:proofErr w:type="spellEnd"/>
      <w:r w:rsidRPr="00680A6C">
        <w:rPr>
          <w:rFonts w:ascii="Arial" w:hAnsi="Arial" w:cs="Arial"/>
          <w:color w:val="222222"/>
          <w:sz w:val="24"/>
          <w:szCs w:val="24"/>
          <w:highlight w:val="white"/>
        </w:rPr>
        <w:t xml:space="preserve"> (SciELO). </w:t>
      </w:r>
      <w:r w:rsidRPr="00680A6C">
        <w:rPr>
          <w:rFonts w:ascii="Arial" w:hAnsi="Arial" w:cs="Arial"/>
          <w:color w:val="222222"/>
          <w:sz w:val="24"/>
          <w:szCs w:val="24"/>
          <w:highlight w:val="white"/>
          <w:lang w:val="en-US"/>
        </w:rPr>
        <w:t xml:space="preserve">Disponível em: http://dx.doi.org/10.1590/0101-6628.263. Acesso em: 01 </w:t>
      </w:r>
      <w:proofErr w:type="spellStart"/>
      <w:r w:rsidRPr="00680A6C">
        <w:rPr>
          <w:rFonts w:ascii="Arial" w:hAnsi="Arial" w:cs="Arial"/>
          <w:color w:val="222222"/>
          <w:sz w:val="24"/>
          <w:szCs w:val="24"/>
          <w:highlight w:val="white"/>
          <w:lang w:val="en-US"/>
        </w:rPr>
        <w:t>jan.</w:t>
      </w:r>
      <w:proofErr w:type="spellEnd"/>
      <w:r w:rsidRPr="00680A6C">
        <w:rPr>
          <w:rFonts w:ascii="Arial" w:hAnsi="Arial" w:cs="Arial"/>
          <w:color w:val="222222"/>
          <w:sz w:val="24"/>
          <w:szCs w:val="24"/>
          <w:highlight w:val="white"/>
          <w:lang w:val="en-US"/>
        </w:rPr>
        <w:t xml:space="preserve"> 2024.</w:t>
      </w:r>
    </w:p>
    <w:p w14:paraId="2E56BEBF" w14:textId="77777777" w:rsidR="00D00C1C" w:rsidRPr="00680A6C" w:rsidRDefault="00D00C1C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2E56BEC0" w14:textId="77777777" w:rsidR="00D00C1C" w:rsidRPr="00680A6C" w:rsidRDefault="00947BFE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  <w:lang w:val="en-US"/>
        </w:rPr>
        <w:t xml:space="preserve">ROBINSON, Oliver C. </w:t>
      </w:r>
      <w:r w:rsidRPr="00680A6C">
        <w:rPr>
          <w:rFonts w:ascii="Arial" w:hAnsi="Arial" w:cs="Arial"/>
          <w:b/>
          <w:color w:val="000000"/>
          <w:sz w:val="24"/>
          <w:szCs w:val="24"/>
          <w:lang w:val="en-US"/>
        </w:rPr>
        <w:t>Sampling in Interview-Based Qualitative Research</w:t>
      </w:r>
      <w:r w:rsidRPr="00680A6C">
        <w:rPr>
          <w:rFonts w:ascii="Arial" w:hAnsi="Arial" w:cs="Arial"/>
          <w:color w:val="000000"/>
          <w:sz w:val="24"/>
          <w:szCs w:val="24"/>
          <w:lang w:val="en-US"/>
        </w:rPr>
        <w:t xml:space="preserve">: a theoretical and practical guide. Qualitative Research In Psychology, [S.L.], v. 11, n. 1, p. 25-41, 18 </w:t>
      </w:r>
      <w:proofErr w:type="spellStart"/>
      <w:r w:rsidRPr="00680A6C">
        <w:rPr>
          <w:rFonts w:ascii="Arial" w:hAnsi="Arial" w:cs="Arial"/>
          <w:color w:val="000000"/>
          <w:sz w:val="24"/>
          <w:szCs w:val="24"/>
          <w:lang w:val="en-US"/>
        </w:rPr>
        <w:t>nov.</w:t>
      </w:r>
      <w:proofErr w:type="spellEnd"/>
      <w:r w:rsidRPr="00680A6C">
        <w:rPr>
          <w:rFonts w:ascii="Arial" w:hAnsi="Arial" w:cs="Arial"/>
          <w:color w:val="000000"/>
          <w:sz w:val="24"/>
          <w:szCs w:val="24"/>
          <w:lang w:val="en-US"/>
        </w:rPr>
        <w:t xml:space="preserve"> 2013. </w:t>
      </w:r>
      <w:r w:rsidRPr="00680A6C">
        <w:rPr>
          <w:rFonts w:ascii="Arial" w:hAnsi="Arial" w:cs="Arial"/>
          <w:color w:val="000000"/>
          <w:sz w:val="24"/>
          <w:szCs w:val="24"/>
        </w:rPr>
        <w:t xml:space="preserve">Informa UK </w:t>
      </w:r>
      <w:proofErr w:type="spellStart"/>
      <w:r w:rsidRPr="00680A6C">
        <w:rPr>
          <w:rFonts w:ascii="Arial" w:hAnsi="Arial" w:cs="Arial"/>
          <w:color w:val="000000"/>
          <w:sz w:val="24"/>
          <w:szCs w:val="24"/>
        </w:rPr>
        <w:t>Limited</w:t>
      </w:r>
      <w:proofErr w:type="spellEnd"/>
      <w:r w:rsidRPr="00680A6C">
        <w:rPr>
          <w:rFonts w:ascii="Arial" w:hAnsi="Arial" w:cs="Arial"/>
          <w:color w:val="000000"/>
          <w:sz w:val="24"/>
          <w:szCs w:val="24"/>
        </w:rPr>
        <w:t>. Disponível em: http://dx.doi.org/10.1080/14780887.2013.801543. Acesso em: 06 jun. 2023..</w:t>
      </w:r>
    </w:p>
    <w:p w14:paraId="2E56BEC1" w14:textId="77777777" w:rsidR="00D00C1C" w:rsidRPr="00680A6C" w:rsidRDefault="00D00C1C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C2" w14:textId="77777777" w:rsidR="00D00C1C" w:rsidRPr="00680A6C" w:rsidRDefault="00947BFE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SILVA, Izabel Cristina Brito da; </w:t>
      </w:r>
      <w:proofErr w:type="spellStart"/>
      <w:r w:rsidRPr="00680A6C">
        <w:rPr>
          <w:rFonts w:ascii="Arial" w:hAnsi="Arial" w:cs="Arial"/>
          <w:color w:val="000000"/>
          <w:sz w:val="24"/>
          <w:szCs w:val="24"/>
        </w:rPr>
        <w:t>ARAðJO</w:t>
      </w:r>
      <w:proofErr w:type="spellEnd"/>
      <w:r w:rsidRPr="00680A6C">
        <w:rPr>
          <w:rFonts w:ascii="Arial" w:hAnsi="Arial" w:cs="Arial"/>
          <w:color w:val="000000"/>
          <w:sz w:val="24"/>
          <w:szCs w:val="24"/>
        </w:rPr>
        <w:t xml:space="preserve">, Ednaldo Cavalcante de; SANTANA, </w:t>
      </w:r>
      <w:proofErr w:type="spellStart"/>
      <w:r w:rsidRPr="00680A6C">
        <w:rPr>
          <w:rFonts w:ascii="Arial" w:hAnsi="Arial" w:cs="Arial"/>
          <w:color w:val="000000"/>
          <w:sz w:val="24"/>
          <w:szCs w:val="24"/>
        </w:rPr>
        <w:t>Alef</w:t>
      </w:r>
      <w:proofErr w:type="spellEnd"/>
      <w:r w:rsidRPr="00680A6C">
        <w:rPr>
          <w:rFonts w:ascii="Arial" w:hAnsi="Arial" w:cs="Arial"/>
          <w:color w:val="000000"/>
          <w:sz w:val="24"/>
          <w:szCs w:val="24"/>
        </w:rPr>
        <w:t xml:space="preserve"> Diogo da Silva; MOURA, Jefferson </w:t>
      </w:r>
      <w:proofErr w:type="spellStart"/>
      <w:r w:rsidRPr="00680A6C">
        <w:rPr>
          <w:rFonts w:ascii="Arial" w:hAnsi="Arial" w:cs="Arial"/>
          <w:color w:val="000000"/>
          <w:sz w:val="24"/>
          <w:szCs w:val="24"/>
        </w:rPr>
        <w:t>Wildes</w:t>
      </w:r>
      <w:proofErr w:type="spellEnd"/>
      <w:r w:rsidRPr="00680A6C">
        <w:rPr>
          <w:rFonts w:ascii="Arial" w:hAnsi="Arial" w:cs="Arial"/>
          <w:color w:val="000000"/>
          <w:sz w:val="24"/>
          <w:szCs w:val="24"/>
        </w:rPr>
        <w:t xml:space="preserve"> da Silva; RAMALHO, </w:t>
      </w:r>
      <w:proofErr w:type="spellStart"/>
      <w:r w:rsidRPr="00680A6C">
        <w:rPr>
          <w:rFonts w:ascii="Arial" w:hAnsi="Arial" w:cs="Arial"/>
          <w:color w:val="000000"/>
          <w:sz w:val="24"/>
          <w:szCs w:val="24"/>
        </w:rPr>
        <w:t>Marclineide</w:t>
      </w:r>
      <w:proofErr w:type="spellEnd"/>
      <w:r w:rsidRPr="00680A6C">
        <w:rPr>
          <w:rFonts w:ascii="Arial" w:hAnsi="Arial" w:cs="Arial"/>
          <w:color w:val="000000"/>
          <w:sz w:val="24"/>
          <w:szCs w:val="24"/>
        </w:rPr>
        <w:t xml:space="preserve"> Nóbrega de Andrade; ABREU, Paula Daniella de. </w:t>
      </w:r>
      <w:proofErr w:type="spellStart"/>
      <w:r w:rsidRPr="00680A6C">
        <w:rPr>
          <w:rFonts w:ascii="Arial" w:hAnsi="Arial" w:cs="Arial"/>
          <w:b/>
          <w:color w:val="000000"/>
          <w:sz w:val="24"/>
          <w:szCs w:val="24"/>
        </w:rPr>
        <w:t>Gender</w:t>
      </w:r>
      <w:proofErr w:type="spellEnd"/>
      <w:r w:rsidRPr="00680A6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proofErr w:type="spellStart"/>
      <w:r w:rsidRPr="00680A6C">
        <w:rPr>
          <w:rFonts w:ascii="Arial" w:hAnsi="Arial" w:cs="Arial"/>
          <w:b/>
          <w:color w:val="000000"/>
          <w:sz w:val="24"/>
          <w:szCs w:val="24"/>
        </w:rPr>
        <w:t>violence</w:t>
      </w:r>
      <w:proofErr w:type="spellEnd"/>
      <w:r w:rsidRPr="00680A6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proofErr w:type="spellStart"/>
      <w:r w:rsidRPr="00680A6C">
        <w:rPr>
          <w:rFonts w:ascii="Arial" w:hAnsi="Arial" w:cs="Arial"/>
          <w:b/>
          <w:color w:val="000000"/>
          <w:sz w:val="24"/>
          <w:szCs w:val="24"/>
        </w:rPr>
        <w:t>perpetrated</w:t>
      </w:r>
      <w:proofErr w:type="spellEnd"/>
      <w:r w:rsidRPr="00680A6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proofErr w:type="spellStart"/>
      <w:r w:rsidRPr="00680A6C">
        <w:rPr>
          <w:rFonts w:ascii="Arial" w:hAnsi="Arial" w:cs="Arial"/>
          <w:b/>
          <w:color w:val="000000"/>
          <w:sz w:val="24"/>
          <w:szCs w:val="24"/>
        </w:rPr>
        <w:t>against</w:t>
      </w:r>
      <w:proofErr w:type="spellEnd"/>
      <w:r w:rsidRPr="00680A6C">
        <w:rPr>
          <w:rFonts w:ascii="Arial" w:hAnsi="Arial" w:cs="Arial"/>
          <w:b/>
          <w:color w:val="000000"/>
          <w:sz w:val="24"/>
          <w:szCs w:val="24"/>
        </w:rPr>
        <w:t xml:space="preserve"> trans </w:t>
      </w:r>
      <w:proofErr w:type="spellStart"/>
      <w:r w:rsidRPr="00680A6C">
        <w:rPr>
          <w:rFonts w:ascii="Arial" w:hAnsi="Arial" w:cs="Arial"/>
          <w:b/>
          <w:color w:val="000000"/>
          <w:sz w:val="24"/>
          <w:szCs w:val="24"/>
        </w:rPr>
        <w:t>women</w:t>
      </w:r>
      <w:proofErr w:type="spellEnd"/>
      <w:r w:rsidRPr="00680A6C">
        <w:rPr>
          <w:rFonts w:ascii="Arial" w:hAnsi="Arial" w:cs="Arial"/>
          <w:color w:val="000000"/>
          <w:sz w:val="24"/>
          <w:szCs w:val="24"/>
        </w:rPr>
        <w:t xml:space="preserve">. Revista Brasileira de Enfermagem, [S.L.], v. 75, n. 2, p. 1-8, 2022. </w:t>
      </w:r>
      <w:proofErr w:type="spellStart"/>
      <w:r w:rsidRPr="00680A6C">
        <w:rPr>
          <w:rFonts w:ascii="Arial" w:hAnsi="Arial" w:cs="Arial"/>
          <w:color w:val="000000"/>
          <w:sz w:val="24"/>
          <w:szCs w:val="24"/>
        </w:rPr>
        <w:t>FapUNIFESP</w:t>
      </w:r>
      <w:proofErr w:type="spellEnd"/>
      <w:r w:rsidRPr="00680A6C">
        <w:rPr>
          <w:rFonts w:ascii="Arial" w:hAnsi="Arial" w:cs="Arial"/>
          <w:color w:val="000000"/>
          <w:sz w:val="24"/>
          <w:szCs w:val="24"/>
        </w:rPr>
        <w:t xml:space="preserve"> (SciELO). Disponível em: http://dx.doi.org/10.1590/0034-7167-2021-0173. Acesso em: 05 jul. 2024.</w:t>
      </w:r>
    </w:p>
    <w:p w14:paraId="2E56BEC3" w14:textId="77777777" w:rsidR="00D00C1C" w:rsidRPr="00680A6C" w:rsidRDefault="00D00C1C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C4" w14:textId="77777777" w:rsidR="00D00C1C" w:rsidRPr="00680A6C" w:rsidRDefault="00947BFE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SOARES, Matheus Augusto; FARRET, </w:t>
      </w:r>
      <w:proofErr w:type="spellStart"/>
      <w:r w:rsidRPr="00680A6C">
        <w:rPr>
          <w:rFonts w:ascii="Arial" w:hAnsi="Arial" w:cs="Arial"/>
          <w:color w:val="000000"/>
          <w:sz w:val="24"/>
          <w:szCs w:val="24"/>
        </w:rPr>
        <w:t>Nerissa</w:t>
      </w:r>
      <w:proofErr w:type="spellEnd"/>
      <w:r w:rsidRPr="00680A6C">
        <w:rPr>
          <w:rFonts w:ascii="Arial" w:hAnsi="Arial" w:cs="Arial"/>
          <w:color w:val="000000"/>
          <w:sz w:val="24"/>
          <w:szCs w:val="24"/>
        </w:rPr>
        <w:t xml:space="preserve"> Krebs. </w:t>
      </w:r>
      <w:r w:rsidRPr="00680A6C">
        <w:rPr>
          <w:rFonts w:ascii="Arial" w:hAnsi="Arial" w:cs="Arial"/>
          <w:b/>
          <w:color w:val="000000"/>
          <w:sz w:val="24"/>
          <w:szCs w:val="24"/>
          <w:lang w:val="en-US"/>
        </w:rPr>
        <w:t>Brazilian response to the Venezuelan humanitarian crisis</w:t>
      </w:r>
      <w:r w:rsidRPr="00680A6C">
        <w:rPr>
          <w:rFonts w:ascii="Arial" w:hAnsi="Arial" w:cs="Arial"/>
          <w:color w:val="000000"/>
          <w:sz w:val="24"/>
          <w:szCs w:val="24"/>
          <w:lang w:val="en-US"/>
        </w:rPr>
        <w:t xml:space="preserve">: operation </w:t>
      </w:r>
      <w:proofErr w:type="spellStart"/>
      <w:r w:rsidRPr="00680A6C">
        <w:rPr>
          <w:rFonts w:ascii="Arial" w:hAnsi="Arial" w:cs="Arial"/>
          <w:color w:val="000000"/>
          <w:sz w:val="24"/>
          <w:szCs w:val="24"/>
          <w:lang w:val="en-US"/>
        </w:rPr>
        <w:t>acolhida</w:t>
      </w:r>
      <w:proofErr w:type="spellEnd"/>
      <w:r w:rsidRPr="00680A6C">
        <w:rPr>
          <w:rFonts w:ascii="Arial" w:hAnsi="Arial" w:cs="Arial"/>
          <w:color w:val="000000"/>
          <w:sz w:val="24"/>
          <w:szCs w:val="24"/>
          <w:lang w:val="en-US"/>
        </w:rPr>
        <w:t xml:space="preserve"> as a politics of hope. </w:t>
      </w:r>
      <w:r w:rsidRPr="00680A6C">
        <w:rPr>
          <w:rFonts w:ascii="Arial" w:hAnsi="Arial" w:cs="Arial"/>
          <w:color w:val="000000"/>
          <w:sz w:val="24"/>
          <w:szCs w:val="24"/>
        </w:rPr>
        <w:t xml:space="preserve">Contexto Internacional, [S.L.], v. 45, n. 1, p. 1-21, abr. 2023. </w:t>
      </w:r>
      <w:proofErr w:type="spellStart"/>
      <w:r w:rsidRPr="00680A6C">
        <w:rPr>
          <w:rFonts w:ascii="Arial" w:hAnsi="Arial" w:cs="Arial"/>
          <w:color w:val="000000"/>
          <w:sz w:val="24"/>
          <w:szCs w:val="24"/>
        </w:rPr>
        <w:t>FapUNIFESP</w:t>
      </w:r>
      <w:proofErr w:type="spellEnd"/>
      <w:r w:rsidRPr="00680A6C">
        <w:rPr>
          <w:rFonts w:ascii="Arial" w:hAnsi="Arial" w:cs="Arial"/>
          <w:color w:val="000000"/>
          <w:sz w:val="24"/>
          <w:szCs w:val="24"/>
        </w:rPr>
        <w:t xml:space="preserve"> (SciELO). Disponível em: http://dx.doi.org/10.1590/s0102-8529.20234501e2021036.. Acesso em: 04 jul. 2024.</w:t>
      </w:r>
    </w:p>
    <w:p w14:paraId="2E56BEC5" w14:textId="77777777" w:rsidR="00D00C1C" w:rsidRPr="00680A6C" w:rsidRDefault="00D00C1C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C6" w14:textId="77777777" w:rsidR="00D00C1C" w:rsidRPr="00680A6C" w:rsidRDefault="00947BFE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  <w:lang w:val="en-US"/>
        </w:rPr>
        <w:t xml:space="preserve">UNITED NATIONS OFFICE ON DRUGS AND CRIME (UNODC). Poverty and unemployment: main drivers of human trafficking in Brazil. </w:t>
      </w:r>
      <w:r w:rsidRPr="00680A6C">
        <w:rPr>
          <w:rFonts w:ascii="Arial" w:hAnsi="Arial" w:cs="Arial"/>
          <w:color w:val="000000"/>
          <w:sz w:val="24"/>
          <w:szCs w:val="24"/>
        </w:rPr>
        <w:t>2023. Disponível em: https://www.unodc.org/lpo-brazil/en/frontpage/2021/09/poverty-and-unemployment-main-drivers-of-human-trafficking-in-brazil.html. Acesso em: 15 jul. 2023.</w:t>
      </w:r>
    </w:p>
    <w:p w14:paraId="2E56BEC7" w14:textId="77777777" w:rsidR="00D00C1C" w:rsidRPr="00680A6C" w:rsidRDefault="00D00C1C" w:rsidP="00680A6C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56BEC9" w14:textId="788D6E15" w:rsidR="00D00C1C" w:rsidRPr="00680A6C" w:rsidRDefault="00947BFE" w:rsidP="00680A6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80A6C">
        <w:rPr>
          <w:rFonts w:ascii="Arial" w:hAnsi="Arial" w:cs="Arial"/>
          <w:color w:val="000000"/>
          <w:sz w:val="24"/>
          <w:szCs w:val="24"/>
        </w:rPr>
        <w:t xml:space="preserve">VIEIRA, Mariana; ARAÚJO, Raíssa; MEDEIROS, </w:t>
      </w:r>
      <w:proofErr w:type="spellStart"/>
      <w:r w:rsidRPr="00680A6C">
        <w:rPr>
          <w:rFonts w:ascii="Arial" w:hAnsi="Arial" w:cs="Arial"/>
          <w:color w:val="000000"/>
          <w:sz w:val="24"/>
          <w:szCs w:val="24"/>
        </w:rPr>
        <w:t>Danuta</w:t>
      </w:r>
      <w:proofErr w:type="spellEnd"/>
      <w:r w:rsidRPr="00680A6C">
        <w:rPr>
          <w:rFonts w:ascii="Arial" w:hAnsi="Arial" w:cs="Arial"/>
          <w:color w:val="000000"/>
          <w:sz w:val="24"/>
          <w:szCs w:val="24"/>
        </w:rPr>
        <w:t xml:space="preserve">. As dificuldades enfrentadas pela população trans no acesso aos serviços de saúde: uma revisão integrativa de literatura. </w:t>
      </w:r>
      <w:proofErr w:type="spellStart"/>
      <w:r w:rsidRPr="00680A6C">
        <w:rPr>
          <w:rFonts w:ascii="Arial" w:hAnsi="Arial" w:cs="Arial"/>
          <w:color w:val="000000"/>
          <w:sz w:val="24"/>
          <w:szCs w:val="24"/>
        </w:rPr>
        <w:t>Research</w:t>
      </w:r>
      <w:proofErr w:type="spellEnd"/>
      <w:r w:rsidRPr="00680A6C">
        <w:rPr>
          <w:rFonts w:ascii="Arial" w:hAnsi="Arial" w:cs="Arial"/>
          <w:color w:val="000000"/>
          <w:sz w:val="24"/>
          <w:szCs w:val="24"/>
        </w:rPr>
        <w:t>, Society and Development, v. 11, e276111235019, 2022. DOI: 10.33448/rsd-v11i12.35019.</w:t>
      </w:r>
    </w:p>
    <w:sectPr w:rsidR="00D00C1C" w:rsidRPr="00680A6C">
      <w:headerReference w:type="default" r:id="rId8"/>
      <w:pgSz w:w="11909" w:h="16834"/>
      <w:pgMar w:top="1701" w:right="1134" w:bottom="11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48F76" w14:textId="77777777" w:rsidR="00212976" w:rsidRDefault="00212976">
      <w:pPr>
        <w:spacing w:line="240" w:lineRule="auto"/>
      </w:pPr>
      <w:r>
        <w:separator/>
      </w:r>
    </w:p>
  </w:endnote>
  <w:endnote w:type="continuationSeparator" w:id="0">
    <w:p w14:paraId="291CE0E0" w14:textId="77777777" w:rsidR="00212976" w:rsidRDefault="002129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56A67" w14:textId="77777777" w:rsidR="00212976" w:rsidRDefault="00212976">
      <w:pPr>
        <w:spacing w:line="240" w:lineRule="auto"/>
      </w:pPr>
      <w:r>
        <w:separator/>
      </w:r>
    </w:p>
  </w:footnote>
  <w:footnote w:type="continuationSeparator" w:id="0">
    <w:p w14:paraId="5722EBCC" w14:textId="77777777" w:rsidR="00212976" w:rsidRDefault="00212976">
      <w:pPr>
        <w:spacing w:line="240" w:lineRule="auto"/>
      </w:pPr>
      <w:r>
        <w:continuationSeparator/>
      </w:r>
    </w:p>
  </w:footnote>
  <w:footnote w:id="1">
    <w:p w14:paraId="2CC63030" w14:textId="54430043" w:rsidR="00C73979" w:rsidRPr="000F1F74" w:rsidRDefault="00C73979" w:rsidP="00CF0512">
      <w:pPr>
        <w:pStyle w:val="Textodenotaderodap"/>
        <w:jc w:val="both"/>
        <w:rPr>
          <w:rFonts w:ascii="Arial" w:hAnsi="Arial" w:cs="Arial"/>
        </w:rPr>
      </w:pPr>
      <w:r w:rsidRPr="000F1F74">
        <w:rPr>
          <w:rStyle w:val="Refdenotaderodap"/>
          <w:rFonts w:ascii="Arial" w:hAnsi="Arial" w:cs="Arial"/>
        </w:rPr>
        <w:footnoteRef/>
      </w:r>
      <w:r w:rsidRPr="000F1F74">
        <w:rPr>
          <w:rFonts w:ascii="Arial" w:hAnsi="Arial" w:cs="Arial"/>
        </w:rPr>
        <w:t xml:space="preserve"> </w:t>
      </w:r>
      <w:r w:rsidR="0026599C" w:rsidRPr="000F1F74">
        <w:rPr>
          <w:rFonts w:ascii="Arial" w:hAnsi="Arial" w:cs="Arial"/>
        </w:rPr>
        <w:t>Mestr</w:t>
      </w:r>
      <w:r w:rsidR="0026599C" w:rsidRPr="000F1F74">
        <w:rPr>
          <w:rFonts w:ascii="Arial" w:hAnsi="Arial" w:cs="Arial"/>
        </w:rPr>
        <w:t>e</w:t>
      </w:r>
      <w:r w:rsidR="0026599C" w:rsidRPr="000F1F74">
        <w:rPr>
          <w:rFonts w:ascii="Arial" w:hAnsi="Arial" w:cs="Arial"/>
        </w:rPr>
        <w:t xml:space="preserve"> pelo Programa de Pós-graduação em</w:t>
      </w:r>
      <w:r w:rsidR="0026599C" w:rsidRPr="000F1F74">
        <w:rPr>
          <w:rFonts w:ascii="Arial" w:hAnsi="Arial" w:cs="Arial"/>
        </w:rPr>
        <w:t xml:space="preserve"> Saúde Coletiva </w:t>
      </w:r>
      <w:r w:rsidR="005B5EC6" w:rsidRPr="000F1F74">
        <w:rPr>
          <w:rFonts w:ascii="Arial" w:hAnsi="Arial" w:cs="Arial"/>
        </w:rPr>
        <w:t>–</w:t>
      </w:r>
      <w:r w:rsidR="0026599C" w:rsidRPr="000F1F74">
        <w:rPr>
          <w:rFonts w:ascii="Arial" w:hAnsi="Arial" w:cs="Arial"/>
        </w:rPr>
        <w:t xml:space="preserve"> PPGSC</w:t>
      </w:r>
      <w:r w:rsidR="005B5EC6" w:rsidRPr="000F1F74">
        <w:rPr>
          <w:rFonts w:ascii="Arial" w:hAnsi="Arial" w:cs="Arial"/>
        </w:rPr>
        <w:t xml:space="preserve">/UFMA. E-mail: </w:t>
      </w:r>
      <w:r w:rsidR="005B5EC6" w:rsidRPr="000F1F74">
        <w:rPr>
          <w:rFonts w:ascii="Arial" w:hAnsi="Arial" w:cs="Arial"/>
        </w:rPr>
        <w:t>renatalayssaf@gmail.com</w:t>
      </w:r>
      <w:r w:rsidR="00204308" w:rsidRPr="000F1F74">
        <w:rPr>
          <w:rFonts w:ascii="Arial" w:hAnsi="Arial" w:cs="Arial"/>
        </w:rPr>
        <w:t>;</w:t>
      </w:r>
    </w:p>
  </w:footnote>
  <w:footnote w:id="2">
    <w:p w14:paraId="2A8A047E" w14:textId="3F49A19F" w:rsidR="00204308" w:rsidRPr="000F1F74" w:rsidRDefault="00204308" w:rsidP="00CF0512">
      <w:pPr>
        <w:pStyle w:val="Textodenotaderodap"/>
        <w:jc w:val="both"/>
        <w:rPr>
          <w:rFonts w:ascii="Arial" w:hAnsi="Arial" w:cs="Arial"/>
        </w:rPr>
      </w:pPr>
      <w:r w:rsidRPr="000F1F74">
        <w:rPr>
          <w:rStyle w:val="Refdenotaderodap"/>
          <w:rFonts w:ascii="Arial" w:hAnsi="Arial" w:cs="Arial"/>
        </w:rPr>
        <w:footnoteRef/>
      </w:r>
      <w:r w:rsidR="00FC33D3" w:rsidRPr="000F1F74">
        <w:rPr>
          <w:rFonts w:ascii="Arial" w:hAnsi="Arial" w:cs="Arial"/>
        </w:rPr>
        <w:t xml:space="preserve"> </w:t>
      </w:r>
      <w:r w:rsidRPr="000F1F74">
        <w:rPr>
          <w:rFonts w:ascii="Arial" w:hAnsi="Arial" w:cs="Arial"/>
        </w:rPr>
        <w:t xml:space="preserve">Mestrando pelo Programa de Pós-graduação em Enfermagem – PPGENF-UFMA. </w:t>
      </w:r>
      <w:r w:rsidR="00431D35" w:rsidRPr="000F1F74">
        <w:rPr>
          <w:rFonts w:ascii="Arial" w:hAnsi="Arial" w:cs="Arial"/>
        </w:rPr>
        <w:t>E</w:t>
      </w:r>
      <w:r w:rsidRPr="000F1F74">
        <w:rPr>
          <w:rFonts w:ascii="Arial" w:hAnsi="Arial" w:cs="Arial"/>
        </w:rPr>
        <w:t>-mail: marcus.chagas@discente.ufma.br</w:t>
      </w:r>
      <w:r w:rsidRPr="000F1F74">
        <w:rPr>
          <w:rFonts w:ascii="Arial" w:hAnsi="Arial" w:cs="Arial"/>
        </w:rPr>
        <w:t>;</w:t>
      </w:r>
    </w:p>
  </w:footnote>
  <w:footnote w:id="3">
    <w:p w14:paraId="07B63E5C" w14:textId="0066DB08" w:rsidR="006A3F11" w:rsidRPr="000F1F74" w:rsidRDefault="006A3F11" w:rsidP="00CF0512">
      <w:pPr>
        <w:pStyle w:val="Textodenotaderodap"/>
        <w:jc w:val="both"/>
        <w:rPr>
          <w:rFonts w:ascii="Arial" w:hAnsi="Arial" w:cs="Arial"/>
        </w:rPr>
      </w:pPr>
      <w:r w:rsidRPr="000F1F74">
        <w:rPr>
          <w:rStyle w:val="Refdenotaderodap"/>
          <w:rFonts w:ascii="Arial" w:hAnsi="Arial" w:cs="Arial"/>
        </w:rPr>
        <w:footnoteRef/>
      </w:r>
      <w:r w:rsidRPr="000F1F74">
        <w:rPr>
          <w:rFonts w:ascii="Arial" w:hAnsi="Arial" w:cs="Arial"/>
        </w:rPr>
        <w:t xml:space="preserve"> </w:t>
      </w:r>
      <w:r w:rsidR="004E6921" w:rsidRPr="000F1F74">
        <w:rPr>
          <w:rFonts w:ascii="Arial" w:hAnsi="Arial" w:cs="Arial"/>
        </w:rPr>
        <w:t>Graduando de Psicologia pela Universidade Federal do Maranhão</w:t>
      </w:r>
      <w:r w:rsidR="00431D35" w:rsidRPr="000F1F74">
        <w:rPr>
          <w:rFonts w:ascii="Arial" w:hAnsi="Arial" w:cs="Arial"/>
        </w:rPr>
        <w:t xml:space="preserve"> (UFMA) - </w:t>
      </w:r>
      <w:r w:rsidR="00431D35" w:rsidRPr="000F1F74">
        <w:rPr>
          <w:rFonts w:ascii="Arial" w:hAnsi="Arial" w:cs="Arial"/>
        </w:rPr>
        <w:t>E-mail:</w:t>
      </w:r>
      <w:r w:rsidR="00431D35" w:rsidRPr="000F1F74">
        <w:rPr>
          <w:rFonts w:ascii="Arial" w:hAnsi="Arial" w:cs="Arial"/>
        </w:rPr>
        <w:t xml:space="preserve"> </w:t>
      </w:r>
      <w:r w:rsidR="00431D35" w:rsidRPr="000F1F74">
        <w:rPr>
          <w:rFonts w:ascii="Arial" w:hAnsi="Arial" w:cs="Arial"/>
        </w:rPr>
        <w:t>Rodrigonatan09@gmail.com</w:t>
      </w:r>
    </w:p>
  </w:footnote>
  <w:footnote w:id="4">
    <w:p w14:paraId="7D521F5C" w14:textId="50CBB3A3" w:rsidR="006A3F11" w:rsidRPr="000F1F74" w:rsidRDefault="006A3F11" w:rsidP="00CF0512">
      <w:pPr>
        <w:pStyle w:val="Textodenotaderodap"/>
        <w:jc w:val="both"/>
        <w:rPr>
          <w:rFonts w:ascii="Arial" w:hAnsi="Arial" w:cs="Arial"/>
        </w:rPr>
      </w:pPr>
      <w:r w:rsidRPr="000F1F74">
        <w:rPr>
          <w:rStyle w:val="Refdenotaderodap"/>
          <w:rFonts w:ascii="Arial" w:hAnsi="Arial" w:cs="Arial"/>
        </w:rPr>
        <w:footnoteRef/>
      </w:r>
      <w:r w:rsidR="00CF0512" w:rsidRPr="000F1F74">
        <w:rPr>
          <w:rFonts w:ascii="Arial" w:hAnsi="Arial" w:cs="Arial"/>
        </w:rPr>
        <w:t xml:space="preserve"> </w:t>
      </w:r>
      <w:r w:rsidR="00D7520E" w:rsidRPr="000F1F74">
        <w:rPr>
          <w:rFonts w:ascii="Arial" w:hAnsi="Arial" w:cs="Arial"/>
        </w:rPr>
        <w:t>Mestranda pelo Programa de Pós-Graduação em Saúde Coletiva - PPGSC/UFMA</w:t>
      </w:r>
      <w:r w:rsidR="00D7520E" w:rsidRPr="000F1F74">
        <w:rPr>
          <w:rFonts w:ascii="Arial" w:hAnsi="Arial" w:cs="Arial"/>
        </w:rPr>
        <w:t xml:space="preserve"> </w:t>
      </w:r>
      <w:r w:rsidR="00BC3238" w:rsidRPr="000F1F74">
        <w:rPr>
          <w:rFonts w:ascii="Arial" w:hAnsi="Arial" w:cs="Arial"/>
        </w:rPr>
        <w:t>–</w:t>
      </w:r>
      <w:r w:rsidR="00D7520E" w:rsidRPr="000F1F74">
        <w:rPr>
          <w:rFonts w:ascii="Arial" w:hAnsi="Arial" w:cs="Arial"/>
        </w:rPr>
        <w:t xml:space="preserve"> </w:t>
      </w:r>
      <w:r w:rsidR="00BC3238" w:rsidRPr="000F1F74">
        <w:rPr>
          <w:rFonts w:ascii="Arial" w:hAnsi="Arial" w:cs="Arial"/>
        </w:rPr>
        <w:t xml:space="preserve">E-mail: </w:t>
      </w:r>
      <w:r w:rsidR="004E6921" w:rsidRPr="000F1F74">
        <w:rPr>
          <w:rFonts w:ascii="Arial" w:hAnsi="Arial" w:cs="Arial"/>
        </w:rPr>
        <w:t>cmichellera@gmail.com</w:t>
      </w:r>
    </w:p>
  </w:footnote>
  <w:footnote w:id="5">
    <w:p w14:paraId="42725E2A" w14:textId="5CFEC00A" w:rsidR="006A3F11" w:rsidRDefault="006A3F11" w:rsidP="00CF0512">
      <w:pPr>
        <w:pStyle w:val="Textodenotaderodap"/>
        <w:jc w:val="both"/>
      </w:pPr>
      <w:r w:rsidRPr="000F1F74">
        <w:rPr>
          <w:rStyle w:val="Refdenotaderodap"/>
          <w:rFonts w:ascii="Arial" w:hAnsi="Arial" w:cs="Arial"/>
        </w:rPr>
        <w:footnoteRef/>
      </w:r>
      <w:r w:rsidRPr="000F1F74">
        <w:rPr>
          <w:rFonts w:ascii="Arial" w:hAnsi="Arial" w:cs="Arial"/>
        </w:rPr>
        <w:t xml:space="preserve"> </w:t>
      </w:r>
      <w:r w:rsidR="00FC33D3" w:rsidRPr="000F1F74">
        <w:rPr>
          <w:rFonts w:ascii="Arial" w:hAnsi="Arial" w:cs="Arial"/>
        </w:rPr>
        <w:t>Doutora. Docente do Programa de Pós-graduação em Enfermagem – PPGENF-UFMA e Programa de Pós-Graduação em Saúde Coletiva (UFMA). E-mail: sara.fiterman@ufma.br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6BECC" w14:textId="77777777" w:rsidR="00D00C1C" w:rsidRDefault="00947BFE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E56BECD" wp14:editId="2E56BECE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C1C"/>
    <w:rsid w:val="00036211"/>
    <w:rsid w:val="000B6908"/>
    <w:rsid w:val="000F1F74"/>
    <w:rsid w:val="0013128F"/>
    <w:rsid w:val="0014335B"/>
    <w:rsid w:val="001E0CBA"/>
    <w:rsid w:val="002001D9"/>
    <w:rsid w:val="00204308"/>
    <w:rsid w:val="00212976"/>
    <w:rsid w:val="0026599C"/>
    <w:rsid w:val="002771D5"/>
    <w:rsid w:val="00290F00"/>
    <w:rsid w:val="002A1544"/>
    <w:rsid w:val="002C32A1"/>
    <w:rsid w:val="002D7F47"/>
    <w:rsid w:val="003D4D85"/>
    <w:rsid w:val="00431D35"/>
    <w:rsid w:val="004E6921"/>
    <w:rsid w:val="00551DBA"/>
    <w:rsid w:val="00566958"/>
    <w:rsid w:val="005B5EC6"/>
    <w:rsid w:val="005E6269"/>
    <w:rsid w:val="00622907"/>
    <w:rsid w:val="00680A6C"/>
    <w:rsid w:val="006A3F11"/>
    <w:rsid w:val="006F6085"/>
    <w:rsid w:val="00722D50"/>
    <w:rsid w:val="007352A2"/>
    <w:rsid w:val="007375CB"/>
    <w:rsid w:val="008360A7"/>
    <w:rsid w:val="008672B5"/>
    <w:rsid w:val="00872719"/>
    <w:rsid w:val="008866B4"/>
    <w:rsid w:val="00927318"/>
    <w:rsid w:val="00933EAE"/>
    <w:rsid w:val="00947BFE"/>
    <w:rsid w:val="00A66076"/>
    <w:rsid w:val="00BC3238"/>
    <w:rsid w:val="00C505E4"/>
    <w:rsid w:val="00C73979"/>
    <w:rsid w:val="00CF0512"/>
    <w:rsid w:val="00D00C1C"/>
    <w:rsid w:val="00D469A2"/>
    <w:rsid w:val="00D7520E"/>
    <w:rsid w:val="00DD7021"/>
    <w:rsid w:val="00E45828"/>
    <w:rsid w:val="00F10F50"/>
    <w:rsid w:val="00F3314D"/>
    <w:rsid w:val="00FA611A"/>
    <w:rsid w:val="00FC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6BE5B"/>
  <w15:docId w15:val="{F4A6364E-4143-4D37-A336-3BA50A8DB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uppressAutoHyphens/>
      <w:spacing w:before="400" w:after="120"/>
      <w:ind w:leftChars="-1" w:left="-1" w:hangingChars="1" w:hanging="1"/>
      <w:textDirection w:val="btLr"/>
      <w:textAlignment w:val="top"/>
      <w:outlineLvl w:val="0"/>
    </w:pPr>
    <w:rPr>
      <w:position w:val="-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uppressAutoHyphens/>
      <w:spacing w:before="360" w:after="120"/>
      <w:ind w:leftChars="-1" w:left="-1" w:hangingChars="1" w:hanging="1"/>
      <w:textDirection w:val="btLr"/>
      <w:textAlignment w:val="top"/>
      <w:outlineLvl w:val="1"/>
    </w:pPr>
    <w:rPr>
      <w:position w:val="-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320" w:after="80"/>
      <w:ind w:leftChars="-1" w:left="-1" w:hangingChars="1" w:hanging="1"/>
      <w:textDirection w:val="btLr"/>
      <w:textAlignment w:val="top"/>
      <w:outlineLvl w:val="2"/>
    </w:pPr>
    <w:rPr>
      <w:color w:val="434343"/>
      <w:position w:val="-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280" w:after="80"/>
      <w:ind w:leftChars="-1" w:left="-1" w:hangingChars="1" w:hanging="1"/>
      <w:textDirection w:val="btLr"/>
      <w:textAlignment w:val="top"/>
      <w:outlineLvl w:val="3"/>
    </w:pPr>
    <w:rPr>
      <w:color w:val="666666"/>
      <w:position w:val="-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240" w:after="80"/>
      <w:ind w:leftChars="-1" w:left="-1" w:hangingChars="1" w:hanging="1"/>
      <w:textDirection w:val="btLr"/>
      <w:textAlignment w:val="top"/>
      <w:outlineLvl w:val="4"/>
    </w:pPr>
    <w:rPr>
      <w:color w:val="666666"/>
      <w:position w:val="-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240" w:after="80"/>
      <w:ind w:leftChars="-1" w:left="-1" w:hangingChars="1" w:hanging="1"/>
      <w:textDirection w:val="btLr"/>
      <w:textAlignment w:val="top"/>
      <w:outlineLvl w:val="5"/>
    </w:pPr>
    <w:rPr>
      <w:i/>
      <w:color w:val="666666"/>
      <w:position w:val="-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uppressAutoHyphens/>
      <w:spacing w:after="60"/>
      <w:ind w:leftChars="-1" w:left="-1" w:hangingChars="1" w:hanging="1"/>
      <w:textDirection w:val="btLr"/>
      <w:textAlignment w:val="top"/>
      <w:outlineLvl w:val="0"/>
    </w:pPr>
    <w:rPr>
      <w:position w:val="-1"/>
      <w:sz w:val="52"/>
      <w:szCs w:val="52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val="en-US" w:eastAsia="zh-CN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next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73979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7397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73979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20430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043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2xNci5v3CLqerGt94HAYBMT6mw==">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3F83BF7-CDE6-4BAF-84BB-BB8A70532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3773</Words>
  <Characters>20377</Characters>
  <Application>Microsoft Office Word</Application>
  <DocSecurity>0</DocSecurity>
  <Lines>169</Lines>
  <Paragraphs>48</Paragraphs>
  <ScaleCrop>false</ScaleCrop>
  <Company/>
  <LinksUpToDate>false</LinksUpToDate>
  <CharactersWithSpaces>24102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Marcus Vinicius Barbosa Chagas</cp:lastModifiedBy>
  <cp:revision>44</cp:revision>
  <dcterms:created xsi:type="dcterms:W3CDTF">2025-02-17T16:43:00Z</dcterms:created>
  <dcterms:modified xsi:type="dcterms:W3CDTF">2025-07-07T01:21:00Z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1046-12.2.0.21546</vt:lpwstr>
  </property>
  <property fmtid="{D5CDD505-2E9C-101B-9397-08002B2CF9AE}" pid="3" name="ICV">
    <vt:lpwstr>D5B2808E86694E468676CF9D77619A42_12</vt:lpwstr>
  </property>
</Properties>
</file>