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9F79E" w14:textId="77777777" w:rsidR="00E02446" w:rsidRDefault="00F71BAA">
      <w:pPr>
        <w:spacing w:line="360" w:lineRule="auto"/>
        <w:ind w:left="0" w:hanging="2"/>
        <w:jc w:val="center"/>
        <w:rPr>
          <w:sz w:val="24"/>
          <w:szCs w:val="24"/>
        </w:rPr>
      </w:pPr>
      <w:r>
        <w:rPr>
          <w:b/>
          <w:color w:val="FF0000"/>
          <w:sz w:val="24"/>
          <w:szCs w:val="24"/>
        </w:rPr>
        <w:t xml:space="preserve"> </w:t>
      </w:r>
      <w:r>
        <w:rPr>
          <w:b/>
          <w:sz w:val="24"/>
          <w:szCs w:val="24"/>
        </w:rPr>
        <w:t>Religião, cultura e resistência em São Luís - MA:</w:t>
      </w:r>
      <w:r>
        <w:rPr>
          <w:sz w:val="24"/>
          <w:szCs w:val="24"/>
        </w:rPr>
        <w:t xml:space="preserve"> o Tambor de Crioula da comunidade do </w:t>
      </w:r>
      <w:proofErr w:type="spellStart"/>
      <w:r>
        <w:rPr>
          <w:sz w:val="24"/>
          <w:szCs w:val="24"/>
        </w:rPr>
        <w:t>Taim</w:t>
      </w:r>
      <w:proofErr w:type="spellEnd"/>
      <w:r w:rsidR="00FE780D">
        <w:rPr>
          <w:rStyle w:val="Refdenotadefim"/>
          <w:sz w:val="24"/>
          <w:szCs w:val="24"/>
        </w:rPr>
        <w:endnoteReference w:id="1"/>
      </w:r>
    </w:p>
    <w:p w14:paraId="033D4B3C" w14:textId="77777777" w:rsidR="00E02446" w:rsidRDefault="00E02446">
      <w:pPr>
        <w:spacing w:line="360" w:lineRule="auto"/>
        <w:ind w:left="0" w:hanging="2"/>
        <w:jc w:val="center"/>
        <w:rPr>
          <w:sz w:val="24"/>
          <w:szCs w:val="24"/>
        </w:rPr>
      </w:pPr>
    </w:p>
    <w:p w14:paraId="617BE050" w14:textId="77777777" w:rsidR="00E02446" w:rsidRDefault="00F71BAA">
      <w:pPr>
        <w:spacing w:line="360" w:lineRule="auto"/>
        <w:ind w:left="0" w:hanging="2"/>
        <w:jc w:val="right"/>
        <w:rPr>
          <w:sz w:val="24"/>
          <w:szCs w:val="24"/>
        </w:rPr>
      </w:pPr>
      <w:r>
        <w:rPr>
          <w:sz w:val="24"/>
          <w:szCs w:val="24"/>
        </w:rPr>
        <w:t xml:space="preserve">Amanda </w:t>
      </w:r>
      <w:proofErr w:type="spellStart"/>
      <w:r>
        <w:rPr>
          <w:sz w:val="24"/>
          <w:szCs w:val="24"/>
        </w:rPr>
        <w:t>Laryssa</w:t>
      </w:r>
      <w:proofErr w:type="spellEnd"/>
      <w:r>
        <w:rPr>
          <w:sz w:val="24"/>
          <w:szCs w:val="24"/>
        </w:rPr>
        <w:t xml:space="preserve"> Sousa Silva</w:t>
      </w:r>
      <w:r>
        <w:rPr>
          <w:sz w:val="24"/>
          <w:szCs w:val="24"/>
          <w:vertAlign w:val="superscript"/>
        </w:rPr>
        <w:footnoteReference w:id="1"/>
      </w:r>
    </w:p>
    <w:p w14:paraId="68593AA6" w14:textId="77777777" w:rsidR="00E02446" w:rsidRDefault="00E02446">
      <w:pPr>
        <w:spacing w:line="360" w:lineRule="auto"/>
        <w:ind w:left="0" w:hanging="2"/>
        <w:rPr>
          <w:sz w:val="20"/>
          <w:szCs w:val="20"/>
        </w:rPr>
      </w:pPr>
    </w:p>
    <w:p w14:paraId="422BDE20" w14:textId="77777777" w:rsidR="00E02446" w:rsidRDefault="00F71BAA" w:rsidP="00136295">
      <w:pPr>
        <w:spacing w:line="240" w:lineRule="auto"/>
        <w:ind w:leftChars="1287" w:left="2833" w:hanging="2"/>
        <w:jc w:val="both"/>
        <w:rPr>
          <w:sz w:val="20"/>
          <w:szCs w:val="20"/>
        </w:rPr>
      </w:pPr>
      <w:r>
        <w:rPr>
          <w:b/>
          <w:sz w:val="20"/>
          <w:szCs w:val="20"/>
        </w:rPr>
        <w:t>Resumo</w:t>
      </w:r>
    </w:p>
    <w:p w14:paraId="27F55A14" w14:textId="77777777" w:rsidR="00E02446" w:rsidRDefault="00F71BAA" w:rsidP="00136295">
      <w:pPr>
        <w:spacing w:line="240" w:lineRule="auto"/>
        <w:ind w:leftChars="1287" w:left="2833" w:hanging="2"/>
        <w:jc w:val="both"/>
        <w:rPr>
          <w:sz w:val="20"/>
          <w:szCs w:val="20"/>
        </w:rPr>
      </w:pPr>
      <w:r>
        <w:rPr>
          <w:sz w:val="20"/>
          <w:szCs w:val="20"/>
        </w:rPr>
        <w:t xml:space="preserve">O presente trabalho propõe uma análise da territorialidade do grupo de Tambor de Crioula Unidos de São Benedito, pertencente à comunidade do </w:t>
      </w:r>
      <w:proofErr w:type="spellStart"/>
      <w:r>
        <w:rPr>
          <w:sz w:val="20"/>
          <w:szCs w:val="20"/>
        </w:rPr>
        <w:t>Taim</w:t>
      </w:r>
      <w:proofErr w:type="spellEnd"/>
      <w:r>
        <w:rPr>
          <w:sz w:val="20"/>
          <w:szCs w:val="20"/>
        </w:rPr>
        <w:t xml:space="preserve">, zona rural de São Luís – MA. O grupo tradicional da região ocupa historicamente um espaço cultural e religioso importante na comunidade, articulando saberes e memórias ancestrais vinculadas ao território. A crescente influência de igrejas neopentecostais no </w:t>
      </w:r>
      <w:proofErr w:type="spellStart"/>
      <w:r>
        <w:rPr>
          <w:sz w:val="20"/>
          <w:szCs w:val="20"/>
        </w:rPr>
        <w:t>Taim</w:t>
      </w:r>
      <w:proofErr w:type="spellEnd"/>
      <w:r>
        <w:rPr>
          <w:sz w:val="20"/>
          <w:szCs w:val="20"/>
        </w:rPr>
        <w:t xml:space="preserve"> tem gerado mudanças profundas na percepção e uso do espaço coletivo, além de tensões nas práticas ritualísticas. À vista disso, destaca-se a importância da efetivação de políticas públicas que reconheçam e valorizem as manifestações culturais afro-brasileiras no enfrentamento dos efeitos da intolerância religiosa sobre os territórios tradicionais. </w:t>
      </w:r>
    </w:p>
    <w:p w14:paraId="0A8D6CB0" w14:textId="26C5A24E" w:rsidR="00E02446" w:rsidRDefault="00F71BAA" w:rsidP="00136295">
      <w:pPr>
        <w:spacing w:line="240" w:lineRule="auto"/>
        <w:ind w:leftChars="1287" w:left="2833" w:hanging="2"/>
        <w:jc w:val="both"/>
        <w:rPr>
          <w:sz w:val="20"/>
          <w:szCs w:val="20"/>
        </w:rPr>
      </w:pPr>
      <w:r>
        <w:rPr>
          <w:b/>
          <w:sz w:val="20"/>
          <w:szCs w:val="20"/>
        </w:rPr>
        <w:t>Palavras-chave</w:t>
      </w:r>
      <w:r>
        <w:rPr>
          <w:sz w:val="20"/>
          <w:szCs w:val="20"/>
        </w:rPr>
        <w:t>: Território; tambor de crioula; igrejas neopentecostais.</w:t>
      </w:r>
    </w:p>
    <w:p w14:paraId="6E8F50FC" w14:textId="77777777" w:rsidR="00E02446" w:rsidRDefault="00E02446" w:rsidP="00136295">
      <w:pPr>
        <w:spacing w:line="240" w:lineRule="auto"/>
        <w:ind w:leftChars="1287" w:left="2833" w:hanging="2"/>
        <w:jc w:val="both"/>
        <w:rPr>
          <w:sz w:val="20"/>
          <w:szCs w:val="20"/>
        </w:rPr>
      </w:pPr>
    </w:p>
    <w:p w14:paraId="0B22C478" w14:textId="77777777" w:rsidR="00E02446" w:rsidRDefault="00F71BAA" w:rsidP="00136295">
      <w:pPr>
        <w:spacing w:line="240" w:lineRule="auto"/>
        <w:ind w:leftChars="1287" w:left="2833" w:hanging="2"/>
        <w:jc w:val="both"/>
        <w:rPr>
          <w:sz w:val="20"/>
          <w:szCs w:val="20"/>
        </w:rPr>
      </w:pPr>
      <w:r>
        <w:rPr>
          <w:b/>
          <w:sz w:val="20"/>
          <w:szCs w:val="20"/>
        </w:rPr>
        <w:t>Abstract</w:t>
      </w:r>
    </w:p>
    <w:p w14:paraId="4FD7D8E1" w14:textId="77777777" w:rsidR="00E02446" w:rsidRDefault="00F71BAA" w:rsidP="00136295">
      <w:pPr>
        <w:spacing w:line="240" w:lineRule="auto"/>
        <w:ind w:leftChars="1287" w:left="2833" w:hanging="2"/>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w:t>
      </w:r>
      <w:proofErr w:type="spellStart"/>
      <w:r>
        <w:rPr>
          <w:sz w:val="20"/>
          <w:szCs w:val="20"/>
        </w:rPr>
        <w:t>proposes</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territoriality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Tambor de Crioula Unidos de São Benedito </w:t>
      </w:r>
      <w:proofErr w:type="spellStart"/>
      <w:r>
        <w:rPr>
          <w:sz w:val="20"/>
          <w:szCs w:val="20"/>
        </w:rPr>
        <w:t>group</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belongs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Taim</w:t>
      </w:r>
      <w:proofErr w:type="spellEnd"/>
      <w:r>
        <w:rPr>
          <w:sz w:val="20"/>
          <w:szCs w:val="20"/>
        </w:rPr>
        <w:t xml:space="preserve"> </w:t>
      </w:r>
      <w:proofErr w:type="spellStart"/>
      <w:r>
        <w:rPr>
          <w:sz w:val="20"/>
          <w:szCs w:val="20"/>
        </w:rPr>
        <w:t>community</w:t>
      </w:r>
      <w:proofErr w:type="spellEnd"/>
      <w:r>
        <w:rPr>
          <w:sz w:val="20"/>
          <w:szCs w:val="20"/>
        </w:rPr>
        <w:t xml:space="preserve">, in </w:t>
      </w:r>
      <w:proofErr w:type="spellStart"/>
      <w:r>
        <w:rPr>
          <w:sz w:val="20"/>
          <w:szCs w:val="20"/>
        </w:rPr>
        <w:t>the</w:t>
      </w:r>
      <w:proofErr w:type="spellEnd"/>
      <w:r>
        <w:rPr>
          <w:sz w:val="20"/>
          <w:szCs w:val="20"/>
        </w:rPr>
        <w:t xml:space="preserve"> rural </w:t>
      </w:r>
      <w:proofErr w:type="spellStart"/>
      <w:r>
        <w:rPr>
          <w:sz w:val="20"/>
          <w:szCs w:val="20"/>
        </w:rPr>
        <w:t>area</w:t>
      </w:r>
      <w:proofErr w:type="spellEnd"/>
      <w:r>
        <w:rPr>
          <w:sz w:val="20"/>
          <w:szCs w:val="20"/>
        </w:rPr>
        <w:t xml:space="preserve"> </w:t>
      </w:r>
      <w:proofErr w:type="spellStart"/>
      <w:r>
        <w:rPr>
          <w:sz w:val="20"/>
          <w:szCs w:val="20"/>
        </w:rPr>
        <w:t>of</w:t>
      </w:r>
      <w:proofErr w:type="spellEnd"/>
      <w:r>
        <w:rPr>
          <w:sz w:val="20"/>
          <w:szCs w:val="20"/>
        </w:rPr>
        <w:t xml:space="preserve"> ​​São Luís, Maranhão. The </w:t>
      </w:r>
      <w:proofErr w:type="spellStart"/>
      <w:r>
        <w:rPr>
          <w:sz w:val="20"/>
          <w:szCs w:val="20"/>
        </w:rPr>
        <w:t>traditional</w:t>
      </w:r>
      <w:proofErr w:type="spellEnd"/>
      <w:r>
        <w:rPr>
          <w:sz w:val="20"/>
          <w:szCs w:val="20"/>
        </w:rPr>
        <w:t xml:space="preserve"> </w:t>
      </w:r>
      <w:proofErr w:type="spellStart"/>
      <w:r>
        <w:rPr>
          <w:sz w:val="20"/>
          <w:szCs w:val="20"/>
        </w:rPr>
        <w:t>group</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region</w:t>
      </w:r>
      <w:proofErr w:type="spellEnd"/>
      <w:r>
        <w:rPr>
          <w:sz w:val="20"/>
          <w:szCs w:val="20"/>
        </w:rPr>
        <w:t xml:space="preserve"> </w:t>
      </w:r>
      <w:proofErr w:type="spellStart"/>
      <w:r>
        <w:rPr>
          <w:sz w:val="20"/>
          <w:szCs w:val="20"/>
        </w:rPr>
        <w:t>has</w:t>
      </w:r>
      <w:proofErr w:type="spellEnd"/>
      <w:r>
        <w:rPr>
          <w:sz w:val="20"/>
          <w:szCs w:val="20"/>
        </w:rPr>
        <w:t xml:space="preserve"> </w:t>
      </w:r>
      <w:proofErr w:type="spellStart"/>
      <w:r>
        <w:rPr>
          <w:sz w:val="20"/>
          <w:szCs w:val="20"/>
        </w:rPr>
        <w:t>historically</w:t>
      </w:r>
      <w:proofErr w:type="spellEnd"/>
      <w:r>
        <w:rPr>
          <w:sz w:val="20"/>
          <w:szCs w:val="20"/>
        </w:rPr>
        <w:t xml:space="preserve"> </w:t>
      </w:r>
      <w:proofErr w:type="spellStart"/>
      <w:r>
        <w:rPr>
          <w:sz w:val="20"/>
          <w:szCs w:val="20"/>
        </w:rPr>
        <w:t>occupied</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important</w:t>
      </w:r>
      <w:proofErr w:type="spellEnd"/>
      <w:r>
        <w:rPr>
          <w:sz w:val="20"/>
          <w:szCs w:val="20"/>
        </w:rPr>
        <w:t xml:space="preserve"> cultural </w:t>
      </w:r>
      <w:proofErr w:type="spellStart"/>
      <w:r>
        <w:rPr>
          <w:sz w:val="20"/>
          <w:szCs w:val="20"/>
        </w:rPr>
        <w:t>and</w:t>
      </w:r>
      <w:proofErr w:type="spellEnd"/>
      <w:r>
        <w:rPr>
          <w:sz w:val="20"/>
          <w:szCs w:val="20"/>
        </w:rPr>
        <w:t xml:space="preserve"> </w:t>
      </w:r>
      <w:proofErr w:type="spellStart"/>
      <w:r>
        <w:rPr>
          <w:sz w:val="20"/>
          <w:szCs w:val="20"/>
        </w:rPr>
        <w:t>religious</w:t>
      </w:r>
      <w:proofErr w:type="spellEnd"/>
      <w:r>
        <w:rPr>
          <w:sz w:val="20"/>
          <w:szCs w:val="20"/>
        </w:rPr>
        <w:t xml:space="preserve"> </w:t>
      </w:r>
      <w:proofErr w:type="spellStart"/>
      <w:r>
        <w:rPr>
          <w:sz w:val="20"/>
          <w:szCs w:val="20"/>
        </w:rPr>
        <w:t>space</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community</w:t>
      </w:r>
      <w:proofErr w:type="spellEnd"/>
      <w:r>
        <w:rPr>
          <w:sz w:val="20"/>
          <w:szCs w:val="20"/>
        </w:rPr>
        <w:t xml:space="preserve">, </w:t>
      </w:r>
      <w:proofErr w:type="spellStart"/>
      <w:r>
        <w:rPr>
          <w:sz w:val="20"/>
          <w:szCs w:val="20"/>
        </w:rPr>
        <w:t>articulating</w:t>
      </w:r>
      <w:proofErr w:type="spellEnd"/>
      <w:r>
        <w:rPr>
          <w:sz w:val="20"/>
          <w:szCs w:val="20"/>
        </w:rPr>
        <w:t xml:space="preserve"> ancestral </w:t>
      </w:r>
      <w:proofErr w:type="spellStart"/>
      <w:r>
        <w:rPr>
          <w:sz w:val="20"/>
          <w:szCs w:val="20"/>
        </w:rPr>
        <w:t>knowledge</w:t>
      </w:r>
      <w:proofErr w:type="spellEnd"/>
      <w:r>
        <w:rPr>
          <w:sz w:val="20"/>
          <w:szCs w:val="20"/>
        </w:rPr>
        <w:t xml:space="preserve"> </w:t>
      </w:r>
      <w:proofErr w:type="spellStart"/>
      <w:r>
        <w:rPr>
          <w:sz w:val="20"/>
          <w:szCs w:val="20"/>
        </w:rPr>
        <w:t>and</w:t>
      </w:r>
      <w:proofErr w:type="spellEnd"/>
      <w:r>
        <w:rPr>
          <w:sz w:val="20"/>
          <w:szCs w:val="20"/>
        </w:rPr>
        <w:t xml:space="preserve"> memories </w:t>
      </w:r>
      <w:proofErr w:type="spellStart"/>
      <w:r>
        <w:rPr>
          <w:sz w:val="20"/>
          <w:szCs w:val="20"/>
        </w:rPr>
        <w:t>linked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The </w:t>
      </w:r>
      <w:proofErr w:type="spellStart"/>
      <w:r>
        <w:rPr>
          <w:sz w:val="20"/>
          <w:szCs w:val="20"/>
        </w:rPr>
        <w:t>growing</w:t>
      </w:r>
      <w:proofErr w:type="spellEnd"/>
      <w:r>
        <w:rPr>
          <w:sz w:val="20"/>
          <w:szCs w:val="20"/>
        </w:rPr>
        <w:t xml:space="preserve"> </w:t>
      </w:r>
      <w:proofErr w:type="spellStart"/>
      <w:r>
        <w:rPr>
          <w:sz w:val="20"/>
          <w:szCs w:val="20"/>
        </w:rPr>
        <w:t>influence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neo-Pentecostal</w:t>
      </w:r>
      <w:proofErr w:type="spellEnd"/>
      <w:r>
        <w:rPr>
          <w:sz w:val="20"/>
          <w:szCs w:val="20"/>
        </w:rPr>
        <w:t xml:space="preserve"> </w:t>
      </w:r>
      <w:proofErr w:type="spellStart"/>
      <w:r>
        <w:rPr>
          <w:sz w:val="20"/>
          <w:szCs w:val="20"/>
        </w:rPr>
        <w:t>churches</w:t>
      </w:r>
      <w:proofErr w:type="spellEnd"/>
      <w:r>
        <w:rPr>
          <w:sz w:val="20"/>
          <w:szCs w:val="20"/>
        </w:rPr>
        <w:t xml:space="preserve"> in </w:t>
      </w:r>
      <w:proofErr w:type="spellStart"/>
      <w:r>
        <w:rPr>
          <w:sz w:val="20"/>
          <w:szCs w:val="20"/>
        </w:rPr>
        <w:t>Taim</w:t>
      </w:r>
      <w:proofErr w:type="spellEnd"/>
      <w:r>
        <w:rPr>
          <w:sz w:val="20"/>
          <w:szCs w:val="20"/>
        </w:rPr>
        <w:t xml:space="preserve"> </w:t>
      </w:r>
      <w:proofErr w:type="spellStart"/>
      <w:r>
        <w:rPr>
          <w:sz w:val="20"/>
          <w:szCs w:val="20"/>
        </w:rPr>
        <w:t>has</w:t>
      </w:r>
      <w:proofErr w:type="spellEnd"/>
      <w:r>
        <w:rPr>
          <w:sz w:val="20"/>
          <w:szCs w:val="20"/>
        </w:rPr>
        <w:t xml:space="preserve"> </w:t>
      </w:r>
      <w:proofErr w:type="spellStart"/>
      <w:r>
        <w:rPr>
          <w:sz w:val="20"/>
          <w:szCs w:val="20"/>
        </w:rPr>
        <w:t>generated</w:t>
      </w:r>
      <w:proofErr w:type="spellEnd"/>
      <w:r>
        <w:rPr>
          <w:sz w:val="20"/>
          <w:szCs w:val="20"/>
        </w:rPr>
        <w:t xml:space="preserve"> </w:t>
      </w:r>
      <w:proofErr w:type="spellStart"/>
      <w:r>
        <w:rPr>
          <w:sz w:val="20"/>
          <w:szCs w:val="20"/>
        </w:rPr>
        <w:t>profound</w:t>
      </w:r>
      <w:proofErr w:type="spellEnd"/>
      <w:r>
        <w:rPr>
          <w:sz w:val="20"/>
          <w:szCs w:val="20"/>
        </w:rPr>
        <w:t xml:space="preserve"> </w:t>
      </w:r>
      <w:proofErr w:type="spellStart"/>
      <w:r>
        <w:rPr>
          <w:sz w:val="20"/>
          <w:szCs w:val="20"/>
        </w:rPr>
        <w:t>changes</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perception</w:t>
      </w:r>
      <w:proofErr w:type="spellEnd"/>
      <w:r>
        <w:rPr>
          <w:sz w:val="20"/>
          <w:szCs w:val="20"/>
        </w:rPr>
        <w:t xml:space="preserve"> </w:t>
      </w:r>
      <w:proofErr w:type="spellStart"/>
      <w:r>
        <w:rPr>
          <w:sz w:val="20"/>
          <w:szCs w:val="20"/>
        </w:rPr>
        <w:t>and</w:t>
      </w:r>
      <w:proofErr w:type="spellEnd"/>
      <w:r>
        <w:rPr>
          <w:sz w:val="20"/>
          <w:szCs w:val="20"/>
        </w:rPr>
        <w:t xml:space="preserve"> use </w:t>
      </w:r>
      <w:proofErr w:type="spellStart"/>
      <w:r>
        <w:rPr>
          <w:sz w:val="20"/>
          <w:szCs w:val="20"/>
        </w:rPr>
        <w:t>of</w:t>
      </w:r>
      <w:proofErr w:type="spellEnd"/>
      <w:r>
        <w:rPr>
          <w:sz w:val="20"/>
          <w:szCs w:val="20"/>
        </w:rPr>
        <w:t xml:space="preserve"> </w:t>
      </w:r>
      <w:proofErr w:type="spellStart"/>
      <w:r>
        <w:rPr>
          <w:sz w:val="20"/>
          <w:szCs w:val="20"/>
        </w:rPr>
        <w:t>collective</w:t>
      </w:r>
      <w:proofErr w:type="spellEnd"/>
      <w:r>
        <w:rPr>
          <w:sz w:val="20"/>
          <w:szCs w:val="20"/>
        </w:rPr>
        <w:t xml:space="preserve"> </w:t>
      </w:r>
      <w:proofErr w:type="spellStart"/>
      <w:r>
        <w:rPr>
          <w:sz w:val="20"/>
          <w:szCs w:val="20"/>
        </w:rPr>
        <w:t>space</w:t>
      </w:r>
      <w:proofErr w:type="spellEnd"/>
      <w:r>
        <w:rPr>
          <w:sz w:val="20"/>
          <w:szCs w:val="20"/>
        </w:rPr>
        <w:t xml:space="preserve">, as </w:t>
      </w:r>
      <w:proofErr w:type="spellStart"/>
      <w:r>
        <w:rPr>
          <w:sz w:val="20"/>
          <w:szCs w:val="20"/>
        </w:rPr>
        <w:t>well</w:t>
      </w:r>
      <w:proofErr w:type="spellEnd"/>
      <w:r>
        <w:rPr>
          <w:sz w:val="20"/>
          <w:szCs w:val="20"/>
        </w:rPr>
        <w:t xml:space="preserve"> as </w:t>
      </w:r>
      <w:proofErr w:type="spellStart"/>
      <w:r>
        <w:rPr>
          <w:sz w:val="20"/>
          <w:szCs w:val="20"/>
        </w:rPr>
        <w:t>tensions</w:t>
      </w:r>
      <w:proofErr w:type="spellEnd"/>
      <w:r>
        <w:rPr>
          <w:sz w:val="20"/>
          <w:szCs w:val="20"/>
        </w:rPr>
        <w:t xml:space="preserve"> in </w:t>
      </w:r>
      <w:proofErr w:type="spellStart"/>
      <w:r>
        <w:rPr>
          <w:sz w:val="20"/>
          <w:szCs w:val="20"/>
        </w:rPr>
        <w:t>ritualistic</w:t>
      </w:r>
      <w:proofErr w:type="spellEnd"/>
      <w:r>
        <w:rPr>
          <w:sz w:val="20"/>
          <w:szCs w:val="20"/>
        </w:rPr>
        <w:t xml:space="preserve"> </w:t>
      </w:r>
      <w:proofErr w:type="spellStart"/>
      <w:r>
        <w:rPr>
          <w:sz w:val="20"/>
          <w:szCs w:val="20"/>
        </w:rPr>
        <w:t>practices</w:t>
      </w:r>
      <w:proofErr w:type="spellEnd"/>
      <w:r>
        <w:rPr>
          <w:sz w:val="20"/>
          <w:szCs w:val="20"/>
        </w:rPr>
        <w:t xml:space="preserve">. In </w:t>
      </w:r>
      <w:proofErr w:type="spellStart"/>
      <w:r>
        <w:rPr>
          <w:sz w:val="20"/>
          <w:szCs w:val="20"/>
        </w:rPr>
        <w:t>view</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it </w:t>
      </w:r>
      <w:proofErr w:type="spellStart"/>
      <w:r>
        <w:rPr>
          <w:sz w:val="20"/>
          <w:szCs w:val="20"/>
        </w:rPr>
        <w:t>is</w:t>
      </w:r>
      <w:proofErr w:type="spellEnd"/>
      <w:r>
        <w:rPr>
          <w:sz w:val="20"/>
          <w:szCs w:val="20"/>
        </w:rPr>
        <w:t xml:space="preserve"> </w:t>
      </w:r>
      <w:proofErr w:type="spellStart"/>
      <w:r>
        <w:rPr>
          <w:sz w:val="20"/>
          <w:szCs w:val="20"/>
        </w:rPr>
        <w:t>important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implement</w:t>
      </w:r>
      <w:proofErr w:type="spellEnd"/>
      <w:r>
        <w:rPr>
          <w:sz w:val="20"/>
          <w:szCs w:val="20"/>
        </w:rPr>
        <w:t xml:space="preserve"> </w:t>
      </w:r>
      <w:proofErr w:type="spellStart"/>
      <w:r>
        <w:rPr>
          <w:sz w:val="20"/>
          <w:szCs w:val="20"/>
        </w:rPr>
        <w:t>public</w:t>
      </w:r>
      <w:proofErr w:type="spellEnd"/>
      <w:r>
        <w:rPr>
          <w:sz w:val="20"/>
          <w:szCs w:val="20"/>
        </w:rPr>
        <w:t xml:space="preserve"> policies </w:t>
      </w:r>
      <w:proofErr w:type="spellStart"/>
      <w:r>
        <w:rPr>
          <w:sz w:val="20"/>
          <w:szCs w:val="20"/>
        </w:rPr>
        <w:t>that</w:t>
      </w:r>
      <w:proofErr w:type="spellEnd"/>
      <w:r>
        <w:rPr>
          <w:sz w:val="20"/>
          <w:szCs w:val="20"/>
        </w:rPr>
        <w:t xml:space="preserve"> </w:t>
      </w:r>
      <w:proofErr w:type="spellStart"/>
      <w:r>
        <w:rPr>
          <w:sz w:val="20"/>
          <w:szCs w:val="20"/>
        </w:rPr>
        <w:t>recognize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value</w:t>
      </w:r>
      <w:proofErr w:type="spellEnd"/>
      <w:r>
        <w:rPr>
          <w:sz w:val="20"/>
          <w:szCs w:val="20"/>
        </w:rPr>
        <w:t xml:space="preserve"> Afro-</w:t>
      </w:r>
      <w:proofErr w:type="spellStart"/>
      <w:r>
        <w:rPr>
          <w:sz w:val="20"/>
          <w:szCs w:val="20"/>
        </w:rPr>
        <w:t>Brazilian</w:t>
      </w:r>
      <w:proofErr w:type="spellEnd"/>
      <w:r>
        <w:rPr>
          <w:sz w:val="20"/>
          <w:szCs w:val="20"/>
        </w:rPr>
        <w:t xml:space="preserve"> cultural </w:t>
      </w:r>
      <w:proofErr w:type="spellStart"/>
      <w:r>
        <w:rPr>
          <w:sz w:val="20"/>
          <w:szCs w:val="20"/>
        </w:rPr>
        <w:t>manifestations</w:t>
      </w:r>
      <w:proofErr w:type="spellEnd"/>
      <w:r>
        <w:rPr>
          <w:sz w:val="20"/>
          <w:szCs w:val="20"/>
        </w:rPr>
        <w:t xml:space="preserve"> in </w:t>
      </w:r>
      <w:proofErr w:type="spellStart"/>
      <w:r>
        <w:rPr>
          <w:sz w:val="20"/>
          <w:szCs w:val="20"/>
        </w:rPr>
        <w:t>order</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confront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effects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religious</w:t>
      </w:r>
      <w:proofErr w:type="spellEnd"/>
      <w:r>
        <w:rPr>
          <w:sz w:val="20"/>
          <w:szCs w:val="20"/>
        </w:rPr>
        <w:t xml:space="preserve"> </w:t>
      </w:r>
      <w:proofErr w:type="spellStart"/>
      <w:r>
        <w:rPr>
          <w:sz w:val="20"/>
          <w:szCs w:val="20"/>
        </w:rPr>
        <w:t>intolerance</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traditional</w:t>
      </w:r>
      <w:proofErr w:type="spellEnd"/>
      <w:r>
        <w:rPr>
          <w:sz w:val="20"/>
          <w:szCs w:val="20"/>
        </w:rPr>
        <w:t xml:space="preserve"> </w:t>
      </w:r>
      <w:proofErr w:type="spellStart"/>
      <w:r>
        <w:rPr>
          <w:sz w:val="20"/>
          <w:szCs w:val="20"/>
        </w:rPr>
        <w:t>territories</w:t>
      </w:r>
      <w:proofErr w:type="spellEnd"/>
      <w:r>
        <w:rPr>
          <w:sz w:val="20"/>
          <w:szCs w:val="20"/>
        </w:rPr>
        <w:t>.</w:t>
      </w:r>
    </w:p>
    <w:p w14:paraId="26A80CCD" w14:textId="2EAF5AB1" w:rsidR="00E02446" w:rsidRDefault="00F71BAA" w:rsidP="00136295">
      <w:pPr>
        <w:spacing w:line="240" w:lineRule="auto"/>
        <w:ind w:leftChars="1287" w:left="2833" w:hanging="2"/>
        <w:jc w:val="both"/>
        <w:rPr>
          <w:sz w:val="20"/>
          <w:szCs w:val="20"/>
        </w:rPr>
      </w:pPr>
      <w:r>
        <w:rPr>
          <w:b/>
          <w:sz w:val="20"/>
          <w:szCs w:val="20"/>
        </w:rPr>
        <w:t>Keywords</w:t>
      </w:r>
      <w:r>
        <w:rPr>
          <w:sz w:val="20"/>
          <w:szCs w:val="20"/>
        </w:rPr>
        <w:t xml:space="preserve">: </w:t>
      </w:r>
      <w:proofErr w:type="spellStart"/>
      <w:r>
        <w:rPr>
          <w:sz w:val="20"/>
          <w:szCs w:val="20"/>
        </w:rPr>
        <w:t>Territory</w:t>
      </w:r>
      <w:proofErr w:type="spellEnd"/>
      <w:r>
        <w:rPr>
          <w:sz w:val="20"/>
          <w:szCs w:val="20"/>
        </w:rPr>
        <w:t xml:space="preserve">; tambor de crioula; </w:t>
      </w:r>
      <w:proofErr w:type="spellStart"/>
      <w:r>
        <w:rPr>
          <w:sz w:val="20"/>
          <w:szCs w:val="20"/>
        </w:rPr>
        <w:t>neo-Pentecostal</w:t>
      </w:r>
      <w:proofErr w:type="spellEnd"/>
      <w:r>
        <w:rPr>
          <w:sz w:val="20"/>
          <w:szCs w:val="20"/>
        </w:rPr>
        <w:t xml:space="preserve"> </w:t>
      </w:r>
      <w:proofErr w:type="spellStart"/>
      <w:r>
        <w:rPr>
          <w:sz w:val="20"/>
          <w:szCs w:val="20"/>
        </w:rPr>
        <w:t>churches</w:t>
      </w:r>
      <w:proofErr w:type="spellEnd"/>
      <w:r>
        <w:rPr>
          <w:sz w:val="20"/>
          <w:szCs w:val="20"/>
        </w:rPr>
        <w:t>.</w:t>
      </w:r>
    </w:p>
    <w:p w14:paraId="17FFDEE1" w14:textId="77777777" w:rsidR="00E02446" w:rsidRDefault="00E02446" w:rsidP="00136295">
      <w:pPr>
        <w:spacing w:line="240" w:lineRule="auto"/>
        <w:ind w:leftChars="1287" w:left="2833" w:hanging="2"/>
        <w:jc w:val="both"/>
        <w:rPr>
          <w:sz w:val="20"/>
          <w:szCs w:val="20"/>
        </w:rPr>
      </w:pPr>
    </w:p>
    <w:p w14:paraId="4E161F60" w14:textId="77777777" w:rsidR="00E02446" w:rsidRDefault="00E02446" w:rsidP="00136295">
      <w:pPr>
        <w:spacing w:line="240" w:lineRule="auto"/>
        <w:ind w:leftChars="1287" w:left="2833" w:hanging="2"/>
        <w:jc w:val="both"/>
        <w:rPr>
          <w:sz w:val="20"/>
          <w:szCs w:val="20"/>
        </w:rPr>
      </w:pPr>
    </w:p>
    <w:p w14:paraId="41BE8436" w14:textId="77777777" w:rsidR="00E02446" w:rsidRDefault="00E02446" w:rsidP="00136295">
      <w:pPr>
        <w:spacing w:line="240" w:lineRule="auto"/>
        <w:ind w:leftChars="1287" w:left="2833" w:hanging="2"/>
        <w:jc w:val="both"/>
        <w:rPr>
          <w:sz w:val="20"/>
          <w:szCs w:val="20"/>
        </w:rPr>
      </w:pPr>
    </w:p>
    <w:p w14:paraId="44E2D965" w14:textId="77777777" w:rsidR="00E02446" w:rsidRDefault="00E02446" w:rsidP="00136295">
      <w:pPr>
        <w:spacing w:line="360" w:lineRule="auto"/>
        <w:ind w:leftChars="1287" w:left="2833" w:hanging="2"/>
        <w:jc w:val="both"/>
        <w:rPr>
          <w:sz w:val="24"/>
          <w:szCs w:val="24"/>
        </w:rPr>
      </w:pPr>
    </w:p>
    <w:p w14:paraId="4DBABFFF" w14:textId="77777777" w:rsidR="00E02446" w:rsidRDefault="00E02446" w:rsidP="00136295">
      <w:pPr>
        <w:pBdr>
          <w:top w:val="nil"/>
          <w:left w:val="nil"/>
          <w:bottom w:val="nil"/>
          <w:right w:val="nil"/>
          <w:between w:val="nil"/>
        </w:pBdr>
        <w:spacing w:line="360" w:lineRule="auto"/>
        <w:ind w:leftChars="1287" w:left="2833" w:hanging="2"/>
        <w:rPr>
          <w:sz w:val="24"/>
          <w:szCs w:val="24"/>
        </w:rPr>
      </w:pPr>
    </w:p>
    <w:p w14:paraId="10647E58" w14:textId="77777777" w:rsidR="00E02446" w:rsidRDefault="00E02446" w:rsidP="00136295">
      <w:pPr>
        <w:pBdr>
          <w:top w:val="nil"/>
          <w:left w:val="nil"/>
          <w:bottom w:val="nil"/>
          <w:right w:val="nil"/>
          <w:between w:val="nil"/>
        </w:pBdr>
        <w:spacing w:line="360" w:lineRule="auto"/>
        <w:ind w:leftChars="0" w:left="0" w:firstLineChars="0" w:firstLine="0"/>
        <w:rPr>
          <w:sz w:val="24"/>
          <w:szCs w:val="24"/>
        </w:rPr>
      </w:pPr>
    </w:p>
    <w:p w14:paraId="7A4FAE3D" w14:textId="77777777" w:rsidR="00E02446" w:rsidRDefault="00F71BAA">
      <w:pPr>
        <w:pBdr>
          <w:top w:val="nil"/>
          <w:left w:val="nil"/>
          <w:bottom w:val="nil"/>
          <w:right w:val="nil"/>
          <w:between w:val="nil"/>
        </w:pBdr>
        <w:spacing w:line="360" w:lineRule="auto"/>
        <w:ind w:left="0" w:hanging="2"/>
        <w:jc w:val="both"/>
        <w:rPr>
          <w:b/>
          <w:sz w:val="24"/>
          <w:szCs w:val="24"/>
        </w:rPr>
      </w:pPr>
      <w:r>
        <w:rPr>
          <w:b/>
          <w:sz w:val="24"/>
          <w:szCs w:val="24"/>
        </w:rPr>
        <w:lastRenderedPageBreak/>
        <w:t xml:space="preserve">1 INTRODUÇÃO </w:t>
      </w:r>
    </w:p>
    <w:p w14:paraId="5DDC43CF" w14:textId="77777777" w:rsidR="00E02446" w:rsidRDefault="00E02446">
      <w:pPr>
        <w:pBdr>
          <w:top w:val="nil"/>
          <w:left w:val="nil"/>
          <w:bottom w:val="nil"/>
          <w:right w:val="nil"/>
          <w:between w:val="nil"/>
        </w:pBdr>
        <w:spacing w:line="360" w:lineRule="auto"/>
        <w:ind w:left="0" w:hanging="2"/>
        <w:jc w:val="both"/>
        <w:rPr>
          <w:b/>
          <w:sz w:val="24"/>
          <w:szCs w:val="24"/>
        </w:rPr>
      </w:pPr>
    </w:p>
    <w:p w14:paraId="66223A62" w14:textId="77777777" w:rsidR="00E02446" w:rsidRPr="00435057" w:rsidRDefault="00F71BAA" w:rsidP="00435057">
      <w:pPr>
        <w:spacing w:line="360" w:lineRule="auto"/>
        <w:ind w:leftChars="0" w:left="0" w:firstLineChars="0" w:firstLine="720"/>
        <w:jc w:val="both"/>
        <w:rPr>
          <w:sz w:val="24"/>
          <w:szCs w:val="24"/>
        </w:rPr>
      </w:pPr>
      <w:r w:rsidRPr="00435057">
        <w:rPr>
          <w:sz w:val="24"/>
          <w:szCs w:val="24"/>
        </w:rPr>
        <w:t xml:space="preserve">Para as comunidades tradicionais, o território não se limita à dimensão física do espaço, mas se configura como um conjunto de experiências que abarca afetos e significados construídos coletivamente. Nesse sentido, Milton Santos (2000) compreende o território como um “abrigo” onde se materializam as relações sociais, os símbolos culturais e os modos de vida de um povo. Entre comunidades quilombolas, essa relação com a terra assume dimensões espirituais e identitárias profundas. A religiosidade é inseparável da natureza: as árvores, os rios, as rochas/ pedras e os ventos são elementos sagrados que participam da vida cotidiana e dos ritos, marcando uma cosmovisão que difere radicalmente da lógica eurocêntrica e cristã, na qual o divino está separado do mundo material. Como nos indica </w:t>
      </w:r>
      <w:proofErr w:type="spellStart"/>
      <w:r w:rsidRPr="00435057">
        <w:rPr>
          <w:sz w:val="24"/>
          <w:szCs w:val="24"/>
        </w:rPr>
        <w:t>Antonio</w:t>
      </w:r>
      <w:proofErr w:type="spellEnd"/>
      <w:r w:rsidRPr="00435057">
        <w:rPr>
          <w:sz w:val="24"/>
          <w:szCs w:val="24"/>
        </w:rPr>
        <w:t xml:space="preserve"> Bispo Santos (2018, p. 44-51):</w:t>
      </w:r>
    </w:p>
    <w:p w14:paraId="4A26A7CE" w14:textId="77777777" w:rsidR="00E02446" w:rsidRDefault="00E02446" w:rsidP="00435057">
      <w:pPr>
        <w:ind w:left="-2" w:firstLineChars="0" w:firstLine="720"/>
        <w:jc w:val="both"/>
        <w:rPr>
          <w:sz w:val="20"/>
          <w:szCs w:val="20"/>
        </w:rPr>
      </w:pPr>
    </w:p>
    <w:p w14:paraId="48005A62" w14:textId="77777777" w:rsidR="00E02446" w:rsidRDefault="00F71BAA" w:rsidP="00435057">
      <w:pPr>
        <w:spacing w:line="240" w:lineRule="auto"/>
        <w:ind w:leftChars="1030" w:left="2266" w:firstLineChars="0" w:firstLine="0"/>
        <w:jc w:val="both"/>
        <w:rPr>
          <w:sz w:val="20"/>
          <w:szCs w:val="20"/>
        </w:rPr>
      </w:pPr>
      <w:r>
        <w:rPr>
          <w:sz w:val="20"/>
          <w:szCs w:val="20"/>
        </w:rPr>
        <w:t xml:space="preserve">Então o olhar deles é vertical, é linear, não faz curva. Assim é o pensar e o fazer deles. Como nós temos várias divindades, conseguimos olhar e ver a nossa divindade em todos os cantos. Vemos de forma circular, pensamos e agimos de forma circular e, para nós, não existe fim, sempre demos um jeito de recomeçar. (Santos, 2018, p. 44-45). </w:t>
      </w:r>
    </w:p>
    <w:p w14:paraId="5098458E" w14:textId="77777777" w:rsidR="00E02446" w:rsidRDefault="00E02446" w:rsidP="00435057">
      <w:pPr>
        <w:spacing w:line="360" w:lineRule="auto"/>
        <w:ind w:left="-2" w:firstLineChars="0" w:firstLine="720"/>
        <w:jc w:val="both"/>
        <w:rPr>
          <w:sz w:val="24"/>
          <w:szCs w:val="24"/>
        </w:rPr>
      </w:pPr>
    </w:p>
    <w:p w14:paraId="7CB13E43" w14:textId="77777777" w:rsidR="00E02446" w:rsidRDefault="00F71BAA" w:rsidP="00435057">
      <w:pPr>
        <w:spacing w:line="360" w:lineRule="auto"/>
        <w:ind w:left="-2" w:firstLineChars="0" w:firstLine="720"/>
        <w:jc w:val="both"/>
        <w:rPr>
          <w:sz w:val="24"/>
          <w:szCs w:val="24"/>
        </w:rPr>
      </w:pPr>
      <w:r>
        <w:rPr>
          <w:sz w:val="24"/>
          <w:szCs w:val="24"/>
        </w:rPr>
        <w:t xml:space="preserve">Para essas comunidades, o território não apenas abriga o sagrado — ele é o sagrado. No Maranhão, o Tambor de Crioula é uma das expressões mais vivas dessa espiritualidade </w:t>
      </w:r>
      <w:proofErr w:type="spellStart"/>
      <w:r>
        <w:rPr>
          <w:sz w:val="24"/>
          <w:szCs w:val="24"/>
        </w:rPr>
        <w:t>territorializada</w:t>
      </w:r>
      <w:proofErr w:type="spellEnd"/>
      <w:r>
        <w:rPr>
          <w:sz w:val="24"/>
          <w:szCs w:val="24"/>
        </w:rPr>
        <w:t>, sendo reconhecido, em 2007, como Patrimônio Cultural Brasileiro pelo Instituto do Patrimônio Histórico e Artístico Nacional (IPHAN). Essa prática articula dança circular, batidas rítmicas em três tambores (</w:t>
      </w:r>
      <w:proofErr w:type="spellStart"/>
      <w:r>
        <w:rPr>
          <w:sz w:val="24"/>
          <w:szCs w:val="24"/>
        </w:rPr>
        <w:t>meião</w:t>
      </w:r>
      <w:proofErr w:type="spellEnd"/>
      <w:r>
        <w:rPr>
          <w:sz w:val="24"/>
          <w:szCs w:val="24"/>
        </w:rPr>
        <w:t xml:space="preserve">, </w:t>
      </w:r>
      <w:proofErr w:type="spellStart"/>
      <w:r>
        <w:rPr>
          <w:sz w:val="24"/>
          <w:szCs w:val="24"/>
        </w:rPr>
        <w:t>crivador</w:t>
      </w:r>
      <w:proofErr w:type="spellEnd"/>
      <w:r>
        <w:rPr>
          <w:sz w:val="24"/>
          <w:szCs w:val="24"/>
        </w:rPr>
        <w:t xml:space="preserve"> e </w:t>
      </w:r>
      <w:proofErr w:type="spellStart"/>
      <w:r>
        <w:rPr>
          <w:sz w:val="24"/>
          <w:szCs w:val="24"/>
        </w:rPr>
        <w:t>socador</w:t>
      </w:r>
      <w:proofErr w:type="spellEnd"/>
      <w:r>
        <w:rPr>
          <w:sz w:val="24"/>
          <w:szCs w:val="24"/>
        </w:rPr>
        <w:t>), cânticos (toadas) e o gesto simbólico da punga, que marca a troca de dançantes no centro da roda. É uma manifestação que une aspectos religiosos, festivos, estéticos e políticos, sendo praticada especialmente como forma de pagamento de promessas e celebração de santos, como São Benedito (IPHAN, 2016).</w:t>
      </w:r>
    </w:p>
    <w:p w14:paraId="36AE7CD6" w14:textId="77777777" w:rsidR="00E02446" w:rsidRDefault="00F71BAA" w:rsidP="00435057">
      <w:pPr>
        <w:spacing w:line="360" w:lineRule="auto"/>
        <w:ind w:left="-2" w:firstLineChars="0" w:firstLine="720"/>
        <w:jc w:val="both"/>
        <w:rPr>
          <w:sz w:val="24"/>
          <w:szCs w:val="24"/>
        </w:rPr>
      </w:pPr>
      <w:r>
        <w:rPr>
          <w:sz w:val="24"/>
          <w:szCs w:val="24"/>
        </w:rPr>
        <w:t xml:space="preserve">Na comunidade do </w:t>
      </w:r>
      <w:proofErr w:type="spellStart"/>
      <w:r>
        <w:rPr>
          <w:sz w:val="24"/>
          <w:szCs w:val="24"/>
        </w:rPr>
        <w:t>Taim</w:t>
      </w:r>
      <w:proofErr w:type="spellEnd"/>
      <w:r>
        <w:rPr>
          <w:sz w:val="24"/>
          <w:szCs w:val="24"/>
        </w:rPr>
        <w:t xml:space="preserve">, situada na zona rural de São Luís, o grupo Unidos de São Benedito representa um dos núcleos mais antigos e importantes dessa tradição. </w:t>
      </w:r>
      <w:r>
        <w:rPr>
          <w:sz w:val="24"/>
          <w:szCs w:val="24"/>
        </w:rPr>
        <w:lastRenderedPageBreak/>
        <w:t xml:space="preserve">Fundado por lideranças locais e mantido por gerações, o grupo organiza anualmente festejos que reúnem moradores, </w:t>
      </w:r>
      <w:proofErr w:type="spellStart"/>
      <w:r>
        <w:rPr>
          <w:sz w:val="24"/>
          <w:szCs w:val="24"/>
        </w:rPr>
        <w:t>coreiras</w:t>
      </w:r>
      <w:proofErr w:type="spellEnd"/>
      <w:r>
        <w:rPr>
          <w:sz w:val="24"/>
          <w:szCs w:val="24"/>
        </w:rPr>
        <w:t>, tocadores e devotos, em rituais que envolvem a montagem do mastro, a roda de tambor e a partilha de alimentos preparados coletivamente. Trata-se de uma prática que organiza o tempo e o espaço da comunidade e que reafirma uma ancestralidade comum. As festas do grupo não são apenas celebrações religiosas: são também formas de ocupar o território com memória, identidade e resistência.</w:t>
      </w:r>
    </w:p>
    <w:p w14:paraId="5EF7F82E" w14:textId="77777777" w:rsidR="00E02446" w:rsidRDefault="00F71BAA" w:rsidP="00435057">
      <w:pPr>
        <w:spacing w:line="360" w:lineRule="auto"/>
        <w:ind w:left="-2" w:firstLineChars="0" w:firstLine="720"/>
        <w:jc w:val="both"/>
        <w:rPr>
          <w:sz w:val="24"/>
          <w:szCs w:val="24"/>
        </w:rPr>
      </w:pPr>
      <w:r>
        <w:rPr>
          <w:sz w:val="24"/>
          <w:szCs w:val="24"/>
        </w:rPr>
        <w:t xml:space="preserve">Esse cenário evidencia a necessidade de repensar o papel das políticas públicas no enfrentamento da intolerância religiosa e na valorização das culturas afrodescendentes. Apesar dos avanços formais, como o registro do Tambor de Crioula como patrimônio imaterial, os mecanismos de proteção têm sido insuficientes para conter o avanço de forças que ameaçam sua continuidade. </w:t>
      </w:r>
    </w:p>
    <w:p w14:paraId="69F8DFC4" w14:textId="77777777" w:rsidR="00E02446" w:rsidRDefault="00F71BAA" w:rsidP="00435057">
      <w:pPr>
        <w:spacing w:line="360" w:lineRule="auto"/>
        <w:ind w:left="-2" w:firstLineChars="0" w:firstLine="720"/>
        <w:jc w:val="both"/>
        <w:rPr>
          <w:sz w:val="24"/>
          <w:szCs w:val="24"/>
        </w:rPr>
      </w:pPr>
      <w:r>
        <w:rPr>
          <w:sz w:val="24"/>
          <w:szCs w:val="24"/>
        </w:rPr>
        <w:t xml:space="preserve">Diante disso, este artigo objetiva estudar o impacto da intolerância religiosa e do crescimento das igrejas neopentecostais nas comunidades tradicionais, analisando como esses fatores contribuem para o tensionamento das práticas do Tambor de Crioula, a partir da experiência da comunidade do </w:t>
      </w:r>
      <w:proofErr w:type="spellStart"/>
      <w:r>
        <w:rPr>
          <w:sz w:val="24"/>
          <w:szCs w:val="24"/>
        </w:rPr>
        <w:t>Taim</w:t>
      </w:r>
      <w:proofErr w:type="spellEnd"/>
      <w:r>
        <w:rPr>
          <w:sz w:val="24"/>
          <w:szCs w:val="24"/>
        </w:rPr>
        <w:t>.</w:t>
      </w:r>
    </w:p>
    <w:p w14:paraId="0BAD40FE" w14:textId="77777777" w:rsidR="00E02446" w:rsidRDefault="00F71BAA" w:rsidP="00435057">
      <w:pPr>
        <w:spacing w:line="360" w:lineRule="auto"/>
        <w:ind w:left="-2" w:firstLineChars="0" w:firstLine="720"/>
        <w:jc w:val="both"/>
        <w:rPr>
          <w:sz w:val="24"/>
          <w:szCs w:val="24"/>
        </w:rPr>
      </w:pPr>
      <w:r>
        <w:rPr>
          <w:sz w:val="24"/>
          <w:szCs w:val="24"/>
        </w:rPr>
        <w:t xml:space="preserve">A abordagem metodológica deste trabalho fundamenta-se em revisão bibliográfica e documental, a partir de autores como Ferretti (2002), </w:t>
      </w:r>
      <w:proofErr w:type="spellStart"/>
      <w:r>
        <w:rPr>
          <w:sz w:val="24"/>
          <w:szCs w:val="24"/>
        </w:rPr>
        <w:t>Haesbaert</w:t>
      </w:r>
      <w:proofErr w:type="spellEnd"/>
      <w:r>
        <w:rPr>
          <w:sz w:val="24"/>
          <w:szCs w:val="24"/>
        </w:rPr>
        <w:t xml:space="preserve"> (2004), Oro (2006) e documentos institucionais como os dossiês do IPHAN (2007; 2016), bem como, dados e entrevistas obtidas a partir do Projeto de Mapeamento do Tambor de Crioula no Maranhão, realizado UFMA e financiado pelo IPHAN/MINC. Dessa forma, a pesquisa se consolida como resultado do plano de trabalho “Saberes ancestrais e religiosidade nas Manifestações culturais” - PIBIC/UFMA. </w:t>
      </w:r>
    </w:p>
    <w:p w14:paraId="10A2FB23" w14:textId="77777777" w:rsidR="00E02446" w:rsidRDefault="00F71BAA" w:rsidP="00435057">
      <w:pPr>
        <w:spacing w:line="360" w:lineRule="auto"/>
        <w:ind w:left="-2" w:firstLineChars="0" w:firstLine="720"/>
        <w:jc w:val="both"/>
        <w:rPr>
          <w:sz w:val="24"/>
          <w:szCs w:val="24"/>
        </w:rPr>
      </w:pPr>
      <w:r>
        <w:rPr>
          <w:sz w:val="24"/>
          <w:szCs w:val="24"/>
        </w:rPr>
        <w:t>A partir desses referenciais, busca-se compreender as disputas simbólicas que se manifestam no território como expressões materiais da intolerância religiosa e da fragilidade das políticas públicas diante dos desafios contemporâneos da diversidade cultural no Brasil.</w:t>
      </w:r>
    </w:p>
    <w:p w14:paraId="57891D4B" w14:textId="77777777" w:rsidR="00E02446" w:rsidRDefault="00E02446" w:rsidP="00435057">
      <w:pPr>
        <w:spacing w:line="360" w:lineRule="auto"/>
        <w:ind w:left="-2" w:firstLineChars="0" w:firstLine="720"/>
        <w:jc w:val="both"/>
        <w:rPr>
          <w:sz w:val="24"/>
          <w:szCs w:val="24"/>
        </w:rPr>
      </w:pPr>
    </w:p>
    <w:p w14:paraId="4235AD33" w14:textId="77777777" w:rsidR="00E02446" w:rsidRDefault="00F71BAA" w:rsidP="00435057">
      <w:pPr>
        <w:pBdr>
          <w:top w:val="nil"/>
          <w:left w:val="nil"/>
          <w:bottom w:val="nil"/>
          <w:right w:val="nil"/>
          <w:between w:val="nil"/>
        </w:pBdr>
        <w:spacing w:line="360" w:lineRule="auto"/>
        <w:ind w:left="-2" w:firstLineChars="0" w:firstLine="0"/>
        <w:jc w:val="both"/>
        <w:rPr>
          <w:b/>
          <w:color w:val="000000"/>
          <w:sz w:val="24"/>
          <w:szCs w:val="24"/>
        </w:rPr>
      </w:pPr>
      <w:r>
        <w:rPr>
          <w:b/>
          <w:sz w:val="24"/>
          <w:szCs w:val="24"/>
        </w:rPr>
        <w:lastRenderedPageBreak/>
        <w:t xml:space="preserve">2 </w:t>
      </w:r>
      <w:r>
        <w:rPr>
          <w:b/>
          <w:color w:val="000000"/>
          <w:sz w:val="24"/>
          <w:szCs w:val="24"/>
        </w:rPr>
        <w:t>O TAMBOR DE CRIOULA E A CONSTRUÇÃO DO TERRITÓRIO CULTURAL NO TAIM</w:t>
      </w:r>
    </w:p>
    <w:p w14:paraId="20424709" w14:textId="77777777" w:rsidR="00E02446" w:rsidRDefault="00E02446" w:rsidP="00435057">
      <w:pPr>
        <w:pBdr>
          <w:top w:val="nil"/>
          <w:left w:val="nil"/>
          <w:bottom w:val="nil"/>
          <w:right w:val="nil"/>
          <w:between w:val="nil"/>
        </w:pBdr>
        <w:spacing w:line="360" w:lineRule="auto"/>
        <w:ind w:left="-2" w:firstLineChars="0" w:firstLine="720"/>
        <w:jc w:val="both"/>
        <w:rPr>
          <w:color w:val="000000"/>
          <w:sz w:val="24"/>
          <w:szCs w:val="24"/>
        </w:rPr>
      </w:pPr>
    </w:p>
    <w:p w14:paraId="29ABDF04" w14:textId="77777777" w:rsidR="00E02446" w:rsidRDefault="00F71BAA" w:rsidP="00435057">
      <w:pPr>
        <w:spacing w:line="360" w:lineRule="auto"/>
        <w:ind w:left="-2" w:firstLineChars="0" w:firstLine="720"/>
        <w:jc w:val="both"/>
        <w:rPr>
          <w:sz w:val="24"/>
          <w:szCs w:val="24"/>
        </w:rPr>
      </w:pPr>
      <w:r>
        <w:rPr>
          <w:sz w:val="24"/>
          <w:szCs w:val="24"/>
        </w:rPr>
        <w:t xml:space="preserve">A história do grupo Unidos de São Benedito está profundamente entrelaçada à formação identitária da comunidade do </w:t>
      </w:r>
      <w:proofErr w:type="spellStart"/>
      <w:r>
        <w:rPr>
          <w:sz w:val="24"/>
          <w:szCs w:val="24"/>
        </w:rPr>
        <w:t>Taim</w:t>
      </w:r>
      <w:proofErr w:type="spellEnd"/>
      <w:r>
        <w:rPr>
          <w:sz w:val="24"/>
          <w:szCs w:val="24"/>
        </w:rPr>
        <w:t xml:space="preserve">, nascendo em um contexto que envolve fé, tradição oral e pertencimento coletivo; tendo como referência simbólica e religiosa a figura de São Benedito, padroeiro dos negros, dos pobres e dos trabalhadores. Segundo relatos obtidos da própria comunidade em entrevista, o festejo surgiu há cerca de oitenta e oito anos, quando crianças decidiram organizar a festividade em homenagem à São Benedito. </w:t>
      </w:r>
    </w:p>
    <w:p w14:paraId="41975F84" w14:textId="77777777" w:rsidR="00E02446" w:rsidRDefault="00F71BAA" w:rsidP="00435057">
      <w:pPr>
        <w:spacing w:line="240" w:lineRule="auto"/>
        <w:ind w:leftChars="1159" w:left="2550" w:firstLineChars="0" w:firstLine="0"/>
        <w:jc w:val="both"/>
        <w:rPr>
          <w:sz w:val="20"/>
          <w:szCs w:val="20"/>
        </w:rPr>
      </w:pPr>
      <w:r>
        <w:rPr>
          <w:sz w:val="20"/>
          <w:szCs w:val="20"/>
        </w:rPr>
        <w:t>E tinha pessoas na comunidade que já gostavam da cultura e com isso, as crianças foram no mato, pegaram o pau, colocaram como mastro e então começou o festejo de São Benedito. (Entrevistado 1</w:t>
      </w:r>
      <w:r w:rsidR="00FE780D">
        <w:rPr>
          <w:rStyle w:val="Refdenotadefim"/>
          <w:sz w:val="20"/>
          <w:szCs w:val="20"/>
        </w:rPr>
        <w:endnoteReference w:id="2"/>
      </w:r>
      <w:r>
        <w:rPr>
          <w:sz w:val="20"/>
          <w:szCs w:val="20"/>
        </w:rPr>
        <w:t>, 2024).</w:t>
      </w:r>
    </w:p>
    <w:p w14:paraId="6738143B" w14:textId="77777777" w:rsidR="00E02446" w:rsidRDefault="00E02446" w:rsidP="00435057">
      <w:pPr>
        <w:ind w:left="-2" w:firstLineChars="0" w:firstLine="720"/>
        <w:jc w:val="both"/>
        <w:rPr>
          <w:sz w:val="20"/>
          <w:szCs w:val="20"/>
        </w:rPr>
      </w:pPr>
    </w:p>
    <w:p w14:paraId="6D6D0DFF" w14:textId="77777777" w:rsidR="00E02446" w:rsidRDefault="00F71BAA" w:rsidP="00435057">
      <w:pPr>
        <w:spacing w:line="360" w:lineRule="auto"/>
        <w:ind w:left="-2" w:firstLineChars="0" w:firstLine="720"/>
        <w:jc w:val="both"/>
        <w:rPr>
          <w:sz w:val="24"/>
          <w:szCs w:val="24"/>
        </w:rPr>
      </w:pPr>
      <w:r>
        <w:rPr>
          <w:sz w:val="24"/>
          <w:szCs w:val="24"/>
        </w:rPr>
        <w:t>A devoção espontânea àquele santo negro — símbolo de resistência para os povos afrodescendentes — levou à organização do primeiro tambor em sua homenagem. A partir desse gesto simples, constituiu-se uma prática coletiva que se mantém viva até os dias atuais.</w:t>
      </w:r>
    </w:p>
    <w:p w14:paraId="0BBEE56D" w14:textId="77777777" w:rsidR="00E02446" w:rsidRDefault="00F71BAA" w:rsidP="00435057">
      <w:pPr>
        <w:spacing w:line="360" w:lineRule="auto"/>
        <w:ind w:left="-2" w:firstLineChars="0" w:firstLine="720"/>
        <w:jc w:val="both"/>
        <w:rPr>
          <w:sz w:val="24"/>
          <w:szCs w:val="24"/>
        </w:rPr>
      </w:pPr>
      <w:r>
        <w:rPr>
          <w:sz w:val="24"/>
          <w:szCs w:val="24"/>
        </w:rPr>
        <w:t xml:space="preserve">A celebração anual do grupo se inicia com o levantamento do mastro, tradição comum em festejos, e muito significativo para a comunidade do </w:t>
      </w:r>
      <w:proofErr w:type="spellStart"/>
      <w:r>
        <w:rPr>
          <w:sz w:val="24"/>
          <w:szCs w:val="24"/>
        </w:rPr>
        <w:t>Taim</w:t>
      </w:r>
      <w:proofErr w:type="spellEnd"/>
      <w:r>
        <w:rPr>
          <w:sz w:val="24"/>
          <w:szCs w:val="24"/>
        </w:rPr>
        <w:t xml:space="preserve">. Após a retirada do mastro, ele é conduzido em cortejo, por um trajeto feito a pé, que inclui paradas em casas de moradores e devotos que oferecem comida, bebida e acolhimento simbólico. </w:t>
      </w:r>
    </w:p>
    <w:p w14:paraId="35744EC1" w14:textId="77777777" w:rsidR="00E02446" w:rsidRDefault="00F71BAA" w:rsidP="00435057">
      <w:pPr>
        <w:spacing w:line="360" w:lineRule="auto"/>
        <w:ind w:left="-2" w:firstLineChars="0" w:firstLine="720"/>
        <w:jc w:val="both"/>
        <w:rPr>
          <w:sz w:val="24"/>
          <w:szCs w:val="24"/>
        </w:rPr>
      </w:pPr>
      <w:r>
        <w:rPr>
          <w:sz w:val="24"/>
          <w:szCs w:val="24"/>
        </w:rPr>
        <w:t xml:space="preserve">No entanto, esse rito vem sendo tensionado pela rejeição de alguns convertidos ao </w:t>
      </w:r>
      <w:proofErr w:type="spellStart"/>
      <w:r>
        <w:rPr>
          <w:sz w:val="24"/>
          <w:szCs w:val="24"/>
        </w:rPr>
        <w:t>neopentecostalismo</w:t>
      </w:r>
      <w:proofErr w:type="spellEnd"/>
      <w:r>
        <w:rPr>
          <w:sz w:val="24"/>
          <w:szCs w:val="24"/>
        </w:rPr>
        <w:t xml:space="preserve">, que recusam a presença do mastro em frente às suas casas, alegando razões religiosas, difundindo discursos que associam as manifestações afro-brasileiras ao mal, demonizando suas práticas e desqualificando seus agentes culturais, tendo implicações diretas na ruptura de laços sociais e espirituais dentro das comunidades. Esse conflito evidencia como a territorialidade construída historicamente pelo tambor está sendo desafiada por novas dinâmicas de poder e fé. </w:t>
      </w:r>
    </w:p>
    <w:p w14:paraId="49FE18E1" w14:textId="77777777" w:rsidR="00E02446" w:rsidRDefault="00F71BAA" w:rsidP="00435057">
      <w:pPr>
        <w:spacing w:line="360" w:lineRule="auto"/>
        <w:ind w:left="-2" w:firstLineChars="0" w:firstLine="720"/>
        <w:jc w:val="both"/>
        <w:rPr>
          <w:sz w:val="24"/>
          <w:szCs w:val="24"/>
        </w:rPr>
      </w:pPr>
      <w:r>
        <w:rPr>
          <w:sz w:val="24"/>
          <w:szCs w:val="24"/>
        </w:rPr>
        <w:lastRenderedPageBreak/>
        <w:t xml:space="preserve">Ferretti (2002) argumenta que o Tambor de Crioula é, simultaneamente, um ritual de fé, um momento de lazer e uma afirmação de identidade negra. Seu enfraquecimento, portanto, representa mais do que a perda de uma prática cultural — trata-se de uma ruptura nos vínculos que sustentam a vida comunitária. A negação dessas práticas por membros convertidos às igrejas neopentecostais revela um conflito simbólico entre cosmovisões distintas e um deslocamento forçado de territórios culturais. </w:t>
      </w:r>
    </w:p>
    <w:p w14:paraId="340D569E" w14:textId="77777777" w:rsidR="00E02446" w:rsidRDefault="00F71BAA" w:rsidP="00435057">
      <w:pPr>
        <w:spacing w:line="360" w:lineRule="auto"/>
        <w:ind w:left="-2" w:firstLineChars="0" w:firstLine="720"/>
        <w:jc w:val="both"/>
        <w:rPr>
          <w:sz w:val="24"/>
          <w:szCs w:val="24"/>
        </w:rPr>
      </w:pPr>
      <w:r>
        <w:rPr>
          <w:sz w:val="24"/>
          <w:szCs w:val="24"/>
        </w:rPr>
        <w:t>A roda se forma com três tambores (</w:t>
      </w:r>
      <w:proofErr w:type="spellStart"/>
      <w:r>
        <w:rPr>
          <w:sz w:val="24"/>
          <w:szCs w:val="24"/>
        </w:rPr>
        <w:t>meião</w:t>
      </w:r>
      <w:proofErr w:type="spellEnd"/>
      <w:r>
        <w:rPr>
          <w:sz w:val="24"/>
          <w:szCs w:val="24"/>
        </w:rPr>
        <w:t xml:space="preserve">, </w:t>
      </w:r>
      <w:proofErr w:type="spellStart"/>
      <w:r>
        <w:rPr>
          <w:sz w:val="24"/>
          <w:szCs w:val="24"/>
        </w:rPr>
        <w:t>crivador</w:t>
      </w:r>
      <w:proofErr w:type="spellEnd"/>
      <w:r>
        <w:rPr>
          <w:sz w:val="24"/>
          <w:szCs w:val="24"/>
        </w:rPr>
        <w:t xml:space="preserve"> e </w:t>
      </w:r>
      <w:proofErr w:type="spellStart"/>
      <w:r>
        <w:rPr>
          <w:sz w:val="24"/>
          <w:szCs w:val="24"/>
        </w:rPr>
        <w:t>socador</w:t>
      </w:r>
      <w:proofErr w:type="spellEnd"/>
      <w:r>
        <w:rPr>
          <w:sz w:val="24"/>
          <w:szCs w:val="24"/>
        </w:rPr>
        <w:t xml:space="preserve">), tocados em conjunto, além das </w:t>
      </w:r>
      <w:proofErr w:type="spellStart"/>
      <w:r>
        <w:rPr>
          <w:sz w:val="24"/>
          <w:szCs w:val="24"/>
        </w:rPr>
        <w:t>coreiras</w:t>
      </w:r>
      <w:proofErr w:type="spellEnd"/>
      <w:r>
        <w:rPr>
          <w:sz w:val="24"/>
          <w:szCs w:val="24"/>
        </w:rPr>
        <w:t xml:space="preserve">, que dançam em círculo com suas saias rodadas, e dos cantadores que conduzem as toadas. A punga, gesto de alternância entre dançantes, marca a continuidade e o fluxo da roda, simbolizando também a passagem de saberes entre gerações. </w:t>
      </w:r>
    </w:p>
    <w:p w14:paraId="7EC0ADEE" w14:textId="77777777" w:rsidR="00E02446" w:rsidRDefault="00F71BAA" w:rsidP="00435057">
      <w:pPr>
        <w:spacing w:line="240" w:lineRule="auto"/>
        <w:ind w:leftChars="1030" w:left="2266" w:firstLineChars="0" w:firstLine="0"/>
        <w:jc w:val="both"/>
        <w:rPr>
          <w:sz w:val="20"/>
          <w:szCs w:val="20"/>
        </w:rPr>
      </w:pPr>
      <w:r>
        <w:rPr>
          <w:sz w:val="20"/>
          <w:szCs w:val="20"/>
        </w:rPr>
        <w:t>Nosso pensamento é um pensamento que nos permite dimensionar melhor as coisas, os movimentos e os espaços. Nos espaços circulares cabe muito mais do que nos espaços retangulares. E isso nos permite conviver bem com a diversidade e nos permite sempre achar que o outro é importante, que a outra é importante. A gente sempre compreende a necessidade de existirem as outras pessoas. (Santos, 2018, p. 44-51).</w:t>
      </w:r>
    </w:p>
    <w:p w14:paraId="40DD8F0D" w14:textId="77777777" w:rsidR="00E02446" w:rsidRDefault="00E02446" w:rsidP="00435057">
      <w:pPr>
        <w:spacing w:line="360" w:lineRule="auto"/>
        <w:ind w:leftChars="1030" w:left="2266" w:firstLineChars="0" w:firstLine="720"/>
        <w:jc w:val="both"/>
        <w:rPr>
          <w:sz w:val="24"/>
          <w:szCs w:val="24"/>
        </w:rPr>
      </w:pPr>
    </w:p>
    <w:p w14:paraId="0EC5CEDA" w14:textId="77777777" w:rsidR="00E02446" w:rsidRDefault="00F71BAA" w:rsidP="00435057">
      <w:pPr>
        <w:spacing w:line="360" w:lineRule="auto"/>
        <w:ind w:left="-2" w:firstLineChars="0" w:firstLine="720"/>
        <w:jc w:val="both"/>
        <w:rPr>
          <w:sz w:val="24"/>
          <w:szCs w:val="24"/>
        </w:rPr>
      </w:pPr>
      <w:r>
        <w:rPr>
          <w:sz w:val="24"/>
          <w:szCs w:val="24"/>
        </w:rPr>
        <w:t xml:space="preserve">A importância estética e ritualística da roda reside na oralidade, na convivência, sacralidade dos corpos em movimento e ligação com seu território. Rogério </w:t>
      </w:r>
      <w:proofErr w:type="spellStart"/>
      <w:r>
        <w:rPr>
          <w:sz w:val="24"/>
          <w:szCs w:val="24"/>
        </w:rPr>
        <w:t>Haesbaert</w:t>
      </w:r>
      <w:proofErr w:type="spellEnd"/>
      <w:r>
        <w:rPr>
          <w:sz w:val="24"/>
          <w:szCs w:val="24"/>
        </w:rPr>
        <w:t xml:space="preserve"> (2010) ressalta que o território deve ser compreendido para além da sua dimensão física, que deve ser entendido como uma construção simbólica e política, onde se cruzam dominação e apropriação, pertencimento e exclusão. Nesse sentido, a roda de tambor no </w:t>
      </w:r>
      <w:proofErr w:type="spellStart"/>
      <w:r>
        <w:rPr>
          <w:sz w:val="24"/>
          <w:szCs w:val="24"/>
        </w:rPr>
        <w:t>Taim</w:t>
      </w:r>
      <w:proofErr w:type="spellEnd"/>
      <w:r>
        <w:rPr>
          <w:sz w:val="24"/>
          <w:szCs w:val="24"/>
        </w:rPr>
        <w:t xml:space="preserve"> é um espaço de produção territorial afetiva e política. Pensa-se então na ideia de que “território é corpo”, enfatizando que o corpo negro em dança é um agente de territorialização. As </w:t>
      </w:r>
      <w:proofErr w:type="spellStart"/>
      <w:r>
        <w:rPr>
          <w:sz w:val="24"/>
          <w:szCs w:val="24"/>
        </w:rPr>
        <w:t>coreiras</w:t>
      </w:r>
      <w:proofErr w:type="spellEnd"/>
      <w:r>
        <w:rPr>
          <w:sz w:val="24"/>
          <w:szCs w:val="24"/>
        </w:rPr>
        <w:t>, ao girarem suas saias em direção ao centro da roda, não apenas celebram um rito, mas inscrevem o corpo feminino negro como sujeito ativo na construção do espaço vivido.</w:t>
      </w:r>
    </w:p>
    <w:p w14:paraId="559D2E9A" w14:textId="77777777" w:rsidR="00E02446" w:rsidRDefault="00F71BAA" w:rsidP="00435057">
      <w:pPr>
        <w:spacing w:line="360" w:lineRule="auto"/>
        <w:ind w:left="-2" w:firstLineChars="0" w:firstLine="720"/>
        <w:jc w:val="both"/>
        <w:rPr>
          <w:sz w:val="24"/>
          <w:szCs w:val="24"/>
        </w:rPr>
      </w:pPr>
      <w:r>
        <w:rPr>
          <w:sz w:val="24"/>
          <w:szCs w:val="24"/>
        </w:rPr>
        <w:t xml:space="preserve">Como propõe </w:t>
      </w:r>
      <w:proofErr w:type="spellStart"/>
      <w:r>
        <w:rPr>
          <w:sz w:val="24"/>
          <w:szCs w:val="24"/>
        </w:rPr>
        <w:t>Tuan</w:t>
      </w:r>
      <w:proofErr w:type="spellEnd"/>
      <w:r>
        <w:rPr>
          <w:sz w:val="24"/>
          <w:szCs w:val="24"/>
        </w:rPr>
        <w:t xml:space="preserve"> (1983), o território se torna “lugar” quando carregado de sentidos, histórias e afetos. O </w:t>
      </w:r>
      <w:proofErr w:type="spellStart"/>
      <w:r>
        <w:rPr>
          <w:sz w:val="24"/>
          <w:szCs w:val="24"/>
        </w:rPr>
        <w:t>Taim</w:t>
      </w:r>
      <w:proofErr w:type="spellEnd"/>
      <w:r>
        <w:rPr>
          <w:sz w:val="24"/>
          <w:szCs w:val="24"/>
        </w:rPr>
        <w:t xml:space="preserve"> não é apenas um local de moradia — é um </w:t>
      </w:r>
      <w:r>
        <w:rPr>
          <w:sz w:val="24"/>
          <w:szCs w:val="24"/>
        </w:rPr>
        <w:lastRenderedPageBreak/>
        <w:t xml:space="preserve">território de ancestralidade, construído pela fé em São Benedito, pela prática do tambor, e pelas redes sociais. O espaço que abriga o tambor é o mesmo que guarda a memória dos antepassados, o esforço comunitário para manter viva sua cultura e a resistência contra o silenciamento promovido por agentes externos. A esse respeito, Almeida (2008) reforça a importância das “terras tradicionalmente ocupadas” como territórios de uso comum, baseados em práticas culturais e religiosas transmitidas entre gerações. Para ele, essas terras são constituídas por uma territorialidade específica, socialmente reconhecida e legitimada pelas comunidades que a constroem. O território do </w:t>
      </w:r>
      <w:proofErr w:type="spellStart"/>
      <w:r>
        <w:rPr>
          <w:sz w:val="24"/>
          <w:szCs w:val="24"/>
        </w:rPr>
        <w:t>Taim</w:t>
      </w:r>
      <w:proofErr w:type="spellEnd"/>
      <w:r>
        <w:rPr>
          <w:sz w:val="24"/>
          <w:szCs w:val="24"/>
        </w:rPr>
        <w:t xml:space="preserve"> deve ser entendido nesse marco como espaço de resistência, marcado por processos de territorialização históricos que articulam a memória e a identidade.</w:t>
      </w:r>
    </w:p>
    <w:p w14:paraId="0A11A6A3" w14:textId="77777777" w:rsidR="00E02446" w:rsidRDefault="00E02446" w:rsidP="00435057">
      <w:pPr>
        <w:spacing w:line="360" w:lineRule="auto"/>
        <w:ind w:left="-2" w:firstLineChars="0" w:firstLine="720"/>
        <w:jc w:val="both"/>
        <w:rPr>
          <w:sz w:val="24"/>
          <w:szCs w:val="24"/>
        </w:rPr>
      </w:pPr>
    </w:p>
    <w:p w14:paraId="623262C6" w14:textId="77777777" w:rsidR="00E02446" w:rsidRDefault="00F71BAA" w:rsidP="00435057">
      <w:pPr>
        <w:pBdr>
          <w:top w:val="nil"/>
          <w:left w:val="nil"/>
          <w:bottom w:val="nil"/>
          <w:right w:val="nil"/>
          <w:between w:val="nil"/>
        </w:pBdr>
        <w:spacing w:line="360" w:lineRule="auto"/>
        <w:ind w:leftChars="0" w:left="0" w:firstLineChars="0" w:firstLine="0"/>
        <w:jc w:val="both"/>
        <w:rPr>
          <w:b/>
          <w:sz w:val="24"/>
          <w:szCs w:val="24"/>
        </w:rPr>
      </w:pPr>
      <w:r>
        <w:rPr>
          <w:b/>
          <w:sz w:val="24"/>
          <w:szCs w:val="24"/>
        </w:rPr>
        <w:t xml:space="preserve">3 </w:t>
      </w:r>
      <w:r>
        <w:rPr>
          <w:b/>
          <w:color w:val="000000"/>
          <w:sz w:val="24"/>
          <w:szCs w:val="24"/>
        </w:rPr>
        <w:t>INTOLERÂNCIA RELIGIOSA E CONFLITOS T</w:t>
      </w:r>
      <w:r>
        <w:rPr>
          <w:b/>
          <w:sz w:val="24"/>
          <w:szCs w:val="24"/>
        </w:rPr>
        <w:t>ERRITORIAIS</w:t>
      </w:r>
      <w:r>
        <w:rPr>
          <w:b/>
          <w:color w:val="000000"/>
          <w:sz w:val="24"/>
          <w:szCs w:val="24"/>
        </w:rPr>
        <w:t xml:space="preserve"> </w:t>
      </w:r>
      <w:r>
        <w:rPr>
          <w:b/>
          <w:sz w:val="24"/>
          <w:szCs w:val="24"/>
        </w:rPr>
        <w:t xml:space="preserve"> </w:t>
      </w:r>
    </w:p>
    <w:p w14:paraId="42044289" w14:textId="77777777" w:rsidR="00E02446" w:rsidRDefault="00E02446" w:rsidP="00435057">
      <w:pPr>
        <w:pBdr>
          <w:top w:val="nil"/>
          <w:left w:val="nil"/>
          <w:bottom w:val="nil"/>
          <w:right w:val="nil"/>
          <w:between w:val="nil"/>
        </w:pBdr>
        <w:spacing w:line="360" w:lineRule="auto"/>
        <w:ind w:left="-2" w:firstLineChars="0" w:firstLine="720"/>
        <w:jc w:val="both"/>
        <w:rPr>
          <w:b/>
          <w:sz w:val="24"/>
          <w:szCs w:val="24"/>
        </w:rPr>
      </w:pPr>
    </w:p>
    <w:p w14:paraId="38795E3B" w14:textId="77777777" w:rsidR="00E02446" w:rsidRDefault="00F71BAA" w:rsidP="00435057">
      <w:pPr>
        <w:spacing w:line="360" w:lineRule="auto"/>
        <w:ind w:left="-2" w:firstLineChars="0" w:firstLine="720"/>
        <w:jc w:val="both"/>
        <w:rPr>
          <w:sz w:val="24"/>
          <w:szCs w:val="24"/>
        </w:rPr>
      </w:pPr>
      <w:r>
        <w:rPr>
          <w:sz w:val="24"/>
          <w:szCs w:val="24"/>
        </w:rPr>
        <w:t xml:space="preserve">A comunidade do </w:t>
      </w:r>
      <w:proofErr w:type="spellStart"/>
      <w:r>
        <w:rPr>
          <w:sz w:val="24"/>
          <w:szCs w:val="24"/>
        </w:rPr>
        <w:t>Taim</w:t>
      </w:r>
      <w:proofErr w:type="spellEnd"/>
      <w:r>
        <w:rPr>
          <w:sz w:val="24"/>
          <w:szCs w:val="24"/>
        </w:rPr>
        <w:t xml:space="preserve"> vem enfrentando tensões significativas nas últimas décadas, provocadas, por um lado, por projetos de desenvolvimento (</w:t>
      </w:r>
      <w:proofErr w:type="spellStart"/>
      <w:r>
        <w:rPr>
          <w:sz w:val="24"/>
          <w:szCs w:val="24"/>
          <w:highlight w:val="white"/>
        </w:rPr>
        <w:t>Sant’ana</w:t>
      </w:r>
      <w:proofErr w:type="spellEnd"/>
      <w:r>
        <w:rPr>
          <w:sz w:val="24"/>
          <w:szCs w:val="24"/>
          <w:highlight w:val="white"/>
        </w:rPr>
        <w:t xml:space="preserve"> Júnior, 2009) e, por outro, pelas mudanças sociais na comunidade. </w:t>
      </w:r>
      <w:r>
        <w:rPr>
          <w:sz w:val="24"/>
          <w:szCs w:val="24"/>
        </w:rPr>
        <w:t xml:space="preserve">Esse processo tem impactado diretamente a prática do Tambor de Crioula na comunidade, afetando não apenas o seu espaço simbólico e territorial, mas também as formas de sociabilidade e a transmissão de saberes ancestrais. Nesse contexto, destaca-se um tipo de mudança vinda da territorialização das igrejas neopentecostais. </w:t>
      </w:r>
    </w:p>
    <w:p w14:paraId="2320DCD2" w14:textId="77777777" w:rsidR="00E02446" w:rsidRDefault="00435057" w:rsidP="00435057">
      <w:pPr>
        <w:spacing w:line="360" w:lineRule="auto"/>
        <w:ind w:left="-2" w:firstLineChars="0" w:firstLine="720"/>
        <w:jc w:val="both"/>
        <w:rPr>
          <w:sz w:val="24"/>
          <w:szCs w:val="24"/>
        </w:rPr>
      </w:pPr>
      <w:r>
        <w:rPr>
          <w:sz w:val="24"/>
          <w:szCs w:val="24"/>
        </w:rPr>
        <w:t xml:space="preserve">Como mostra </w:t>
      </w:r>
      <w:r w:rsidR="00F71BAA">
        <w:rPr>
          <w:sz w:val="24"/>
          <w:szCs w:val="24"/>
        </w:rPr>
        <w:t xml:space="preserve">Oro (2006), as igrejas neopentecostais tendem a construir a figura do “outro religioso” como demoníaco, ensejando em conflitos e disputas contra práticas religiosas afro-brasileiras. No </w:t>
      </w:r>
      <w:proofErr w:type="spellStart"/>
      <w:r w:rsidR="00F71BAA">
        <w:rPr>
          <w:sz w:val="24"/>
          <w:szCs w:val="24"/>
        </w:rPr>
        <w:t>Taim</w:t>
      </w:r>
      <w:proofErr w:type="spellEnd"/>
      <w:r w:rsidR="00F71BAA">
        <w:rPr>
          <w:sz w:val="24"/>
          <w:szCs w:val="24"/>
        </w:rPr>
        <w:t xml:space="preserve">, esse tipo de discurso tem levado à rejeição de elementos centrais da manifestação, como o mastro de São Benedito, que durante o cortejo deixa de ser acolhido por algumas casas convertidas, ferindo o rito coletivo que fundamenta a territorialidade da festa. O mastro, que percorre caminhos simbólicos e para em frente às casas para receber oferendas e bênçãos, é impedido </w:t>
      </w:r>
      <w:r w:rsidR="00F71BAA">
        <w:rPr>
          <w:sz w:val="24"/>
          <w:szCs w:val="24"/>
        </w:rPr>
        <w:lastRenderedPageBreak/>
        <w:t xml:space="preserve">de seguir plenamente seu trajeto. Essa recusa também representa uma disputa simbólica sobre o espaço. </w:t>
      </w:r>
    </w:p>
    <w:p w14:paraId="3EC42088" w14:textId="77777777" w:rsidR="00E02446" w:rsidRDefault="00F71BAA" w:rsidP="00435057">
      <w:pPr>
        <w:spacing w:line="360" w:lineRule="auto"/>
        <w:ind w:left="-2" w:firstLineChars="0" w:firstLine="720"/>
        <w:jc w:val="both"/>
        <w:rPr>
          <w:sz w:val="24"/>
          <w:szCs w:val="24"/>
        </w:rPr>
      </w:pPr>
      <w:r>
        <w:rPr>
          <w:sz w:val="24"/>
          <w:szCs w:val="24"/>
        </w:rPr>
        <w:t xml:space="preserve">Os relatos orais de moradores do </w:t>
      </w:r>
      <w:proofErr w:type="spellStart"/>
      <w:r>
        <w:rPr>
          <w:sz w:val="24"/>
          <w:szCs w:val="24"/>
        </w:rPr>
        <w:t>Taim</w:t>
      </w:r>
      <w:proofErr w:type="spellEnd"/>
      <w:r>
        <w:rPr>
          <w:sz w:val="24"/>
          <w:szCs w:val="24"/>
        </w:rPr>
        <w:t xml:space="preserve"> confirmam esse processo. Um dos entrevistados narra que muitos convertidos se recusam a permitir que o cortejo passe diante de suas casas. A consequência prática disso é o enfraquecimento da coesão comunitária e o rompimento de uma prática cultural construída ao longo de quase noventa anos. Além da estigmatização, há também uma ressignificação forçada dos espaços da comunidade. Práticas que antes eram realizadas em áreas públicas passam a ser confinadas a lugares mais privados, como a sede do grupo ou o pátio da igreja, esvaziando o uso comunitário do território. Entendendo o território como um espaço construído a partir de relações de poder e de apropriação simbólica (Hesbaert, 2010), se observa que a chegada das igrejas neopentecostais representa uma nova lógica de apropriação, que rompe com a territorialidade tradicional da comunidade e busca hegemonizar a leitura do espaço e redefinir as práticas simbólicas, a partir da deslegitimação do tambor de crioula.</w:t>
      </w:r>
    </w:p>
    <w:p w14:paraId="0520DCBF" w14:textId="77777777" w:rsidR="00E02446" w:rsidRDefault="00F71BAA" w:rsidP="00435057">
      <w:pPr>
        <w:spacing w:line="360" w:lineRule="auto"/>
        <w:ind w:left="-2" w:firstLineChars="0" w:firstLine="720"/>
        <w:jc w:val="both"/>
        <w:rPr>
          <w:sz w:val="24"/>
          <w:szCs w:val="24"/>
        </w:rPr>
      </w:pPr>
      <w:r>
        <w:rPr>
          <w:sz w:val="24"/>
          <w:szCs w:val="24"/>
        </w:rPr>
        <w:t xml:space="preserve">Percebe-se a limitação dos mecanismos de proteção diante da complexidade do conflito vivido na comunidade. A criminalização simbólica das práticas culturais afrodescendentes exige respostas mais firmes do Estado, que vão além da valorização do tambor de crioula nos meses de festas juninas. Os conflitos religiosos vivenciados no </w:t>
      </w:r>
      <w:proofErr w:type="spellStart"/>
      <w:r>
        <w:rPr>
          <w:sz w:val="24"/>
          <w:szCs w:val="24"/>
        </w:rPr>
        <w:t>Taim</w:t>
      </w:r>
      <w:proofErr w:type="spellEnd"/>
      <w:r>
        <w:rPr>
          <w:sz w:val="24"/>
          <w:szCs w:val="24"/>
        </w:rPr>
        <w:t xml:space="preserve"> não podem ser entendidos como meras divergências de fé. Eles envolvem disputas profundas e pressões simbólicas.</w:t>
      </w:r>
    </w:p>
    <w:p w14:paraId="58C14EF9" w14:textId="77777777" w:rsidR="00E02446" w:rsidRDefault="00E02446" w:rsidP="00435057">
      <w:pPr>
        <w:spacing w:line="360" w:lineRule="auto"/>
        <w:ind w:left="-2" w:firstLineChars="0" w:firstLine="720"/>
        <w:jc w:val="both"/>
        <w:rPr>
          <w:sz w:val="24"/>
          <w:szCs w:val="24"/>
        </w:rPr>
      </w:pPr>
    </w:p>
    <w:p w14:paraId="0AFF7A28" w14:textId="77777777" w:rsidR="00E02446" w:rsidRDefault="00F71BAA" w:rsidP="00435057">
      <w:pPr>
        <w:spacing w:line="360" w:lineRule="auto"/>
        <w:ind w:left="-2" w:firstLineChars="0" w:firstLine="0"/>
        <w:jc w:val="both"/>
        <w:rPr>
          <w:sz w:val="24"/>
          <w:szCs w:val="24"/>
        </w:rPr>
      </w:pPr>
      <w:r>
        <w:rPr>
          <w:b/>
          <w:sz w:val="24"/>
          <w:szCs w:val="24"/>
        </w:rPr>
        <w:t>4 POLÍTICAS PÚBLICAS E SALVAGUARDA DO PATRIMÔNIO CULTURAL AFRODESCENDENTE</w:t>
      </w:r>
    </w:p>
    <w:p w14:paraId="05FDFFE4" w14:textId="77777777" w:rsidR="00E02446" w:rsidRDefault="00E02446" w:rsidP="00435057">
      <w:pPr>
        <w:spacing w:line="360" w:lineRule="auto"/>
        <w:ind w:left="-2" w:firstLineChars="0" w:firstLine="720"/>
        <w:jc w:val="both"/>
        <w:rPr>
          <w:sz w:val="24"/>
          <w:szCs w:val="24"/>
        </w:rPr>
      </w:pPr>
    </w:p>
    <w:p w14:paraId="7C4E7982" w14:textId="77777777" w:rsidR="00E02446" w:rsidRDefault="00F71BAA" w:rsidP="00435057">
      <w:pPr>
        <w:spacing w:line="360" w:lineRule="auto"/>
        <w:ind w:left="-2" w:firstLineChars="0" w:firstLine="720"/>
        <w:jc w:val="both"/>
        <w:rPr>
          <w:sz w:val="24"/>
          <w:szCs w:val="24"/>
        </w:rPr>
      </w:pPr>
      <w:r>
        <w:rPr>
          <w:sz w:val="24"/>
          <w:szCs w:val="24"/>
        </w:rPr>
        <w:t xml:space="preserve">Em 18 de junho de 2007, o Tambor de Crioula foi reconhecido como Patrimônio Cultural Imaterial Brasileiro, pelo Instituto do Patrimônio Histórico e Artístico Nacional (IPHAN), representando um avanço significativo na valorização das manifestações </w:t>
      </w:r>
      <w:r>
        <w:rPr>
          <w:sz w:val="24"/>
          <w:szCs w:val="24"/>
        </w:rPr>
        <w:lastRenderedPageBreak/>
        <w:t>afro-brasileiras, contando com o registro no Livro das Formas de Expressão, que destaca a importância da prática para a identidade maranhense.</w:t>
      </w:r>
    </w:p>
    <w:p w14:paraId="69986C75" w14:textId="77777777" w:rsidR="00E02446" w:rsidRDefault="00F71BAA" w:rsidP="00435057">
      <w:pPr>
        <w:spacing w:line="360" w:lineRule="auto"/>
        <w:ind w:left="-2" w:firstLineChars="0" w:firstLine="720"/>
        <w:jc w:val="both"/>
        <w:rPr>
          <w:sz w:val="24"/>
          <w:szCs w:val="24"/>
        </w:rPr>
      </w:pPr>
      <w:r>
        <w:rPr>
          <w:sz w:val="24"/>
          <w:szCs w:val="24"/>
        </w:rPr>
        <w:t>Com essa visibilidade, o IPHAN elaborou o Plano de Salvaguarda do Tambor de Crioula (2014), um instrumento de política pública que busca garantir a continuidade e valorização dessa cultura, se organizando em torno de quatro eixos principais:</w:t>
      </w:r>
      <w:r>
        <w:rPr>
          <w:b/>
          <w:sz w:val="24"/>
          <w:szCs w:val="24"/>
        </w:rPr>
        <w:t xml:space="preserve"> </w:t>
      </w:r>
      <w:r>
        <w:rPr>
          <w:sz w:val="24"/>
          <w:szCs w:val="24"/>
        </w:rPr>
        <w:t>o fortalecimento da transmissão dos saberes tradicionais (como oficinas de dança e percussão); a valorização dos mestres e grupos guardiões da tradição; a promoção da visibilidade do bem cultural em diferentes espaços sociais; e a articulação institucional com outras políticas públicas, como as de educação e igualdade racial.</w:t>
      </w:r>
    </w:p>
    <w:p w14:paraId="1785A47D" w14:textId="77777777" w:rsidR="00E02446" w:rsidRDefault="00F71BAA" w:rsidP="00435057">
      <w:pPr>
        <w:spacing w:line="360" w:lineRule="auto"/>
        <w:ind w:left="-2" w:firstLineChars="0" w:firstLine="720"/>
        <w:jc w:val="both"/>
        <w:rPr>
          <w:sz w:val="24"/>
          <w:szCs w:val="24"/>
        </w:rPr>
      </w:pPr>
      <w:r>
        <w:rPr>
          <w:sz w:val="24"/>
          <w:szCs w:val="24"/>
        </w:rPr>
        <w:t xml:space="preserve">No entanto, apesar do reconhecimento e diretrizes propostas no plano, observa-se que as ações de proteção e valorização ainda são pontuais e insuficientes diante das ameaças simbólicas e territoriais vividas pelas comunidades guardiãs da tradição. No caso do </w:t>
      </w:r>
      <w:proofErr w:type="spellStart"/>
      <w:r>
        <w:rPr>
          <w:sz w:val="24"/>
          <w:szCs w:val="24"/>
        </w:rPr>
        <w:t>Taim</w:t>
      </w:r>
      <w:proofErr w:type="spellEnd"/>
      <w:r>
        <w:rPr>
          <w:sz w:val="24"/>
          <w:szCs w:val="24"/>
        </w:rPr>
        <w:t>, os relatos dos moradores evidenciam a presença de iniciativas do IPHAN, como a oferta de oficinas de dança, canto e percussão, que tiveram papel relevante na formação de novos integrantes e na continuidade da prática entre as gerações mais jovens. As lideranças comunitárias destacam que parte das crianças e jovens que hoje participam das rodas de tambor aprenderam nessas oficinas, mesmo que muitos já tivessem familiaridade por meio da convivência familiar.</w:t>
      </w:r>
    </w:p>
    <w:p w14:paraId="7D041D08" w14:textId="77777777" w:rsidR="00E02446" w:rsidRDefault="00F71BAA" w:rsidP="00435057">
      <w:pPr>
        <w:spacing w:line="360" w:lineRule="auto"/>
        <w:ind w:left="-2" w:firstLineChars="0" w:firstLine="720"/>
        <w:jc w:val="both"/>
        <w:rPr>
          <w:sz w:val="24"/>
          <w:szCs w:val="24"/>
        </w:rPr>
      </w:pPr>
      <w:r>
        <w:rPr>
          <w:sz w:val="24"/>
          <w:szCs w:val="24"/>
        </w:rPr>
        <w:t xml:space="preserve">Ainda assim, os próprios moradores apontam a limitação dessas ações. A maior parte das atividades de valorização ocorre nos períodos juninos, quando a cultura popular ganha maior visibilidade nos circuitos culturais do estado. Fora desse contexto, as rodas de tambor são </w:t>
      </w:r>
      <w:proofErr w:type="spellStart"/>
      <w:r>
        <w:rPr>
          <w:sz w:val="24"/>
          <w:szCs w:val="24"/>
        </w:rPr>
        <w:t>invisibilizadas</w:t>
      </w:r>
      <w:proofErr w:type="spellEnd"/>
      <w:r>
        <w:rPr>
          <w:sz w:val="24"/>
          <w:szCs w:val="24"/>
        </w:rPr>
        <w:t>, restando ao grupo esforços próprios para manter os ensaios, confeccionar instrumentos e sustentar os festejos, evidenciando a ausência de políticas públicas contínuas e estruturantes que</w:t>
      </w:r>
      <w:r w:rsidR="000C0677">
        <w:rPr>
          <w:sz w:val="24"/>
          <w:szCs w:val="24"/>
        </w:rPr>
        <w:t xml:space="preserve"> valorizem a prática do tambor </w:t>
      </w:r>
      <w:r>
        <w:rPr>
          <w:sz w:val="24"/>
          <w:szCs w:val="24"/>
        </w:rPr>
        <w:t>de crioula.</w:t>
      </w:r>
    </w:p>
    <w:p w14:paraId="21DAC301" w14:textId="77777777" w:rsidR="00E02446" w:rsidRDefault="00F71BAA" w:rsidP="00435057">
      <w:pPr>
        <w:spacing w:line="360" w:lineRule="auto"/>
        <w:ind w:left="-2" w:firstLineChars="0" w:firstLine="720"/>
        <w:jc w:val="both"/>
        <w:rPr>
          <w:sz w:val="24"/>
          <w:szCs w:val="24"/>
        </w:rPr>
      </w:pPr>
      <w:r>
        <w:rPr>
          <w:b/>
          <w:sz w:val="24"/>
          <w:szCs w:val="24"/>
        </w:rPr>
        <w:t xml:space="preserve"> </w:t>
      </w:r>
      <w:r>
        <w:rPr>
          <w:sz w:val="24"/>
          <w:szCs w:val="24"/>
        </w:rPr>
        <w:t xml:space="preserve">A política de patrimônio prevê, além do registro, ações sistemáticas de acompanhamento, incentivo e preservação. O artigo 216 da Constituição Federal de 1988 já reconhece as manifestações culturais populares como parte do patrimônio </w:t>
      </w:r>
      <w:r>
        <w:rPr>
          <w:sz w:val="24"/>
          <w:szCs w:val="24"/>
        </w:rPr>
        <w:lastRenderedPageBreak/>
        <w:t>cultural brasileiro, e a Lei nº 3.446/2017 trata da proteção de manifestações afro-brasileiras, prevendo medidas educativas e de promoção da igualdade racial.</w:t>
      </w:r>
    </w:p>
    <w:p w14:paraId="6077C405" w14:textId="77777777" w:rsidR="00E02446" w:rsidRDefault="00F71BAA" w:rsidP="00435057">
      <w:pPr>
        <w:spacing w:line="360" w:lineRule="auto"/>
        <w:ind w:left="-2" w:firstLineChars="0" w:firstLine="720"/>
        <w:jc w:val="both"/>
        <w:rPr>
          <w:sz w:val="24"/>
          <w:szCs w:val="24"/>
        </w:rPr>
      </w:pPr>
      <w:r>
        <w:rPr>
          <w:sz w:val="24"/>
          <w:szCs w:val="24"/>
        </w:rPr>
        <w:t>Cita-se também a Lei nº 9.459/1997, que altera o Código Penal para prever como crime a prática de discriminação ou preconceito de raça, cor, etnia, religião ou procedência nacional. No entanto, a realidade mostra que casos de intolerância religiosa, especialmente contra religiões de matriz africana, são frequentemente tratados pelas autoridades como simples “desentendimentos” ou “conflitos de vizinhança”, sem o devido enquadramento criminal. Como destaca Oro (2006), a intolerância contra essas religiões assume formas sutis e simbólicas, mas profundamente destrutivas para a continuidade das práticas culturais.</w:t>
      </w:r>
    </w:p>
    <w:p w14:paraId="6DA7D8AB" w14:textId="77777777" w:rsidR="00E02446" w:rsidRDefault="00F71BAA" w:rsidP="00435057">
      <w:pPr>
        <w:spacing w:line="360" w:lineRule="auto"/>
        <w:ind w:left="-2" w:firstLineChars="0" w:firstLine="720"/>
        <w:jc w:val="both"/>
        <w:rPr>
          <w:sz w:val="24"/>
          <w:szCs w:val="24"/>
        </w:rPr>
      </w:pPr>
      <w:r>
        <w:rPr>
          <w:sz w:val="24"/>
          <w:szCs w:val="24"/>
        </w:rPr>
        <w:t xml:space="preserve">Se mostra urgente a implementação pelo Estado brasileiro de políticas públicas específicas de enfrentamento à intolerância religiosa, com foco na proteção das práticas culturais afrodescendente, incluindo campanhas educativas, formação de agentes públicos, presença institucional em comunidades vulneráveis e o reconhecimento da religião como elemento legítimo de identidade e territorialidade. </w:t>
      </w:r>
    </w:p>
    <w:p w14:paraId="5B3004B1" w14:textId="77777777" w:rsidR="00E02446" w:rsidRDefault="00E02446" w:rsidP="00435057">
      <w:pPr>
        <w:spacing w:line="360" w:lineRule="auto"/>
        <w:ind w:left="-2" w:firstLineChars="0" w:firstLine="720"/>
        <w:jc w:val="both"/>
        <w:rPr>
          <w:sz w:val="24"/>
          <w:szCs w:val="24"/>
        </w:rPr>
      </w:pPr>
    </w:p>
    <w:p w14:paraId="5C30DBC8" w14:textId="77777777" w:rsidR="00E02446" w:rsidRDefault="00F71BAA" w:rsidP="00435057">
      <w:pPr>
        <w:spacing w:line="360" w:lineRule="auto"/>
        <w:ind w:leftChars="0" w:left="0" w:firstLineChars="0" w:firstLine="0"/>
        <w:jc w:val="both"/>
        <w:rPr>
          <w:sz w:val="24"/>
          <w:szCs w:val="24"/>
        </w:rPr>
      </w:pPr>
      <w:r>
        <w:rPr>
          <w:b/>
          <w:sz w:val="24"/>
          <w:szCs w:val="24"/>
        </w:rPr>
        <w:t>5 CONCLUSÃO</w:t>
      </w:r>
    </w:p>
    <w:p w14:paraId="596C6D8F" w14:textId="77777777" w:rsidR="000C0677" w:rsidRDefault="000C0677" w:rsidP="00435057">
      <w:pPr>
        <w:spacing w:line="360" w:lineRule="auto"/>
        <w:ind w:left="-2" w:firstLineChars="0" w:firstLine="720"/>
        <w:jc w:val="both"/>
        <w:rPr>
          <w:sz w:val="24"/>
          <w:szCs w:val="24"/>
        </w:rPr>
      </w:pPr>
    </w:p>
    <w:p w14:paraId="2FB3E1FD" w14:textId="77777777" w:rsidR="00E02446" w:rsidRDefault="00F71BAA" w:rsidP="00435057">
      <w:pPr>
        <w:spacing w:line="360" w:lineRule="auto"/>
        <w:ind w:left="-2" w:firstLineChars="0" w:firstLine="720"/>
        <w:jc w:val="both"/>
        <w:rPr>
          <w:sz w:val="24"/>
          <w:szCs w:val="24"/>
        </w:rPr>
      </w:pPr>
      <w:r>
        <w:rPr>
          <w:sz w:val="24"/>
          <w:szCs w:val="24"/>
        </w:rPr>
        <w:t>A pesquisa mostra como o Tambor de Crioula é um sistema simbólico de manutenção territorial, envolvendo memória e pertencimento para as comunidades tradicionais. A partir do estudo do grupo Unidos de São Benedito, foi possível compreender como as práticas culturais afrodescendentes articulam religiosidade popular, oralidade e ocupação do espaço, sendo transmitidas entre gerações por meio do corpo, do canto e da devoção a São Benedito.</w:t>
      </w:r>
    </w:p>
    <w:p w14:paraId="22F174FD" w14:textId="77777777" w:rsidR="00E02446" w:rsidRDefault="00F71BAA" w:rsidP="00435057">
      <w:pPr>
        <w:spacing w:line="360" w:lineRule="auto"/>
        <w:ind w:left="-2" w:firstLineChars="0" w:firstLine="720"/>
        <w:jc w:val="both"/>
        <w:rPr>
          <w:sz w:val="24"/>
          <w:szCs w:val="24"/>
        </w:rPr>
      </w:pPr>
      <w:r>
        <w:rPr>
          <w:sz w:val="24"/>
          <w:szCs w:val="24"/>
        </w:rPr>
        <w:t xml:space="preserve">Ao mesmo tempo, fica evidente como o avanço das igrejas neopentecostais têm produzido conflitos simbólicos no território, afetando diretamente a continuidade das tradições e promovendo, muitas vezes, o silenciamento das práticas de matriz africana. As manifestações de intolerância religiosa, frequentemente tratadas como conflitos cotidianos ou desentendimentos entre vizinhos, devem ser reconhecidas </w:t>
      </w:r>
      <w:r>
        <w:rPr>
          <w:sz w:val="24"/>
          <w:szCs w:val="24"/>
        </w:rPr>
        <w:lastRenderedPageBreak/>
        <w:t xml:space="preserve">como formas de violência simbólica e estrutural que ameaçam não apenas a liberdade religiosa, mas também os direitos culturais e territoriais das comunidades tradicionais. </w:t>
      </w:r>
    </w:p>
    <w:p w14:paraId="2421CBBA" w14:textId="77777777" w:rsidR="00E02446" w:rsidRDefault="00F71BAA" w:rsidP="00435057">
      <w:pPr>
        <w:spacing w:line="360" w:lineRule="auto"/>
        <w:ind w:left="-2" w:firstLineChars="0" w:firstLine="720"/>
        <w:jc w:val="both"/>
        <w:rPr>
          <w:sz w:val="24"/>
          <w:szCs w:val="24"/>
        </w:rPr>
      </w:pPr>
      <w:r>
        <w:rPr>
          <w:sz w:val="24"/>
          <w:szCs w:val="24"/>
        </w:rPr>
        <w:t xml:space="preserve">A proteção ao Tambor de Crioula, portanto, não pode se limitar ao reconhecimento formal como patrimônio imaterial. É necessário que as políticas públicas avancem no sentido de garantir meios concretos para a permanência dessas práticas, sobretudo em contextos de disputa como o vivido pelo </w:t>
      </w:r>
      <w:proofErr w:type="spellStart"/>
      <w:r>
        <w:rPr>
          <w:sz w:val="24"/>
          <w:szCs w:val="24"/>
        </w:rPr>
        <w:t>Taim</w:t>
      </w:r>
      <w:proofErr w:type="spellEnd"/>
      <w:r>
        <w:rPr>
          <w:sz w:val="24"/>
          <w:szCs w:val="24"/>
        </w:rPr>
        <w:t xml:space="preserve">. Esses programas devem respeitar os tempos e modos das comunidades, mas também oferecer condições materiais e institucionais para que a cultura se mantenha viva e respeitada. Isso exige diálogo entre as esferas da cultura, da educação, da assistência social e dos direitos humanos, com ações transversais e sustentadas por orçamento público. Não se trata apenas de proteger um bem cultural, mas de garantir que comunidades como a do </w:t>
      </w:r>
      <w:proofErr w:type="spellStart"/>
      <w:r>
        <w:rPr>
          <w:sz w:val="24"/>
          <w:szCs w:val="24"/>
        </w:rPr>
        <w:t>Taim</w:t>
      </w:r>
      <w:proofErr w:type="spellEnd"/>
      <w:r>
        <w:rPr>
          <w:sz w:val="24"/>
          <w:szCs w:val="24"/>
        </w:rPr>
        <w:t xml:space="preserve"> possam continuar existindo com dignidade, fé e autonomia sobre seus territórios e tradições.</w:t>
      </w:r>
    </w:p>
    <w:p w14:paraId="3F9172CA" w14:textId="77777777" w:rsidR="00E02446" w:rsidRDefault="00F71BAA" w:rsidP="00435057">
      <w:pPr>
        <w:spacing w:line="360" w:lineRule="auto"/>
        <w:ind w:left="-2" w:firstLineChars="0" w:firstLine="720"/>
        <w:jc w:val="both"/>
        <w:rPr>
          <w:sz w:val="24"/>
          <w:szCs w:val="24"/>
        </w:rPr>
      </w:pPr>
      <w:r>
        <w:rPr>
          <w:sz w:val="24"/>
          <w:szCs w:val="24"/>
        </w:rPr>
        <w:t>Os casos de intolerância religiosa devem ser tratados com a devida seriedade pelo Estado, com instrumentos legais eficazes, bem como realizar estudos comparativos entre diferentes comunidades afetadas por conflitos religiosos semelhantes, investigando experiências de resistência e multiterritorialidades</w:t>
      </w:r>
      <w:r w:rsidR="00FE780D">
        <w:rPr>
          <w:sz w:val="24"/>
          <w:szCs w:val="24"/>
        </w:rPr>
        <w:t xml:space="preserve"> </w:t>
      </w:r>
      <w:r>
        <w:rPr>
          <w:sz w:val="24"/>
          <w:szCs w:val="24"/>
        </w:rPr>
        <w:t>(</w:t>
      </w:r>
      <w:proofErr w:type="spellStart"/>
      <w:r>
        <w:rPr>
          <w:sz w:val="24"/>
          <w:szCs w:val="24"/>
        </w:rPr>
        <w:t>Haesbaert</w:t>
      </w:r>
      <w:proofErr w:type="spellEnd"/>
      <w:r>
        <w:rPr>
          <w:sz w:val="24"/>
          <w:szCs w:val="24"/>
        </w:rPr>
        <w:t xml:space="preserve">, 2004). </w:t>
      </w:r>
    </w:p>
    <w:p w14:paraId="49ED8F84" w14:textId="77777777" w:rsidR="00E02446" w:rsidRDefault="00E02446">
      <w:pPr>
        <w:spacing w:line="360" w:lineRule="auto"/>
        <w:ind w:left="0" w:hanging="2"/>
        <w:jc w:val="both"/>
        <w:rPr>
          <w:sz w:val="24"/>
          <w:szCs w:val="24"/>
        </w:rPr>
      </w:pPr>
    </w:p>
    <w:p w14:paraId="39A79684" w14:textId="77777777" w:rsidR="00E02446" w:rsidRDefault="00F71BAA">
      <w:pPr>
        <w:spacing w:line="360" w:lineRule="auto"/>
        <w:ind w:left="0" w:hanging="2"/>
        <w:jc w:val="center"/>
        <w:rPr>
          <w:sz w:val="24"/>
          <w:szCs w:val="24"/>
        </w:rPr>
      </w:pPr>
      <w:r>
        <w:rPr>
          <w:b/>
          <w:sz w:val="24"/>
          <w:szCs w:val="24"/>
        </w:rPr>
        <w:t xml:space="preserve">REFERÊNCIAS </w:t>
      </w:r>
    </w:p>
    <w:p w14:paraId="6D461E71" w14:textId="77777777" w:rsidR="00E02446" w:rsidRDefault="00E02446">
      <w:pPr>
        <w:spacing w:line="240" w:lineRule="auto"/>
        <w:ind w:left="0" w:hanging="2"/>
        <w:jc w:val="both"/>
        <w:rPr>
          <w:sz w:val="24"/>
          <w:szCs w:val="24"/>
        </w:rPr>
      </w:pPr>
    </w:p>
    <w:p w14:paraId="360AC2BF" w14:textId="77777777" w:rsidR="00E02446" w:rsidRDefault="00F71BAA">
      <w:pPr>
        <w:spacing w:line="240" w:lineRule="auto"/>
        <w:ind w:left="0" w:hanging="2"/>
        <w:jc w:val="both"/>
        <w:rPr>
          <w:sz w:val="24"/>
          <w:szCs w:val="24"/>
        </w:rPr>
      </w:pPr>
      <w:r>
        <w:rPr>
          <w:sz w:val="24"/>
          <w:szCs w:val="24"/>
        </w:rPr>
        <w:t xml:space="preserve">ALMEIDA, Alfredo Wagner </w:t>
      </w:r>
      <w:proofErr w:type="spellStart"/>
      <w:r>
        <w:rPr>
          <w:sz w:val="24"/>
          <w:szCs w:val="24"/>
        </w:rPr>
        <w:t>Berno</w:t>
      </w:r>
      <w:proofErr w:type="spellEnd"/>
      <w:r>
        <w:rPr>
          <w:sz w:val="24"/>
          <w:szCs w:val="24"/>
        </w:rPr>
        <w:t xml:space="preserve"> de. </w:t>
      </w:r>
      <w:r>
        <w:rPr>
          <w:b/>
          <w:sz w:val="24"/>
          <w:szCs w:val="24"/>
        </w:rPr>
        <w:t>Terras tradicionalmente ocupadas</w:t>
      </w:r>
      <w:r>
        <w:rPr>
          <w:sz w:val="24"/>
          <w:szCs w:val="24"/>
        </w:rPr>
        <w:t>. São Paulo: Instituto Socioambiental, 2008.</w:t>
      </w:r>
    </w:p>
    <w:p w14:paraId="55DDF03A" w14:textId="77777777" w:rsidR="00E02446" w:rsidRDefault="00E02446">
      <w:pPr>
        <w:spacing w:line="240" w:lineRule="auto"/>
        <w:ind w:left="0" w:hanging="2"/>
        <w:jc w:val="both"/>
        <w:rPr>
          <w:sz w:val="24"/>
          <w:szCs w:val="24"/>
        </w:rPr>
      </w:pPr>
    </w:p>
    <w:p w14:paraId="3E55CEEA" w14:textId="77777777" w:rsidR="00E02446" w:rsidRDefault="00F71BAA">
      <w:pPr>
        <w:spacing w:line="240" w:lineRule="auto"/>
        <w:ind w:left="0" w:hanging="2"/>
        <w:jc w:val="both"/>
        <w:rPr>
          <w:sz w:val="24"/>
          <w:szCs w:val="24"/>
        </w:rPr>
      </w:pPr>
      <w:r>
        <w:rPr>
          <w:sz w:val="24"/>
          <w:szCs w:val="24"/>
        </w:rPr>
        <w:t xml:space="preserve">BISPO, Nego. </w:t>
      </w:r>
      <w:r>
        <w:rPr>
          <w:b/>
          <w:sz w:val="24"/>
          <w:szCs w:val="24"/>
        </w:rPr>
        <w:t>Colonização, Quilombos: modos e significados</w:t>
      </w:r>
      <w:r>
        <w:rPr>
          <w:sz w:val="24"/>
          <w:szCs w:val="24"/>
        </w:rPr>
        <w:t>. Brasília: INCRA, 2011.</w:t>
      </w:r>
    </w:p>
    <w:p w14:paraId="7CEFCBC8" w14:textId="77777777" w:rsidR="00E02446" w:rsidRDefault="00E02446">
      <w:pPr>
        <w:spacing w:line="240" w:lineRule="auto"/>
        <w:ind w:left="0" w:hanging="2"/>
        <w:jc w:val="both"/>
        <w:rPr>
          <w:sz w:val="24"/>
          <w:szCs w:val="24"/>
        </w:rPr>
      </w:pPr>
    </w:p>
    <w:p w14:paraId="1669C3A0" w14:textId="77777777" w:rsidR="00E02446" w:rsidRDefault="00F71BAA">
      <w:pPr>
        <w:spacing w:line="240" w:lineRule="auto"/>
        <w:ind w:left="0" w:hanging="2"/>
        <w:jc w:val="both"/>
        <w:rPr>
          <w:sz w:val="24"/>
          <w:szCs w:val="24"/>
        </w:rPr>
      </w:pPr>
      <w:r>
        <w:rPr>
          <w:sz w:val="24"/>
          <w:szCs w:val="24"/>
        </w:rPr>
        <w:t xml:space="preserve">BRASIL. </w:t>
      </w:r>
      <w:r>
        <w:rPr>
          <w:b/>
          <w:sz w:val="24"/>
          <w:szCs w:val="24"/>
        </w:rPr>
        <w:t>Constituição da República Federativa do Brasil de 1988</w:t>
      </w:r>
      <w:r>
        <w:rPr>
          <w:sz w:val="24"/>
          <w:szCs w:val="24"/>
        </w:rPr>
        <w:t>. Diário Oficial da União, Brasília, DF, 5 out. 1988.</w:t>
      </w:r>
    </w:p>
    <w:p w14:paraId="72829049" w14:textId="77777777" w:rsidR="00E02446" w:rsidRDefault="00E02446">
      <w:pPr>
        <w:spacing w:line="240" w:lineRule="auto"/>
        <w:ind w:left="0" w:hanging="2"/>
        <w:jc w:val="both"/>
        <w:rPr>
          <w:sz w:val="24"/>
          <w:szCs w:val="24"/>
        </w:rPr>
      </w:pPr>
    </w:p>
    <w:p w14:paraId="15E64572" w14:textId="77777777" w:rsidR="00E02446" w:rsidRDefault="00F71BAA">
      <w:pPr>
        <w:spacing w:line="240" w:lineRule="auto"/>
        <w:ind w:left="0" w:hanging="2"/>
        <w:jc w:val="both"/>
        <w:rPr>
          <w:sz w:val="24"/>
          <w:szCs w:val="24"/>
        </w:rPr>
      </w:pPr>
      <w:r>
        <w:rPr>
          <w:sz w:val="24"/>
          <w:szCs w:val="24"/>
        </w:rPr>
        <w:t xml:space="preserve">BRASIL. </w:t>
      </w:r>
      <w:r>
        <w:rPr>
          <w:b/>
          <w:sz w:val="24"/>
          <w:szCs w:val="24"/>
        </w:rPr>
        <w:t>Lei nº 9.459, de 13 de maio de 1997</w:t>
      </w:r>
      <w:r>
        <w:rPr>
          <w:sz w:val="24"/>
          <w:szCs w:val="24"/>
        </w:rPr>
        <w:t>. Altera o art. 140 do Decreto-Lei nº 2.848/40 (Código Penal), tipificando crimes resultantes de preconceito de raça ou de cor. Diário Oficial da União: seção 1, Brasília, DF, 14 maio 1997.</w:t>
      </w:r>
    </w:p>
    <w:p w14:paraId="3E02E2BB" w14:textId="77777777" w:rsidR="00E02446" w:rsidRDefault="00E02446">
      <w:pPr>
        <w:spacing w:line="240" w:lineRule="auto"/>
        <w:ind w:left="0" w:hanging="2"/>
        <w:jc w:val="both"/>
        <w:rPr>
          <w:sz w:val="24"/>
          <w:szCs w:val="24"/>
        </w:rPr>
      </w:pPr>
    </w:p>
    <w:p w14:paraId="0FC1023E" w14:textId="77777777" w:rsidR="00E02446" w:rsidRDefault="00F71BAA">
      <w:pPr>
        <w:spacing w:line="240" w:lineRule="auto"/>
        <w:ind w:left="0" w:hanging="2"/>
        <w:jc w:val="both"/>
        <w:rPr>
          <w:sz w:val="24"/>
          <w:szCs w:val="24"/>
        </w:rPr>
      </w:pPr>
      <w:r>
        <w:rPr>
          <w:sz w:val="24"/>
          <w:szCs w:val="24"/>
        </w:rPr>
        <w:t xml:space="preserve">BRASIL. Instituto do Patrimônio Histórico e Artístico Nacional (IPHAN). </w:t>
      </w:r>
      <w:r>
        <w:rPr>
          <w:b/>
          <w:sz w:val="24"/>
          <w:szCs w:val="24"/>
        </w:rPr>
        <w:t>Dossiê de registro do Tambor de Crioula como Patrimônio Cultural Imaterial do Brasil</w:t>
      </w:r>
      <w:r>
        <w:rPr>
          <w:sz w:val="24"/>
          <w:szCs w:val="24"/>
        </w:rPr>
        <w:t>. Brasília: IPHAN, 2007.</w:t>
      </w:r>
    </w:p>
    <w:p w14:paraId="7A7FC3FC" w14:textId="77777777" w:rsidR="00E02446" w:rsidRDefault="00E02446">
      <w:pPr>
        <w:spacing w:line="240" w:lineRule="auto"/>
        <w:ind w:left="0" w:hanging="2"/>
        <w:jc w:val="both"/>
        <w:rPr>
          <w:sz w:val="24"/>
          <w:szCs w:val="24"/>
        </w:rPr>
      </w:pPr>
    </w:p>
    <w:p w14:paraId="128E94FC" w14:textId="77777777" w:rsidR="00E02446" w:rsidRDefault="00F71BAA">
      <w:pPr>
        <w:spacing w:line="240" w:lineRule="auto"/>
        <w:ind w:left="0" w:hanging="2"/>
        <w:jc w:val="both"/>
        <w:rPr>
          <w:sz w:val="24"/>
          <w:szCs w:val="24"/>
        </w:rPr>
      </w:pPr>
      <w:r>
        <w:rPr>
          <w:sz w:val="24"/>
          <w:szCs w:val="24"/>
        </w:rPr>
        <w:t xml:space="preserve">BRASIL. Instituto do Patrimônio Histórico e Artístico Nacional (IPHAN). </w:t>
      </w:r>
      <w:r>
        <w:rPr>
          <w:b/>
          <w:sz w:val="24"/>
          <w:szCs w:val="24"/>
        </w:rPr>
        <w:t>Tambor de Crioula do Maranhão: Patrimônio Cultural Imaterial Brasileiro</w:t>
      </w:r>
      <w:r>
        <w:rPr>
          <w:sz w:val="24"/>
          <w:szCs w:val="24"/>
        </w:rPr>
        <w:t xml:space="preserve">. Coord. </w:t>
      </w:r>
      <w:proofErr w:type="spellStart"/>
      <w:r>
        <w:rPr>
          <w:sz w:val="24"/>
          <w:szCs w:val="24"/>
        </w:rPr>
        <w:t>Yêda</w:t>
      </w:r>
      <w:proofErr w:type="spellEnd"/>
      <w:r>
        <w:rPr>
          <w:sz w:val="24"/>
          <w:szCs w:val="24"/>
        </w:rPr>
        <w:t xml:space="preserve"> Barbosa. Brasília: IPHAN, 2016.</w:t>
      </w:r>
    </w:p>
    <w:p w14:paraId="02F63362" w14:textId="77777777" w:rsidR="00E02446" w:rsidRDefault="00E02446">
      <w:pPr>
        <w:spacing w:line="240" w:lineRule="auto"/>
        <w:ind w:left="0" w:hanging="2"/>
        <w:jc w:val="both"/>
        <w:rPr>
          <w:sz w:val="24"/>
          <w:szCs w:val="24"/>
        </w:rPr>
      </w:pPr>
    </w:p>
    <w:p w14:paraId="3A1DF40B" w14:textId="77777777" w:rsidR="00E02446" w:rsidRDefault="00F71BAA">
      <w:pPr>
        <w:spacing w:line="240" w:lineRule="auto"/>
        <w:ind w:left="0" w:hanging="2"/>
        <w:jc w:val="both"/>
        <w:rPr>
          <w:sz w:val="24"/>
          <w:szCs w:val="24"/>
        </w:rPr>
      </w:pPr>
      <w:r>
        <w:rPr>
          <w:sz w:val="24"/>
          <w:szCs w:val="24"/>
        </w:rPr>
        <w:t xml:space="preserve">FERRETTI, Sérgio. </w:t>
      </w:r>
      <w:r>
        <w:rPr>
          <w:b/>
          <w:sz w:val="24"/>
          <w:szCs w:val="24"/>
        </w:rPr>
        <w:t>Tambor de Crioula: ritual e espetáculo</w:t>
      </w:r>
      <w:r>
        <w:rPr>
          <w:sz w:val="24"/>
          <w:szCs w:val="24"/>
        </w:rPr>
        <w:t>. São Luís: EDUFMA, 2002.</w:t>
      </w:r>
    </w:p>
    <w:p w14:paraId="2A2821BE" w14:textId="77777777" w:rsidR="00E02446" w:rsidRDefault="00E02446">
      <w:pPr>
        <w:spacing w:line="240" w:lineRule="auto"/>
        <w:ind w:left="0" w:hanging="2"/>
        <w:jc w:val="both"/>
        <w:rPr>
          <w:sz w:val="24"/>
          <w:szCs w:val="24"/>
        </w:rPr>
      </w:pPr>
    </w:p>
    <w:p w14:paraId="60A33509" w14:textId="77777777" w:rsidR="00E02446" w:rsidRDefault="00F71BAA">
      <w:pPr>
        <w:spacing w:line="240" w:lineRule="auto"/>
        <w:ind w:left="0" w:hanging="2"/>
        <w:jc w:val="both"/>
        <w:rPr>
          <w:sz w:val="24"/>
          <w:szCs w:val="24"/>
        </w:rPr>
      </w:pPr>
      <w:r>
        <w:rPr>
          <w:sz w:val="24"/>
          <w:szCs w:val="24"/>
        </w:rPr>
        <w:t>HAESBAERT, Rogério. O</w:t>
      </w:r>
      <w:r>
        <w:rPr>
          <w:b/>
          <w:sz w:val="24"/>
          <w:szCs w:val="24"/>
        </w:rPr>
        <w:t xml:space="preserve"> mito da desterritorialização: do “fim dos territórios” à </w:t>
      </w:r>
      <w:proofErr w:type="spellStart"/>
      <w:r>
        <w:rPr>
          <w:b/>
          <w:sz w:val="24"/>
          <w:szCs w:val="24"/>
        </w:rPr>
        <w:t>multiterritorialidade</w:t>
      </w:r>
      <w:proofErr w:type="spellEnd"/>
      <w:r>
        <w:rPr>
          <w:sz w:val="24"/>
          <w:szCs w:val="24"/>
        </w:rPr>
        <w:t>. Rio de Janeiro: Bertrand Brasil, 2004.</w:t>
      </w:r>
    </w:p>
    <w:p w14:paraId="70369141" w14:textId="77777777" w:rsidR="00E02446" w:rsidRDefault="00E02446">
      <w:pPr>
        <w:spacing w:line="240" w:lineRule="auto"/>
        <w:ind w:left="0" w:hanging="2"/>
        <w:jc w:val="both"/>
        <w:rPr>
          <w:sz w:val="24"/>
          <w:szCs w:val="24"/>
        </w:rPr>
      </w:pPr>
    </w:p>
    <w:p w14:paraId="786F5588" w14:textId="77777777" w:rsidR="00E02446" w:rsidRDefault="00F71BAA">
      <w:pPr>
        <w:spacing w:line="240" w:lineRule="auto"/>
        <w:ind w:left="0" w:hanging="2"/>
        <w:jc w:val="both"/>
        <w:rPr>
          <w:sz w:val="24"/>
          <w:szCs w:val="24"/>
        </w:rPr>
      </w:pPr>
      <w:r>
        <w:rPr>
          <w:sz w:val="24"/>
          <w:szCs w:val="24"/>
        </w:rPr>
        <w:t xml:space="preserve">HAESBAERT, Rogério. </w:t>
      </w:r>
      <w:r>
        <w:rPr>
          <w:b/>
          <w:sz w:val="24"/>
          <w:szCs w:val="24"/>
        </w:rPr>
        <w:t xml:space="preserve">Território e </w:t>
      </w:r>
      <w:proofErr w:type="spellStart"/>
      <w:r>
        <w:rPr>
          <w:b/>
          <w:sz w:val="24"/>
          <w:szCs w:val="24"/>
        </w:rPr>
        <w:t>multiterritorialidade</w:t>
      </w:r>
      <w:proofErr w:type="spellEnd"/>
      <w:r>
        <w:rPr>
          <w:b/>
          <w:sz w:val="24"/>
          <w:szCs w:val="24"/>
        </w:rPr>
        <w:t>: um debate</w:t>
      </w:r>
      <w:r>
        <w:rPr>
          <w:sz w:val="24"/>
          <w:szCs w:val="24"/>
        </w:rPr>
        <w:t xml:space="preserve">. </w:t>
      </w:r>
      <w:proofErr w:type="spellStart"/>
      <w:r>
        <w:rPr>
          <w:sz w:val="24"/>
          <w:szCs w:val="24"/>
        </w:rPr>
        <w:t>GEOgraphia</w:t>
      </w:r>
      <w:proofErr w:type="spellEnd"/>
      <w:r>
        <w:rPr>
          <w:sz w:val="24"/>
          <w:szCs w:val="24"/>
        </w:rPr>
        <w:t>, Niterói, v. 9, n. 17, 2010.</w:t>
      </w:r>
    </w:p>
    <w:p w14:paraId="62314A66" w14:textId="77777777" w:rsidR="00E02446" w:rsidRDefault="00E02446">
      <w:pPr>
        <w:spacing w:line="240" w:lineRule="auto"/>
        <w:ind w:left="0" w:hanging="2"/>
        <w:jc w:val="both"/>
        <w:rPr>
          <w:sz w:val="24"/>
          <w:szCs w:val="24"/>
        </w:rPr>
      </w:pPr>
    </w:p>
    <w:p w14:paraId="18001EF9" w14:textId="77777777" w:rsidR="00E02446" w:rsidRDefault="00F71BAA">
      <w:pPr>
        <w:spacing w:line="240" w:lineRule="auto"/>
        <w:ind w:left="0" w:hanging="2"/>
        <w:jc w:val="both"/>
        <w:rPr>
          <w:sz w:val="24"/>
          <w:szCs w:val="24"/>
        </w:rPr>
      </w:pPr>
      <w:r>
        <w:rPr>
          <w:sz w:val="24"/>
          <w:szCs w:val="24"/>
        </w:rPr>
        <w:t xml:space="preserve">ORO, Ari Pedro. </w:t>
      </w:r>
      <w:r>
        <w:rPr>
          <w:b/>
          <w:sz w:val="24"/>
          <w:szCs w:val="24"/>
        </w:rPr>
        <w:t>As religiões afro-brasileiras e as igrejas neopentecostais: intolerância religiosa ou choque de racionalidades?</w:t>
      </w:r>
      <w:r>
        <w:rPr>
          <w:sz w:val="24"/>
          <w:szCs w:val="24"/>
        </w:rPr>
        <w:t xml:space="preserve"> Debates do NER, Porto Alegre, v. 7, n. 1, p. 45–56, 2006.</w:t>
      </w:r>
    </w:p>
    <w:p w14:paraId="57B0E9DB" w14:textId="77777777" w:rsidR="00E02446" w:rsidRDefault="00E02446">
      <w:pPr>
        <w:spacing w:line="240" w:lineRule="auto"/>
        <w:ind w:left="0" w:hanging="2"/>
        <w:jc w:val="both"/>
        <w:rPr>
          <w:sz w:val="24"/>
          <w:szCs w:val="24"/>
        </w:rPr>
      </w:pPr>
    </w:p>
    <w:p w14:paraId="390867A0" w14:textId="77777777" w:rsidR="00E02446" w:rsidRDefault="00F71BAA">
      <w:pPr>
        <w:spacing w:line="240" w:lineRule="auto"/>
        <w:ind w:left="0" w:hanging="2"/>
        <w:jc w:val="both"/>
        <w:rPr>
          <w:sz w:val="24"/>
          <w:szCs w:val="24"/>
        </w:rPr>
      </w:pPr>
      <w:r>
        <w:rPr>
          <w:sz w:val="24"/>
          <w:szCs w:val="24"/>
        </w:rPr>
        <w:t xml:space="preserve">SANT’ANA JÚNIOR, Horácio Antunes. et al. </w:t>
      </w:r>
      <w:r>
        <w:rPr>
          <w:b/>
          <w:sz w:val="24"/>
          <w:szCs w:val="24"/>
        </w:rPr>
        <w:t>A RESEX de Tauá-Mirim, grandes projetos de desenvolvimento e a resistência socioambiental: introduzindo o debate.</w:t>
      </w:r>
      <w:r>
        <w:rPr>
          <w:sz w:val="24"/>
          <w:szCs w:val="24"/>
        </w:rPr>
        <w:t xml:space="preserve"> In: SANT’ANA JÚNIOR, Horácio de Antunes et al. (Org.). Ecos dos conflitos socioambientais: a </w:t>
      </w:r>
      <w:proofErr w:type="spellStart"/>
      <w:r>
        <w:rPr>
          <w:sz w:val="24"/>
          <w:szCs w:val="24"/>
        </w:rPr>
        <w:t>Resex</w:t>
      </w:r>
      <w:proofErr w:type="spellEnd"/>
      <w:r>
        <w:rPr>
          <w:sz w:val="24"/>
          <w:szCs w:val="24"/>
        </w:rPr>
        <w:t xml:space="preserve"> de Tauá-Mirim. São Luís: EDUFMA, 2009</w:t>
      </w:r>
    </w:p>
    <w:p w14:paraId="127C42A3" w14:textId="77777777" w:rsidR="00E02446" w:rsidRDefault="00E02446">
      <w:pPr>
        <w:spacing w:line="240" w:lineRule="auto"/>
        <w:ind w:left="0" w:hanging="2"/>
        <w:jc w:val="both"/>
        <w:rPr>
          <w:sz w:val="24"/>
          <w:szCs w:val="24"/>
        </w:rPr>
      </w:pPr>
    </w:p>
    <w:p w14:paraId="44153511" w14:textId="77777777" w:rsidR="00E02446" w:rsidRDefault="00F71BAA">
      <w:pPr>
        <w:spacing w:line="240" w:lineRule="auto"/>
        <w:ind w:left="0" w:hanging="2"/>
        <w:jc w:val="both"/>
        <w:rPr>
          <w:sz w:val="24"/>
          <w:szCs w:val="24"/>
        </w:rPr>
      </w:pPr>
      <w:r>
        <w:rPr>
          <w:sz w:val="24"/>
          <w:szCs w:val="24"/>
        </w:rPr>
        <w:t xml:space="preserve">SANTOS, Milton. </w:t>
      </w:r>
      <w:r>
        <w:rPr>
          <w:b/>
          <w:sz w:val="24"/>
          <w:szCs w:val="24"/>
        </w:rPr>
        <w:t>Por uma outra globalização: do pensamento único à consciência universal</w:t>
      </w:r>
      <w:r>
        <w:rPr>
          <w:sz w:val="24"/>
          <w:szCs w:val="24"/>
        </w:rPr>
        <w:t>. Rio de Janeiro: Record, 2000.</w:t>
      </w:r>
    </w:p>
    <w:p w14:paraId="7CA19C72" w14:textId="77777777" w:rsidR="00E02446" w:rsidRDefault="00E02446">
      <w:pPr>
        <w:spacing w:line="240" w:lineRule="auto"/>
        <w:ind w:left="0" w:hanging="2"/>
        <w:jc w:val="both"/>
        <w:rPr>
          <w:sz w:val="24"/>
          <w:szCs w:val="24"/>
        </w:rPr>
      </w:pPr>
    </w:p>
    <w:p w14:paraId="5EFBC85C" w14:textId="77777777" w:rsidR="00E02446" w:rsidRDefault="00F71BAA" w:rsidP="009007DF">
      <w:pPr>
        <w:spacing w:line="240" w:lineRule="auto"/>
        <w:ind w:left="0" w:hanging="2"/>
        <w:jc w:val="both"/>
        <w:rPr>
          <w:sz w:val="24"/>
          <w:szCs w:val="24"/>
        </w:rPr>
      </w:pPr>
      <w:r>
        <w:rPr>
          <w:sz w:val="24"/>
          <w:szCs w:val="24"/>
        </w:rPr>
        <w:t xml:space="preserve">TUAN, Yi-Fu. </w:t>
      </w:r>
      <w:r>
        <w:rPr>
          <w:b/>
          <w:sz w:val="24"/>
          <w:szCs w:val="24"/>
        </w:rPr>
        <w:t xml:space="preserve">Space </w:t>
      </w:r>
      <w:proofErr w:type="spellStart"/>
      <w:r>
        <w:rPr>
          <w:b/>
          <w:sz w:val="24"/>
          <w:szCs w:val="24"/>
        </w:rPr>
        <w:t>and</w:t>
      </w:r>
      <w:proofErr w:type="spellEnd"/>
      <w:r>
        <w:rPr>
          <w:b/>
          <w:sz w:val="24"/>
          <w:szCs w:val="24"/>
        </w:rPr>
        <w:t xml:space="preserve"> </w:t>
      </w:r>
      <w:proofErr w:type="spellStart"/>
      <w:r>
        <w:rPr>
          <w:b/>
          <w:sz w:val="24"/>
          <w:szCs w:val="24"/>
        </w:rPr>
        <w:t>Place</w:t>
      </w:r>
      <w:proofErr w:type="spellEnd"/>
      <w:r>
        <w:rPr>
          <w:b/>
          <w:sz w:val="24"/>
          <w:szCs w:val="24"/>
        </w:rPr>
        <w:t xml:space="preserve">: </w:t>
      </w:r>
      <w:proofErr w:type="spellStart"/>
      <w:r>
        <w:rPr>
          <w:b/>
          <w:sz w:val="24"/>
          <w:szCs w:val="24"/>
        </w:rPr>
        <w:t>the</w:t>
      </w:r>
      <w:proofErr w:type="spellEnd"/>
      <w:r>
        <w:rPr>
          <w:b/>
          <w:sz w:val="24"/>
          <w:szCs w:val="24"/>
        </w:rPr>
        <w:t xml:space="preserve"> perspective </w:t>
      </w:r>
      <w:proofErr w:type="spellStart"/>
      <w:r>
        <w:rPr>
          <w:b/>
          <w:sz w:val="24"/>
          <w:szCs w:val="24"/>
        </w:rPr>
        <w:t>of</w:t>
      </w:r>
      <w:proofErr w:type="spellEnd"/>
      <w:r>
        <w:rPr>
          <w:b/>
          <w:sz w:val="24"/>
          <w:szCs w:val="24"/>
        </w:rPr>
        <w:t xml:space="preserve"> </w:t>
      </w:r>
      <w:proofErr w:type="spellStart"/>
      <w:r>
        <w:rPr>
          <w:b/>
          <w:sz w:val="24"/>
          <w:szCs w:val="24"/>
        </w:rPr>
        <w:t>experience</w:t>
      </w:r>
      <w:proofErr w:type="spellEnd"/>
      <w:r>
        <w:rPr>
          <w:sz w:val="24"/>
          <w:szCs w:val="24"/>
        </w:rPr>
        <w:t xml:space="preserve">. Minneapolis: </w:t>
      </w:r>
      <w:proofErr w:type="spellStart"/>
      <w:r>
        <w:rPr>
          <w:sz w:val="24"/>
          <w:szCs w:val="24"/>
        </w:rPr>
        <w:t>University</w:t>
      </w:r>
      <w:proofErr w:type="spellEnd"/>
      <w:r>
        <w:rPr>
          <w:sz w:val="24"/>
          <w:szCs w:val="24"/>
        </w:rPr>
        <w:t xml:space="preserve"> </w:t>
      </w:r>
      <w:proofErr w:type="spellStart"/>
      <w:r>
        <w:rPr>
          <w:sz w:val="24"/>
          <w:szCs w:val="24"/>
        </w:rPr>
        <w:t>of</w:t>
      </w:r>
      <w:proofErr w:type="spellEnd"/>
      <w:r>
        <w:rPr>
          <w:sz w:val="24"/>
          <w:szCs w:val="24"/>
        </w:rPr>
        <w:t xml:space="preserve"> Minnesota Press, 1983.</w:t>
      </w:r>
    </w:p>
    <w:p w14:paraId="7C425081" w14:textId="77777777" w:rsidR="009007DF" w:rsidRPr="009007DF" w:rsidRDefault="009007DF" w:rsidP="009007DF">
      <w:pPr>
        <w:spacing w:line="240" w:lineRule="auto"/>
        <w:ind w:left="0" w:hanging="2"/>
        <w:jc w:val="both"/>
        <w:rPr>
          <w:sz w:val="24"/>
          <w:szCs w:val="24"/>
        </w:rPr>
      </w:pPr>
    </w:p>
    <w:sectPr w:rsidR="009007DF" w:rsidRPr="009007DF">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E5C9A" w14:textId="77777777" w:rsidR="00F71BAA" w:rsidRDefault="00F71BAA">
      <w:pPr>
        <w:spacing w:line="240" w:lineRule="auto"/>
        <w:ind w:left="0" w:hanging="2"/>
      </w:pPr>
      <w:r>
        <w:separator/>
      </w:r>
    </w:p>
  </w:endnote>
  <w:endnote w:type="continuationSeparator" w:id="0">
    <w:p w14:paraId="73EE7768" w14:textId="77777777" w:rsidR="00F71BAA" w:rsidRDefault="00F71BAA">
      <w:pPr>
        <w:spacing w:line="240" w:lineRule="auto"/>
        <w:ind w:left="0" w:hanging="2"/>
      </w:pPr>
      <w:r>
        <w:continuationSeparator/>
      </w:r>
    </w:p>
  </w:endnote>
  <w:endnote w:id="1">
    <w:p w14:paraId="581363EF" w14:textId="77777777" w:rsidR="00FE780D" w:rsidRDefault="00FE780D" w:rsidP="00FE780D">
      <w:pPr>
        <w:pStyle w:val="Textodenotadefim"/>
        <w:ind w:left="0" w:hanging="2"/>
      </w:pPr>
      <w:r>
        <w:rPr>
          <w:rStyle w:val="Refdenotadefim"/>
        </w:rPr>
        <w:endnoteRef/>
      </w:r>
      <w:r>
        <w:t xml:space="preserve"> Este trabalho se origina a partir da pesquisa ‘’Mapeamento do Tambor de Crioula do Maranhão’’, realizada pela Universidade Federal do Maranhão (UFMA), em parceria com o Instituto de Patrimônio Histórico e Artístico Nacional, sob coordenação do professor Josoaldo Lima Rêgo.</w:t>
      </w:r>
    </w:p>
  </w:endnote>
  <w:endnote w:id="2">
    <w:p w14:paraId="7AEDB657" w14:textId="77777777" w:rsidR="00FE780D" w:rsidRPr="00FE780D" w:rsidRDefault="00FE780D" w:rsidP="00FE780D">
      <w:pPr>
        <w:pStyle w:val="Textodenotadefim"/>
        <w:ind w:left="0" w:hanging="2"/>
      </w:pPr>
      <w:r>
        <w:rPr>
          <w:rStyle w:val="Refdenotadefim"/>
        </w:rPr>
        <w:endnoteRef/>
      </w:r>
      <w:r>
        <w:t xml:space="preserve"> </w:t>
      </w:r>
      <w:r w:rsidRPr="00FE780D">
        <w:t>Em decorrência de se tratar de situações de tensões sociais, optou-se por ocultar os nomes dos entrevistados/informantes.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00FD3" w14:textId="77777777" w:rsidR="00F71BAA" w:rsidRDefault="00F71BAA">
      <w:pPr>
        <w:spacing w:line="240" w:lineRule="auto"/>
        <w:ind w:left="0" w:hanging="2"/>
      </w:pPr>
      <w:r>
        <w:separator/>
      </w:r>
    </w:p>
  </w:footnote>
  <w:footnote w:type="continuationSeparator" w:id="0">
    <w:p w14:paraId="6096993A" w14:textId="77777777" w:rsidR="00F71BAA" w:rsidRDefault="00F71BAA">
      <w:pPr>
        <w:spacing w:line="240" w:lineRule="auto"/>
        <w:ind w:left="0" w:hanging="2"/>
      </w:pPr>
      <w:r>
        <w:continuationSeparator/>
      </w:r>
    </w:p>
  </w:footnote>
  <w:footnote w:id="1">
    <w:p w14:paraId="4771D988" w14:textId="77777777" w:rsidR="00E02446" w:rsidRDefault="00F71BAA">
      <w:pPr>
        <w:spacing w:line="240" w:lineRule="auto"/>
        <w:ind w:left="0" w:hanging="2"/>
        <w:rPr>
          <w:sz w:val="20"/>
          <w:szCs w:val="20"/>
        </w:rPr>
      </w:pPr>
      <w:r>
        <w:rPr>
          <w:vertAlign w:val="superscript"/>
        </w:rPr>
        <w:footnoteRef/>
      </w:r>
      <w:r>
        <w:rPr>
          <w:sz w:val="20"/>
          <w:szCs w:val="20"/>
        </w:rPr>
        <w:t xml:space="preserve"> Técnica em meio ambiente pelo Colégio Universitário - COLUN/UFMA; Graduanda em Geografia pela Universidade Federal do Maranhão - UFMA e membro do Grupo de Estudos Geográficos - NEGO/UFMA. </w:t>
      </w:r>
      <w:hyperlink r:id="rId1">
        <w:r>
          <w:rPr>
            <w:color w:val="1155CC"/>
            <w:sz w:val="20"/>
            <w:szCs w:val="20"/>
            <w:u w:val="single"/>
          </w:rPr>
          <w:t>laryssa.amanda@discente.ufma.br</w:t>
        </w:r>
      </w:hyperlink>
      <w:r>
        <w:rPr>
          <w:sz w:val="20"/>
          <w:szCs w:val="20"/>
        </w:rPr>
        <w:t xml:space="preserve"> </w:t>
      </w:r>
    </w:p>
    <w:p w14:paraId="75B316B0" w14:textId="77777777" w:rsidR="009007DF" w:rsidRDefault="009007DF">
      <w:pPr>
        <w:spacing w:line="240" w:lineRule="auto"/>
        <w:ind w:left="0" w:hanging="2"/>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18C0" w14:textId="77777777" w:rsidR="00E02446" w:rsidRDefault="00F71BAA">
    <w:pPr>
      <w:ind w:left="0" w:hanging="2"/>
    </w:pPr>
    <w:r>
      <w:rPr>
        <w:noProof/>
      </w:rPr>
      <w:drawing>
        <wp:anchor distT="0" distB="0" distL="0" distR="0" simplePos="0" relativeHeight="251658240" behindDoc="1" locked="0" layoutInCell="1" hidden="0" allowOverlap="1" wp14:anchorId="0CCC47B8" wp14:editId="13E8076F">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2903F9"/>
    <w:multiLevelType w:val="hybridMultilevel"/>
    <w:tmpl w:val="53488B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35334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446"/>
    <w:rsid w:val="000C0677"/>
    <w:rsid w:val="00136295"/>
    <w:rsid w:val="001611C9"/>
    <w:rsid w:val="00277DA0"/>
    <w:rsid w:val="00374C26"/>
    <w:rsid w:val="00435057"/>
    <w:rsid w:val="007211AD"/>
    <w:rsid w:val="009007DF"/>
    <w:rsid w:val="00B54EE6"/>
    <w:rsid w:val="00E02446"/>
    <w:rsid w:val="00F71BAA"/>
    <w:rsid w:val="00F91E87"/>
    <w:rsid w:val="00FE78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ABE3"/>
  <w15:docId w15:val="{8D9BDE55-86E5-4D44-82AD-FA673DB7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Ttulo1">
    <w:name w:val="heading 1"/>
    <w:basedOn w:val="Normal"/>
    <w:next w:val="Normal"/>
    <w:pPr>
      <w:keepNext/>
      <w:keepLines/>
      <w:spacing w:before="400" w:after="120"/>
    </w:pPr>
    <w:rPr>
      <w:sz w:val="40"/>
      <w:szCs w:val="40"/>
    </w:rPr>
  </w:style>
  <w:style w:type="paragraph" w:styleId="Ttulo2">
    <w:name w:val="heading 2"/>
    <w:basedOn w:val="Normal"/>
    <w:next w:val="Normal"/>
    <w:qFormat/>
    <w:pPr>
      <w:keepNext/>
      <w:keepLines/>
      <w:spacing w:before="360" w:after="120"/>
      <w:outlineLvl w:val="1"/>
    </w:pPr>
    <w:rPr>
      <w:sz w:val="32"/>
      <w:szCs w:val="32"/>
    </w:rPr>
  </w:style>
  <w:style w:type="paragraph" w:styleId="Ttulo3">
    <w:name w:val="heading 3"/>
    <w:basedOn w:val="Normal"/>
    <w:next w:val="Normal"/>
    <w:qFormat/>
    <w:pPr>
      <w:keepNext/>
      <w:keepLines/>
      <w:spacing w:before="320" w:after="80"/>
      <w:outlineLvl w:val="2"/>
    </w:pPr>
    <w:rPr>
      <w:color w:val="434343"/>
      <w:sz w:val="28"/>
      <w:szCs w:val="28"/>
    </w:rPr>
  </w:style>
  <w:style w:type="paragraph" w:styleId="Ttulo4">
    <w:name w:val="heading 4"/>
    <w:basedOn w:val="Normal"/>
    <w:next w:val="Normal"/>
    <w:qFormat/>
    <w:pPr>
      <w:keepNext/>
      <w:keepLines/>
      <w:spacing w:before="280" w:after="80"/>
      <w:outlineLvl w:val="3"/>
    </w:pPr>
    <w:rPr>
      <w:color w:val="666666"/>
      <w:sz w:val="24"/>
      <w:szCs w:val="24"/>
    </w:rPr>
  </w:style>
  <w:style w:type="paragraph" w:styleId="Ttulo5">
    <w:name w:val="heading 5"/>
    <w:basedOn w:val="Normal"/>
    <w:next w:val="Normal"/>
    <w:qFormat/>
    <w:pPr>
      <w:keepNext/>
      <w:keepLines/>
      <w:spacing w:before="240" w:after="80"/>
      <w:outlineLvl w:val="4"/>
    </w:pPr>
    <w:rPr>
      <w:color w:val="666666"/>
    </w:rPr>
  </w:style>
  <w:style w:type="paragraph" w:styleId="Ttulo6">
    <w:name w:val="heading 6"/>
    <w:basedOn w:val="Normal"/>
    <w:next w:val="Normal"/>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qFormat/>
    <w:pPr>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PargrafodaLista">
    <w:name w:val="List Paragraph"/>
    <w:basedOn w:val="Normal"/>
    <w:pPr>
      <w:ind w:left="720"/>
      <w:contextualSpacing/>
    </w:pPr>
  </w:style>
  <w:style w:type="paragraph" w:styleId="Textodenotadefim">
    <w:name w:val="endnote text"/>
    <w:basedOn w:val="Normal"/>
    <w:link w:val="TextodenotadefimChar"/>
    <w:uiPriority w:val="99"/>
    <w:semiHidden/>
    <w:unhideWhenUsed/>
    <w:rsid w:val="00FE780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FE780D"/>
    <w:rPr>
      <w:position w:val="-1"/>
      <w:sz w:val="20"/>
      <w:szCs w:val="20"/>
    </w:rPr>
  </w:style>
  <w:style w:type="character" w:styleId="Refdenotadefim">
    <w:name w:val="endnote reference"/>
    <w:basedOn w:val="Fontepargpadro"/>
    <w:uiPriority w:val="99"/>
    <w:semiHidden/>
    <w:unhideWhenUsed/>
    <w:rsid w:val="00FE78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3" Type="http://schemas.openxmlformats.org/officeDocument/2006/relationships/numbering" Target="numbering.xml" /><Relationship Id="rId7" Type="http://schemas.openxmlformats.org/officeDocument/2006/relationships/footnotes" Target="footnotes.xml" /><Relationship Id="rId2" Type="http://schemas.openxmlformats.org/officeDocument/2006/relationships/customXml" Target="../customXml/item2.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theme" Target="theme/theme1.xml" /><Relationship Id="rId5" Type="http://schemas.openxmlformats.org/officeDocument/2006/relationships/settings" Target="settings.xml" /><Relationship Id="rId10"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header" Target="header1.xml" /></Relationships>
</file>

<file path=word/_rels/footnotes.xml.rels><?xml version="1.0" encoding="UTF-8" standalone="yes"?>
<Relationships xmlns="http://schemas.openxmlformats.org/package/2006/relationships"><Relationship Id="rId1" Type="http://schemas.openxmlformats.org/officeDocument/2006/relationships/hyperlink" Target="mailto:laryssa.amanda@discente.ufma.br"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E+78cAihzR+YggjpbJzAE8N6A==">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</go:docsCustomData>
</go:gDocsCustomXmlDataStorage>
</file>

<file path=customXml/itemProps1.xml><?xml version="1.0" encoding="utf-8"?>
<ds:datastoreItem xmlns:ds="http://schemas.openxmlformats.org/officeDocument/2006/customXml" ds:itemID="{FB5A4F96-DB0B-4473-B303-79483A25A3D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3344</Words>
  <Characters>18060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Amanda Sousa</cp:lastModifiedBy>
  <cp:revision>2</cp:revision>
  <dcterms:created xsi:type="dcterms:W3CDTF">2025-07-07T01:19:00Z</dcterms:created>
  <dcterms:modified xsi:type="dcterms:W3CDTF">2025-07-07T01:19:00Z</dcterms:modified>
</cp:coreProperties>
</file>