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“Mini-Cuba” e “República Comunista” em Turiaçu, Maranhão</w:t>
      </w:r>
      <w:r w:rsidDel="00000000" w:rsidR="00000000" w:rsidRPr="00000000">
        <w:rPr>
          <w:b w:val="1"/>
          <w:sz w:val="24"/>
          <w:szCs w:val="24"/>
          <w:vertAlign w:val="baseline"/>
          <w:rtl w:val="0"/>
        </w:rPr>
        <w:t xml:space="preserve">:</w:t>
      </w:r>
      <w:r w:rsidDel="00000000" w:rsidR="00000000" w:rsidRPr="00000000">
        <w:rPr>
          <w:sz w:val="24"/>
          <w:szCs w:val="24"/>
          <w:rtl w:val="0"/>
        </w:rPr>
        <w:t xml:space="preserve"> o vocabulário do medo  presente em arquivos do Departamento de Ordem Social e Política nos anos 1970</w:t>
      </w:r>
    </w:p>
    <w:p w:rsidR="00000000" w:rsidDel="00000000" w:rsidP="00000000" w:rsidRDefault="00000000" w:rsidRPr="00000000" w14:paraId="00000002">
      <w:pPr>
        <w:spacing w:line="360" w:lineRule="auto"/>
        <w:jc w:val="right"/>
        <w:rPr/>
      </w:pPr>
      <w:r w:rsidDel="00000000" w:rsidR="00000000" w:rsidRPr="00000000">
        <w:rPr>
          <w:rtl w:val="0"/>
        </w:rPr>
        <w:t xml:space="preserve">Renan Augusto Fernandes Silva</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O desencadeamento de um conflito por direito à terra na cidade de Turiaçu, litoral ocidental maranhense, levou o Departamento de Ordem Social e Política, (DOPS), a produzir relatórios a partir de incursões na cidade no final dos anos 1970 e início dos anos 1980. Nestes documentos se encontram acusações da fomentação de uma ‘república coumista’ - ‘mini cuba’-, subversão e luta de classes. Esse vocabulário é empregado por grileiros para se referir a organização  e luta pelo direito à terra de lavradores do interior da cidade, juntamente a uma liderança religiosa. Para compreender a relação entre a produção destes arquivos e as lutas populares na região, este trabalho busca, através de uma revisão bibliográfica e analise documental, mobilizar uma conexão entre teorias arquivísticas e pensamento social brasileiro focado em núcleos populacionais negros e influenciados pela teoria marxista. </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Conflitos Sociais; Quilombos; Arquivos.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outbreak of a conflict over land rights in the town of Turiaçu, on the western coast of Maranhão, led the Department of Social and Political Order (DOPS) to produce reports based on raids in the town in the late 1970s and early 1980s. These documents contain accusations of fomenting a ‘communist republic’ - a ‘mini Cuba’ - subversion and class struggle. This vocabulary is used by land grabbers to refer to the organization and struggle for land rights of farmers from the inner city, together with a religious leader. In order to understand the relationship between the production of these archives and popular struggles in the region, this paper seeks, through a bibliographical review and documentary analysis, to mobilize a connection between archival theories and Brazilian social thought focused on black population nuclei and influenced by Marxist theory</w:t>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 Social Conflicts; Quilombos; Archives.</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bookmarkStart w:colFirst="0" w:colLast="0" w:name="_heading=h.l6eyp2p9rl9y" w:id="0"/>
      <w:bookmarkEnd w:id="0"/>
      <w:r w:rsidDel="00000000" w:rsidR="00000000" w:rsidRPr="00000000">
        <w:rPr>
          <w:sz w:val="24"/>
          <w:szCs w:val="24"/>
          <w:rtl w:val="0"/>
        </w:rPr>
        <w:t xml:space="preserve">Este estudo analisa como o DOPS documentou o conflito quilombola em Turiaçu (1978–1980), mobilizando um vocabulário anticomunista (“mini‑Cuba”, “república comunista”) para incutir medo e deslegitimar as lutas populares. Partindo de uma crítica arquivística alinhada ao pensamento marxista, investigamos como a seleção e o uso desses documentos expressam relações de poder simbólicas e materiais, contrapondo-se à noção de arquivo neutro. A análise combina revisão bibliográfica e exame direto dos relatórios do Arquivo Público do Maranhão.</w:t>
      </w:r>
    </w:p>
    <w:p w:rsidR="00000000" w:rsidDel="00000000" w:rsidP="00000000" w:rsidRDefault="00000000" w:rsidRPr="00000000" w14:paraId="00000012">
      <w:pPr>
        <w:spacing w:line="360" w:lineRule="auto"/>
        <w:ind w:firstLine="709"/>
        <w:jc w:val="both"/>
        <w:rPr>
          <w:sz w:val="24"/>
          <w:szCs w:val="24"/>
        </w:rPr>
      </w:pPr>
      <w:bookmarkStart w:colFirst="0" w:colLast="0" w:name="_heading=h.bjy2yaf4h8rg" w:id="1"/>
      <w:bookmarkEnd w:id="1"/>
      <w:r w:rsidDel="00000000" w:rsidR="00000000" w:rsidRPr="00000000">
        <w:rPr>
          <w:sz w:val="24"/>
          <w:szCs w:val="24"/>
          <w:rtl w:val="0"/>
        </w:rPr>
        <w:t xml:space="preserve">Em busca de ampliar a compreensão daquilo que está contido nos arquivos, é valioso considerar a relação entre a produção arquivística e o contexto social em que ele está inserido. Durante o período da ditadura militar muitos documentos foram produzidos com objetivos de vigiar e punir determinadas formas de organização e luta social. Porém, categorizados como confidenciais, grande parte destes documentos eram inacessíveis à população. Dois momentos são importantes para a acessibilidade dos arquivos: a Comissão Nacional da Anistia, e a Comissão Nacional da Verdade. A partir dela é possível constatar uma virada sobre os arquivos da ditadura: da escassez à abundância, condição que Carlos Fico vai categorizar como ‘ditadura documentada’ (Fico, 2008; 2017) - lembrando que mesmo com a imensa quantidade de arquivos, muitos deles foram destruídos de forma irregular e profundamente problemática.</w:t>
      </w:r>
    </w:p>
    <w:p w:rsidR="00000000" w:rsidDel="00000000" w:rsidP="00000000" w:rsidRDefault="00000000" w:rsidRPr="00000000" w14:paraId="00000013">
      <w:pPr>
        <w:spacing w:line="360" w:lineRule="auto"/>
        <w:ind w:left="0" w:firstLine="720"/>
        <w:jc w:val="both"/>
        <w:rPr>
          <w:sz w:val="24"/>
          <w:szCs w:val="24"/>
        </w:rPr>
      </w:pPr>
      <w:bookmarkStart w:colFirst="0" w:colLast="0" w:name="_heading=h.s1gxmid0uv64" w:id="2"/>
      <w:bookmarkEnd w:id="2"/>
      <w:r w:rsidDel="00000000" w:rsidR="00000000" w:rsidRPr="00000000">
        <w:rPr>
          <w:sz w:val="24"/>
          <w:szCs w:val="24"/>
          <w:rtl w:val="0"/>
        </w:rPr>
        <w:t xml:space="preserve">São vastas as manifestações de um anticomunismo presente nos documentos produzidos pela ditadura (Thiesen, 2019 p. 19; Silva 2014, p. 58). E a cidade de Turiaçu não escapou dessa suposta ‘assombração’. É justamente considerando esse espectro do comunismo que busca-se proceder com a análise dos documentos, para demonstrar como esse fantasma representava uma ‘Síndrome do Medo’ (Moura, 1987) de uma elite frente à organização popular.</w:t>
      </w:r>
    </w:p>
    <w:p w:rsidR="00000000" w:rsidDel="00000000" w:rsidP="00000000" w:rsidRDefault="00000000" w:rsidRPr="00000000" w14:paraId="00000014">
      <w:pPr>
        <w:spacing w:line="360" w:lineRule="auto"/>
        <w:ind w:left="0" w:firstLine="720"/>
        <w:jc w:val="both"/>
        <w:rPr>
          <w:sz w:val="24"/>
          <w:szCs w:val="24"/>
          <w:vertAlign w:val="baseline"/>
        </w:rPr>
      </w:pPr>
      <w:bookmarkStart w:colFirst="0" w:colLast="0" w:name="_heading=h.h12ebggcywtm" w:id="3"/>
      <w:bookmarkEnd w:id="3"/>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5">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ACUSAÇÕES: ESPECTROS DO MEDO</w:t>
      </w: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A figura 1 é um documento confidencial que traz uma das acusações presentes no relatório realizado por uma autoridade policial incumbida de investigar os conflitos que ocorriam em Turiaçu no ano de 1978. Essa acusação representa muito bem a mobilização de um vocabulário com intento de incutir um medo na população brasileira através de um discurso anticomunista (Campos, 2023, p. 24). </w:t>
      </w:r>
    </w:p>
    <w:p w:rsidR="00000000" w:rsidDel="00000000" w:rsidP="00000000" w:rsidRDefault="00000000" w:rsidRPr="00000000" w14:paraId="00000018">
      <w:pPr>
        <w:spacing w:line="360" w:lineRule="auto"/>
        <w:ind w:firstLine="709"/>
        <w:jc w:val="center"/>
        <w:rPr>
          <w:sz w:val="24"/>
          <w:szCs w:val="24"/>
        </w:rPr>
      </w:pPr>
      <w:r w:rsidDel="00000000" w:rsidR="00000000" w:rsidRPr="00000000">
        <w:rPr>
          <w:b w:val="1"/>
          <w:sz w:val="24"/>
          <w:szCs w:val="24"/>
          <w:rtl w:val="0"/>
        </w:rPr>
        <w:t xml:space="preserve">Figura 1</w:t>
      </w:r>
      <w:r w:rsidDel="00000000" w:rsidR="00000000" w:rsidRPr="00000000">
        <w:rPr>
          <w:sz w:val="24"/>
          <w:szCs w:val="24"/>
          <w:rtl w:val="0"/>
        </w:rPr>
        <w:t xml:space="preserve"> - Acusações recolhidas pelo DOPS</w:t>
      </w:r>
    </w:p>
    <w:p w:rsidR="00000000" w:rsidDel="00000000" w:rsidP="00000000" w:rsidRDefault="00000000" w:rsidRPr="00000000" w14:paraId="00000019">
      <w:pPr>
        <w:spacing w:line="360" w:lineRule="auto"/>
        <w:ind w:firstLine="709"/>
        <w:jc w:val="center"/>
        <w:rPr>
          <w:sz w:val="24"/>
          <w:szCs w:val="24"/>
        </w:rPr>
      </w:pPr>
      <w:r w:rsidDel="00000000" w:rsidR="00000000" w:rsidRPr="00000000">
        <w:rPr>
          <w:sz w:val="24"/>
          <w:szCs w:val="24"/>
        </w:rPr>
        <w:drawing>
          <wp:inline distB="114300" distT="114300" distL="114300" distR="114300">
            <wp:extent cx="4752975" cy="3554616"/>
            <wp:effectExtent b="0" l="0" r="0" t="0"/>
            <wp:docPr id="1032" name="image1.png"/>
            <a:graphic>
              <a:graphicData uri="http://schemas.openxmlformats.org/drawingml/2006/picture">
                <pic:pic>
                  <pic:nvPicPr>
                    <pic:cNvPr id="0" name="image1.png"/>
                    <pic:cNvPicPr preferRelativeResize="0"/>
                  </pic:nvPicPr>
                  <pic:blipFill>
                    <a:blip r:embed="rId8"/>
                    <a:srcRect b="29200" l="17144" r="-1768" t="0"/>
                    <a:stretch>
                      <a:fillRect/>
                    </a:stretch>
                  </pic:blipFill>
                  <pic:spPr>
                    <a:xfrm>
                      <a:off x="0" y="0"/>
                      <a:ext cx="4752975" cy="355461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360" w:lineRule="auto"/>
        <w:ind w:firstLine="709"/>
        <w:jc w:val="center"/>
        <w:rPr>
          <w:sz w:val="20"/>
          <w:szCs w:val="20"/>
        </w:rPr>
      </w:pPr>
      <w:r w:rsidDel="00000000" w:rsidR="00000000" w:rsidRPr="00000000">
        <w:rPr>
          <w:b w:val="1"/>
          <w:sz w:val="20"/>
          <w:szCs w:val="20"/>
          <w:rtl w:val="0"/>
        </w:rPr>
        <w:t xml:space="preserve">Fonte -  </w:t>
      </w:r>
      <w:r w:rsidDel="00000000" w:rsidR="00000000" w:rsidRPr="00000000">
        <w:rPr>
          <w:sz w:val="20"/>
          <w:szCs w:val="20"/>
          <w:rtl w:val="0"/>
        </w:rPr>
        <w:t xml:space="preserve">Arquivo Público do Maranhão (Fl 54, p.89)</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A trama do conflito envolve questões de terra, o vigário da Paróquia e lavradores do município, mais precisamente da região de São José do Brito do Mutá. A questão da terra está relacionada à busca pela posse da terra, de um lado grileiros e do outro os lavradores e o vigário - ambos relacionados com outros grupos sociais como políticos. </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Derrida em “Mal do arquivo: uma impressão freudiana” (1994) faz uma potente introdução onde argumenta sobre o imbricamento entre arquivos e poder. Para o autor, a seleção de como, </w:t>
      </w:r>
      <w:r w:rsidDel="00000000" w:rsidR="00000000" w:rsidRPr="00000000">
        <w:rPr>
          <w:sz w:val="24"/>
          <w:szCs w:val="24"/>
          <w:rtl w:val="0"/>
        </w:rPr>
        <w:t xml:space="preserve">e o</w:t>
      </w:r>
      <w:r w:rsidDel="00000000" w:rsidR="00000000" w:rsidRPr="00000000">
        <w:rPr>
          <w:sz w:val="24"/>
          <w:szCs w:val="24"/>
          <w:rtl w:val="0"/>
        </w:rPr>
        <w:t xml:space="preserve"> que deve ser arquivado, assim como a maneira que ele pode ser acessado pela população é uma expressão de poder vinculada a processos de conhecimento histórico. Nesta concepção, o arquivo não é apenas um local de armazenamento de informações, mas um lugar de poder, pois ele interfere na própria possibilidade de acesso à verdade, à história e à memória.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Em espectros do marxismo, Derrida (1994) usa o termo "espectro" (hauntology) para argumentar sobre a presença contínua de Marx e do marxismo, não como uma entidade física, mas como uma força simbólica, uma memória persistente que assombra o presente e as persistências insolucionáveis do sistema capitalistas. O autor trata dessa persistência do marxismo no pensamento teórico, porém é possível identificar que essa presença se expande para outros domínios sociais. Os arquivos durante a ditadura militar são um exemplo dessa disputa de poder onde na produção documental se encontram espectros do marxismo. </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 xml:space="preserve"> </w:t>
        <w:tab/>
        <w:t xml:space="preserve">Achille Mbembe em artigo intitulado “O poder do Arquivo”, discorre sobre a relação do arquivo com dimensões materiais e simbólicas de poder, ambos relacionados com a morte. Segundo o autor, para o Estado, produtor e guardião por excelência de arquivos, muitos destes mortos devem permanecer enterrados em suas tumbas em busca de garantir a ‘ordem social’. Nesse caminho, o ‘Mal de Arquivo’ (Derrida) apresenta um poder Morte que deixa espectros fantasmagóricos no ar.</w:t>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ab/>
        <w:t xml:space="preserve">No caso de Turiaçu, quem são esses os sujeitos que estão contidos nos arquivos que reproduzem esse espectro do marxismo? Para responder, é importante considerar a localidade. O fato documentado ocorreu em uma comunidade chamada São José do Brito de Mutá, território quilombola reconhecido pela Fundação Palmares atualmente. De um lado, sendo acusados de subversão, luta de classes e intento de uma república comunista, estão o quilombo e os quilombolas. Em comunhão com a luta dos quilombolas havia um líder eclesiásticos, vigário da Paróquia, italiano que atuava no município. Do outro lado, da parte das acusações, estavam grileiros pertencentes a famílias tradicionais da região, delegados de polícia e políticos. De maneira geral, no que diz respeito a grupos sociais há uma elite grileira em conjunto com uma elite detentora de poder institucional, contra populações tradicionais secularmente estabelecidas.</w:t>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ab/>
        <w:t xml:space="preserve">Documentos de 1702 (Anais da Biblioteca Nacional, vol 66, p. 213</w:t>
      </w:r>
      <w:r w:rsidDel="00000000" w:rsidR="00000000" w:rsidRPr="00000000">
        <w:rPr>
          <w:sz w:val="24"/>
          <w:szCs w:val="24"/>
          <w:rtl w:val="0"/>
        </w:rPr>
        <w:t xml:space="preserve">)</w:t>
      </w:r>
      <w:r w:rsidDel="00000000" w:rsidR="00000000" w:rsidRPr="00000000">
        <w:rPr>
          <w:sz w:val="24"/>
          <w:szCs w:val="24"/>
          <w:rtl w:val="0"/>
        </w:rPr>
        <w:t xml:space="preserve"> já tratam de núcleos populacionais negros no território de Turiaçu como uma ameaça a ordem social. Mundinha Araújo (200</w:t>
      </w:r>
      <w:r w:rsidDel="00000000" w:rsidR="00000000" w:rsidRPr="00000000">
        <w:rPr>
          <w:sz w:val="24"/>
          <w:szCs w:val="24"/>
          <w:rtl w:val="0"/>
        </w:rPr>
        <w:t xml:space="preserve">6</w:t>
      </w:r>
      <w:r w:rsidDel="00000000" w:rsidR="00000000" w:rsidRPr="00000000">
        <w:rPr>
          <w:sz w:val="24"/>
          <w:szCs w:val="24"/>
          <w:rtl w:val="0"/>
        </w:rPr>
        <w:t xml:space="preserve">; 1992) analisa dois conflitos de grandes proporções ocorridos em 1867 e 1878. Em ambas as obras, a organização dos quilombos presente no território de Turiaçu aparece enquanto fenômeno social ameaçador a estrutura social estabelecida, e conectada com a luta dos quilombos de outros territórios. Nos anos de 1978, essa ameaça a ordem é atualizada quando encontramos em documentos produzidos pelo departamento de Ordem Social e Política a caracterização das lutas quilombolas como espectros de um comunismo. É preciso entender que os agentes envolvidos neste conflito mudam ao longo da história. Seria um anacronismo crer em uma simples continuidade copiada do passado. Os conflitos envolvendo os quilombos na região dinamizam seus embates ao longo do tempo; primeiro, senhores contra escravos, posteriormente proprietários de terra e fazenda contra lavradores. Mas mantém-se uma assimetria entre os locais de classe a que estes grupos pertencem. Portanto é possível identificar ao longo da história um continuum de conflitos que ocorrem na região envolvendo os quilombos, e se materializam em arquivos como fenômenos sociais negativos. </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ab/>
        <w:t xml:space="preserve">Essa representação negativa está muito conectada com a ideia de domínio material e simbólico da sociedade. Nos documentos, a classe materialmente dominante, ou seja, os senhores de engenho, os proprietários de fazendas, uma elite grileira, e detentores de poderes institucionais de Estado, referem-se à luta dos quilombolas de maneira pejorativa. Inclusive os termos centrais para este artigo -Mini Cuba e República Comunista- são cunhados pelos grileiros. </w:t>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ab/>
        <w:t xml:space="preserve">Marx, na ideologia alemã, postula uma ideia amplamente difundida que trata desse imbricamento entre o domínio material e a representação sobre o mundo: “A produção de ideias, de representações, da consciência, está, em princípio, imediatamente entrelaçada com a atividade material e com intercâmbio material dos homens com a linguagem da vida real” (Marx, 2012, p. 40</w:t>
      </w:r>
      <w:r w:rsidDel="00000000" w:rsidR="00000000" w:rsidRPr="00000000">
        <w:rPr>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É importante entender que a classe dominante referida neste trabalho não é categorizada aqui simplesmente pelo acúmulo monetário que possuem. Desde a colônia até a república, os conflitos (e a resistência) em Turiaçu giram em torno da posse da propriedade de terra. A terra foi importante ao longo da história dos processos produtivos da região, do algodão ao gado, a terra figura-se como elemento central nos processos de produção. Portanto, aqueles que detêm estes meios de produção são categorizados como uma elite. </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Isso se dá porque o conceito de Marx está intimamente relacionado com os modos de produção, ou seja, com a maneira que os homens buscam seus meios materiais de existência. Nessa busca há uma relação do homem com a natureza a fim de transformá-la utilizando as técnicas disponíveis para satisfazer determinadas necessidades, essa relação é categorizada como ‘forças produtivas’. A relação social que os seres humanos estabelecem durante os processos de produção são categorizados como relações sociais de produção. A combinação entre estes dois elementos forças produtivas e relações sociais de produção, “constitui a matriz econômica de todo o modo de produção e é a que determina, inclusive, os demais aspectos econômicos: a circulação, distribuição e consumo dos bens materiais” (Cueva, 1997, p. 70). </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Para o marxismo, as classes sociais são efeitos da maneira que se organiza determinados modos de produção. Um sistema econômico baseado na propriedade privada dos meios e ou agentes de produção (seres humanos, terra, ferramentas) criam um mecanismo de exploração que se manifesta em relações como a de senhores e escravos, e uma burguesia e trabalhadores da terra, portanto uma relação que visa a exploração de um grupo pelo outro.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Essa base da matriz econômica acima descrita é denominada de ‘infra estrutura’, e sobre a infra estrutura levanta-se a ‘superestrutura social’ que se manifesta em duas instâncias cruciais: a primeira é a instância jurídico política compreendida pelo conjunto de organizações e instituições sociais como o Estado e o direito (baseados no modo de produção classista), e a segunda  é a instância ideológica, que compreende um conjunto de ideias, e representações sociais em geral (Cueva, 1997, p. 70).</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ab/>
        <w:t xml:space="preserve">No caso dos quilombos em Turiaçu observamos na documentação sobre o tema justamente essa relação histórica entre detentores de propriedades dos meios de produção (que são os senhores de escravos, donos de engenho, e uma elite grileira de terras) e expropriados destes meios. Documentos de 1702 reclamam a busca de escravizados fugidos a fim de utilizar sua força de trabalho. Na transcrição, o número de cento e vinte escravos presos mostra uma incompatibilidade entre as  formas de organização social da Coroa e dos quilombos. A ocorrência das prisões revela o caráter repressor diante da organização dos mocambos e seus membros. Além disso, Jerônimo de Viveiros atenta que os quilombos aumentavam com o passar do tempo, causando imenso prejuízos aos fazendeiros, que não só perdiam escravos, mas vivam com uma ameaça perene de pilhagem e morte (Viveiros, 1954, p. 88).</w:t>
      </w:r>
    </w:p>
    <w:p w:rsidR="00000000" w:rsidDel="00000000" w:rsidP="00000000" w:rsidRDefault="00000000" w:rsidRPr="00000000" w14:paraId="00000028">
      <w:pPr>
        <w:spacing w:line="360" w:lineRule="auto"/>
        <w:jc w:val="both"/>
        <w:rPr>
          <w:sz w:val="24"/>
          <w:szCs w:val="24"/>
        </w:rPr>
      </w:pPr>
      <w:r w:rsidDel="00000000" w:rsidR="00000000" w:rsidRPr="00000000">
        <w:rPr>
          <w:sz w:val="24"/>
          <w:szCs w:val="24"/>
          <w:rtl w:val="0"/>
        </w:rPr>
        <w:t xml:space="preserve">  No século XIX, Mundinha Araújo também identificou abundante documentação acerca de conflitos ocorridos na região de Turiaçu em duas obras: A Invasão do quilombo Limoeiro 1878 (1992), e Insurreição de Escravos em Viana -1867 (1994). Em ambas as obras os documentos reforçam como a região foi importante tanto para o aquilombamento de parte da população ali presente, como também foi importante ponto de referência para atuações repressivas frente a estas organizações.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As denúncias encontradas nos documentos do DOPS e reunidas pelo Arquivo Público do Maranhão (APEM), apresentam uma roupagem atualizada dessa relação social conflituosa envolvendo a ocupação da terra por parte dos quilombolas e a vontade de grupos sociais detentores de poderes institucionais e econômicos, de apropriação da terra, inclusive de maneira irregular, e expropriação dos quilombos secularmente estabelecidos. O conflito categorizado sob a pecha de ameaça comunista representava uma antiga tensão entre classes.   </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ab/>
        <w:t xml:space="preserve">Entretanto, o intento de retirar os quilombos de suas terras não logrou êxito. A organização dos quilombos juntamente com a liderança religiosa conseguiram realizar uma mobilização efetiva e combinada com diversos agentes sociais. Assim como a repressão buscou apoio na superestrutura jurídica e política, a resistência fez o mesmo. Os quilombolas e o vigário da cidade acionaram diversas autoridades políticas e religiosas da época, assim como diversas instituições de justiça de Estado. Essas ações ilustram a ideia de que os quilombos não eram sujeitos sociais passivos, inertes, e isolados na estrutura social. Para análise aqui proposta, independente do resultado burocrático deste conflito, é interessante notar um agenciamento da população quilombola.</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 xml:space="preserve">Se tratando dos quilombolas, pensamento social brasileiro e marxismo, é fundamental considerar pensadores como Clóvis de Moura (2021) e Beatriz Nascimento (2021), que preconizam um agenciamento dessa população na formação da estrutura social brasileira ao invés de uma passividade e apagamento. A negação ao trabalho escravo e a fuga são processos considerados pelos autores como formas de afirmação da população negra dentro do sistema social brasileiro. </w:t>
      </w:r>
    </w:p>
    <w:p w:rsidR="00000000" w:rsidDel="00000000" w:rsidP="00000000" w:rsidRDefault="00000000" w:rsidRPr="00000000" w14:paraId="0000002C">
      <w:pPr>
        <w:spacing w:line="360" w:lineRule="auto"/>
        <w:ind w:firstLine="709"/>
        <w:jc w:val="both"/>
        <w:rPr>
          <w:sz w:val="24"/>
          <w:szCs w:val="24"/>
        </w:rPr>
      </w:pPr>
      <w:r w:rsidDel="00000000" w:rsidR="00000000" w:rsidRPr="00000000">
        <w:rPr>
          <w:sz w:val="24"/>
          <w:szCs w:val="24"/>
          <w:rtl w:val="0"/>
        </w:rPr>
        <w:tab/>
        <w:t xml:space="preserve">Longe de serem considerados como ações pejorativas, a negação ao trabalho escravo e a fuga, não era uma ode à preguiça ou covardia a um embate direto com estruturas opressoras. Para Moura e Nascimento, elas representavam o contrário: a coragem de uma organização social distinta da lógica colonial hegemônica. A fuga longe de representar espontaneísmo ou incapacidade para lutar, representa antes “ [...] todo um processo de reorganização e contestação da ordem estabelecida.” (Nascimento, </w:t>
      </w:r>
      <w:r w:rsidDel="00000000" w:rsidR="00000000" w:rsidRPr="00000000">
        <w:rPr>
          <w:sz w:val="24"/>
          <w:szCs w:val="24"/>
          <w:rtl w:val="0"/>
        </w:rPr>
        <w:t xml:space="preserve">2021</w:t>
      </w:r>
      <w:r w:rsidDel="00000000" w:rsidR="00000000" w:rsidRPr="00000000">
        <w:rPr>
          <w:sz w:val="24"/>
          <w:szCs w:val="24"/>
          <w:rtl w:val="0"/>
        </w:rPr>
        <w:t xml:space="preserve">, p. 129). </w:t>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Moura, faz uma inversão potente ao afirmar que é na negação que a população negra se afirmava. Essa dinâmica de negação/afirmação, a partir do trabalho, e diante de um conflito entre duas classes opostas -senhores e escravos- é uma das ilustrações da influência da dialética marxista no pensamento de Moura. Para o autor, as insurreições dos quilombolas estavam muito relacionadas a aspectos ligados a uma luta de classes. Beatriz Nascimento também aponta a organização dos quilombos como uma ameaça à ordem senhorial e aponta que, além do conflito, a própria ‘paz quilombola’ era ameaçadora para as estruturas coloniais (2021, p. 134). Além disso, a autora demonstra que o trabalho nos quilombos, inclusive a produção de ferramentas, que ela vai considerar como os meios de produção, são fundamentais para a sociabilidade interna e com elementos sociais exógenos. </w:t>
      </w:r>
    </w:p>
    <w:p w:rsidR="00000000" w:rsidDel="00000000" w:rsidP="00000000" w:rsidRDefault="00000000" w:rsidRPr="00000000" w14:paraId="0000002E">
      <w:pPr>
        <w:spacing w:line="360" w:lineRule="auto"/>
        <w:ind w:firstLine="709"/>
        <w:jc w:val="both"/>
        <w:rPr>
          <w:sz w:val="24"/>
          <w:szCs w:val="24"/>
        </w:rPr>
      </w:pPr>
      <w:r w:rsidDel="00000000" w:rsidR="00000000" w:rsidRPr="00000000">
        <w:rPr>
          <w:sz w:val="24"/>
          <w:szCs w:val="24"/>
          <w:rtl w:val="0"/>
        </w:rPr>
        <w:t xml:space="preserve">Tanto Clóvis Moura, quanto Beatriz Nascimento, foram influenciados pelo marxismo, e a análise de ambos perpassa questões relacionadas à produção do mundo material e ao conflito entre diferentes estratos sociais, contextualizado em território brasileiro. A fundamentação a partir do trabalho, ou melhor, da negação ao trabalho escravo, tem como ponto crucial os processos produtivos e as relações sociais que advém deles. Nestas relações de produção surge uma relação conflituosa quando os escravizados se negam ao domínio senhorial. Esse conflito é marcado por resistências e organização em núcleos como os quilombos. Não que ali não houvesse trabalho ou outro tipo de relação social que não fosse o conflito. É importante que os quilombos não fiquem frigorificados unicamente em relações sociais de conflitos, como atenta Alfredo Wagner Berno de Almeida (2002, p.47). Entretanto, diante do recorte documental escolhido, o conflito é uma das formas de </w:t>
      </w:r>
      <w:r w:rsidDel="00000000" w:rsidR="00000000" w:rsidRPr="00000000">
        <w:rPr>
          <w:sz w:val="24"/>
          <w:szCs w:val="24"/>
          <w:rtl w:val="0"/>
        </w:rPr>
        <w:t xml:space="preserve">sociação</w:t>
      </w:r>
      <w:r w:rsidDel="00000000" w:rsidR="00000000" w:rsidRPr="00000000">
        <w:rPr>
          <w:sz w:val="24"/>
          <w:szCs w:val="24"/>
          <w:rtl w:val="0"/>
        </w:rPr>
        <w:t xml:space="preserve"> presente no território de Turiaçu, litoral ocidental maranhense. </w:t>
      </w:r>
    </w:p>
    <w:p w:rsidR="00000000" w:rsidDel="00000000" w:rsidP="00000000" w:rsidRDefault="00000000" w:rsidRPr="00000000" w14:paraId="0000002F">
      <w:pPr>
        <w:spacing w:line="360" w:lineRule="auto"/>
        <w:ind w:firstLine="709"/>
        <w:jc w:val="both"/>
        <w:rPr>
          <w:sz w:val="24"/>
          <w:szCs w:val="24"/>
        </w:rPr>
      </w:pPr>
      <w:r w:rsidDel="00000000" w:rsidR="00000000" w:rsidRPr="00000000">
        <w:rPr>
          <w:sz w:val="24"/>
          <w:szCs w:val="24"/>
          <w:rtl w:val="0"/>
        </w:rPr>
        <w:t xml:space="preserve">Esses conflitos na história da região geram uma tensão que se expressa em documentos através de um medo. Clóvis Moura vai categorizar este medo com o conceito de ‘Síndrome do Medo’ (1987, p. 42). Para Moura, esse medo estava relacionado a </w:t>
      </w:r>
      <w:r w:rsidDel="00000000" w:rsidR="00000000" w:rsidRPr="00000000">
        <w:rPr>
          <w:sz w:val="24"/>
          <w:szCs w:val="24"/>
          <w:rtl w:val="0"/>
        </w:rPr>
        <w:t xml:space="preserve">super exploração</w:t>
      </w:r>
      <w:r w:rsidDel="00000000" w:rsidR="00000000" w:rsidRPr="00000000">
        <w:rPr>
          <w:sz w:val="24"/>
          <w:szCs w:val="24"/>
          <w:rtl w:val="0"/>
        </w:rPr>
        <w:t xml:space="preserve"> da mão de obra dos escravizados em busca de mais valia, “A preocupação substantiva, portanto, quer dos senhores, quer das autoridades locais ou da Metrópole, era manter a </w:t>
      </w:r>
      <w:r w:rsidDel="00000000" w:rsidR="00000000" w:rsidRPr="00000000">
        <w:rPr>
          <w:sz w:val="24"/>
          <w:szCs w:val="24"/>
          <w:rtl w:val="0"/>
        </w:rPr>
        <w:t xml:space="preserve">coerção</w:t>
      </w:r>
      <w:r w:rsidDel="00000000" w:rsidR="00000000" w:rsidRPr="00000000">
        <w:rPr>
          <w:sz w:val="24"/>
          <w:szCs w:val="24"/>
          <w:rtl w:val="0"/>
        </w:rPr>
        <w:t xml:space="preserve"> econômica e extra-econômica através da qual se conseguiria extrair todo o sobretrabalho do escravo” (Moura, 1987, p. 42). Citando Marx quando este trata do trabalho escravo, Moura coadona com a ideia de que a exploração “Tratava-se da exploração da Mais valia ao máximo” (Marx, 1949, p.91), e que quanto mais essa exploração era intensa, maiores eram as proporções das revoltas dos núcleos populacionais negros. </w:t>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Esse medo das revoltas devido a exploração do trabalho escravo é expresso nos documentos através de um vocabulário sintomático. No caso dos documentos do DOPS, a República Comunista e Mini Cuba, são expressões que ilustram muito bem esse medo e sua relação com a exploração material de classe e a representação simbólica das forças contrárias a essa dominação. </w:t>
      </w:r>
    </w:p>
    <w:p w:rsidR="00000000" w:rsidDel="00000000" w:rsidP="00000000" w:rsidRDefault="00000000" w:rsidRPr="00000000" w14:paraId="00000031">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2">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4">
      <w:pPr>
        <w:spacing w:line="360" w:lineRule="auto"/>
        <w:ind w:firstLine="709"/>
        <w:jc w:val="both"/>
        <w:rPr>
          <w:sz w:val="24"/>
          <w:szCs w:val="24"/>
        </w:rPr>
      </w:pPr>
      <w:r w:rsidDel="00000000" w:rsidR="00000000" w:rsidRPr="00000000">
        <w:rPr>
          <w:sz w:val="24"/>
          <w:szCs w:val="24"/>
          <w:rtl w:val="0"/>
        </w:rPr>
        <w:t xml:space="preserve">A dimensão de morte que permeia os arquivos de Estado busca deixar enterrado determinados mortos que são indesejados, e que não devem voltar para atormentar a ordem social estabelecida. A confidencialidade dos arquivos da ditadura no Brasil carregam essa áurea de encobrimento, do enclausuramento de fatos em lugares de onde nunca deveriam sair. Essa dimensão de morte refletida nos arquivos da ditadura demonstra um processo de repressão praticado pelo Estado. Além da repressão diretamente imposta a corpos e ideias através da violência e censura, existe uma repressão dos arquivos, daquilo que deve ser recalcado a fim de construir um imaginário social acerca do Estado ditatorial.  </w:t>
      </w:r>
    </w:p>
    <w:p w:rsidR="00000000" w:rsidDel="00000000" w:rsidP="00000000" w:rsidRDefault="00000000" w:rsidRPr="00000000" w14:paraId="00000035">
      <w:pPr>
        <w:spacing w:line="360" w:lineRule="auto"/>
        <w:ind w:firstLine="709"/>
        <w:jc w:val="both"/>
        <w:rPr>
          <w:sz w:val="24"/>
          <w:szCs w:val="24"/>
        </w:rPr>
      </w:pPr>
      <w:r w:rsidDel="00000000" w:rsidR="00000000" w:rsidRPr="00000000">
        <w:rPr>
          <w:sz w:val="24"/>
          <w:szCs w:val="24"/>
          <w:rtl w:val="0"/>
        </w:rPr>
        <w:t xml:space="preserve">Esse recalque de características sociais que estruturam o Estado brasileiro se estende a outros âmbitos como por exemplo o racial. A ideia de um país democrático racialmente busca velar a força que a discriminação racial impôs nas dinâmicas sociais. Esse recalque também busca velar o papel central das resistências para a estruturação das relações sociais em nosso país.</w:t>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sz w:val="24"/>
          <w:szCs w:val="24"/>
          <w:rtl w:val="0"/>
        </w:rPr>
        <w:t xml:space="preserve">A produção, o conteúdo, a preservação, uso e reprodução dos arquivos são permeados por um poder que está inserido em uma disputa política em dimensões materiais e simbólicas. Esse embate político é marcado por um conflito de interesses entre diferentes grupos sociais.  </w:t>
      </w:r>
    </w:p>
    <w:p w:rsidR="00000000" w:rsidDel="00000000" w:rsidP="00000000" w:rsidRDefault="00000000" w:rsidRPr="00000000" w14:paraId="00000037">
      <w:pPr>
        <w:spacing w:line="360" w:lineRule="auto"/>
        <w:ind w:firstLine="709"/>
        <w:jc w:val="both"/>
        <w:rPr>
          <w:sz w:val="24"/>
          <w:szCs w:val="24"/>
        </w:rPr>
      </w:pPr>
      <w:r w:rsidDel="00000000" w:rsidR="00000000" w:rsidRPr="00000000">
        <w:rPr>
          <w:sz w:val="24"/>
          <w:szCs w:val="24"/>
          <w:rtl w:val="0"/>
        </w:rPr>
        <w:t xml:space="preserve">Os relatórios do DOPS em Turiaçu revelam um léxico de medo  (‘mini‑Cuba’, ‘república comunista’) que estigmatiza as resistências quilombolas e molda o imaginário social brasileiro sobre raça e poder. Para além da análise documental, futuras investigações devem incorporar metodologias de história oral, a partir de depoimentos de moradores de São José do Brito de Mutá, a fim de recuperar vozes silenciadas e aprofundar nossa compreensão do agenciamento negro. Ademais, recomenda-se explorar abordagens comparativas com outros arquivos regionais e pensar em iniciativas de digitalização junto a comunidade, ampliando o debate sobre memória, tecnologia e participação social na reconstrução dos processos repressivos. </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9">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3A">
      <w:pPr>
        <w:spacing w:after="240" w:before="240" w:line="240" w:lineRule="auto"/>
        <w:jc w:val="both"/>
        <w:rPr>
          <w:sz w:val="24"/>
          <w:szCs w:val="24"/>
        </w:rPr>
      </w:pPr>
      <w:r w:rsidDel="00000000" w:rsidR="00000000" w:rsidRPr="00000000">
        <w:rPr>
          <w:sz w:val="24"/>
          <w:szCs w:val="24"/>
          <w:rtl w:val="0"/>
        </w:rPr>
        <w:t xml:space="preserve">ALMEIDA, A. W. B. De. </w:t>
      </w:r>
      <w:r w:rsidDel="00000000" w:rsidR="00000000" w:rsidRPr="00000000">
        <w:rPr>
          <w:b w:val="1"/>
          <w:sz w:val="24"/>
          <w:szCs w:val="24"/>
          <w:rtl w:val="0"/>
        </w:rPr>
        <w:t xml:space="preserve">A ideologia da decadência:</w:t>
      </w:r>
      <w:r w:rsidDel="00000000" w:rsidR="00000000" w:rsidRPr="00000000">
        <w:rPr>
          <w:sz w:val="24"/>
          <w:szCs w:val="24"/>
          <w:rtl w:val="0"/>
        </w:rPr>
        <w:t xml:space="preserve"> as interpretações sobre a agricultura maranhense no século XIX. São Luís: EDUFMA, 1990</w:t>
      </w:r>
    </w:p>
    <w:p w:rsidR="00000000" w:rsidDel="00000000" w:rsidP="00000000" w:rsidRDefault="00000000" w:rsidRPr="00000000" w14:paraId="0000003B">
      <w:pPr>
        <w:spacing w:after="240" w:before="240" w:line="240" w:lineRule="auto"/>
        <w:jc w:val="both"/>
        <w:rPr>
          <w:sz w:val="24"/>
          <w:szCs w:val="24"/>
        </w:rPr>
      </w:pPr>
      <w:r w:rsidDel="00000000" w:rsidR="00000000" w:rsidRPr="00000000">
        <w:rPr>
          <w:sz w:val="24"/>
          <w:szCs w:val="24"/>
          <w:rtl w:val="0"/>
        </w:rPr>
        <w:t xml:space="preserve">ARAUJO, M. </w:t>
      </w:r>
      <w:r w:rsidDel="00000000" w:rsidR="00000000" w:rsidRPr="00000000">
        <w:rPr>
          <w:b w:val="1"/>
          <w:sz w:val="24"/>
          <w:szCs w:val="24"/>
          <w:rtl w:val="0"/>
        </w:rPr>
        <w:t xml:space="preserve">Insurreição de escravos em Viana – 1867</w:t>
      </w:r>
      <w:r w:rsidDel="00000000" w:rsidR="00000000" w:rsidRPr="00000000">
        <w:rPr>
          <w:sz w:val="24"/>
          <w:szCs w:val="24"/>
          <w:rtl w:val="0"/>
        </w:rPr>
        <w:t xml:space="preserve"> / Maria Raymunda Araujo. 2ª edição. São Luís: Edições AVL, 2006.</w:t>
      </w:r>
    </w:p>
    <w:p w:rsidR="00000000" w:rsidDel="00000000" w:rsidP="00000000" w:rsidRDefault="00000000" w:rsidRPr="00000000" w14:paraId="0000003C">
      <w:pPr>
        <w:spacing w:after="240" w:before="240" w:line="240" w:lineRule="auto"/>
        <w:jc w:val="both"/>
        <w:rPr>
          <w:sz w:val="24"/>
          <w:szCs w:val="24"/>
        </w:rPr>
      </w:pPr>
      <w:r w:rsidDel="00000000" w:rsidR="00000000" w:rsidRPr="00000000">
        <w:rPr>
          <w:sz w:val="24"/>
          <w:szCs w:val="24"/>
          <w:rtl w:val="0"/>
        </w:rPr>
        <w:t xml:space="preserve">BRASIL. Anais da Biblioteca Nacional, vol. 66, p. 213.</w:t>
      </w:r>
    </w:p>
    <w:p w:rsidR="00000000" w:rsidDel="00000000" w:rsidP="00000000" w:rsidRDefault="00000000" w:rsidRPr="00000000" w14:paraId="0000003D">
      <w:pPr>
        <w:spacing w:after="240" w:before="240" w:line="240" w:lineRule="auto"/>
        <w:jc w:val="both"/>
        <w:rPr>
          <w:sz w:val="24"/>
          <w:szCs w:val="24"/>
        </w:rPr>
      </w:pPr>
      <w:r w:rsidDel="00000000" w:rsidR="00000000" w:rsidRPr="00000000">
        <w:rPr>
          <w:sz w:val="24"/>
          <w:szCs w:val="24"/>
          <w:rtl w:val="0"/>
        </w:rPr>
        <w:t xml:space="preserve">CAMPOS, Suelen Cristina Marcelino de. </w:t>
      </w:r>
      <w:r w:rsidDel="00000000" w:rsidR="00000000" w:rsidRPr="00000000">
        <w:rPr>
          <w:b w:val="1"/>
          <w:sz w:val="24"/>
          <w:szCs w:val="24"/>
          <w:rtl w:val="0"/>
        </w:rPr>
        <w:t xml:space="preserve">A construção do “inimigo interno” e o papel da grande mídia brasileira nos anos de 1964‑1968:</w:t>
      </w:r>
      <w:r w:rsidDel="00000000" w:rsidR="00000000" w:rsidRPr="00000000">
        <w:rPr>
          <w:sz w:val="24"/>
          <w:szCs w:val="24"/>
          <w:rtl w:val="0"/>
        </w:rPr>
        <w:t xml:space="preserve"> O Estado de S. Paulo, Folha de S. Paulo e O Globo. 2023. Dissertação (Mestrado) – Universidade de São Paulo, São Paulo, 2023. Disponível em:</w:t>
      </w:r>
      <w:hyperlink r:id="rId9">
        <w:r w:rsidDel="00000000" w:rsidR="00000000" w:rsidRPr="00000000">
          <w:rPr>
            <w:sz w:val="24"/>
            <w:szCs w:val="24"/>
            <w:rtl w:val="0"/>
          </w:rPr>
          <w:t xml:space="preserve"> </w:t>
        </w:r>
      </w:hyperlink>
      <w:hyperlink r:id="rId10">
        <w:r w:rsidDel="00000000" w:rsidR="00000000" w:rsidRPr="00000000">
          <w:rPr>
            <w:color w:val="1155cc"/>
            <w:sz w:val="24"/>
            <w:szCs w:val="24"/>
            <w:u w:val="single"/>
            <w:rtl w:val="0"/>
          </w:rPr>
          <w:t xml:space="preserve">https://www.teses.usp.br/teses/disponiveis/8/8138/tde-04102023-123724/</w:t>
        </w:r>
      </w:hyperlink>
      <w:r w:rsidDel="00000000" w:rsidR="00000000" w:rsidRPr="00000000">
        <w:rPr>
          <w:sz w:val="24"/>
          <w:szCs w:val="24"/>
          <w:rtl w:val="0"/>
        </w:rPr>
        <w:t xml:space="preserve">. Acesso em: 01 jul. 2025.</w:t>
      </w:r>
    </w:p>
    <w:p w:rsidR="00000000" w:rsidDel="00000000" w:rsidP="00000000" w:rsidRDefault="00000000" w:rsidRPr="00000000" w14:paraId="0000003E">
      <w:pPr>
        <w:spacing w:after="240" w:before="240" w:line="240" w:lineRule="auto"/>
        <w:jc w:val="both"/>
        <w:rPr>
          <w:sz w:val="24"/>
          <w:szCs w:val="24"/>
        </w:rPr>
      </w:pPr>
      <w:r w:rsidDel="00000000" w:rsidR="00000000" w:rsidRPr="00000000">
        <w:rPr>
          <w:sz w:val="24"/>
          <w:szCs w:val="24"/>
          <w:rtl w:val="0"/>
        </w:rPr>
        <w:t xml:space="preserve">CUEVA, A. </w:t>
      </w:r>
      <w:r w:rsidDel="00000000" w:rsidR="00000000" w:rsidRPr="00000000">
        <w:rPr>
          <w:b w:val="1"/>
          <w:sz w:val="24"/>
          <w:szCs w:val="24"/>
          <w:rtl w:val="0"/>
        </w:rPr>
        <w:t xml:space="preserve">A concepção marxista de classes sociais</w:t>
      </w:r>
      <w:r w:rsidDel="00000000" w:rsidR="00000000" w:rsidRPr="00000000">
        <w:rPr>
          <w:sz w:val="24"/>
          <w:szCs w:val="24"/>
          <w:rtl w:val="0"/>
        </w:rPr>
        <w:t xml:space="preserve">. Mediações – Revista de Ciências Sociais, Londrina, v. 2, n. 2, p. 69–79, 1997. DOI: 10.5433/2176-6665.1997v2n2p69. Disponível em:</w:t>
      </w:r>
      <w:hyperlink r:id="rId11">
        <w:r w:rsidDel="00000000" w:rsidR="00000000" w:rsidRPr="00000000">
          <w:rPr>
            <w:sz w:val="24"/>
            <w:szCs w:val="24"/>
            <w:rtl w:val="0"/>
          </w:rPr>
          <w:t xml:space="preserve"> </w:t>
        </w:r>
      </w:hyperlink>
      <w:hyperlink r:id="rId12">
        <w:r w:rsidDel="00000000" w:rsidR="00000000" w:rsidRPr="00000000">
          <w:rPr>
            <w:color w:val="1155cc"/>
            <w:sz w:val="24"/>
            <w:szCs w:val="24"/>
            <w:u w:val="single"/>
            <w:rtl w:val="0"/>
          </w:rPr>
          <w:t xml:space="preserve">https://ojs.uel.br/revistas/uel/index.php/mediacoes/article/view/9358</w:t>
        </w:r>
      </w:hyperlink>
      <w:r w:rsidDel="00000000" w:rsidR="00000000" w:rsidRPr="00000000">
        <w:rPr>
          <w:sz w:val="24"/>
          <w:szCs w:val="24"/>
          <w:rtl w:val="0"/>
        </w:rPr>
        <w:t xml:space="preserve">. Acesso em: 3 jul. 2025.</w:t>
      </w:r>
    </w:p>
    <w:p w:rsidR="00000000" w:rsidDel="00000000" w:rsidP="00000000" w:rsidRDefault="00000000" w:rsidRPr="00000000" w14:paraId="0000003F">
      <w:pPr>
        <w:spacing w:after="240" w:before="240" w:line="240" w:lineRule="auto"/>
        <w:jc w:val="both"/>
        <w:rPr>
          <w:sz w:val="24"/>
          <w:szCs w:val="24"/>
        </w:rPr>
      </w:pPr>
      <w:r w:rsidDel="00000000" w:rsidR="00000000" w:rsidRPr="00000000">
        <w:rPr>
          <w:sz w:val="24"/>
          <w:szCs w:val="24"/>
          <w:rtl w:val="0"/>
        </w:rPr>
        <w:t xml:space="preserve">DERRIDA, J. </w:t>
      </w:r>
      <w:r w:rsidDel="00000000" w:rsidR="00000000" w:rsidRPr="00000000">
        <w:rPr>
          <w:b w:val="1"/>
          <w:sz w:val="24"/>
          <w:szCs w:val="24"/>
          <w:rtl w:val="0"/>
        </w:rPr>
        <w:t xml:space="preserve">Espectros de Marx:</w:t>
      </w:r>
      <w:r w:rsidDel="00000000" w:rsidR="00000000" w:rsidRPr="00000000">
        <w:rPr>
          <w:sz w:val="24"/>
          <w:szCs w:val="24"/>
          <w:rtl w:val="0"/>
        </w:rPr>
        <w:t xml:space="preserve"> O Estado da Dívida, o Trabalho de Luto e a Nova Internacional. São Paulo: Editora 34, 2004.</w:t>
      </w:r>
    </w:p>
    <w:p w:rsidR="00000000" w:rsidDel="00000000" w:rsidP="00000000" w:rsidRDefault="00000000" w:rsidRPr="00000000" w14:paraId="00000040">
      <w:pPr>
        <w:spacing w:after="240" w:before="240" w:line="240" w:lineRule="auto"/>
        <w:jc w:val="both"/>
        <w:rPr>
          <w:sz w:val="24"/>
          <w:szCs w:val="24"/>
        </w:rPr>
      </w:pPr>
      <w:r w:rsidDel="00000000" w:rsidR="00000000" w:rsidRPr="00000000">
        <w:rPr>
          <w:sz w:val="24"/>
          <w:szCs w:val="24"/>
          <w:rtl w:val="0"/>
        </w:rPr>
        <w:t xml:space="preserve">DERRIDA, J. </w:t>
      </w:r>
      <w:r w:rsidDel="00000000" w:rsidR="00000000" w:rsidRPr="00000000">
        <w:rPr>
          <w:b w:val="1"/>
          <w:sz w:val="24"/>
          <w:szCs w:val="24"/>
          <w:rtl w:val="0"/>
        </w:rPr>
        <w:t xml:space="preserve">Mal de arquivo:</w:t>
      </w:r>
      <w:r w:rsidDel="00000000" w:rsidR="00000000" w:rsidRPr="00000000">
        <w:rPr>
          <w:sz w:val="24"/>
          <w:szCs w:val="24"/>
          <w:rtl w:val="0"/>
        </w:rPr>
        <w:t xml:space="preserve"> uma impressão freudiana. Rio de Janeiro: Relume Dumará, 2001.</w:t>
      </w:r>
    </w:p>
    <w:p w:rsidR="00000000" w:rsidDel="00000000" w:rsidP="00000000" w:rsidRDefault="00000000" w:rsidRPr="00000000" w14:paraId="00000041">
      <w:pPr>
        <w:spacing w:after="240" w:before="240" w:line="240" w:lineRule="auto"/>
        <w:jc w:val="both"/>
        <w:rPr>
          <w:sz w:val="24"/>
          <w:szCs w:val="24"/>
        </w:rPr>
      </w:pPr>
      <w:r w:rsidDel="00000000" w:rsidR="00000000" w:rsidRPr="00000000">
        <w:rPr>
          <w:sz w:val="24"/>
          <w:szCs w:val="24"/>
          <w:rtl w:val="0"/>
        </w:rPr>
        <w:t xml:space="preserve">FICO, C. A. </w:t>
      </w:r>
      <w:r w:rsidDel="00000000" w:rsidR="00000000" w:rsidRPr="00000000">
        <w:rPr>
          <w:b w:val="1"/>
          <w:sz w:val="24"/>
          <w:szCs w:val="24"/>
          <w:rtl w:val="0"/>
        </w:rPr>
        <w:t xml:space="preserve">Ditadura documentada</w:t>
      </w:r>
      <w:r w:rsidDel="00000000" w:rsidR="00000000" w:rsidRPr="00000000">
        <w:rPr>
          <w:sz w:val="24"/>
          <w:szCs w:val="24"/>
          <w:rtl w:val="0"/>
        </w:rPr>
        <w:t xml:space="preserve">. Acervo. Rio de Janeiro, v. 21, n. 2, p. 67‑78, jul./dez. 2008.</w:t>
      </w:r>
    </w:p>
    <w:p w:rsidR="00000000" w:rsidDel="00000000" w:rsidP="00000000" w:rsidRDefault="00000000" w:rsidRPr="00000000" w14:paraId="00000042">
      <w:pPr>
        <w:spacing w:after="240" w:before="240" w:line="240" w:lineRule="auto"/>
        <w:jc w:val="both"/>
        <w:rPr>
          <w:sz w:val="24"/>
          <w:szCs w:val="24"/>
        </w:rPr>
      </w:pPr>
      <w:r w:rsidDel="00000000" w:rsidR="00000000" w:rsidRPr="00000000">
        <w:rPr>
          <w:sz w:val="24"/>
          <w:szCs w:val="24"/>
          <w:rtl w:val="0"/>
        </w:rPr>
        <w:t xml:space="preserve">FICO, C. </w:t>
      </w:r>
      <w:r w:rsidDel="00000000" w:rsidR="00000000" w:rsidRPr="00000000">
        <w:rPr>
          <w:b w:val="1"/>
          <w:sz w:val="24"/>
          <w:szCs w:val="24"/>
          <w:rtl w:val="0"/>
        </w:rPr>
        <w:t xml:space="preserve">Ditadura militar brasileira: aproximações teóricas e historiográficas</w:t>
      </w:r>
      <w:r w:rsidDel="00000000" w:rsidR="00000000" w:rsidRPr="00000000">
        <w:rPr>
          <w:sz w:val="24"/>
          <w:szCs w:val="24"/>
          <w:rtl w:val="0"/>
        </w:rPr>
        <w:t xml:space="preserve"> [1]. Revista Tempo e Argumento, 9(20), 5‑74, 2017.</w:t>
      </w:r>
    </w:p>
    <w:p w:rsidR="00000000" w:rsidDel="00000000" w:rsidP="00000000" w:rsidRDefault="00000000" w:rsidRPr="00000000" w14:paraId="00000043">
      <w:pPr>
        <w:spacing w:after="240" w:before="240" w:line="240" w:lineRule="auto"/>
        <w:jc w:val="both"/>
        <w:rPr>
          <w:sz w:val="24"/>
          <w:szCs w:val="24"/>
        </w:rPr>
      </w:pPr>
      <w:r w:rsidDel="00000000" w:rsidR="00000000" w:rsidRPr="00000000">
        <w:rPr>
          <w:sz w:val="24"/>
          <w:szCs w:val="24"/>
          <w:rtl w:val="0"/>
        </w:rPr>
        <w:t xml:space="preserve">MARANHÃO, Arquivo Público do Estado. </w:t>
      </w:r>
      <w:r w:rsidDel="00000000" w:rsidR="00000000" w:rsidRPr="00000000">
        <w:rPr>
          <w:b w:val="1"/>
          <w:sz w:val="24"/>
          <w:szCs w:val="24"/>
          <w:rtl w:val="0"/>
        </w:rPr>
        <w:t xml:space="preserve">A invasão do quilombo limoeiro</w:t>
      </w:r>
      <w:r w:rsidDel="00000000" w:rsidR="00000000" w:rsidRPr="00000000">
        <w:rPr>
          <w:sz w:val="24"/>
          <w:szCs w:val="24"/>
          <w:rtl w:val="0"/>
        </w:rPr>
        <w:t xml:space="preserve"> / Arquivo Público do Estado do Maranhão, pesq. e org. Maria Raymunda Araujo. São Luís: SIOGE, 1992.</w:t>
      </w:r>
    </w:p>
    <w:p w:rsidR="00000000" w:rsidDel="00000000" w:rsidP="00000000" w:rsidRDefault="00000000" w:rsidRPr="00000000" w14:paraId="00000044">
      <w:pPr>
        <w:spacing w:after="240" w:before="240" w:line="240" w:lineRule="auto"/>
        <w:jc w:val="both"/>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A Ideologia Alemã</w:t>
      </w:r>
      <w:r w:rsidDel="00000000" w:rsidR="00000000" w:rsidRPr="00000000">
        <w:rPr>
          <w:sz w:val="24"/>
          <w:szCs w:val="24"/>
          <w:rtl w:val="0"/>
        </w:rPr>
        <w:t xml:space="preserve">. In: As armas da crítica: antologia do pensamento de esquerda. Org. Sader, E.; Jinkings, I. São Paulo: Boitempo, 2012.</w:t>
      </w:r>
    </w:p>
    <w:p w:rsidR="00000000" w:rsidDel="00000000" w:rsidP="00000000" w:rsidRDefault="00000000" w:rsidRPr="00000000" w14:paraId="00000045">
      <w:pPr>
        <w:spacing w:after="240" w:before="240" w:line="240" w:lineRule="auto"/>
        <w:jc w:val="both"/>
        <w:rPr>
          <w:sz w:val="24"/>
          <w:szCs w:val="24"/>
        </w:rPr>
      </w:pPr>
      <w:r w:rsidDel="00000000" w:rsidR="00000000" w:rsidRPr="00000000">
        <w:rPr>
          <w:sz w:val="24"/>
          <w:szCs w:val="24"/>
          <w:rtl w:val="0"/>
        </w:rPr>
        <w:t xml:space="preserve">MARX, Karl. Le Capital. Paris, 1949. Vol. II.</w:t>
      </w:r>
    </w:p>
    <w:p w:rsidR="00000000" w:rsidDel="00000000" w:rsidP="00000000" w:rsidRDefault="00000000" w:rsidRPr="00000000" w14:paraId="00000046">
      <w:pPr>
        <w:spacing w:after="240" w:before="240" w:line="240" w:lineRule="auto"/>
        <w:jc w:val="both"/>
        <w:rPr>
          <w:sz w:val="24"/>
          <w:szCs w:val="24"/>
        </w:rPr>
      </w:pPr>
      <w:r w:rsidDel="00000000" w:rsidR="00000000" w:rsidRPr="00000000">
        <w:rPr>
          <w:sz w:val="24"/>
          <w:szCs w:val="24"/>
          <w:rtl w:val="0"/>
        </w:rPr>
        <w:t xml:space="preserve">MBEMBE, A. </w:t>
      </w:r>
      <w:r w:rsidDel="00000000" w:rsidR="00000000" w:rsidRPr="00000000">
        <w:rPr>
          <w:b w:val="1"/>
          <w:sz w:val="24"/>
          <w:szCs w:val="24"/>
          <w:rtl w:val="0"/>
        </w:rPr>
        <w:t xml:space="preserve">O poder do arquivo e seus limites</w:t>
      </w:r>
      <w:r w:rsidDel="00000000" w:rsidR="00000000" w:rsidRPr="00000000">
        <w:rPr>
          <w:sz w:val="24"/>
          <w:szCs w:val="24"/>
          <w:rtl w:val="0"/>
        </w:rPr>
        <w:t xml:space="preserve">. Tradução de Camila Matos. In: Hamilton, C.; Harris, V.; Taylor, J.; Pickover, M.; Reid, G.; Saleh, R. (Orgs.). Refiguring the archive. London: Kluwer Academic Publishers, pp. 19‑26, 2002.</w:t>
      </w:r>
    </w:p>
    <w:p w:rsidR="00000000" w:rsidDel="00000000" w:rsidP="00000000" w:rsidRDefault="00000000" w:rsidRPr="00000000" w14:paraId="00000047">
      <w:pPr>
        <w:spacing w:after="240" w:before="240" w:line="240" w:lineRule="auto"/>
        <w:jc w:val="both"/>
        <w:rPr>
          <w:sz w:val="24"/>
          <w:szCs w:val="24"/>
        </w:rPr>
      </w:pPr>
      <w:r w:rsidDel="00000000" w:rsidR="00000000" w:rsidRPr="00000000">
        <w:rPr>
          <w:sz w:val="24"/>
          <w:szCs w:val="24"/>
          <w:rtl w:val="0"/>
        </w:rPr>
        <w:t xml:space="preserve">MOURA, C. </w:t>
      </w:r>
      <w:r w:rsidDel="00000000" w:rsidR="00000000" w:rsidRPr="00000000">
        <w:rPr>
          <w:b w:val="1"/>
          <w:sz w:val="24"/>
          <w:szCs w:val="24"/>
          <w:rtl w:val="0"/>
        </w:rPr>
        <w:t xml:space="preserve">Rebeliões da senzala: </w:t>
      </w:r>
      <w:r w:rsidDel="00000000" w:rsidR="00000000" w:rsidRPr="00000000">
        <w:rPr>
          <w:sz w:val="24"/>
          <w:szCs w:val="24"/>
          <w:rtl w:val="0"/>
        </w:rPr>
        <w:t xml:space="preserve">quilombos, insurreições, guerrilhas. São Paulo: Editora Dandara, 2021.</w:t>
      </w:r>
    </w:p>
    <w:p w:rsidR="00000000" w:rsidDel="00000000" w:rsidP="00000000" w:rsidRDefault="00000000" w:rsidRPr="00000000" w14:paraId="00000048">
      <w:pPr>
        <w:spacing w:after="240" w:before="240" w:line="240" w:lineRule="auto"/>
        <w:jc w:val="both"/>
        <w:rPr>
          <w:sz w:val="24"/>
          <w:szCs w:val="24"/>
        </w:rPr>
      </w:pPr>
      <w:r w:rsidDel="00000000" w:rsidR="00000000" w:rsidRPr="00000000">
        <w:rPr>
          <w:sz w:val="24"/>
          <w:szCs w:val="24"/>
          <w:rtl w:val="0"/>
        </w:rPr>
        <w:t xml:space="preserve">NASCIMENTO, B.</w:t>
      </w:r>
      <w:r w:rsidDel="00000000" w:rsidR="00000000" w:rsidRPr="00000000">
        <w:rPr>
          <w:b w:val="1"/>
          <w:sz w:val="24"/>
          <w:szCs w:val="24"/>
          <w:rtl w:val="0"/>
        </w:rPr>
        <w:t xml:space="preserve"> Uma história feita por mãos negras:</w:t>
      </w:r>
      <w:r w:rsidDel="00000000" w:rsidR="00000000" w:rsidRPr="00000000">
        <w:rPr>
          <w:sz w:val="24"/>
          <w:szCs w:val="24"/>
          <w:rtl w:val="0"/>
        </w:rPr>
        <w:t xml:space="preserve"> relações raciais, quilombos e movimentos. Org. Alex Ratts. Rio de Janeiro: Zahar, 2021.</w:t>
      </w:r>
    </w:p>
    <w:p w:rsidR="00000000" w:rsidDel="00000000" w:rsidP="00000000" w:rsidRDefault="00000000" w:rsidRPr="00000000" w14:paraId="00000049">
      <w:pPr>
        <w:spacing w:after="240" w:before="240" w:line="240" w:lineRule="auto"/>
        <w:jc w:val="both"/>
        <w:rPr>
          <w:sz w:val="24"/>
          <w:szCs w:val="24"/>
        </w:rPr>
      </w:pPr>
      <w:r w:rsidDel="00000000" w:rsidR="00000000" w:rsidRPr="00000000">
        <w:rPr>
          <w:sz w:val="24"/>
          <w:szCs w:val="24"/>
          <w:rtl w:val="0"/>
        </w:rPr>
        <w:t xml:space="preserve">SILVA, Marcília Gama da. </w:t>
      </w:r>
      <w:r w:rsidDel="00000000" w:rsidR="00000000" w:rsidRPr="00000000">
        <w:rPr>
          <w:b w:val="1"/>
          <w:sz w:val="24"/>
          <w:szCs w:val="24"/>
          <w:rtl w:val="0"/>
        </w:rPr>
        <w:t xml:space="preserve">Informação, repressão e memória:</w:t>
      </w:r>
      <w:r w:rsidDel="00000000" w:rsidR="00000000" w:rsidRPr="00000000">
        <w:rPr>
          <w:sz w:val="24"/>
          <w:szCs w:val="24"/>
          <w:rtl w:val="0"/>
        </w:rPr>
        <w:t xml:space="preserve"> a construção do estado de exceção no Brasil na perspectiva do DOPS‑PE (1964–1985). Recife: Editora UFPE, 2014. 339 p. ISBN 978‑85‑415‑0397‑6.</w:t>
      </w:r>
    </w:p>
    <w:p w:rsidR="00000000" w:rsidDel="00000000" w:rsidP="00000000" w:rsidRDefault="00000000" w:rsidRPr="00000000" w14:paraId="0000004A">
      <w:pPr>
        <w:spacing w:after="240" w:before="240" w:line="240" w:lineRule="auto"/>
        <w:jc w:val="both"/>
        <w:rPr>
          <w:sz w:val="24"/>
          <w:szCs w:val="24"/>
        </w:rPr>
      </w:pPr>
      <w:r w:rsidDel="00000000" w:rsidR="00000000" w:rsidRPr="00000000">
        <w:rPr>
          <w:sz w:val="24"/>
          <w:szCs w:val="24"/>
          <w:rtl w:val="0"/>
        </w:rPr>
        <w:t xml:space="preserve">THIESEN, Icléia. </w:t>
      </w:r>
      <w:r w:rsidDel="00000000" w:rsidR="00000000" w:rsidRPr="00000000">
        <w:rPr>
          <w:b w:val="1"/>
          <w:sz w:val="24"/>
          <w:szCs w:val="24"/>
          <w:rtl w:val="0"/>
        </w:rPr>
        <w:t xml:space="preserve">Reflexões sobre documentos sensíveis, informação e memória no contexto do regime de exceção no Brasil (1964–1985)</w:t>
      </w:r>
      <w:r w:rsidDel="00000000" w:rsidR="00000000" w:rsidRPr="00000000">
        <w:rPr>
          <w:sz w:val="24"/>
          <w:szCs w:val="24"/>
          <w:rtl w:val="0"/>
        </w:rPr>
        <w:t xml:space="preserve">. Perspectivas em Ciência da Informação, v. 24, número especial, p. 06–22, jan./mar. 2019. Disponível em:</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https://doi.org/10.1590/1981-5344/3890</w:t>
        </w:r>
      </w:hyperlink>
      <w:r w:rsidDel="00000000" w:rsidR="00000000" w:rsidRPr="00000000">
        <w:rPr>
          <w:sz w:val="24"/>
          <w:szCs w:val="24"/>
          <w:rtl w:val="0"/>
        </w:rPr>
        <w:t xml:space="preserve">. Acesso em: 1 jul. 2025.</w:t>
      </w:r>
    </w:p>
    <w:p w:rsidR="00000000" w:rsidDel="00000000" w:rsidP="00000000" w:rsidRDefault="00000000" w:rsidRPr="00000000" w14:paraId="0000004B">
      <w:pPr>
        <w:spacing w:after="240" w:before="240" w:line="240" w:lineRule="auto"/>
        <w:jc w:val="both"/>
        <w:rPr>
          <w:sz w:val="24"/>
          <w:szCs w:val="24"/>
        </w:rPr>
      </w:pPr>
      <w:r w:rsidDel="00000000" w:rsidR="00000000" w:rsidRPr="00000000">
        <w:rPr>
          <w:sz w:val="24"/>
          <w:szCs w:val="24"/>
          <w:rtl w:val="0"/>
        </w:rPr>
        <w:t xml:space="preserve">VIVEIROS, J. De. </w:t>
      </w:r>
      <w:r w:rsidDel="00000000" w:rsidR="00000000" w:rsidRPr="00000000">
        <w:rPr>
          <w:b w:val="1"/>
          <w:sz w:val="24"/>
          <w:szCs w:val="24"/>
          <w:rtl w:val="0"/>
        </w:rPr>
        <w:t xml:space="preserve">História do comércio do Maranhão 1612‑1895</w:t>
      </w:r>
      <w:r w:rsidDel="00000000" w:rsidR="00000000" w:rsidRPr="00000000">
        <w:rPr>
          <w:sz w:val="24"/>
          <w:szCs w:val="24"/>
          <w:rtl w:val="0"/>
        </w:rPr>
        <w:t xml:space="preserve">. Associação Comercial Maranhão, 1954.</w:t>
      </w:r>
    </w:p>
    <w:p w:rsidR="00000000" w:rsidDel="00000000" w:rsidP="00000000" w:rsidRDefault="00000000" w:rsidRPr="00000000" w14:paraId="0000004C">
      <w:pPr>
        <w:spacing w:after="160" w:before="80" w:line="240" w:lineRule="auto"/>
        <w:jc w:val="both"/>
        <w:rPr>
          <w:sz w:val="24"/>
          <w:szCs w:val="24"/>
        </w:rPr>
      </w:pPr>
      <w:r w:rsidDel="00000000" w:rsidR="00000000" w:rsidRPr="00000000">
        <w:rPr>
          <w:rtl w:val="0"/>
        </w:rPr>
      </w:r>
    </w:p>
    <w:sectPr>
      <w:headerReference r:id="rId15"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 Mestrando no Programa de Cultura e Sociedade (Pgcult) na Universidade Federal do Maranhão (UFMA); Graduado em Ciências Sociais pela Universidade Estadual de Maringá (UEM). e-mail: renan.augusto@discente.ufma.br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ojs.uel.br/revistas/uel/index.php/mediacoes/article/view/9358" TargetMode="External"/><Relationship Id="rId10" Type="http://schemas.openxmlformats.org/officeDocument/2006/relationships/hyperlink" Target="https://www.teses.usp.br/teses/disponiveis/8/8138/tde-04102023-123724/" TargetMode="External"/><Relationship Id="rId13" Type="http://schemas.openxmlformats.org/officeDocument/2006/relationships/hyperlink" Target="https://doi.org/10.1590/1981-5344/3890" TargetMode="External"/><Relationship Id="rId12" Type="http://schemas.openxmlformats.org/officeDocument/2006/relationships/hyperlink" Target="https://ojs.uel.br/revistas/uel/index.php/mediacoes/article/view/935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eses.usp.br/teses/disponiveis/8/8138/tde-04102023-123724/" TargetMode="External"/><Relationship Id="rId15" Type="http://schemas.openxmlformats.org/officeDocument/2006/relationships/header" Target="header1.xml"/><Relationship Id="rId14" Type="http://schemas.openxmlformats.org/officeDocument/2006/relationships/hyperlink" Target="https://doi.org/10.1590/1981-5344/389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pFxxVSz2Rbj5bnqVCIgBaTSCCQ==">CgMxLjAyDmgubDZleXAycDlybDl5Mg5oLmJqeTJ5YWY0aDhyZzIOaC5zMWd4bWlkMHV2NjQyDmguaDEyZWJnZ2N5d3RtOAByITFITk1JZUlqNUFOX2pOQ0YzOWNTV0N4TmN0dlQ2MkVsTQ==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