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CE3" w:rsidRDefault="001F20D2">
      <w:pPr>
        <w:pStyle w:val="Corpodetexto"/>
        <w:rPr>
          <w:rFonts w:ascii="Times New Roman"/>
        </w:rPr>
      </w:pPr>
      <w:r>
        <w:rPr>
          <w:rFonts w:ascii="Times New Roman"/>
          <w:noProof/>
          <w:lang w:val="pt-BR" w:eastAsia="pt-BR"/>
        </w:rPr>
        <w:drawing>
          <wp:anchor distT="0" distB="0" distL="0" distR="0" simplePos="0" relativeHeight="486920192" behindDoc="1" locked="0" layoutInCell="1" allowOverlap="1">
            <wp:simplePos x="0" y="0"/>
            <wp:positionH relativeFrom="page">
              <wp:posOffset>0</wp:posOffset>
            </wp:positionH>
            <wp:positionV relativeFrom="page">
              <wp:posOffset>6982</wp:posOffset>
            </wp:positionV>
            <wp:extent cx="7562088" cy="1048327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rPr>
          <w:rFonts w:ascii="Times New Roman"/>
        </w:rPr>
      </w:pPr>
    </w:p>
    <w:p w:rsidR="00972CE3" w:rsidRDefault="00972CE3">
      <w:pPr>
        <w:pStyle w:val="Corpodetexto"/>
        <w:rPr>
          <w:rFonts w:ascii="Times New Roman"/>
        </w:rPr>
      </w:pPr>
    </w:p>
    <w:p w:rsidR="00972CE3" w:rsidRDefault="00972CE3">
      <w:pPr>
        <w:pStyle w:val="Corpodetexto"/>
        <w:rPr>
          <w:rFonts w:ascii="Times New Roman"/>
        </w:rPr>
      </w:pPr>
    </w:p>
    <w:p w:rsidR="00972CE3" w:rsidRDefault="00972CE3">
      <w:pPr>
        <w:pStyle w:val="Corpodetexto"/>
        <w:rPr>
          <w:rFonts w:ascii="Times New Roman"/>
        </w:rPr>
      </w:pPr>
    </w:p>
    <w:p w:rsidR="00972CE3" w:rsidRDefault="00972CE3">
      <w:pPr>
        <w:pStyle w:val="Corpodetexto"/>
        <w:spacing w:before="93"/>
        <w:rPr>
          <w:rFonts w:ascii="Times New Roman"/>
        </w:rPr>
      </w:pPr>
    </w:p>
    <w:p w:rsidR="00972CE3" w:rsidRDefault="001F20D2">
      <w:pPr>
        <w:pStyle w:val="Heading2"/>
        <w:ind w:right="17"/>
        <w:jc w:val="center"/>
      </w:pPr>
      <w:r>
        <w:t>MÁQUINA</w:t>
      </w:r>
      <w:r>
        <w:rPr>
          <w:spacing w:val="-7"/>
        </w:rPr>
        <w:t xml:space="preserve"> </w:t>
      </w:r>
      <w:r>
        <w:t>DE</w:t>
      </w:r>
      <w:r>
        <w:rPr>
          <w:spacing w:val="-3"/>
        </w:rPr>
        <w:t xml:space="preserve"> </w:t>
      </w:r>
      <w:r>
        <w:t>GUERRRA</w:t>
      </w:r>
      <w:r>
        <w:rPr>
          <w:spacing w:val="-4"/>
        </w:rPr>
        <w:t xml:space="preserve"> </w:t>
      </w:r>
      <w:r>
        <w:rPr>
          <w:i/>
        </w:rPr>
        <w:t>VERSUS</w:t>
      </w:r>
      <w:r>
        <w:rPr>
          <w:i/>
          <w:spacing w:val="-3"/>
        </w:rPr>
        <w:t xml:space="preserve"> </w:t>
      </w:r>
      <w:r>
        <w:t>DIREITO AO</w:t>
      </w:r>
      <w:r>
        <w:rPr>
          <w:spacing w:val="-1"/>
        </w:rPr>
        <w:t xml:space="preserve"> </w:t>
      </w:r>
      <w:r>
        <w:t>TERRITÓRIO: notas</w:t>
      </w:r>
      <w:r>
        <w:rPr>
          <w:spacing w:val="-5"/>
        </w:rPr>
        <w:t xml:space="preserve"> </w:t>
      </w:r>
      <w:r>
        <w:t xml:space="preserve">sobre </w:t>
      </w:r>
      <w:r>
        <w:rPr>
          <w:spacing w:val="-10"/>
        </w:rPr>
        <w:t>a</w:t>
      </w:r>
    </w:p>
    <w:p w:rsidR="00972CE3" w:rsidRDefault="001F20D2">
      <w:pPr>
        <w:spacing w:before="3"/>
        <w:ind w:left="5" w:right="22"/>
        <w:jc w:val="center"/>
        <w:rPr>
          <w:rFonts w:ascii="Arial"/>
          <w:b/>
          <w:sz w:val="24"/>
        </w:rPr>
      </w:pPr>
      <w:r>
        <w:rPr>
          <w:rFonts w:ascii="Arial"/>
          <w:b/>
          <w:sz w:val="24"/>
        </w:rPr>
        <w:t>fronteira</w:t>
      </w:r>
      <w:r>
        <w:rPr>
          <w:rFonts w:ascii="Arial"/>
          <w:b/>
          <w:spacing w:val="-3"/>
          <w:sz w:val="24"/>
        </w:rPr>
        <w:t xml:space="preserve"> </w:t>
      </w:r>
      <w:r>
        <w:rPr>
          <w:rFonts w:ascii="Arial"/>
          <w:b/>
          <w:sz w:val="24"/>
        </w:rPr>
        <w:t>do</w:t>
      </w:r>
      <w:r>
        <w:rPr>
          <w:rFonts w:ascii="Arial"/>
          <w:b/>
          <w:spacing w:val="-6"/>
          <w:sz w:val="24"/>
        </w:rPr>
        <w:t xml:space="preserve"> </w:t>
      </w:r>
      <w:r>
        <w:rPr>
          <w:rFonts w:ascii="Arial"/>
          <w:b/>
          <w:sz w:val="24"/>
        </w:rPr>
        <w:t>capital</w:t>
      </w:r>
      <w:r>
        <w:rPr>
          <w:rFonts w:ascii="Arial"/>
          <w:b/>
          <w:spacing w:val="-3"/>
          <w:sz w:val="24"/>
        </w:rPr>
        <w:t xml:space="preserve"> </w:t>
      </w:r>
      <w:r>
        <w:rPr>
          <w:rFonts w:ascii="Arial"/>
          <w:b/>
          <w:sz w:val="24"/>
        </w:rPr>
        <w:t>no</w:t>
      </w:r>
      <w:r>
        <w:rPr>
          <w:rFonts w:ascii="Arial"/>
          <w:b/>
          <w:spacing w:val="-2"/>
          <w:sz w:val="24"/>
        </w:rPr>
        <w:t xml:space="preserve"> </w:t>
      </w:r>
      <w:r>
        <w:rPr>
          <w:rFonts w:ascii="Arial"/>
          <w:b/>
          <w:sz w:val="24"/>
        </w:rPr>
        <w:t>campo</w:t>
      </w:r>
      <w:r>
        <w:rPr>
          <w:rFonts w:ascii="Arial"/>
          <w:b/>
          <w:spacing w:val="-2"/>
          <w:sz w:val="24"/>
        </w:rPr>
        <w:t xml:space="preserve"> </w:t>
      </w:r>
      <w:r>
        <w:rPr>
          <w:rFonts w:ascii="Arial"/>
          <w:b/>
          <w:sz w:val="24"/>
        </w:rPr>
        <w:t>e</w:t>
      </w:r>
      <w:r>
        <w:rPr>
          <w:rFonts w:ascii="Arial"/>
          <w:b/>
          <w:spacing w:val="-2"/>
          <w:sz w:val="24"/>
        </w:rPr>
        <w:t xml:space="preserve"> </w:t>
      </w:r>
      <w:r>
        <w:rPr>
          <w:rFonts w:ascii="Arial"/>
          <w:b/>
          <w:sz w:val="24"/>
        </w:rPr>
        <w:t>na</w:t>
      </w:r>
      <w:r>
        <w:rPr>
          <w:rFonts w:ascii="Arial"/>
          <w:b/>
          <w:spacing w:val="-3"/>
          <w:sz w:val="24"/>
        </w:rPr>
        <w:t xml:space="preserve"> </w:t>
      </w:r>
      <w:r>
        <w:rPr>
          <w:rFonts w:ascii="Arial"/>
          <w:b/>
          <w:sz w:val="24"/>
        </w:rPr>
        <w:t>cidade</w:t>
      </w:r>
      <w:r>
        <w:rPr>
          <w:rFonts w:ascii="Arial"/>
          <w:b/>
          <w:spacing w:val="-6"/>
          <w:sz w:val="24"/>
        </w:rPr>
        <w:t xml:space="preserve"> </w:t>
      </w:r>
      <w:r>
        <w:rPr>
          <w:rFonts w:ascii="Arial"/>
          <w:b/>
          <w:spacing w:val="-2"/>
          <w:sz w:val="24"/>
        </w:rPr>
        <w:t>maranhense</w:t>
      </w:r>
    </w:p>
    <w:p w:rsidR="00972CE3" w:rsidRDefault="001F20D2">
      <w:pPr>
        <w:spacing w:before="127"/>
        <w:ind w:left="5994"/>
      </w:pPr>
      <w:r>
        <w:t>Luiz</w:t>
      </w:r>
      <w:r>
        <w:rPr>
          <w:spacing w:val="-7"/>
        </w:rPr>
        <w:t xml:space="preserve"> </w:t>
      </w:r>
      <w:r>
        <w:t>Eduardo</w:t>
      </w:r>
      <w:r>
        <w:rPr>
          <w:spacing w:val="-2"/>
        </w:rPr>
        <w:t xml:space="preserve"> </w:t>
      </w:r>
      <w:r>
        <w:t>Neves</w:t>
      </w:r>
      <w:r>
        <w:rPr>
          <w:spacing w:val="-6"/>
        </w:rPr>
        <w:t xml:space="preserve"> </w:t>
      </w:r>
      <w:r>
        <w:t>dos</w:t>
      </w:r>
      <w:r>
        <w:rPr>
          <w:spacing w:val="-2"/>
        </w:rPr>
        <w:t xml:space="preserve"> Santos</w:t>
      </w:r>
      <w:r>
        <w:rPr>
          <w:spacing w:val="-2"/>
          <w:vertAlign w:val="superscript"/>
        </w:rPr>
        <w:t>1</w:t>
      </w:r>
    </w:p>
    <w:p w:rsidR="00972CE3" w:rsidRDefault="00972CE3">
      <w:pPr>
        <w:pStyle w:val="Corpodetexto"/>
        <w:spacing w:before="98"/>
        <w:rPr>
          <w:sz w:val="22"/>
        </w:rPr>
      </w:pPr>
    </w:p>
    <w:p w:rsidR="00972CE3" w:rsidRDefault="001F20D2">
      <w:pPr>
        <w:ind w:left="2979"/>
        <w:rPr>
          <w:rFonts w:ascii="Arial"/>
          <w:b/>
          <w:sz w:val="20"/>
        </w:rPr>
      </w:pPr>
      <w:r>
        <w:rPr>
          <w:rFonts w:ascii="Arial"/>
          <w:b/>
          <w:spacing w:val="-2"/>
          <w:sz w:val="20"/>
        </w:rPr>
        <w:t>Resumo</w:t>
      </w:r>
    </w:p>
    <w:p w:rsidR="00972CE3" w:rsidRDefault="001F20D2">
      <w:pPr>
        <w:spacing w:before="1"/>
        <w:ind w:left="2979" w:right="130"/>
        <w:jc w:val="both"/>
        <w:rPr>
          <w:sz w:val="20"/>
        </w:rPr>
      </w:pPr>
      <w:r>
        <w:rPr>
          <w:sz w:val="20"/>
        </w:rPr>
        <w:t xml:space="preserve">Problematiza os conceitos de </w:t>
      </w:r>
      <w:r>
        <w:rPr>
          <w:rFonts w:ascii="Arial" w:hAnsi="Arial"/>
          <w:i/>
          <w:sz w:val="20"/>
        </w:rPr>
        <w:t xml:space="preserve">Máquina de Guerra </w:t>
      </w:r>
      <w:r>
        <w:rPr>
          <w:sz w:val="20"/>
        </w:rPr>
        <w:t xml:space="preserve">e </w:t>
      </w:r>
      <w:r>
        <w:rPr>
          <w:rFonts w:ascii="Arial" w:hAnsi="Arial"/>
          <w:i/>
          <w:sz w:val="20"/>
        </w:rPr>
        <w:t>Fronteira do Capital</w:t>
      </w:r>
      <w:r>
        <w:rPr>
          <w:rFonts w:ascii="Arial" w:hAnsi="Arial"/>
          <w:i/>
          <w:spacing w:val="-2"/>
          <w:sz w:val="20"/>
        </w:rPr>
        <w:t xml:space="preserve"> </w:t>
      </w:r>
      <w:r>
        <w:rPr>
          <w:sz w:val="20"/>
        </w:rPr>
        <w:t>e</w:t>
      </w:r>
      <w:r>
        <w:rPr>
          <w:spacing w:val="-2"/>
          <w:sz w:val="20"/>
        </w:rPr>
        <w:t xml:space="preserve"> </w:t>
      </w:r>
      <w:r>
        <w:rPr>
          <w:sz w:val="20"/>
        </w:rPr>
        <w:t>os</w:t>
      </w:r>
      <w:r>
        <w:rPr>
          <w:spacing w:val="-5"/>
          <w:sz w:val="20"/>
        </w:rPr>
        <w:t xml:space="preserve"> </w:t>
      </w:r>
      <w:r>
        <w:rPr>
          <w:sz w:val="20"/>
        </w:rPr>
        <w:t>relaciona</w:t>
      </w:r>
      <w:r>
        <w:rPr>
          <w:spacing w:val="-2"/>
          <w:sz w:val="20"/>
        </w:rPr>
        <w:t xml:space="preserve"> </w:t>
      </w:r>
      <w:r>
        <w:rPr>
          <w:sz w:val="20"/>
        </w:rPr>
        <w:t>com realidade</w:t>
      </w:r>
      <w:r>
        <w:rPr>
          <w:spacing w:val="-7"/>
          <w:sz w:val="20"/>
        </w:rPr>
        <w:t xml:space="preserve"> </w:t>
      </w:r>
      <w:r>
        <w:rPr>
          <w:sz w:val="20"/>
        </w:rPr>
        <w:t>maranhense</w:t>
      </w:r>
      <w:r>
        <w:rPr>
          <w:spacing w:val="-2"/>
          <w:sz w:val="20"/>
        </w:rPr>
        <w:t xml:space="preserve"> </w:t>
      </w:r>
      <w:r>
        <w:rPr>
          <w:sz w:val="20"/>
        </w:rPr>
        <w:t>ao</w:t>
      </w:r>
      <w:r>
        <w:rPr>
          <w:spacing w:val="-2"/>
          <w:sz w:val="20"/>
        </w:rPr>
        <w:t xml:space="preserve"> </w:t>
      </w:r>
      <w:r>
        <w:rPr>
          <w:sz w:val="20"/>
        </w:rPr>
        <w:t>analisar</w:t>
      </w:r>
      <w:r>
        <w:rPr>
          <w:spacing w:val="-1"/>
          <w:sz w:val="20"/>
        </w:rPr>
        <w:t xml:space="preserve"> </w:t>
      </w:r>
      <w:r>
        <w:rPr>
          <w:sz w:val="20"/>
        </w:rPr>
        <w:t>conflitos no campo e na cidade a partir de três casos: 1. Os conflitos no Baixo Parnaíba, espaço de tensões por conta da grilagem de terras e do avanço</w:t>
      </w:r>
      <w:r>
        <w:rPr>
          <w:spacing w:val="-4"/>
          <w:sz w:val="20"/>
        </w:rPr>
        <w:t xml:space="preserve"> </w:t>
      </w:r>
      <w:r>
        <w:rPr>
          <w:sz w:val="20"/>
        </w:rPr>
        <w:t>do agronegócio;</w:t>
      </w:r>
      <w:r>
        <w:rPr>
          <w:spacing w:val="-2"/>
          <w:sz w:val="20"/>
        </w:rPr>
        <w:t xml:space="preserve"> </w:t>
      </w:r>
      <w:r>
        <w:rPr>
          <w:sz w:val="20"/>
        </w:rPr>
        <w:t>2.</w:t>
      </w:r>
      <w:r>
        <w:rPr>
          <w:spacing w:val="-2"/>
          <w:sz w:val="20"/>
        </w:rPr>
        <w:t xml:space="preserve"> </w:t>
      </w:r>
      <w:r>
        <w:rPr>
          <w:sz w:val="20"/>
        </w:rPr>
        <w:t>a</w:t>
      </w:r>
      <w:r>
        <w:rPr>
          <w:spacing w:val="-4"/>
          <w:sz w:val="20"/>
        </w:rPr>
        <w:t xml:space="preserve"> </w:t>
      </w:r>
      <w:r>
        <w:rPr>
          <w:sz w:val="20"/>
        </w:rPr>
        <w:t>questão do povoado Aurizona (Município de Godo</w:t>
      </w:r>
      <w:r>
        <w:rPr>
          <w:sz w:val="20"/>
        </w:rPr>
        <w:t xml:space="preserve">fredo Viana) e sua relação com mineradoras que exploram ouro na região, como a transnacional </w:t>
      </w:r>
      <w:r>
        <w:rPr>
          <w:rFonts w:ascii="Arial" w:hAnsi="Arial"/>
          <w:i/>
          <w:sz w:val="20"/>
        </w:rPr>
        <w:t>Equinox Gold</w:t>
      </w:r>
      <w:r>
        <w:rPr>
          <w:sz w:val="20"/>
        </w:rPr>
        <w:t>; 3. A luta dos moradores da zona rural de São Luís e dos movimentos sociais</w:t>
      </w:r>
      <w:r>
        <w:rPr>
          <w:spacing w:val="40"/>
          <w:sz w:val="20"/>
        </w:rPr>
        <w:t xml:space="preserve"> </w:t>
      </w:r>
      <w:r>
        <w:rPr>
          <w:sz w:val="20"/>
        </w:rPr>
        <w:t>contra a ameaça de grandes</w:t>
      </w:r>
      <w:r>
        <w:rPr>
          <w:spacing w:val="-1"/>
          <w:sz w:val="20"/>
        </w:rPr>
        <w:t xml:space="preserve"> </w:t>
      </w:r>
      <w:r>
        <w:rPr>
          <w:sz w:val="20"/>
        </w:rPr>
        <w:t>projetos</w:t>
      </w:r>
      <w:r>
        <w:rPr>
          <w:spacing w:val="-1"/>
          <w:sz w:val="20"/>
        </w:rPr>
        <w:t xml:space="preserve"> </w:t>
      </w:r>
      <w:r>
        <w:rPr>
          <w:sz w:val="20"/>
        </w:rPr>
        <w:t>industriais</w:t>
      </w:r>
      <w:r>
        <w:rPr>
          <w:spacing w:val="-1"/>
          <w:sz w:val="20"/>
        </w:rPr>
        <w:t xml:space="preserve"> </w:t>
      </w:r>
      <w:r>
        <w:rPr>
          <w:sz w:val="20"/>
        </w:rPr>
        <w:t>e portuários</w:t>
      </w:r>
      <w:r>
        <w:rPr>
          <w:spacing w:val="-1"/>
          <w:sz w:val="20"/>
        </w:rPr>
        <w:t xml:space="preserve"> </w:t>
      </w:r>
      <w:r>
        <w:rPr>
          <w:sz w:val="20"/>
        </w:rPr>
        <w:t>em seus terri</w:t>
      </w:r>
      <w:r>
        <w:rPr>
          <w:sz w:val="20"/>
        </w:rPr>
        <w:t>tórios.</w:t>
      </w:r>
      <w:r>
        <w:rPr>
          <w:spacing w:val="-2"/>
          <w:sz w:val="20"/>
        </w:rPr>
        <w:t xml:space="preserve"> </w:t>
      </w:r>
      <w:r>
        <w:rPr>
          <w:sz w:val="20"/>
        </w:rPr>
        <w:t>Todos</w:t>
      </w:r>
      <w:r>
        <w:rPr>
          <w:spacing w:val="-4"/>
          <w:sz w:val="20"/>
        </w:rPr>
        <w:t xml:space="preserve"> </w:t>
      </w:r>
      <w:r>
        <w:rPr>
          <w:sz w:val="20"/>
        </w:rPr>
        <w:t>estes</w:t>
      </w:r>
      <w:r>
        <w:rPr>
          <w:spacing w:val="-4"/>
          <w:sz w:val="20"/>
        </w:rPr>
        <w:t xml:space="preserve"> </w:t>
      </w:r>
      <w:r>
        <w:rPr>
          <w:sz w:val="20"/>
        </w:rPr>
        <w:t>casos</w:t>
      </w:r>
      <w:r>
        <w:rPr>
          <w:spacing w:val="-4"/>
          <w:sz w:val="20"/>
        </w:rPr>
        <w:t xml:space="preserve"> </w:t>
      </w:r>
      <w:r>
        <w:rPr>
          <w:sz w:val="20"/>
        </w:rPr>
        <w:t>apontam graves</w:t>
      </w:r>
      <w:r>
        <w:rPr>
          <w:spacing w:val="-9"/>
          <w:sz w:val="20"/>
        </w:rPr>
        <w:t xml:space="preserve"> </w:t>
      </w:r>
      <w:r>
        <w:rPr>
          <w:sz w:val="20"/>
        </w:rPr>
        <w:t>violações</w:t>
      </w:r>
      <w:r>
        <w:rPr>
          <w:spacing w:val="-4"/>
          <w:sz w:val="20"/>
        </w:rPr>
        <w:t xml:space="preserve"> </w:t>
      </w:r>
      <w:r>
        <w:rPr>
          <w:sz w:val="20"/>
        </w:rPr>
        <w:t>de</w:t>
      </w:r>
      <w:r>
        <w:rPr>
          <w:spacing w:val="-1"/>
          <w:sz w:val="20"/>
        </w:rPr>
        <w:t xml:space="preserve"> </w:t>
      </w:r>
      <w:r>
        <w:rPr>
          <w:sz w:val="20"/>
        </w:rPr>
        <w:t>direitos</w:t>
      </w:r>
      <w:r>
        <w:rPr>
          <w:spacing w:val="-4"/>
          <w:sz w:val="20"/>
        </w:rPr>
        <w:t xml:space="preserve"> </w:t>
      </w:r>
      <w:r>
        <w:rPr>
          <w:sz w:val="20"/>
        </w:rPr>
        <w:t xml:space="preserve">às populações locais e fazem parte de uma estrutura que extrapola as fronteiras territoriais do Estado e se referem aos objetivos do grande Capital que avança a passos largos com sua sanha por </w:t>
      </w:r>
      <w:r>
        <w:rPr>
          <w:sz w:val="20"/>
        </w:rPr>
        <w:t>lucro e mais- valor</w:t>
      </w:r>
      <w:r>
        <w:rPr>
          <w:spacing w:val="-3"/>
          <w:sz w:val="20"/>
        </w:rPr>
        <w:t xml:space="preserve"> </w:t>
      </w:r>
      <w:r>
        <w:rPr>
          <w:sz w:val="20"/>
        </w:rPr>
        <w:t>a</w:t>
      </w:r>
      <w:r>
        <w:rPr>
          <w:spacing w:val="-4"/>
          <w:sz w:val="20"/>
        </w:rPr>
        <w:t xml:space="preserve"> </w:t>
      </w:r>
      <w:r>
        <w:rPr>
          <w:sz w:val="20"/>
        </w:rPr>
        <w:t>um custo</w:t>
      </w:r>
      <w:r>
        <w:rPr>
          <w:spacing w:val="-4"/>
          <w:sz w:val="20"/>
        </w:rPr>
        <w:t xml:space="preserve"> </w:t>
      </w:r>
      <w:r>
        <w:rPr>
          <w:sz w:val="20"/>
        </w:rPr>
        <w:t>socioambiental altíssimo.</w:t>
      </w:r>
      <w:r>
        <w:rPr>
          <w:spacing w:val="-6"/>
          <w:sz w:val="20"/>
        </w:rPr>
        <w:t xml:space="preserve"> </w:t>
      </w:r>
      <w:r>
        <w:rPr>
          <w:sz w:val="20"/>
        </w:rPr>
        <w:t>O</w:t>
      </w:r>
      <w:r>
        <w:rPr>
          <w:spacing w:val="-1"/>
          <w:sz w:val="20"/>
        </w:rPr>
        <w:t xml:space="preserve"> </w:t>
      </w:r>
      <w:r>
        <w:rPr>
          <w:sz w:val="20"/>
        </w:rPr>
        <w:t>trabalho</w:t>
      </w:r>
      <w:r>
        <w:rPr>
          <w:spacing w:val="-4"/>
          <w:sz w:val="20"/>
        </w:rPr>
        <w:t xml:space="preserve"> </w:t>
      </w:r>
      <w:r>
        <w:rPr>
          <w:sz w:val="20"/>
        </w:rPr>
        <w:t>tem por</w:t>
      </w:r>
      <w:r>
        <w:rPr>
          <w:spacing w:val="-3"/>
          <w:sz w:val="20"/>
        </w:rPr>
        <w:t xml:space="preserve"> </w:t>
      </w:r>
      <w:r>
        <w:rPr>
          <w:sz w:val="20"/>
        </w:rPr>
        <w:t>objetivo elaborar um panorama sobre estas</w:t>
      </w:r>
      <w:r>
        <w:rPr>
          <w:spacing w:val="-1"/>
          <w:sz w:val="20"/>
        </w:rPr>
        <w:t xml:space="preserve"> </w:t>
      </w:r>
      <w:r>
        <w:rPr>
          <w:sz w:val="20"/>
        </w:rPr>
        <w:t>questões</w:t>
      </w:r>
      <w:r>
        <w:rPr>
          <w:spacing w:val="-1"/>
          <w:sz w:val="20"/>
        </w:rPr>
        <w:t xml:space="preserve"> </w:t>
      </w:r>
      <w:r>
        <w:rPr>
          <w:sz w:val="20"/>
        </w:rPr>
        <w:t>no Maranhão ao discutir tais problemáticas à luz da teoria espacial crítica. O artigo se baseia em uma pesquisa do tipo explicativa e também qualitativa, com uma abordagem geográfica crítica sobre as problemáticas analisadas a partir da consulta de trabalh</w:t>
      </w:r>
      <w:r>
        <w:rPr>
          <w:sz w:val="20"/>
        </w:rPr>
        <w:t>os científicos como livros, reportagens da mídia contra-hegemônica, dissertações, teses, relatórios e</w:t>
      </w:r>
      <w:r>
        <w:rPr>
          <w:spacing w:val="40"/>
          <w:sz w:val="20"/>
        </w:rPr>
        <w:t xml:space="preserve"> </w:t>
      </w:r>
      <w:r>
        <w:rPr>
          <w:sz w:val="20"/>
        </w:rPr>
        <w:t>entrevistas, a</w:t>
      </w:r>
      <w:r>
        <w:rPr>
          <w:spacing w:val="-8"/>
          <w:sz w:val="20"/>
        </w:rPr>
        <w:t xml:space="preserve"> </w:t>
      </w:r>
      <w:r>
        <w:rPr>
          <w:sz w:val="20"/>
        </w:rPr>
        <w:t>fim de subsidiar nossos</w:t>
      </w:r>
      <w:r>
        <w:rPr>
          <w:spacing w:val="-3"/>
          <w:sz w:val="20"/>
        </w:rPr>
        <w:t xml:space="preserve"> </w:t>
      </w:r>
      <w:r>
        <w:rPr>
          <w:sz w:val="20"/>
        </w:rPr>
        <w:t>argumentos</w:t>
      </w:r>
      <w:r>
        <w:rPr>
          <w:spacing w:val="-3"/>
          <w:sz w:val="20"/>
        </w:rPr>
        <w:t xml:space="preserve"> </w:t>
      </w:r>
      <w:r>
        <w:rPr>
          <w:sz w:val="20"/>
        </w:rPr>
        <w:t>para os</w:t>
      </w:r>
      <w:r>
        <w:rPr>
          <w:spacing w:val="-6"/>
          <w:sz w:val="20"/>
        </w:rPr>
        <w:t xml:space="preserve"> </w:t>
      </w:r>
      <w:r>
        <w:rPr>
          <w:sz w:val="20"/>
        </w:rPr>
        <w:t xml:space="preserve">fenômenos </w:t>
      </w:r>
      <w:r>
        <w:rPr>
          <w:spacing w:val="-2"/>
          <w:sz w:val="20"/>
        </w:rPr>
        <w:t>estudados.</w:t>
      </w:r>
    </w:p>
    <w:p w:rsidR="00972CE3" w:rsidRDefault="001F20D2">
      <w:pPr>
        <w:spacing w:before="1" w:line="244" w:lineRule="auto"/>
        <w:ind w:left="2979" w:right="137"/>
        <w:jc w:val="both"/>
        <w:rPr>
          <w:sz w:val="20"/>
        </w:rPr>
      </w:pPr>
      <w:r>
        <w:rPr>
          <w:rFonts w:ascii="Arial" w:hAnsi="Arial"/>
          <w:b/>
          <w:sz w:val="20"/>
        </w:rPr>
        <w:t>Palavras-chave</w:t>
      </w:r>
      <w:r>
        <w:rPr>
          <w:sz w:val="20"/>
        </w:rPr>
        <w:t>: Máquina de guerra; Fronteira do Capital; Direito ao Territó</w:t>
      </w:r>
      <w:r>
        <w:rPr>
          <w:sz w:val="20"/>
        </w:rPr>
        <w:t>rio; Maranhão.</w:t>
      </w:r>
    </w:p>
    <w:p w:rsidR="00972CE3" w:rsidRDefault="001F20D2">
      <w:pPr>
        <w:spacing w:before="222"/>
        <w:ind w:left="2979"/>
        <w:rPr>
          <w:rFonts w:ascii="Arial"/>
          <w:b/>
          <w:sz w:val="20"/>
        </w:rPr>
      </w:pPr>
      <w:r>
        <w:rPr>
          <w:rFonts w:ascii="Arial"/>
          <w:b/>
          <w:spacing w:val="-2"/>
          <w:sz w:val="20"/>
        </w:rPr>
        <w:t>Abstract</w:t>
      </w:r>
    </w:p>
    <w:p w:rsidR="00972CE3" w:rsidRDefault="001F20D2">
      <w:pPr>
        <w:spacing w:before="5"/>
        <w:ind w:left="2979" w:right="129"/>
        <w:jc w:val="both"/>
        <w:rPr>
          <w:sz w:val="20"/>
        </w:rPr>
      </w:pPr>
      <w:r>
        <w:rPr>
          <w:sz w:val="20"/>
        </w:rPr>
        <w:t>It problematizes the concepts of War Machine and Capital Frontier</w:t>
      </w:r>
      <w:r>
        <w:rPr>
          <w:spacing w:val="40"/>
          <w:sz w:val="20"/>
        </w:rPr>
        <w:t xml:space="preserve"> </w:t>
      </w:r>
      <w:r>
        <w:rPr>
          <w:sz w:val="20"/>
        </w:rPr>
        <w:t>and relates them to the reality of Maranhão by analyzing conflicts in the countryside and in the city based on three case studies: 1. The conflicts in Baixo Parnaíba,</w:t>
      </w:r>
      <w:r>
        <w:rPr>
          <w:sz w:val="20"/>
        </w:rPr>
        <w:t xml:space="preserve"> a space of tension due to land grabbing and the expansion of agribusiness; 2. The issue of the Aurizona</w:t>
      </w:r>
      <w:r>
        <w:rPr>
          <w:spacing w:val="40"/>
          <w:sz w:val="20"/>
        </w:rPr>
        <w:t xml:space="preserve"> </w:t>
      </w:r>
      <w:r>
        <w:rPr>
          <w:sz w:val="20"/>
        </w:rPr>
        <w:t>village (Municipality of Godofredo Viana) and its relationship with mining companies that explore gold in the region, such as the transnational Equinox</w:t>
      </w:r>
      <w:r>
        <w:rPr>
          <w:sz w:val="20"/>
        </w:rPr>
        <w:t xml:space="preserve"> Gold. 3. The struggle of rural residents of São Luís and social movements against the threat of large industrial and port projects in their territories. All these cases point to serious violations of the rights of local populations and are part of a struc</w:t>
      </w:r>
      <w:r>
        <w:rPr>
          <w:sz w:val="20"/>
        </w:rPr>
        <w:t>ture that transcends the state's territorial borders and reflects the</w:t>
      </w:r>
      <w:r>
        <w:rPr>
          <w:spacing w:val="40"/>
          <w:sz w:val="20"/>
        </w:rPr>
        <w:t xml:space="preserve"> </w:t>
      </w:r>
      <w:r>
        <w:rPr>
          <w:sz w:val="20"/>
        </w:rPr>
        <w:t>objectives</w:t>
      </w:r>
      <w:r>
        <w:rPr>
          <w:spacing w:val="6"/>
          <w:sz w:val="20"/>
        </w:rPr>
        <w:t xml:space="preserve"> </w:t>
      </w:r>
      <w:r>
        <w:rPr>
          <w:sz w:val="20"/>
        </w:rPr>
        <w:t>of</w:t>
      </w:r>
      <w:r>
        <w:rPr>
          <w:spacing w:val="18"/>
          <w:sz w:val="20"/>
        </w:rPr>
        <w:t xml:space="preserve"> </w:t>
      </w:r>
      <w:r>
        <w:rPr>
          <w:sz w:val="20"/>
        </w:rPr>
        <w:t>big</w:t>
      </w:r>
      <w:r>
        <w:rPr>
          <w:spacing w:val="9"/>
          <w:sz w:val="20"/>
        </w:rPr>
        <w:t xml:space="preserve"> </w:t>
      </w:r>
      <w:r>
        <w:rPr>
          <w:sz w:val="20"/>
        </w:rPr>
        <w:t>business,</w:t>
      </w:r>
      <w:r>
        <w:rPr>
          <w:spacing w:val="17"/>
          <w:sz w:val="20"/>
        </w:rPr>
        <w:t xml:space="preserve"> </w:t>
      </w:r>
      <w:r>
        <w:rPr>
          <w:sz w:val="20"/>
        </w:rPr>
        <w:t>which</w:t>
      </w:r>
      <w:r>
        <w:rPr>
          <w:spacing w:val="10"/>
          <w:sz w:val="20"/>
        </w:rPr>
        <w:t xml:space="preserve"> </w:t>
      </w:r>
      <w:r>
        <w:rPr>
          <w:sz w:val="20"/>
        </w:rPr>
        <w:t>is</w:t>
      </w:r>
      <w:r>
        <w:rPr>
          <w:spacing w:val="7"/>
          <w:sz w:val="20"/>
        </w:rPr>
        <w:t xml:space="preserve"> </w:t>
      </w:r>
      <w:r>
        <w:rPr>
          <w:sz w:val="20"/>
        </w:rPr>
        <w:t>advancing</w:t>
      </w:r>
      <w:r>
        <w:rPr>
          <w:spacing w:val="10"/>
          <w:sz w:val="20"/>
        </w:rPr>
        <w:t xml:space="preserve"> </w:t>
      </w:r>
      <w:r>
        <w:rPr>
          <w:sz w:val="20"/>
        </w:rPr>
        <w:t>rapidly</w:t>
      </w:r>
      <w:r>
        <w:rPr>
          <w:spacing w:val="6"/>
          <w:sz w:val="20"/>
        </w:rPr>
        <w:t xml:space="preserve"> </w:t>
      </w:r>
      <w:r>
        <w:rPr>
          <w:sz w:val="20"/>
        </w:rPr>
        <w:t>in</w:t>
      </w:r>
      <w:r>
        <w:rPr>
          <w:spacing w:val="10"/>
          <w:sz w:val="20"/>
        </w:rPr>
        <w:t xml:space="preserve"> </w:t>
      </w:r>
      <w:r>
        <w:rPr>
          <w:sz w:val="20"/>
        </w:rPr>
        <w:t>its</w:t>
      </w:r>
      <w:r>
        <w:rPr>
          <w:spacing w:val="7"/>
          <w:sz w:val="20"/>
        </w:rPr>
        <w:t xml:space="preserve"> </w:t>
      </w:r>
      <w:r>
        <w:rPr>
          <w:sz w:val="20"/>
        </w:rPr>
        <w:t>pursuit</w:t>
      </w:r>
      <w:r>
        <w:rPr>
          <w:spacing w:val="13"/>
          <w:sz w:val="20"/>
        </w:rPr>
        <w:t xml:space="preserve"> </w:t>
      </w:r>
      <w:r>
        <w:rPr>
          <w:spacing w:val="-5"/>
          <w:sz w:val="20"/>
        </w:rPr>
        <w:t>of</w:t>
      </w:r>
    </w:p>
    <w:p w:rsidR="00972CE3" w:rsidRDefault="00972CE3">
      <w:pPr>
        <w:pStyle w:val="Corpodetexto"/>
        <w:spacing w:before="10"/>
        <w:rPr>
          <w:sz w:val="16"/>
        </w:rPr>
      </w:pPr>
      <w:r w:rsidRPr="00972CE3">
        <w:rPr>
          <w:sz w:val="16"/>
        </w:rPr>
        <w:pict>
          <v:rect id="docshape1" o:spid="_x0000_s1058" style="position:absolute;margin-left:85pt;margin-top:10.9pt;width:144.05pt;height:.5pt;z-index:-15728640;mso-wrap-distance-left:0;mso-wrap-distance-right:0;mso-position-horizontal-relative:page" fillcolor="black" stroked="f">
            <w10:wrap type="topAndBottom" anchorx="page"/>
          </v:rect>
        </w:pict>
      </w:r>
    </w:p>
    <w:p w:rsidR="00972CE3" w:rsidRDefault="001F20D2">
      <w:pPr>
        <w:spacing w:before="95"/>
        <w:ind w:left="140" w:right="136"/>
        <w:jc w:val="both"/>
        <w:rPr>
          <w:sz w:val="20"/>
        </w:rPr>
      </w:pPr>
      <w:r>
        <w:rPr>
          <w:sz w:val="20"/>
          <w:vertAlign w:val="superscript"/>
        </w:rPr>
        <w:t>1</w:t>
      </w:r>
      <w:r>
        <w:rPr>
          <w:sz w:val="20"/>
        </w:rPr>
        <w:t xml:space="preserve"> Doutor em Geografia pela Universidade Federal do Ceará (UFC), Professor Adjunto IV da Universidade Federal do Maranhão (UFMA), no Curso de Licenciatura em Ciências Humanas. Docente permanente do Programa de Pós-Graduação em Cultura e Sociedade da UFMA e C</w:t>
      </w:r>
      <w:r>
        <w:rPr>
          <w:sz w:val="20"/>
        </w:rPr>
        <w:t>oordenador Regional do Observatório das Metrópoles, Núcleo São Luís/MA.</w:t>
      </w:r>
    </w:p>
    <w:p w:rsidR="00972CE3" w:rsidRDefault="00972CE3">
      <w:pPr>
        <w:jc w:val="both"/>
        <w:rPr>
          <w:sz w:val="20"/>
        </w:rPr>
        <w:sectPr w:rsidR="00972CE3">
          <w:type w:val="continuous"/>
          <w:pgSz w:w="11910" w:h="16840"/>
          <w:pgMar w:top="1920" w:right="992" w:bottom="280" w:left="1559" w:header="720" w:footer="720" w:gutter="0"/>
          <w:cols w:space="720"/>
        </w:sectPr>
      </w:pPr>
    </w:p>
    <w:p w:rsidR="00972CE3" w:rsidRDefault="001F20D2">
      <w:pPr>
        <w:pStyle w:val="Corpodetexto"/>
        <w:rPr>
          <w:sz w:val="20"/>
        </w:rPr>
      </w:pPr>
      <w:r>
        <w:rPr>
          <w:noProof/>
          <w:sz w:val="20"/>
          <w:lang w:val="pt-BR" w:eastAsia="pt-BR"/>
        </w:rPr>
        <w:lastRenderedPageBreak/>
        <w:drawing>
          <wp:anchor distT="0" distB="0" distL="0" distR="0" simplePos="0" relativeHeight="486920704" behindDoc="1" locked="0" layoutInCell="1" allowOverlap="1">
            <wp:simplePos x="0" y="0"/>
            <wp:positionH relativeFrom="page">
              <wp:posOffset>0</wp:posOffset>
            </wp:positionH>
            <wp:positionV relativeFrom="page">
              <wp:posOffset>6982</wp:posOffset>
            </wp:positionV>
            <wp:extent cx="7562088" cy="1048327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spacing w:before="148"/>
        <w:rPr>
          <w:sz w:val="20"/>
        </w:rPr>
      </w:pPr>
    </w:p>
    <w:p w:rsidR="00972CE3" w:rsidRDefault="001F20D2">
      <w:pPr>
        <w:ind w:left="2979" w:right="132"/>
        <w:jc w:val="both"/>
        <w:rPr>
          <w:sz w:val="20"/>
        </w:rPr>
      </w:pPr>
      <w:r>
        <w:rPr>
          <w:sz w:val="20"/>
        </w:rPr>
        <w:t>profit and surplus value at a very high socio-environmental cost. This paper aims to provide an overview of these issues in Maranhão by discussing them in light</w:t>
      </w:r>
      <w:r>
        <w:rPr>
          <w:sz w:val="20"/>
        </w:rPr>
        <w:t xml:space="preserve"> of critical spatial theory. The article is based</w:t>
      </w:r>
      <w:r>
        <w:rPr>
          <w:spacing w:val="40"/>
          <w:sz w:val="20"/>
        </w:rPr>
        <w:t xml:space="preserve"> </w:t>
      </w:r>
      <w:r>
        <w:rPr>
          <w:sz w:val="20"/>
        </w:rPr>
        <w:t>on explanatory and qualitative research, with a critical geographical approach to the issues analyzed. It draws on scientific works such as books, counter-hegemonic media reports, dissertations, theses, rep</w:t>
      </w:r>
      <w:r>
        <w:rPr>
          <w:sz w:val="20"/>
        </w:rPr>
        <w:t>orts, and interviews to support our arguments regarding the phenomena studied</w:t>
      </w:r>
    </w:p>
    <w:p w:rsidR="00972CE3" w:rsidRDefault="001F20D2">
      <w:pPr>
        <w:spacing w:line="244" w:lineRule="auto"/>
        <w:ind w:left="2979" w:right="135"/>
        <w:jc w:val="both"/>
        <w:rPr>
          <w:sz w:val="20"/>
        </w:rPr>
      </w:pPr>
      <w:r>
        <w:rPr>
          <w:rFonts w:ascii="Arial" w:hAnsi="Arial"/>
          <w:b/>
          <w:sz w:val="20"/>
        </w:rPr>
        <w:t>Keywords</w:t>
      </w:r>
      <w:r>
        <w:rPr>
          <w:sz w:val="20"/>
        </w:rPr>
        <w:t xml:space="preserve">: War Machine; Capital Frontier; Right to Territory. </w:t>
      </w:r>
      <w:r>
        <w:rPr>
          <w:spacing w:val="-2"/>
          <w:sz w:val="20"/>
        </w:rPr>
        <w:t>Maranhão.</w:t>
      </w:r>
    </w:p>
    <w:p w:rsidR="00972CE3" w:rsidRDefault="00972CE3">
      <w:pPr>
        <w:pStyle w:val="Corpodetexto"/>
      </w:pPr>
    </w:p>
    <w:p w:rsidR="00972CE3" w:rsidRDefault="00972CE3">
      <w:pPr>
        <w:pStyle w:val="Corpodetexto"/>
        <w:spacing w:before="54"/>
      </w:pPr>
    </w:p>
    <w:p w:rsidR="00972CE3" w:rsidRDefault="001F20D2">
      <w:pPr>
        <w:pStyle w:val="Heading1"/>
        <w:numPr>
          <w:ilvl w:val="0"/>
          <w:numId w:val="3"/>
        </w:numPr>
        <w:tabs>
          <w:tab w:val="left" w:pos="422"/>
        </w:tabs>
        <w:spacing w:before="1"/>
        <w:ind w:left="422" w:hanging="282"/>
      </w:pPr>
      <w:r>
        <w:rPr>
          <w:spacing w:val="-2"/>
        </w:rPr>
        <w:t>INTRODUÇÃO</w:t>
      </w:r>
    </w:p>
    <w:p w:rsidR="00972CE3" w:rsidRDefault="001F20D2">
      <w:pPr>
        <w:pStyle w:val="Corpodetexto"/>
        <w:spacing w:before="261" w:line="360" w:lineRule="auto"/>
        <w:ind w:left="140" w:right="140" w:firstLine="710"/>
        <w:jc w:val="both"/>
      </w:pPr>
      <w:r>
        <w:t>O Maranhão é um</w:t>
      </w:r>
      <w:r>
        <w:rPr>
          <w:spacing w:val="-1"/>
        </w:rPr>
        <w:t xml:space="preserve"> </w:t>
      </w:r>
      <w:r>
        <w:t>Estado de transição entre a Amazônia úmida e o Nordeste semi-árido, que abriga</w:t>
      </w:r>
      <w:r>
        <w:t xml:space="preserve"> biomas importantes como a florestas úmida equatorial, o cerrado, a Mara dos Cocais, os manguezais,</w:t>
      </w:r>
      <w:r>
        <w:rPr>
          <w:spacing w:val="-2"/>
        </w:rPr>
        <w:t xml:space="preserve"> </w:t>
      </w:r>
      <w:r>
        <w:t>com</w:t>
      </w:r>
      <w:r>
        <w:rPr>
          <w:spacing w:val="-5"/>
        </w:rPr>
        <w:t xml:space="preserve"> </w:t>
      </w:r>
      <w:r>
        <w:t>recursos hídricos abundantes, rios caudalosos,</w:t>
      </w:r>
      <w:r>
        <w:rPr>
          <w:spacing w:val="-2"/>
        </w:rPr>
        <w:t xml:space="preserve"> </w:t>
      </w:r>
      <w:r>
        <w:t>de tamanhos variados e fartura</w:t>
      </w:r>
      <w:r>
        <w:rPr>
          <w:spacing w:val="-2"/>
        </w:rPr>
        <w:t xml:space="preserve"> </w:t>
      </w:r>
      <w:r>
        <w:t>de pescados,</w:t>
      </w:r>
      <w:r>
        <w:rPr>
          <w:spacing w:val="-3"/>
        </w:rPr>
        <w:t xml:space="preserve"> </w:t>
      </w:r>
      <w:r>
        <w:t>litoral com</w:t>
      </w:r>
      <w:r>
        <w:rPr>
          <w:spacing w:val="-2"/>
        </w:rPr>
        <w:t xml:space="preserve"> </w:t>
      </w:r>
      <w:r>
        <w:t xml:space="preserve">maior extensão do Brasil se levarmos em conta as </w:t>
      </w:r>
      <w:r>
        <w:t xml:space="preserve">reentrâncias, com abundância de vida marinha e </w:t>
      </w:r>
      <w:r>
        <w:rPr>
          <w:spacing w:val="-2"/>
        </w:rPr>
        <w:t>flúvio-marinha.</w:t>
      </w:r>
    </w:p>
    <w:p w:rsidR="00972CE3" w:rsidRDefault="001F20D2">
      <w:pPr>
        <w:pStyle w:val="Corpodetexto"/>
        <w:spacing w:line="360" w:lineRule="auto"/>
        <w:ind w:left="140" w:right="139" w:firstLine="710"/>
        <w:jc w:val="both"/>
      </w:pPr>
      <w:r>
        <w:t>Possui ainda vastas porções de terras ociosas, fundos territoriais (Moraes, 2002) a serem ainda explorados e territórios explorados em frentes</w:t>
      </w:r>
      <w:r>
        <w:t xml:space="preserve"> diversificadas, como a extração de gás natural e ouro, a produção de soja, a silvicultura representada pelo cultivo de eucalipto, além de possuir um complexo portuário responsável por escoar minerais oriundos do Pará como alumínio e alumina, ambos derivad</w:t>
      </w:r>
      <w:r>
        <w:t>os da bauxita e o minério de ferro.</w:t>
      </w:r>
    </w:p>
    <w:p w:rsidR="00972CE3" w:rsidRDefault="001F20D2">
      <w:pPr>
        <w:pStyle w:val="Corpodetexto"/>
        <w:spacing w:before="2" w:line="360" w:lineRule="auto"/>
        <w:ind w:left="140" w:right="134" w:firstLine="845"/>
        <w:jc w:val="both"/>
      </w:pPr>
      <w:r>
        <w:t>Tais características físico-naturais, aliadas às atividades econômicas já existentes e às expectativas de aumento produtivo e de investimentos fazem do Maranhão um território potencialmente voltado para uma vocação de pl</w:t>
      </w:r>
      <w:r>
        <w:t>eno desenvolvimento social, econômico e</w:t>
      </w:r>
      <w:r>
        <w:rPr>
          <w:spacing w:val="-3"/>
        </w:rPr>
        <w:t xml:space="preserve"> </w:t>
      </w:r>
      <w:r>
        <w:t>ambiental,</w:t>
      </w:r>
      <w:r>
        <w:rPr>
          <w:spacing w:val="-4"/>
        </w:rPr>
        <w:t xml:space="preserve"> </w:t>
      </w:r>
      <w:r>
        <w:t>de</w:t>
      </w:r>
      <w:r>
        <w:rPr>
          <w:spacing w:val="-3"/>
        </w:rPr>
        <w:t xml:space="preserve"> </w:t>
      </w:r>
      <w:r>
        <w:t>seu</w:t>
      </w:r>
      <w:r>
        <w:rPr>
          <w:spacing w:val="-3"/>
        </w:rPr>
        <w:t xml:space="preserve"> </w:t>
      </w:r>
      <w:r>
        <w:t>território</w:t>
      </w:r>
      <w:r>
        <w:rPr>
          <w:spacing w:val="-3"/>
        </w:rPr>
        <w:t xml:space="preserve"> </w:t>
      </w:r>
      <w:r>
        <w:t>e</w:t>
      </w:r>
      <w:r>
        <w:rPr>
          <w:spacing w:val="-3"/>
        </w:rPr>
        <w:t xml:space="preserve"> </w:t>
      </w:r>
      <w:r>
        <w:t>de</w:t>
      </w:r>
      <w:r>
        <w:rPr>
          <w:spacing w:val="-3"/>
        </w:rPr>
        <w:t xml:space="preserve"> </w:t>
      </w:r>
      <w:r>
        <w:t>seu</w:t>
      </w:r>
      <w:r>
        <w:rPr>
          <w:spacing w:val="-3"/>
        </w:rPr>
        <w:t xml:space="preserve"> </w:t>
      </w:r>
      <w:r>
        <w:t>povo. Mas a história é outra, o Maranhão acumula os piores índices sociais e econômicos do Brasil, seu IDH, por exemplo, é similar a um país como Guiné Equatorial.</w:t>
      </w:r>
    </w:p>
    <w:p w:rsidR="00972CE3" w:rsidRDefault="001F20D2">
      <w:pPr>
        <w:pStyle w:val="Corpodetexto"/>
        <w:spacing w:line="360" w:lineRule="auto"/>
        <w:ind w:left="140" w:right="149" w:firstLine="710"/>
        <w:jc w:val="both"/>
      </w:pPr>
      <w:r>
        <w:t>Tais atributos</w:t>
      </w:r>
      <w:r>
        <w:t xml:space="preserve"> são recorrentemente usados como estratagema discursivo</w:t>
      </w:r>
      <w:r>
        <w:rPr>
          <w:spacing w:val="40"/>
        </w:rPr>
        <w:t xml:space="preserve"> </w:t>
      </w:r>
      <w:r>
        <w:t>pelos donos do poder no Esatdo, seja o “Maranhão Novo” evocado por José Sarney</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1216" behindDoc="1" locked="0" layoutInCell="1" allowOverlap="1">
            <wp:simplePos x="0" y="0"/>
            <wp:positionH relativeFrom="page">
              <wp:posOffset>0</wp:posOffset>
            </wp:positionH>
            <wp:positionV relativeFrom="page">
              <wp:posOffset>6982</wp:posOffset>
            </wp:positionV>
            <wp:extent cx="7562088" cy="1048327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7"/>
        <w:jc w:val="both"/>
      </w:pPr>
      <w:r>
        <w:t>como slogan de campanha ao governo em 1966 e no seu famigerado discurso de posse, eternizado pelo jovem Glauber Rocha em filme clássico, ou “Um novo</w:t>
      </w:r>
      <w:r>
        <w:rPr>
          <w:spacing w:val="40"/>
        </w:rPr>
        <w:t xml:space="preserve"> </w:t>
      </w:r>
      <w:r>
        <w:t>tempo”, slogan dos dois primeiros mandatos da então governadora Roseana Sarney (1995-2002),</w:t>
      </w:r>
      <w:r>
        <w:rPr>
          <w:spacing w:val="-2"/>
        </w:rPr>
        <w:t xml:space="preserve"> </w:t>
      </w:r>
      <w:r>
        <w:t>ou</w:t>
      </w:r>
      <w:r>
        <w:rPr>
          <w:spacing w:val="-2"/>
        </w:rPr>
        <w:t xml:space="preserve"> </w:t>
      </w:r>
      <w:r>
        <w:t>ainda</w:t>
      </w:r>
      <w:r>
        <w:rPr>
          <w:spacing w:val="-2"/>
        </w:rPr>
        <w:t xml:space="preserve"> </w:t>
      </w:r>
      <w:r>
        <w:t>o</w:t>
      </w:r>
      <w:r>
        <w:rPr>
          <w:spacing w:val="-1"/>
        </w:rPr>
        <w:t xml:space="preserve"> </w:t>
      </w:r>
      <w:r>
        <w:t>“Gov</w:t>
      </w:r>
      <w:r>
        <w:t>erno</w:t>
      </w:r>
      <w:r>
        <w:rPr>
          <w:spacing w:val="-2"/>
        </w:rPr>
        <w:t xml:space="preserve"> </w:t>
      </w:r>
      <w:r>
        <w:t>de todos</w:t>
      </w:r>
      <w:r>
        <w:rPr>
          <w:spacing w:val="-2"/>
        </w:rPr>
        <w:t xml:space="preserve"> </w:t>
      </w:r>
      <w:r>
        <w:t>nós”</w:t>
      </w:r>
      <w:r>
        <w:rPr>
          <w:spacing w:val="-1"/>
        </w:rPr>
        <w:t xml:space="preserve"> </w:t>
      </w:r>
      <w:r>
        <w:t>de</w:t>
      </w:r>
      <w:r>
        <w:rPr>
          <w:spacing w:val="-2"/>
        </w:rPr>
        <w:t xml:space="preserve"> </w:t>
      </w:r>
      <w:r>
        <w:t>Flávio</w:t>
      </w:r>
      <w:r>
        <w:rPr>
          <w:spacing w:val="-2"/>
        </w:rPr>
        <w:t xml:space="preserve"> </w:t>
      </w:r>
      <w:r>
        <w:t>Dino</w:t>
      </w:r>
      <w:r>
        <w:rPr>
          <w:spacing w:val="-6"/>
        </w:rPr>
        <w:t xml:space="preserve"> </w:t>
      </w:r>
      <w:r>
        <w:t>(2015-2022),</w:t>
      </w:r>
      <w:r>
        <w:rPr>
          <w:spacing w:val="-2"/>
        </w:rPr>
        <w:t xml:space="preserve"> </w:t>
      </w:r>
      <w:r>
        <w:t>só</w:t>
      </w:r>
      <w:r>
        <w:rPr>
          <w:spacing w:val="-2"/>
        </w:rPr>
        <w:t xml:space="preserve"> </w:t>
      </w:r>
      <w:r>
        <w:t>para ficar em três exemplos de gestões marcadas por não sanarem graves problemas estruturais no Estado, como a opção por não realizar uma reforma agrária, não combater de forma insistente às desigualdades s</w:t>
      </w:r>
      <w:r>
        <w:t>ociais e a recusa em fazer uma profunda reforma educacional no Estado.</w:t>
      </w:r>
    </w:p>
    <w:p w:rsidR="00972CE3" w:rsidRDefault="001F20D2">
      <w:pPr>
        <w:pStyle w:val="Corpodetexto"/>
        <w:spacing w:before="1" w:line="360" w:lineRule="auto"/>
        <w:ind w:left="140" w:right="137" w:firstLine="710"/>
        <w:jc w:val="both"/>
      </w:pPr>
      <w:r>
        <w:t>Os donos do poder no Maranhão, ao contrário, abriram</w:t>
      </w:r>
      <w:r>
        <w:rPr>
          <w:spacing w:val="-4"/>
        </w:rPr>
        <w:t xml:space="preserve"> </w:t>
      </w:r>
      <w:r>
        <w:t>as portas, já nos anos 1960, para grandes empresários e produtores rurais comprarem imensas porções terras a preços módicos, fortale</w:t>
      </w:r>
      <w:r>
        <w:t>cendo o Capital monopolista e excluindo pequenos produtores rurais de possuírem acesso a terras para seu sustento e de suas</w:t>
      </w:r>
      <w:r>
        <w:rPr>
          <w:spacing w:val="40"/>
        </w:rPr>
        <w:t xml:space="preserve"> </w:t>
      </w:r>
      <w:r>
        <w:t xml:space="preserve">famílias. Um “Maranhão Novo” nas propagandas, mas um Maranhão de estrutura fundiária concentradora, arcaico, pauperizado e desigual </w:t>
      </w:r>
      <w:r>
        <w:t>na dura realidade da maioria de seus habitantes.</w:t>
      </w:r>
    </w:p>
    <w:p w:rsidR="00972CE3" w:rsidRDefault="001F20D2">
      <w:pPr>
        <w:pStyle w:val="Corpodetexto"/>
        <w:spacing w:before="3" w:line="360" w:lineRule="auto"/>
        <w:ind w:left="140" w:right="137" w:firstLine="710"/>
        <w:jc w:val="both"/>
      </w:pPr>
      <w:r>
        <w:t xml:space="preserve">Nos anos 1990, o Maranhão já em uma conjuntura de redemocratização, assume o discurso modernizante dos grandes projetos industriais e portuários (Vale e Alumar) ao mirar no exemplo dos tigres asiáticos e na </w:t>
      </w:r>
      <w:r>
        <w:t>estrutura midiática na imprensa escrita e televisiva, que favorecia a Roseana Sarney na construção de</w:t>
      </w:r>
      <w:r>
        <w:rPr>
          <w:spacing w:val="40"/>
        </w:rPr>
        <w:t xml:space="preserve"> </w:t>
      </w:r>
      <w:r>
        <w:t>uma boa imagem, de mulher, guerreira e trabalhadora, que objetivava na verdade camuflar</w:t>
      </w:r>
      <w:r>
        <w:rPr>
          <w:spacing w:val="-1"/>
        </w:rPr>
        <w:t xml:space="preserve"> </w:t>
      </w:r>
      <w:r>
        <w:t>casos</w:t>
      </w:r>
      <w:r>
        <w:rPr>
          <w:spacing w:val="-2"/>
        </w:rPr>
        <w:t xml:space="preserve"> </w:t>
      </w:r>
      <w:r>
        <w:t>de</w:t>
      </w:r>
      <w:r>
        <w:rPr>
          <w:spacing w:val="-2"/>
        </w:rPr>
        <w:t xml:space="preserve"> </w:t>
      </w:r>
      <w:r>
        <w:t>corrupção,</w:t>
      </w:r>
      <w:r>
        <w:rPr>
          <w:spacing w:val="-2"/>
        </w:rPr>
        <w:t xml:space="preserve"> </w:t>
      </w:r>
      <w:r>
        <w:t>venda</w:t>
      </w:r>
      <w:r>
        <w:rPr>
          <w:spacing w:val="-2"/>
        </w:rPr>
        <w:t xml:space="preserve"> </w:t>
      </w:r>
      <w:r>
        <w:t>de</w:t>
      </w:r>
      <w:r>
        <w:rPr>
          <w:spacing w:val="-2"/>
        </w:rPr>
        <w:t xml:space="preserve"> </w:t>
      </w:r>
      <w:r>
        <w:t>ativos</w:t>
      </w:r>
      <w:r>
        <w:rPr>
          <w:spacing w:val="-7"/>
        </w:rPr>
        <w:t xml:space="preserve"> </w:t>
      </w:r>
      <w:r>
        <w:t>valiosos</w:t>
      </w:r>
      <w:r>
        <w:rPr>
          <w:spacing w:val="-2"/>
        </w:rPr>
        <w:t xml:space="preserve"> </w:t>
      </w:r>
      <w:r>
        <w:t>do</w:t>
      </w:r>
      <w:r>
        <w:rPr>
          <w:spacing w:val="-2"/>
        </w:rPr>
        <w:t xml:space="preserve"> </w:t>
      </w:r>
      <w:r>
        <w:t>Estado e</w:t>
      </w:r>
      <w:r>
        <w:rPr>
          <w:spacing w:val="-1"/>
        </w:rPr>
        <w:t xml:space="preserve"> </w:t>
      </w:r>
      <w:r>
        <w:t>os</w:t>
      </w:r>
      <w:r>
        <w:rPr>
          <w:spacing w:val="-2"/>
        </w:rPr>
        <w:t xml:space="preserve"> </w:t>
      </w:r>
      <w:r>
        <w:t>mandon</w:t>
      </w:r>
      <w:r>
        <w:t>ismos do grupo Sarney em todo território maranhense.</w:t>
      </w:r>
    </w:p>
    <w:p w:rsidR="00972CE3" w:rsidRDefault="001F20D2">
      <w:pPr>
        <w:pStyle w:val="Corpodetexto"/>
        <w:spacing w:line="360" w:lineRule="auto"/>
        <w:ind w:left="140" w:right="131" w:firstLine="710"/>
        <w:jc w:val="both"/>
      </w:pPr>
      <w:r>
        <w:t>E por último, mais recentemente, um governo eleito com o discurso anti- Sarney que lançava como promessa ousada de campanha retirar os maranhenses da posição de linha abaixo da pobreza. Embora com alguns avanços, este governo de viés progressista, se aliou</w:t>
      </w:r>
      <w:r>
        <w:t xml:space="preserve"> às elites agrárias, montou uma coalizão de correligionários</w:t>
      </w:r>
      <w:r>
        <w:rPr>
          <w:spacing w:val="40"/>
        </w:rPr>
        <w:t xml:space="preserve"> </w:t>
      </w:r>
      <w:r>
        <w:t>imensa,</w:t>
      </w:r>
      <w:r>
        <w:rPr>
          <w:spacing w:val="40"/>
        </w:rPr>
        <w:t xml:space="preserve"> </w:t>
      </w:r>
      <w:r>
        <w:t>com</w:t>
      </w:r>
      <w:r>
        <w:rPr>
          <w:spacing w:val="40"/>
        </w:rPr>
        <w:t xml:space="preserve"> </w:t>
      </w:r>
      <w:r>
        <w:t>uma</w:t>
      </w:r>
      <w:r>
        <w:rPr>
          <w:spacing w:val="40"/>
        </w:rPr>
        <w:t xml:space="preserve"> </w:t>
      </w:r>
      <w:r>
        <w:t>oposição</w:t>
      </w:r>
      <w:r>
        <w:rPr>
          <w:spacing w:val="40"/>
        </w:rPr>
        <w:t xml:space="preserve"> </w:t>
      </w:r>
      <w:r>
        <w:t>inexpressiva</w:t>
      </w:r>
      <w:r>
        <w:rPr>
          <w:spacing w:val="40"/>
        </w:rPr>
        <w:t xml:space="preserve"> </w:t>
      </w:r>
      <w:r>
        <w:t>e</w:t>
      </w:r>
      <w:r>
        <w:rPr>
          <w:spacing w:val="40"/>
        </w:rPr>
        <w:t xml:space="preserve"> </w:t>
      </w:r>
      <w:r>
        <w:t>repetiu</w:t>
      </w:r>
      <w:r>
        <w:rPr>
          <w:spacing w:val="40"/>
        </w:rPr>
        <w:t xml:space="preserve"> </w:t>
      </w:r>
      <w:r>
        <w:t>a</w:t>
      </w:r>
      <w:r>
        <w:rPr>
          <w:spacing w:val="40"/>
        </w:rPr>
        <w:t xml:space="preserve"> </w:t>
      </w:r>
      <w:r>
        <w:t>receita</w:t>
      </w:r>
      <w:r>
        <w:rPr>
          <w:spacing w:val="62"/>
        </w:rPr>
        <w:t xml:space="preserve"> </w:t>
      </w:r>
      <w:r>
        <w:t>dos</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1728" behindDoc="1" locked="0" layoutInCell="1" allowOverlap="1">
            <wp:simplePos x="0" y="0"/>
            <wp:positionH relativeFrom="page">
              <wp:posOffset>0</wp:posOffset>
            </wp:positionH>
            <wp:positionV relativeFrom="page">
              <wp:posOffset>6982</wp:posOffset>
            </wp:positionV>
            <wp:extent cx="7562088" cy="1048327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48"/>
        <w:jc w:val="both"/>
      </w:pPr>
      <w:r>
        <w:t>governos passados ao se aliar ou tentar se aliar a todo tipo de prefeito nos quatro cantos do Estado para permanecer no poder.</w:t>
      </w:r>
    </w:p>
    <w:p w:rsidR="00972CE3" w:rsidRDefault="001F20D2">
      <w:pPr>
        <w:pStyle w:val="Corpodetexto"/>
        <w:spacing w:before="3" w:line="360" w:lineRule="auto"/>
        <w:ind w:left="140" w:right="136" w:firstLine="710"/>
        <w:jc w:val="both"/>
      </w:pPr>
      <w:r>
        <w:t>É neste contexto, partir da segunda década do século XXI, que se verifica</w:t>
      </w:r>
      <w:r>
        <w:rPr>
          <w:spacing w:val="40"/>
        </w:rPr>
        <w:t xml:space="preserve"> </w:t>
      </w:r>
      <w:r>
        <w:t>uma radicalização das tensões sociais no Maranhão em vi</w:t>
      </w:r>
      <w:r>
        <w:t xml:space="preserve">rtude, sobretudo, dos objetivos provenientes do Grande Capital em agir e atingir de forma predatória, violenta e neoextrativista biomas e populações de comunidades ribeirinhas, camponesas, indígenas e quilombolas, ao provocar ajustes espaciais próprios da </w:t>
      </w:r>
      <w:r>
        <w:t>intensificação e da expansão geográfica do capitalismo (Harvey, 2011; 2012). Ou seja, o território maranhense apresenta grande potencial para reprodução ampliada do Capital, para sua acumulação, mas não sem que haja destruição e violações de direitos human</w:t>
      </w:r>
      <w:r>
        <w:t>os, com omissão ou com permissão dos governos locais.</w:t>
      </w:r>
    </w:p>
    <w:p w:rsidR="00972CE3" w:rsidRDefault="001F20D2">
      <w:pPr>
        <w:pStyle w:val="Corpodetexto"/>
        <w:spacing w:line="360" w:lineRule="auto"/>
        <w:ind w:left="140" w:right="133" w:firstLine="710"/>
        <w:jc w:val="both"/>
      </w:pPr>
      <w:r>
        <w:t xml:space="preserve">Nossa tese central neste texto é: o Maranhão é o </w:t>
      </w:r>
      <w:r>
        <w:rPr>
          <w:rFonts w:ascii="Arial" w:hAnsi="Arial"/>
          <w:i/>
        </w:rPr>
        <w:t xml:space="preserve">lócus </w:t>
      </w:r>
      <w:r>
        <w:t>de um processo contínuo de expansão sociometabólica do Capital, exposto e concretizado em forma de guerra civil ininterrupta. Uma guerra colonial n</w:t>
      </w:r>
      <w:r>
        <w:t>o</w:t>
      </w:r>
      <w:r>
        <w:rPr>
          <w:spacing w:val="-2"/>
        </w:rPr>
        <w:t xml:space="preserve"> </w:t>
      </w:r>
      <w:r>
        <w:t>seio de sua população, guerra de classe, guerra racial, guerra de gênero, guerra contra ‘minorias’, guerra de subjetividades. A máquina de guerra do Capital contemporâneo (Alliez e Lazzarato, 2021), em sua indissociabilidade com o poder estatal é por nat</w:t>
      </w:r>
      <w:r>
        <w:t>ureza, fascista e, portanto, propulsora de violência e destruição contra territórios e seus povos, tudo em nome da acumulação e do mais-valor sem precedentes.</w:t>
      </w:r>
    </w:p>
    <w:p w:rsidR="00972CE3" w:rsidRDefault="001F20D2">
      <w:pPr>
        <w:pStyle w:val="Corpodetexto"/>
        <w:spacing w:before="1" w:line="360" w:lineRule="auto"/>
        <w:ind w:left="140" w:right="140" w:firstLine="710"/>
        <w:jc w:val="both"/>
      </w:pPr>
      <w:r>
        <w:t>Pelo exposto, esta explanação objetiva problematizar três casos em que expõem</w:t>
      </w:r>
      <w:r>
        <w:rPr>
          <w:spacing w:val="-2"/>
        </w:rPr>
        <w:t xml:space="preserve"> </w:t>
      </w:r>
      <w:r>
        <w:t>de forma muito clar</w:t>
      </w:r>
      <w:r>
        <w:t xml:space="preserve">a os reais desígnios de agentes econômicos específicos que se aproveitam das terras maranhenses para a realização do lucro e do mais- valor, atuando como </w:t>
      </w:r>
      <w:r>
        <w:rPr>
          <w:rFonts w:ascii="Arial" w:hAnsi="Arial"/>
          <w:i/>
        </w:rPr>
        <w:t>máquina de guerra</w:t>
      </w:r>
      <w:r>
        <w:t>. Por isso dissertaremos dos seguintes casos: 1. Os conflitos no Baixo Parnaíba, espa</w:t>
      </w:r>
      <w:r>
        <w:t>ço de tensões por conta da grilagem de terras e do avanço do agronegócio;</w:t>
      </w:r>
      <w:r>
        <w:rPr>
          <w:spacing w:val="-1"/>
        </w:rPr>
        <w:t xml:space="preserve"> </w:t>
      </w:r>
      <w:r>
        <w:t>2. a questão do</w:t>
      </w:r>
      <w:r>
        <w:rPr>
          <w:spacing w:val="-1"/>
        </w:rPr>
        <w:t xml:space="preserve"> </w:t>
      </w:r>
      <w:r>
        <w:t>povoado Aurizona</w:t>
      </w:r>
      <w:r>
        <w:rPr>
          <w:spacing w:val="-1"/>
        </w:rPr>
        <w:t xml:space="preserve"> </w:t>
      </w:r>
      <w:r>
        <w:t>(Município de Godofredo Viana) e sua relação com mineradoras que exploram ouro na região, como</w:t>
      </w:r>
      <w:r>
        <w:rPr>
          <w:spacing w:val="5"/>
        </w:rPr>
        <w:t xml:space="preserve"> </w:t>
      </w:r>
      <w:r>
        <w:t>a</w:t>
      </w:r>
      <w:r>
        <w:rPr>
          <w:spacing w:val="6"/>
        </w:rPr>
        <w:t xml:space="preserve"> </w:t>
      </w:r>
      <w:r>
        <w:t>transnacional</w:t>
      </w:r>
      <w:r>
        <w:rPr>
          <w:spacing w:val="14"/>
        </w:rPr>
        <w:t xml:space="preserve"> </w:t>
      </w:r>
      <w:r>
        <w:rPr>
          <w:rFonts w:ascii="Arial" w:hAnsi="Arial"/>
          <w:i/>
        </w:rPr>
        <w:t>Equinox</w:t>
      </w:r>
      <w:r>
        <w:rPr>
          <w:rFonts w:ascii="Arial" w:hAnsi="Arial"/>
          <w:i/>
          <w:spacing w:val="1"/>
        </w:rPr>
        <w:t xml:space="preserve"> </w:t>
      </w:r>
      <w:r>
        <w:rPr>
          <w:rFonts w:ascii="Arial" w:hAnsi="Arial"/>
          <w:i/>
        </w:rPr>
        <w:t>Gold</w:t>
      </w:r>
      <w:r>
        <w:t>;</w:t>
      </w:r>
      <w:r>
        <w:rPr>
          <w:spacing w:val="6"/>
        </w:rPr>
        <w:t xml:space="preserve"> </w:t>
      </w:r>
      <w:r>
        <w:t>3.</w:t>
      </w:r>
      <w:r>
        <w:rPr>
          <w:spacing w:val="7"/>
        </w:rPr>
        <w:t xml:space="preserve"> </w:t>
      </w:r>
      <w:r>
        <w:t>Luta</w:t>
      </w:r>
      <w:r>
        <w:rPr>
          <w:spacing w:val="2"/>
        </w:rPr>
        <w:t xml:space="preserve"> </w:t>
      </w:r>
      <w:r>
        <w:t>contra</w:t>
      </w:r>
      <w:r>
        <w:rPr>
          <w:spacing w:val="2"/>
        </w:rPr>
        <w:t xml:space="preserve"> </w:t>
      </w:r>
      <w:r>
        <w:t>a</w:t>
      </w:r>
      <w:r>
        <w:rPr>
          <w:spacing w:val="1"/>
        </w:rPr>
        <w:t xml:space="preserve"> </w:t>
      </w:r>
      <w:r>
        <w:t>aprovaç</w:t>
      </w:r>
      <w:r>
        <w:t>ão</w:t>
      </w:r>
      <w:r>
        <w:rPr>
          <w:spacing w:val="2"/>
        </w:rPr>
        <w:t xml:space="preserve"> </w:t>
      </w:r>
      <w:r>
        <w:t>do</w:t>
      </w:r>
      <w:r>
        <w:rPr>
          <w:spacing w:val="2"/>
        </w:rPr>
        <w:t xml:space="preserve"> </w:t>
      </w:r>
      <w:r>
        <w:t>Plano</w:t>
      </w:r>
      <w:r>
        <w:rPr>
          <w:spacing w:val="6"/>
        </w:rPr>
        <w:t xml:space="preserve"> </w:t>
      </w:r>
      <w:r>
        <w:t>Diertor</w:t>
      </w:r>
      <w:r>
        <w:rPr>
          <w:spacing w:val="2"/>
        </w:rPr>
        <w:t xml:space="preserve"> </w:t>
      </w:r>
      <w:r>
        <w:rPr>
          <w:spacing w:val="-5"/>
        </w:rPr>
        <w:t>em</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2240" behindDoc="1" locked="0" layoutInCell="1" allowOverlap="1">
            <wp:simplePos x="0" y="0"/>
            <wp:positionH relativeFrom="page">
              <wp:posOffset>0</wp:posOffset>
            </wp:positionH>
            <wp:positionV relativeFrom="page">
              <wp:posOffset>6982</wp:posOffset>
            </wp:positionV>
            <wp:extent cx="7562088" cy="1048327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7"/>
        <w:jc w:val="both"/>
      </w:pPr>
      <w:r>
        <w:t>que populações locais e movimentos sociais se enconttram ameaçados por grandes empreendimentos industriais e portuários.</w:t>
      </w:r>
    </w:p>
    <w:p w:rsidR="00972CE3" w:rsidRDefault="001F20D2">
      <w:pPr>
        <w:pStyle w:val="Corpodetexto"/>
        <w:spacing w:before="3" w:line="360" w:lineRule="auto"/>
        <w:ind w:left="140" w:right="136" w:firstLine="710"/>
        <w:jc w:val="both"/>
      </w:pPr>
      <w:r>
        <w:t>O artigo se baseia em uma pesquisa do tipo explicativa e também qualitativa, com uma abordagem geográfica crítica sobre os territórios mencionados a partir da consulta de trabalhos científicos como livros, reportagens da mídia contra- hegemônica, dissertaç</w:t>
      </w:r>
      <w:r>
        <w:t>ões, teses, relatórios e entrevistas, a fim de subsidiar nossos argumentos para os fenômenos estudados.</w:t>
      </w:r>
    </w:p>
    <w:p w:rsidR="00972CE3" w:rsidRDefault="001F20D2">
      <w:pPr>
        <w:pStyle w:val="Heading1"/>
        <w:numPr>
          <w:ilvl w:val="0"/>
          <w:numId w:val="3"/>
        </w:numPr>
        <w:tabs>
          <w:tab w:val="left" w:pos="475"/>
        </w:tabs>
        <w:spacing w:before="115"/>
        <w:ind w:left="475" w:hanging="335"/>
      </w:pPr>
      <w:r>
        <w:t>MÁQUINA</w:t>
      </w:r>
      <w:r>
        <w:rPr>
          <w:spacing w:val="-11"/>
        </w:rPr>
        <w:t xml:space="preserve"> </w:t>
      </w:r>
      <w:r>
        <w:t>DE</w:t>
      </w:r>
      <w:r>
        <w:rPr>
          <w:spacing w:val="-4"/>
        </w:rPr>
        <w:t xml:space="preserve"> </w:t>
      </w:r>
      <w:r>
        <w:t>GUERRA</w:t>
      </w:r>
      <w:r>
        <w:rPr>
          <w:spacing w:val="-8"/>
        </w:rPr>
        <w:t xml:space="preserve"> </w:t>
      </w:r>
      <w:r>
        <w:t>DO</w:t>
      </w:r>
      <w:r>
        <w:rPr>
          <w:spacing w:val="-2"/>
        </w:rPr>
        <w:t xml:space="preserve"> </w:t>
      </w:r>
      <w:r>
        <w:t>CAPITAL</w:t>
      </w:r>
      <w:r>
        <w:rPr>
          <w:spacing w:val="-2"/>
        </w:rPr>
        <w:t xml:space="preserve"> </w:t>
      </w:r>
      <w:r>
        <w:t>E</w:t>
      </w:r>
      <w:r>
        <w:rPr>
          <w:spacing w:val="1"/>
        </w:rPr>
        <w:t xml:space="preserve"> </w:t>
      </w:r>
      <w:r>
        <w:t>O</w:t>
      </w:r>
      <w:r>
        <w:rPr>
          <w:spacing w:val="-3"/>
        </w:rPr>
        <w:t xml:space="preserve"> </w:t>
      </w:r>
      <w:r>
        <w:t>MARANHÃO</w:t>
      </w:r>
      <w:r>
        <w:rPr>
          <w:spacing w:val="-2"/>
        </w:rPr>
        <w:t xml:space="preserve"> </w:t>
      </w:r>
      <w:r>
        <w:t>COMO</w:t>
      </w:r>
      <w:r>
        <w:rPr>
          <w:spacing w:val="-2"/>
        </w:rPr>
        <w:t xml:space="preserve"> FRONTEIRA</w:t>
      </w:r>
    </w:p>
    <w:p w:rsidR="00972CE3" w:rsidRDefault="001F20D2">
      <w:pPr>
        <w:pStyle w:val="Corpodetexto"/>
        <w:spacing w:before="261" w:line="360" w:lineRule="auto"/>
        <w:ind w:left="140" w:right="139" w:firstLine="710"/>
        <w:jc w:val="both"/>
      </w:pPr>
      <w:r>
        <w:rPr>
          <w:rFonts w:ascii="Arial" w:hAnsi="Arial"/>
          <w:i/>
        </w:rPr>
        <w:t xml:space="preserve">Máquina de Guerra </w:t>
      </w:r>
      <w:r>
        <w:t>é</w:t>
      </w:r>
      <w:r>
        <w:rPr>
          <w:spacing w:val="-2"/>
        </w:rPr>
        <w:t xml:space="preserve"> </w:t>
      </w:r>
      <w:r>
        <w:t>um</w:t>
      </w:r>
      <w:r>
        <w:rPr>
          <w:spacing w:val="-5"/>
        </w:rPr>
        <w:t xml:space="preserve"> </w:t>
      </w:r>
      <w:r>
        <w:t>conceito criado</w:t>
      </w:r>
      <w:r>
        <w:rPr>
          <w:spacing w:val="-1"/>
        </w:rPr>
        <w:t xml:space="preserve"> </w:t>
      </w:r>
      <w:r>
        <w:t>pelos filósofos Gilles</w:t>
      </w:r>
      <w:r>
        <w:rPr>
          <w:spacing w:val="-2"/>
        </w:rPr>
        <w:t xml:space="preserve"> </w:t>
      </w:r>
      <w:r>
        <w:t>Deleuze</w:t>
      </w:r>
      <w:r>
        <w:rPr>
          <w:spacing w:val="-1"/>
        </w:rPr>
        <w:t xml:space="preserve"> </w:t>
      </w:r>
      <w:r>
        <w:t>e</w:t>
      </w:r>
      <w:r>
        <w:rPr>
          <w:spacing w:val="-2"/>
        </w:rPr>
        <w:t xml:space="preserve"> </w:t>
      </w:r>
      <w:r>
        <w:t xml:space="preserve">Felix Guattari no volume 5 da obra </w:t>
      </w:r>
      <w:r>
        <w:rPr>
          <w:rFonts w:ascii="Arial" w:hAnsi="Arial"/>
          <w:i/>
        </w:rPr>
        <w:t>Mil Platôs</w:t>
      </w:r>
      <w:r>
        <w:t>, publicada pela primeira vez em 1980. O conceito é complexo, ele</w:t>
      </w:r>
      <w:r>
        <w:rPr>
          <w:spacing w:val="-1"/>
        </w:rPr>
        <w:t xml:space="preserve"> </w:t>
      </w:r>
      <w:r>
        <w:t>não tem</w:t>
      </w:r>
      <w:r>
        <w:rPr>
          <w:spacing w:val="-4"/>
        </w:rPr>
        <w:t xml:space="preserve"> </w:t>
      </w:r>
      <w:r>
        <w:t>a ver necessariamente com</w:t>
      </w:r>
      <w:r>
        <w:rPr>
          <w:spacing w:val="-4"/>
        </w:rPr>
        <w:t xml:space="preserve"> </w:t>
      </w:r>
      <w:r>
        <w:t>o poder bélico estatal, pois se fragmenta diante do Estado, foge dele, se desterritorializa para se reterritori</w:t>
      </w:r>
      <w:r>
        <w:t>alizar novamente e causa fissuras nas organizações socais do Estado (Deleuze e Guattari, 2012). Por outro lado, como já constatou Achille Mbembe, o Estado pode transformar-se em máquina de guerra (Mbembe, 2018).</w:t>
      </w:r>
    </w:p>
    <w:p w:rsidR="00972CE3" w:rsidRDefault="001F20D2">
      <w:pPr>
        <w:pStyle w:val="Corpodetexto"/>
        <w:spacing w:before="3" w:line="360" w:lineRule="auto"/>
        <w:ind w:left="140" w:right="140" w:firstLine="710"/>
        <w:jc w:val="both"/>
      </w:pPr>
      <w:r>
        <w:t>O</w:t>
      </w:r>
      <w:r>
        <w:rPr>
          <w:spacing w:val="-2"/>
        </w:rPr>
        <w:t xml:space="preserve"> </w:t>
      </w:r>
      <w:r>
        <w:t>capitalismo</w:t>
      </w:r>
      <w:r>
        <w:rPr>
          <w:spacing w:val="-2"/>
        </w:rPr>
        <w:t xml:space="preserve"> </w:t>
      </w:r>
      <w:r>
        <w:t>não</w:t>
      </w:r>
      <w:r>
        <w:rPr>
          <w:spacing w:val="-2"/>
        </w:rPr>
        <w:t xml:space="preserve"> </w:t>
      </w:r>
      <w:r>
        <w:t>apenas</w:t>
      </w:r>
      <w:r>
        <w:rPr>
          <w:spacing w:val="-2"/>
        </w:rPr>
        <w:t xml:space="preserve"> </w:t>
      </w:r>
      <w:r>
        <w:t>como</w:t>
      </w:r>
      <w:r>
        <w:rPr>
          <w:spacing w:val="-2"/>
        </w:rPr>
        <w:t xml:space="preserve"> </w:t>
      </w:r>
      <w:r>
        <w:t>um</w:t>
      </w:r>
      <w:r>
        <w:rPr>
          <w:spacing w:val="-10"/>
        </w:rPr>
        <w:t xml:space="preserve"> </w:t>
      </w:r>
      <w:r>
        <w:t>sistema</w:t>
      </w:r>
      <w:r>
        <w:rPr>
          <w:spacing w:val="-2"/>
        </w:rPr>
        <w:t xml:space="preserve"> </w:t>
      </w:r>
      <w:r>
        <w:t>eco</w:t>
      </w:r>
      <w:r>
        <w:t>nômico,</w:t>
      </w:r>
      <w:r>
        <w:rPr>
          <w:spacing w:val="-2"/>
        </w:rPr>
        <w:t xml:space="preserve"> </w:t>
      </w:r>
      <w:r>
        <w:t>mas</w:t>
      </w:r>
      <w:r>
        <w:rPr>
          <w:spacing w:val="-2"/>
        </w:rPr>
        <w:t xml:space="preserve"> </w:t>
      </w:r>
      <w:r>
        <w:t>uma</w:t>
      </w:r>
      <w:r>
        <w:rPr>
          <w:spacing w:val="-2"/>
        </w:rPr>
        <w:t xml:space="preserve"> </w:t>
      </w:r>
      <w:r>
        <w:t>força</w:t>
      </w:r>
      <w:r>
        <w:rPr>
          <w:spacing w:val="-2"/>
        </w:rPr>
        <w:t xml:space="preserve"> </w:t>
      </w:r>
      <w:r>
        <w:t>social e histórica que age de forma agressiva e implacável para conquistar, subjugar e reorganizar territórios, sociedades e modos de vida, dito isto, “o capital é um modo produção na exata medida que é um modo de destruição [...] uma</w:t>
      </w:r>
      <w:r>
        <w:t xml:space="preserve"> destruição ampliada</w:t>
      </w:r>
      <w:r>
        <w:rPr>
          <w:spacing w:val="-1"/>
        </w:rPr>
        <w:t xml:space="preserve"> </w:t>
      </w:r>
      <w:r>
        <w:t>e</w:t>
      </w:r>
      <w:r>
        <w:rPr>
          <w:spacing w:val="-5"/>
        </w:rPr>
        <w:t xml:space="preserve"> </w:t>
      </w:r>
      <w:r>
        <w:t>irrestrita” (Alliez</w:t>
      </w:r>
      <w:r>
        <w:rPr>
          <w:spacing w:val="-1"/>
        </w:rPr>
        <w:t xml:space="preserve"> </w:t>
      </w:r>
      <w:r>
        <w:t>e Lazzarato,</w:t>
      </w:r>
      <w:r>
        <w:rPr>
          <w:spacing w:val="-1"/>
        </w:rPr>
        <w:t xml:space="preserve"> </w:t>
      </w:r>
      <w:r>
        <w:t>2021,</w:t>
      </w:r>
      <w:r>
        <w:rPr>
          <w:spacing w:val="-1"/>
        </w:rPr>
        <w:t xml:space="preserve"> </w:t>
      </w:r>
      <w:r>
        <w:t>p.</w:t>
      </w:r>
      <w:r>
        <w:rPr>
          <w:spacing w:val="-1"/>
        </w:rPr>
        <w:t xml:space="preserve"> </w:t>
      </w:r>
      <w:r>
        <w:t>29-30).</w:t>
      </w:r>
      <w:r>
        <w:rPr>
          <w:spacing w:val="-1"/>
        </w:rPr>
        <w:t xml:space="preserve"> </w:t>
      </w:r>
      <w:r>
        <w:t>É</w:t>
      </w:r>
      <w:r>
        <w:rPr>
          <w:spacing w:val="-3"/>
        </w:rPr>
        <w:t xml:space="preserve"> </w:t>
      </w:r>
      <w:r>
        <w:t>fato que</w:t>
      </w:r>
      <w:r>
        <w:rPr>
          <w:spacing w:val="-1"/>
        </w:rPr>
        <w:t xml:space="preserve"> </w:t>
      </w:r>
      <w:r>
        <w:t>Estado</w:t>
      </w:r>
      <w:r>
        <w:rPr>
          <w:spacing w:val="-1"/>
        </w:rPr>
        <w:t xml:space="preserve"> </w:t>
      </w:r>
      <w:r>
        <w:t xml:space="preserve">e Capital não são só aliados, mas indissociáveis e se revelam enquanto </w:t>
      </w:r>
      <w:r>
        <w:rPr>
          <w:rFonts w:ascii="Arial" w:hAnsi="Arial"/>
          <w:i/>
        </w:rPr>
        <w:t>máquina de guerra</w:t>
      </w:r>
      <w:r>
        <w:t>.</w:t>
      </w:r>
    </w:p>
    <w:p w:rsidR="00972CE3" w:rsidRDefault="001F20D2">
      <w:pPr>
        <w:pStyle w:val="Corpodetexto"/>
        <w:spacing w:line="360" w:lineRule="auto"/>
        <w:ind w:left="140" w:right="137" w:firstLine="710"/>
        <w:jc w:val="both"/>
      </w:pPr>
      <w:r>
        <w:t xml:space="preserve">É preciso deixar claro que o poder estatal, enquanto </w:t>
      </w:r>
      <w:r>
        <w:rPr>
          <w:rFonts w:ascii="Arial" w:hAnsi="Arial"/>
          <w:i/>
        </w:rPr>
        <w:t>máquina de guerra do c</w:t>
      </w:r>
      <w:r>
        <w:rPr>
          <w:rFonts w:ascii="Arial" w:hAnsi="Arial"/>
          <w:i/>
        </w:rPr>
        <w:t>apital</w:t>
      </w:r>
      <w:r>
        <w:t>, se expressa através da barbárie e da violência sem precedentes, seja ela simbólica ou concreta. Isto inclui a dominação de um sistema discursivo a fim de amedrontar as massas, mexendo com suas crenças e emoções, despertando racismos, misoginia e ho</w:t>
      </w:r>
      <w:r>
        <w:t>mofobia, abrange ainda o incentivo do extermínio de populações e a destruição de biomas, a criação de condições necessárias para que haja</w:t>
      </w:r>
      <w:r>
        <w:rPr>
          <w:spacing w:val="22"/>
        </w:rPr>
        <w:t xml:space="preserve"> </w:t>
      </w:r>
      <w:r>
        <w:t>o</w:t>
      </w:r>
      <w:r>
        <w:rPr>
          <w:spacing w:val="22"/>
        </w:rPr>
        <w:t xml:space="preserve"> </w:t>
      </w:r>
      <w:r>
        <w:t>saque</w:t>
      </w:r>
      <w:r>
        <w:rPr>
          <w:spacing w:val="22"/>
        </w:rPr>
        <w:t xml:space="preserve"> </w:t>
      </w:r>
      <w:r>
        <w:t>dos</w:t>
      </w:r>
      <w:r>
        <w:rPr>
          <w:spacing w:val="22"/>
        </w:rPr>
        <w:t xml:space="preserve"> </w:t>
      </w:r>
      <w:r>
        <w:t>recursos</w:t>
      </w:r>
      <w:r>
        <w:rPr>
          <w:spacing w:val="22"/>
        </w:rPr>
        <w:t xml:space="preserve"> </w:t>
      </w:r>
      <w:r>
        <w:t>naturais</w:t>
      </w:r>
      <w:r>
        <w:rPr>
          <w:spacing w:val="22"/>
        </w:rPr>
        <w:t xml:space="preserve"> </w:t>
      </w:r>
      <w:r>
        <w:t>valiosos</w:t>
      </w:r>
      <w:r>
        <w:rPr>
          <w:spacing w:val="17"/>
        </w:rPr>
        <w:t xml:space="preserve"> </w:t>
      </w:r>
      <w:r>
        <w:t>e</w:t>
      </w:r>
      <w:r>
        <w:rPr>
          <w:spacing w:val="22"/>
        </w:rPr>
        <w:t xml:space="preserve"> </w:t>
      </w:r>
      <w:r>
        <w:t>a</w:t>
      </w:r>
      <w:r>
        <w:rPr>
          <w:spacing w:val="22"/>
        </w:rPr>
        <w:t xml:space="preserve"> </w:t>
      </w:r>
      <w:r>
        <w:t>entrega</w:t>
      </w:r>
      <w:r>
        <w:rPr>
          <w:spacing w:val="22"/>
        </w:rPr>
        <w:t xml:space="preserve"> </w:t>
      </w:r>
      <w:r>
        <w:t>do</w:t>
      </w:r>
      <w:r>
        <w:rPr>
          <w:spacing w:val="22"/>
        </w:rPr>
        <w:t xml:space="preserve"> </w:t>
      </w:r>
      <w:r>
        <w:t>patrimônio</w:t>
      </w:r>
      <w:r>
        <w:rPr>
          <w:spacing w:val="22"/>
        </w:rPr>
        <w:t xml:space="preserve"> </w:t>
      </w:r>
      <w:r>
        <w:t>público</w:t>
      </w:r>
      <w:r>
        <w:rPr>
          <w:spacing w:val="22"/>
        </w:rPr>
        <w:t xml:space="preserve"> </w:t>
      </w:r>
      <w:r>
        <w:t>aos</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3264" behindDoc="1" locked="0" layoutInCell="1" allowOverlap="1">
            <wp:simplePos x="0" y="0"/>
            <wp:positionH relativeFrom="page">
              <wp:posOffset>0</wp:posOffset>
            </wp:positionH>
            <wp:positionV relativeFrom="page">
              <wp:posOffset>6982</wp:posOffset>
            </wp:positionV>
            <wp:extent cx="7562088" cy="1048327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5"/>
        <w:jc w:val="both"/>
      </w:pPr>
      <w:r>
        <w:t>interesses de mercado. Deleuze e Guattari (2011, p. 255), já se referiam</w:t>
      </w:r>
      <w:r>
        <w:rPr>
          <w:spacing w:val="-2"/>
        </w:rPr>
        <w:t xml:space="preserve"> </w:t>
      </w:r>
      <w:r>
        <w:t>ao déspota e sua paranóia, capazes de mobilizar novos grupos perversos, espalhando sua</w:t>
      </w:r>
      <w:r>
        <w:rPr>
          <w:spacing w:val="40"/>
        </w:rPr>
        <w:t xml:space="preserve"> </w:t>
      </w:r>
      <w:r>
        <w:t xml:space="preserve">glória e impondo seu poder, Trump, Bolsonaro, Milei, Meloni, Orban são alguns exemplos no mundo </w:t>
      </w:r>
      <w:r>
        <w:t>deste processo. Este déspota – também</w:t>
      </w:r>
      <w:r>
        <w:rPr>
          <w:spacing w:val="-1"/>
        </w:rPr>
        <w:t xml:space="preserve"> </w:t>
      </w:r>
      <w:r>
        <w:t>chamado de fascista – ajuda a criar o clima de horror e barbárie em diversos territórios, mesmo dentro de um alardeado sistema democrático, que tem no ódio racial e de classe e no ressentimento, suas principais manifes</w:t>
      </w:r>
      <w:r>
        <w:t>tações.</w:t>
      </w:r>
    </w:p>
    <w:p w:rsidR="00972CE3" w:rsidRDefault="001F20D2">
      <w:pPr>
        <w:pStyle w:val="Corpodetexto"/>
        <w:spacing w:before="3" w:line="360" w:lineRule="auto"/>
        <w:ind w:left="140" w:right="140" w:firstLine="710"/>
        <w:jc w:val="both"/>
      </w:pPr>
      <w:r>
        <w:t xml:space="preserve">Grosso modo, a </w:t>
      </w:r>
      <w:r>
        <w:rPr>
          <w:rFonts w:ascii="Arial" w:hAnsi="Arial"/>
          <w:i/>
        </w:rPr>
        <w:t xml:space="preserve">máquina de guerra do capital </w:t>
      </w:r>
      <w:r>
        <w:t>atua rompendo fronteiras, entendida aqui como territórios da expansão do capital, compostas de momentos históricos distintos e combinados, com diferentes modalidades e contradições. São “formas arcaicas d</w:t>
      </w:r>
      <w:r>
        <w:t>e dominação e formas arcaicas de reprodução ampliada do capital, inclusive a escravidão, bases da violência que a caracteriza” (Martins, 1997. p. 15), ao mesmo tempo em que se observam pontos de modernização nestes territórios de fronteira do capital, encl</w:t>
      </w:r>
      <w:r>
        <w:t>aves a serviço da alta produtividade que provoca, em determinadas realidades, como o Maranhão, destruição ambiental e uma guerra civil violenta.</w:t>
      </w:r>
    </w:p>
    <w:p w:rsidR="00972CE3" w:rsidRDefault="001F20D2">
      <w:pPr>
        <w:pStyle w:val="Corpodetexto"/>
        <w:spacing w:line="360" w:lineRule="auto"/>
        <w:ind w:left="140" w:right="134" w:firstLine="710"/>
        <w:jc w:val="both"/>
      </w:pPr>
      <w:r>
        <w:t>A</w:t>
      </w:r>
      <w:r>
        <w:rPr>
          <w:spacing w:val="-1"/>
        </w:rPr>
        <w:t xml:space="preserve"> </w:t>
      </w:r>
      <w:r>
        <w:t>principal força motriz do Capital na Amazônia maranhense é a expansão do agronegócio, especialmente a monocul</w:t>
      </w:r>
      <w:r>
        <w:t>tura de soja e, em menor escala, a de eucalipto para a produção de celulose. O território maranhense possui floresta Amazônica e Cerrado e</w:t>
      </w:r>
      <w:r>
        <w:rPr>
          <w:spacing w:val="-2"/>
        </w:rPr>
        <w:t xml:space="preserve"> </w:t>
      </w:r>
      <w:r>
        <w:t>pertence a chamada região do MATOPIBA</w:t>
      </w:r>
      <w:r>
        <w:rPr>
          <w:vertAlign w:val="superscript"/>
        </w:rPr>
        <w:t>2</w:t>
      </w:r>
      <w:r>
        <w:t>. Essa expansão é impulsionada pela demanda global por grãos e por biocombustív</w:t>
      </w:r>
      <w:r>
        <w:t>eis, com grandes empresas nacionais e multinacionais investindo na região. A implantação de latifúndios</w:t>
      </w:r>
      <w:r>
        <w:rPr>
          <w:spacing w:val="-3"/>
        </w:rPr>
        <w:t xml:space="preserve"> </w:t>
      </w:r>
      <w:r>
        <w:t>para</w:t>
      </w:r>
      <w:r>
        <w:rPr>
          <w:spacing w:val="-2"/>
        </w:rPr>
        <w:t xml:space="preserve"> </w:t>
      </w:r>
      <w:r>
        <w:t>essas</w:t>
      </w:r>
      <w:r>
        <w:rPr>
          <w:spacing w:val="-3"/>
        </w:rPr>
        <w:t xml:space="preserve"> </w:t>
      </w:r>
      <w:r>
        <w:t>culturas</w:t>
      </w:r>
      <w:r>
        <w:rPr>
          <w:spacing w:val="-3"/>
        </w:rPr>
        <w:t xml:space="preserve"> </w:t>
      </w:r>
      <w:r>
        <w:t>tem</w:t>
      </w:r>
      <w:r>
        <w:rPr>
          <w:spacing w:val="-5"/>
        </w:rPr>
        <w:t xml:space="preserve"> </w:t>
      </w:r>
      <w:r>
        <w:t>levado</w:t>
      </w:r>
      <w:r>
        <w:rPr>
          <w:spacing w:val="-2"/>
        </w:rPr>
        <w:t xml:space="preserve"> </w:t>
      </w:r>
      <w:r>
        <w:t>à</w:t>
      </w:r>
      <w:r>
        <w:rPr>
          <w:spacing w:val="-2"/>
        </w:rPr>
        <w:t xml:space="preserve"> </w:t>
      </w:r>
      <w:r>
        <w:t>degradação massiva</w:t>
      </w:r>
      <w:r>
        <w:rPr>
          <w:spacing w:val="-2"/>
        </w:rPr>
        <w:t xml:space="preserve"> </w:t>
      </w:r>
      <w:r>
        <w:t>de</w:t>
      </w:r>
      <w:r>
        <w:rPr>
          <w:spacing w:val="-3"/>
        </w:rPr>
        <w:t xml:space="preserve"> </w:t>
      </w:r>
      <w:r>
        <w:t>extensas áreas, com o uso intensivo de agrotóxicos e a perda da biodiversidade.</w:t>
      </w:r>
    </w:p>
    <w:p w:rsidR="00972CE3" w:rsidRDefault="00972CE3">
      <w:pPr>
        <w:pStyle w:val="Corpodetexto"/>
        <w:rPr>
          <w:sz w:val="20"/>
        </w:rPr>
      </w:pPr>
    </w:p>
    <w:p w:rsidR="00972CE3" w:rsidRDefault="00972CE3">
      <w:pPr>
        <w:pStyle w:val="Corpodetexto"/>
        <w:spacing w:before="54"/>
        <w:rPr>
          <w:sz w:val="20"/>
        </w:rPr>
      </w:pPr>
      <w:r w:rsidRPr="00972CE3">
        <w:rPr>
          <w:sz w:val="20"/>
        </w:rPr>
        <w:pict>
          <v:rect id="docshape2" o:spid="_x0000_s1057" style="position:absolute;margin-left:85pt;margin-top:15.4pt;width:144.05pt;height:.5pt;z-index:-15725568;mso-wrap-distance-left:0;mso-wrap-distance-right:0;mso-position-horizontal-relative:page" fillcolor="black" stroked="f">
            <w10:wrap type="topAndBottom" anchorx="page"/>
          </v:rect>
        </w:pict>
      </w:r>
    </w:p>
    <w:p w:rsidR="00972CE3" w:rsidRDefault="001F20D2">
      <w:pPr>
        <w:spacing w:before="95"/>
        <w:ind w:left="140" w:right="133"/>
        <w:jc w:val="both"/>
        <w:rPr>
          <w:sz w:val="20"/>
        </w:rPr>
      </w:pPr>
      <w:r>
        <w:rPr>
          <w:sz w:val="20"/>
          <w:vertAlign w:val="superscript"/>
        </w:rPr>
        <w:t>2</w:t>
      </w:r>
      <w:r>
        <w:rPr>
          <w:sz w:val="20"/>
        </w:rPr>
        <w:t xml:space="preserve"> O termo MATO</w:t>
      </w:r>
      <w:r>
        <w:rPr>
          <w:sz w:val="20"/>
        </w:rPr>
        <w:t>PIBA corresponde aos territórios compostos por municípios da fronteira agrícola brasileira nos estados do Maranhão (MA), Tocantins (TO), Piauí (PI) e Bahia (BA). Ao longo das últimas décadas, a dinâmica de ocupação do solo passou por vultosas e rápidas tra</w:t>
      </w:r>
      <w:r>
        <w:rPr>
          <w:sz w:val="20"/>
        </w:rPr>
        <w:t>nsformações, em virtude da expansão das atividades capitalistas agropecuárias, com uma nova forma econômica de exploração destes territórios, a partir do cultivo de grãos, sobretudo a soja (Porcionato et. al., 2018).</w:t>
      </w:r>
    </w:p>
    <w:p w:rsidR="00972CE3" w:rsidRDefault="00972CE3">
      <w:pPr>
        <w:jc w:val="both"/>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3776" behindDoc="1" locked="0" layoutInCell="1" allowOverlap="1">
            <wp:simplePos x="0" y="0"/>
            <wp:positionH relativeFrom="page">
              <wp:posOffset>0</wp:posOffset>
            </wp:positionH>
            <wp:positionV relativeFrom="page">
              <wp:posOffset>6982</wp:posOffset>
            </wp:positionV>
            <wp:extent cx="7562088" cy="1048327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1" w:firstLine="710"/>
        <w:jc w:val="both"/>
      </w:pPr>
      <w:r>
        <w:t>O avanço da fronte</w:t>
      </w:r>
      <w:r>
        <w:t>ira na Amazônia maranhense, inserida no sistema capitalista global tem intensificado os conflitos socioambientais. Comunidades quilombolas e indígenas têm lutado para defender seus territórios contra a invasão de grileiros e grandes empresas do agronegócio</w:t>
      </w:r>
      <w:r>
        <w:t xml:space="preserve">. A pressão sobre a terra e os recursos naturais tem resultado em violência e na perda de direitos para essas </w:t>
      </w:r>
      <w:r>
        <w:rPr>
          <w:spacing w:val="-2"/>
        </w:rPr>
        <w:t>populações.</w:t>
      </w:r>
    </w:p>
    <w:p w:rsidR="00972CE3" w:rsidRDefault="001F20D2">
      <w:pPr>
        <w:pStyle w:val="Corpodetexto"/>
        <w:spacing w:before="4" w:line="360" w:lineRule="auto"/>
        <w:ind w:left="140" w:right="135" w:firstLine="710"/>
        <w:jc w:val="both"/>
      </w:pPr>
      <w:r>
        <w:t>A luta pela demarcação de terras indígenas e pela titulação de territórios quilombolas se torna, nesse contexto, uma forma de resistência contra a lógica do capital. Por isso, fazemos referência aqui a três casos no Maranhão em que a máquina de guerra do c</w:t>
      </w:r>
      <w:r>
        <w:t>apital, em territórios de franca expansão capitalista, tem provocado uma série de problemáticas, uma guerra incessante que destrói povos e comunidades, são novas máquinas de guerra fascistas na afirmação de Alliez e Lazzarato (2021, p. 28), que agem por ex</w:t>
      </w:r>
      <w:r>
        <w:t>clusão, a partir da identidade, da raça, do sexo ou da nacionalidade.</w:t>
      </w:r>
    </w:p>
    <w:p w:rsidR="00972CE3" w:rsidRDefault="001F20D2">
      <w:pPr>
        <w:pStyle w:val="Corpodetexto"/>
        <w:spacing w:line="360" w:lineRule="auto"/>
        <w:ind w:left="140" w:right="135" w:firstLine="710"/>
        <w:jc w:val="both"/>
      </w:pPr>
      <w:r>
        <w:t>Como veremos a seguir, o estado do Maranhão tem sido atingidos em cheio pela máquina de guerra do capital e muitas frentes, vamos abordar três destas frentes: 1. a do avanço acelerado do</w:t>
      </w:r>
      <w:r>
        <w:t xml:space="preserve"> agronegócio, com grilagem de terras, pulverização por agrotóxicos e destruição do cerrado no baixo Parnaíba; 2. o neoextrativismo</w:t>
      </w:r>
      <w:r>
        <w:rPr>
          <w:spacing w:val="-3"/>
        </w:rPr>
        <w:t xml:space="preserve"> </w:t>
      </w:r>
      <w:r>
        <w:t>da mineração</w:t>
      </w:r>
      <w:r>
        <w:rPr>
          <w:spacing w:val="-3"/>
        </w:rPr>
        <w:t xml:space="preserve"> </w:t>
      </w:r>
      <w:r>
        <w:t>de</w:t>
      </w:r>
      <w:r>
        <w:rPr>
          <w:spacing w:val="-3"/>
        </w:rPr>
        <w:t xml:space="preserve"> </w:t>
      </w:r>
      <w:r>
        <w:t>ouro</w:t>
      </w:r>
      <w:r>
        <w:rPr>
          <w:spacing w:val="-3"/>
        </w:rPr>
        <w:t xml:space="preserve"> </w:t>
      </w:r>
      <w:r>
        <w:t>por</w:t>
      </w:r>
      <w:r>
        <w:rPr>
          <w:spacing w:val="-2"/>
        </w:rPr>
        <w:t xml:space="preserve"> </w:t>
      </w:r>
      <w:r>
        <w:t>uma</w:t>
      </w:r>
      <w:r>
        <w:rPr>
          <w:spacing w:val="-3"/>
        </w:rPr>
        <w:t xml:space="preserve"> </w:t>
      </w:r>
      <w:r>
        <w:t>empresa</w:t>
      </w:r>
      <w:r>
        <w:rPr>
          <w:spacing w:val="-3"/>
        </w:rPr>
        <w:t xml:space="preserve"> </w:t>
      </w:r>
      <w:r>
        <w:t>estrangeira</w:t>
      </w:r>
      <w:r>
        <w:rPr>
          <w:spacing w:val="-3"/>
        </w:rPr>
        <w:t xml:space="preserve"> </w:t>
      </w:r>
      <w:r>
        <w:t>no</w:t>
      </w:r>
      <w:r>
        <w:rPr>
          <w:spacing w:val="-3"/>
        </w:rPr>
        <w:t xml:space="preserve"> </w:t>
      </w:r>
      <w:r>
        <w:t>município</w:t>
      </w:r>
      <w:r>
        <w:rPr>
          <w:spacing w:val="-3"/>
        </w:rPr>
        <w:t xml:space="preserve"> </w:t>
      </w:r>
      <w:r>
        <w:t>de Godofredo Viana; 3. e os entraves para a efetivação da Resex</w:t>
      </w:r>
      <w:r>
        <w:t xml:space="preserve"> de Tauá-Mirim em São Luís por conta dos interesses industriais e portuários naquele território.</w:t>
      </w:r>
    </w:p>
    <w:p w:rsidR="00972CE3" w:rsidRDefault="001F20D2">
      <w:pPr>
        <w:pStyle w:val="Heading1"/>
        <w:numPr>
          <w:ilvl w:val="0"/>
          <w:numId w:val="3"/>
        </w:numPr>
        <w:tabs>
          <w:tab w:val="left" w:pos="402"/>
        </w:tabs>
        <w:spacing w:before="176" w:line="360" w:lineRule="auto"/>
        <w:ind w:left="140" w:right="147" w:firstLine="0"/>
      </w:pPr>
      <w:r>
        <w:t>COMO</w:t>
      </w:r>
      <w:r>
        <w:rPr>
          <w:spacing w:val="40"/>
        </w:rPr>
        <w:t xml:space="preserve"> </w:t>
      </w:r>
      <w:r>
        <w:t>AGEM</w:t>
      </w:r>
      <w:r>
        <w:rPr>
          <w:spacing w:val="40"/>
        </w:rPr>
        <w:t xml:space="preserve"> </w:t>
      </w:r>
      <w:r>
        <w:t>AS</w:t>
      </w:r>
      <w:r>
        <w:rPr>
          <w:spacing w:val="40"/>
        </w:rPr>
        <w:t xml:space="preserve"> </w:t>
      </w:r>
      <w:r>
        <w:t>MÁQUINAS</w:t>
      </w:r>
      <w:r>
        <w:rPr>
          <w:spacing w:val="40"/>
        </w:rPr>
        <w:t xml:space="preserve"> </w:t>
      </w:r>
      <w:r>
        <w:t>DE</w:t>
      </w:r>
      <w:r>
        <w:rPr>
          <w:spacing w:val="40"/>
        </w:rPr>
        <w:t xml:space="preserve"> </w:t>
      </w:r>
      <w:r>
        <w:t>GUERRA</w:t>
      </w:r>
      <w:r>
        <w:rPr>
          <w:spacing w:val="40"/>
        </w:rPr>
        <w:t xml:space="preserve"> </w:t>
      </w:r>
      <w:r>
        <w:t>DO</w:t>
      </w:r>
      <w:r>
        <w:rPr>
          <w:spacing w:val="40"/>
        </w:rPr>
        <w:t xml:space="preserve"> </w:t>
      </w:r>
      <w:r>
        <w:t>CAPITAL</w:t>
      </w:r>
      <w:r>
        <w:rPr>
          <w:spacing w:val="40"/>
        </w:rPr>
        <w:t xml:space="preserve"> </w:t>
      </w:r>
      <w:r>
        <w:t>NO</w:t>
      </w:r>
      <w:r>
        <w:rPr>
          <w:spacing w:val="40"/>
        </w:rPr>
        <w:t xml:space="preserve"> </w:t>
      </w:r>
      <w:r>
        <w:t>MARANHÃO ATUAL? TRÊS CASOS PARA REFLEXÃO E DISCUSSÃO.</w:t>
      </w:r>
    </w:p>
    <w:p w:rsidR="00972CE3" w:rsidRDefault="001F20D2">
      <w:pPr>
        <w:pStyle w:val="Heading2"/>
        <w:numPr>
          <w:ilvl w:val="1"/>
          <w:numId w:val="3"/>
        </w:numPr>
        <w:tabs>
          <w:tab w:val="left" w:pos="557"/>
        </w:tabs>
        <w:spacing w:before="118" w:line="360" w:lineRule="auto"/>
        <w:ind w:right="144" w:firstLine="0"/>
      </w:pPr>
      <w:r>
        <w:t>O território do Baixo-Parnaíba maranhense: características,</w:t>
      </w:r>
      <w:r>
        <w:t xml:space="preserve"> singularidades e conflitos no campo</w:t>
      </w:r>
    </w:p>
    <w:p w:rsidR="00972CE3" w:rsidRDefault="001F20D2">
      <w:pPr>
        <w:pStyle w:val="Corpodetexto"/>
        <w:spacing w:before="7" w:line="360" w:lineRule="auto"/>
        <w:ind w:left="140" w:right="143" w:firstLine="710"/>
        <w:jc w:val="both"/>
      </w:pPr>
      <w:r>
        <w:t>O Baixo-Parnaíba maranhense, com seus 16 municípios, é um mosaico de vida silvestre, vegetação exuberante e uma cultura rica, moldada ao</w:t>
      </w:r>
      <w:r>
        <w:rPr>
          <w:spacing w:val="-2"/>
        </w:rPr>
        <w:t xml:space="preserve"> </w:t>
      </w:r>
      <w:r>
        <w:t>longo do tempo</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4288" behindDoc="1" locked="0" layoutInCell="1" allowOverlap="1">
            <wp:simplePos x="0" y="0"/>
            <wp:positionH relativeFrom="page">
              <wp:posOffset>0</wp:posOffset>
            </wp:positionH>
            <wp:positionV relativeFrom="page">
              <wp:posOffset>6982</wp:posOffset>
            </wp:positionV>
            <wp:extent cx="7562088" cy="1048327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40"/>
        <w:jc w:val="both"/>
      </w:pPr>
      <w:r>
        <w:t>por povos tradicionais e agricultores familiar</w:t>
      </w:r>
      <w:r>
        <w:t>es (Azevedo; Dantas; Farias, 2016). Paradoxalmente, apesar de toda essa abundância de recursos naturais e heranças culturais, a região enfrenta um problema persistente: seus municípios registram um baixo Índice de Desenvolvimento Humano Municipal (IDHM).</w:t>
      </w:r>
    </w:p>
    <w:p w:rsidR="00972CE3" w:rsidRDefault="001F20D2">
      <w:pPr>
        <w:pStyle w:val="Corpodetexto"/>
        <w:spacing w:before="1" w:line="360" w:lineRule="auto"/>
        <w:ind w:left="140" w:right="131" w:firstLine="710"/>
        <w:jc w:val="both"/>
      </w:pPr>
      <w:r>
        <w:t>A região, contudo, está</w:t>
      </w:r>
      <w:r>
        <w:rPr>
          <w:spacing w:val="-1"/>
        </w:rPr>
        <w:t xml:space="preserve"> </w:t>
      </w:r>
      <w:r>
        <w:t>inserida no MATOPIBA, uma das últimas fronteiras de expansão capitalista do Brasil, um vasto projeto que envolve Maranhão, Tocantins, Piauí e Bahia. Financiado por grandes investimentos, muitos deles com dinheiro público, o plano ex</w:t>
      </w:r>
      <w:r>
        <w:t>emplifica a aniquilação dos recursos naturais e a violação de direitos humanos de povos locais por empresários da terra e grileiros, no que David Harvey (2013, p. 121) chamou de "acumulação por espoliação”, com a privatização da terra,</w:t>
      </w:r>
      <w:r>
        <w:rPr>
          <w:spacing w:val="-3"/>
        </w:rPr>
        <w:t xml:space="preserve"> </w:t>
      </w:r>
      <w:r>
        <w:t>expulsão violenta</w:t>
      </w:r>
      <w:r>
        <w:rPr>
          <w:spacing w:val="-2"/>
        </w:rPr>
        <w:t xml:space="preserve"> </w:t>
      </w:r>
      <w:r>
        <w:t>de</w:t>
      </w:r>
      <w:r>
        <w:rPr>
          <w:spacing w:val="-2"/>
        </w:rPr>
        <w:t xml:space="preserve"> </w:t>
      </w:r>
      <w:r>
        <w:t>populações camponesas e a</w:t>
      </w:r>
      <w:r>
        <w:rPr>
          <w:spacing w:val="-3"/>
        </w:rPr>
        <w:t xml:space="preserve"> </w:t>
      </w:r>
      <w:r>
        <w:t>transformação de</w:t>
      </w:r>
      <w:r>
        <w:rPr>
          <w:spacing w:val="-3"/>
        </w:rPr>
        <w:t xml:space="preserve"> </w:t>
      </w:r>
      <w:r>
        <w:t>direitos comuns e coletivos em direitos exclusivos de propriedade privada. A consequência direta é o intenso clima de tensão entre camponeses e grileiros.</w:t>
      </w:r>
    </w:p>
    <w:p w:rsidR="00972CE3" w:rsidRDefault="001F20D2">
      <w:pPr>
        <w:pStyle w:val="Corpodetexto"/>
        <w:spacing w:line="360" w:lineRule="auto"/>
        <w:ind w:left="140" w:right="136" w:firstLine="710"/>
        <w:jc w:val="both"/>
      </w:pPr>
      <w:r>
        <w:t>O importante trabalho de Costa (2016), sobre o Baixo Parn</w:t>
      </w:r>
      <w:r>
        <w:t>aíba revela que empresas como a Suzano Papel e Celulose, além de grandes proprietários de terra impõem aos camponeses um modelo agroexportador da silvicultura do eucalipto e</w:t>
      </w:r>
      <w:r>
        <w:rPr>
          <w:spacing w:val="40"/>
        </w:rPr>
        <w:t xml:space="preserve"> </w:t>
      </w:r>
      <w:r>
        <w:t>da expansão da soja que descaracteriza a natureza e as paisagens das chapadas e va</w:t>
      </w:r>
      <w:r>
        <w:t>les fluviais destes territórios, ao mesmo tempo em que afeta diretamente os</w:t>
      </w:r>
      <w:r>
        <w:rPr>
          <w:spacing w:val="40"/>
        </w:rPr>
        <w:t xml:space="preserve"> </w:t>
      </w:r>
      <w:r>
        <w:t>modos de vida e subsistência camponesa pelo viés sociometabólico da máquina de guerra</w:t>
      </w:r>
      <w:r>
        <w:rPr>
          <w:spacing w:val="-2"/>
        </w:rPr>
        <w:t xml:space="preserve"> </w:t>
      </w:r>
      <w:r>
        <w:t>do Capital,</w:t>
      </w:r>
      <w:r>
        <w:rPr>
          <w:spacing w:val="-2"/>
        </w:rPr>
        <w:t xml:space="preserve"> </w:t>
      </w:r>
      <w:r>
        <w:t>que</w:t>
      </w:r>
      <w:r>
        <w:rPr>
          <w:spacing w:val="-2"/>
        </w:rPr>
        <w:t xml:space="preserve"> </w:t>
      </w:r>
      <w:r>
        <w:t>“coloniza</w:t>
      </w:r>
      <w:r>
        <w:rPr>
          <w:spacing w:val="-2"/>
        </w:rPr>
        <w:t xml:space="preserve"> </w:t>
      </w:r>
      <w:r>
        <w:t>o</w:t>
      </w:r>
      <w:r>
        <w:rPr>
          <w:spacing w:val="-1"/>
        </w:rPr>
        <w:t xml:space="preserve"> </w:t>
      </w:r>
      <w:r>
        <w:t>Estado,</w:t>
      </w:r>
      <w:r>
        <w:rPr>
          <w:spacing w:val="-2"/>
        </w:rPr>
        <w:t xml:space="preserve"> </w:t>
      </w:r>
      <w:r>
        <w:t>que</w:t>
      </w:r>
      <w:r>
        <w:rPr>
          <w:spacing w:val="-2"/>
        </w:rPr>
        <w:t xml:space="preserve"> </w:t>
      </w:r>
      <w:r>
        <w:t>o molda</w:t>
      </w:r>
      <w:r>
        <w:rPr>
          <w:spacing w:val="-2"/>
        </w:rPr>
        <w:t xml:space="preserve"> </w:t>
      </w:r>
      <w:r>
        <w:t>à</w:t>
      </w:r>
      <w:r>
        <w:rPr>
          <w:spacing w:val="-1"/>
        </w:rPr>
        <w:t xml:space="preserve"> </w:t>
      </w:r>
      <w:r>
        <w:t>sua</w:t>
      </w:r>
      <w:r>
        <w:rPr>
          <w:spacing w:val="-2"/>
        </w:rPr>
        <w:t xml:space="preserve"> </w:t>
      </w:r>
      <w:r>
        <w:t>imagem,</w:t>
      </w:r>
      <w:r>
        <w:rPr>
          <w:spacing w:val="-2"/>
        </w:rPr>
        <w:t xml:space="preserve"> </w:t>
      </w:r>
      <w:r>
        <w:t xml:space="preserve">determinando não apenas a empresa, mas também a administração” (Alliez e Lazzarato, 2021, p. </w:t>
      </w:r>
      <w:r>
        <w:rPr>
          <w:spacing w:val="-2"/>
        </w:rPr>
        <w:t>333).</w:t>
      </w:r>
    </w:p>
    <w:p w:rsidR="00972CE3" w:rsidRDefault="001F20D2">
      <w:pPr>
        <w:pStyle w:val="Corpodetexto"/>
        <w:spacing w:line="360" w:lineRule="auto"/>
        <w:ind w:left="140" w:right="137" w:firstLine="710"/>
        <w:jc w:val="both"/>
      </w:pPr>
      <w:r>
        <w:t>Mas</w:t>
      </w:r>
      <w:r>
        <w:rPr>
          <w:spacing w:val="-2"/>
        </w:rPr>
        <w:t xml:space="preserve"> </w:t>
      </w:r>
      <w:r>
        <w:t>há</w:t>
      </w:r>
      <w:r>
        <w:rPr>
          <w:spacing w:val="-2"/>
        </w:rPr>
        <w:t xml:space="preserve"> </w:t>
      </w:r>
      <w:r>
        <w:t>lutas</w:t>
      </w:r>
      <w:r>
        <w:rPr>
          <w:spacing w:val="-2"/>
        </w:rPr>
        <w:t xml:space="preserve"> </w:t>
      </w:r>
      <w:r>
        <w:t>e</w:t>
      </w:r>
      <w:r>
        <w:rPr>
          <w:spacing w:val="-1"/>
        </w:rPr>
        <w:t xml:space="preserve"> </w:t>
      </w:r>
      <w:r>
        <w:t>resistências</w:t>
      </w:r>
      <w:r>
        <w:rPr>
          <w:spacing w:val="-7"/>
        </w:rPr>
        <w:t xml:space="preserve"> </w:t>
      </w:r>
      <w:r>
        <w:t>importantes</w:t>
      </w:r>
      <w:r>
        <w:rPr>
          <w:spacing w:val="-2"/>
        </w:rPr>
        <w:t xml:space="preserve"> </w:t>
      </w:r>
      <w:r>
        <w:t>no</w:t>
      </w:r>
      <w:r>
        <w:rPr>
          <w:spacing w:val="-2"/>
        </w:rPr>
        <w:t xml:space="preserve"> </w:t>
      </w:r>
      <w:r>
        <w:t>Baixo</w:t>
      </w:r>
      <w:r>
        <w:rPr>
          <w:spacing w:val="-2"/>
        </w:rPr>
        <w:t xml:space="preserve"> </w:t>
      </w:r>
      <w:r>
        <w:t>Parmaíba,</w:t>
      </w:r>
      <w:r>
        <w:rPr>
          <w:spacing w:val="-1"/>
        </w:rPr>
        <w:t xml:space="preserve"> </w:t>
      </w:r>
      <w:r>
        <w:t>a</w:t>
      </w:r>
      <w:r>
        <w:rPr>
          <w:spacing w:val="-1"/>
        </w:rPr>
        <w:t xml:space="preserve"> </w:t>
      </w:r>
      <w:r>
        <w:t>luta</w:t>
      </w:r>
      <w:r>
        <w:rPr>
          <w:spacing w:val="-1"/>
        </w:rPr>
        <w:t xml:space="preserve"> </w:t>
      </w:r>
      <w:r>
        <w:t>camponesa se dá em muitos povoados contra grupos colonos de outros estados, uma luta pela t</w:t>
      </w:r>
      <w:r>
        <w:t>erra no campo, em povoados e comunidades várias em municípios como Urbano Santos, Santa Quitéria, Anapurus, Buriti, entre outros, muitas vezes extrapola escalas de ações estratégicas para além da organização interna das comunidades.</w:t>
      </w:r>
      <w:r>
        <w:rPr>
          <w:spacing w:val="40"/>
        </w:rPr>
        <w:t xml:space="preserve"> </w:t>
      </w:r>
      <w:r>
        <w:t>A</w:t>
      </w:r>
      <w:r>
        <w:rPr>
          <w:spacing w:val="67"/>
        </w:rPr>
        <w:t xml:space="preserve"> </w:t>
      </w:r>
      <w:r>
        <w:t>atuação</w:t>
      </w:r>
      <w:r>
        <w:rPr>
          <w:spacing w:val="70"/>
        </w:rPr>
        <w:t xml:space="preserve"> </w:t>
      </w:r>
      <w:r>
        <w:t>de</w:t>
      </w:r>
      <w:r>
        <w:rPr>
          <w:spacing w:val="70"/>
        </w:rPr>
        <w:t xml:space="preserve"> </w:t>
      </w:r>
      <w:r>
        <w:t>entidades</w:t>
      </w:r>
      <w:r>
        <w:rPr>
          <w:spacing w:val="69"/>
        </w:rPr>
        <w:t xml:space="preserve"> </w:t>
      </w:r>
      <w:r>
        <w:t>e</w:t>
      </w:r>
      <w:r>
        <w:rPr>
          <w:spacing w:val="70"/>
        </w:rPr>
        <w:t xml:space="preserve"> </w:t>
      </w:r>
      <w:r>
        <w:t>movimentos</w:t>
      </w:r>
      <w:r>
        <w:rPr>
          <w:spacing w:val="69"/>
        </w:rPr>
        <w:t xml:space="preserve"> </w:t>
      </w:r>
      <w:r>
        <w:t>sociais</w:t>
      </w:r>
      <w:r>
        <w:rPr>
          <w:spacing w:val="69"/>
        </w:rPr>
        <w:t xml:space="preserve"> </w:t>
      </w:r>
      <w:r>
        <w:t>é</w:t>
      </w:r>
      <w:r>
        <w:rPr>
          <w:spacing w:val="70"/>
        </w:rPr>
        <w:t xml:space="preserve"> </w:t>
      </w:r>
      <w:r>
        <w:t>relevante,</w:t>
      </w:r>
      <w:r>
        <w:rPr>
          <w:spacing w:val="70"/>
        </w:rPr>
        <w:t xml:space="preserve"> </w:t>
      </w:r>
      <w:r>
        <w:t>como</w:t>
      </w:r>
      <w:r>
        <w:rPr>
          <w:spacing w:val="71"/>
        </w:rPr>
        <w:t xml:space="preserve"> </w:t>
      </w:r>
      <w:r>
        <w:t>a</w:t>
      </w:r>
      <w:r>
        <w:rPr>
          <w:spacing w:val="50"/>
          <w:w w:val="150"/>
        </w:rPr>
        <w:t xml:space="preserve"> </w:t>
      </w:r>
      <w:r>
        <w:rPr>
          <w:spacing w:val="-2"/>
        </w:rPr>
        <w:t>Sociedade</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4800" behindDoc="1" locked="0" layoutInCell="1" allowOverlap="1">
            <wp:simplePos x="0" y="0"/>
            <wp:positionH relativeFrom="page">
              <wp:posOffset>0</wp:posOffset>
            </wp:positionH>
            <wp:positionV relativeFrom="page">
              <wp:posOffset>6982</wp:posOffset>
            </wp:positionV>
            <wp:extent cx="7562088" cy="1048327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7"/>
        <w:jc w:val="both"/>
      </w:pPr>
      <w:r>
        <w:t>Maranhense de Direitos Humanos e o Fórum Carajás, que devem construir coletivamente formas de resistência, com apoio jurídico, mas sem tirar o protagonismo dos povos locais (Costa, 201</w:t>
      </w:r>
      <w:r>
        <w:t xml:space="preserve">6), estes sim, com seus saberes, devem buscar a instauração do que Gudynas (2009) chamou de </w:t>
      </w:r>
      <w:r>
        <w:rPr>
          <w:rFonts w:ascii="Arial" w:hAnsi="Arial"/>
          <w:i/>
        </w:rPr>
        <w:t>metacidadania ecológica</w:t>
      </w:r>
      <w:r>
        <w:t>, situada territorialmente sob contextos socioambientais específicos, sendo plurais, éticas e ligadas aos Direitos da Natureza.</w:t>
      </w:r>
    </w:p>
    <w:p w:rsidR="00972CE3" w:rsidRDefault="001F20D2">
      <w:pPr>
        <w:pStyle w:val="Heading2"/>
        <w:numPr>
          <w:ilvl w:val="1"/>
          <w:numId w:val="3"/>
        </w:numPr>
        <w:tabs>
          <w:tab w:val="left" w:pos="536"/>
        </w:tabs>
        <w:spacing w:line="275" w:lineRule="exact"/>
        <w:ind w:left="536" w:hanging="396"/>
      </w:pPr>
      <w:r>
        <w:t>Tragédias</w:t>
      </w:r>
      <w:r>
        <w:rPr>
          <w:spacing w:val="-8"/>
        </w:rPr>
        <w:t xml:space="preserve"> </w:t>
      </w:r>
      <w:r>
        <w:t>e</w:t>
      </w:r>
      <w:r>
        <w:rPr>
          <w:spacing w:val="-3"/>
        </w:rPr>
        <w:t xml:space="preserve"> </w:t>
      </w:r>
      <w:r>
        <w:t>d</w:t>
      </w:r>
      <w:r>
        <w:t>esastres</w:t>
      </w:r>
      <w:r>
        <w:rPr>
          <w:spacing w:val="-7"/>
        </w:rPr>
        <w:t xml:space="preserve"> </w:t>
      </w:r>
      <w:r>
        <w:t>no</w:t>
      </w:r>
      <w:r>
        <w:rPr>
          <w:spacing w:val="-3"/>
        </w:rPr>
        <w:t xml:space="preserve"> </w:t>
      </w:r>
      <w:r>
        <w:t>Neoextrativismo</w:t>
      </w:r>
      <w:r>
        <w:rPr>
          <w:spacing w:val="-3"/>
        </w:rPr>
        <w:t xml:space="preserve"> </w:t>
      </w:r>
      <w:r>
        <w:t>aurífero</w:t>
      </w:r>
      <w:r>
        <w:rPr>
          <w:spacing w:val="-3"/>
        </w:rPr>
        <w:t xml:space="preserve"> </w:t>
      </w:r>
      <w:r>
        <w:t>do</w:t>
      </w:r>
      <w:r>
        <w:rPr>
          <w:spacing w:val="-2"/>
        </w:rPr>
        <w:t xml:space="preserve"> Maranhão</w:t>
      </w:r>
    </w:p>
    <w:p w:rsidR="00972CE3" w:rsidRDefault="001F20D2">
      <w:pPr>
        <w:pStyle w:val="Corpodetexto"/>
        <w:spacing w:before="262" w:line="360" w:lineRule="auto"/>
        <w:ind w:left="140" w:right="142" w:firstLine="710"/>
        <w:jc w:val="both"/>
      </w:pPr>
      <w:r>
        <w:t>A exploração de ouro no Maranhão vem desde o século XIX, mais especificamente em Godofredo Viana, que detém depósitos auríferos explorados,</w:t>
      </w:r>
      <w:r>
        <w:rPr>
          <w:spacing w:val="40"/>
        </w:rPr>
        <w:t xml:space="preserve"> </w:t>
      </w:r>
      <w:r>
        <w:t>por meio de garimpo, principalmente na comunidade de Aurizona, que significa</w:t>
      </w:r>
      <w:r>
        <w:rPr>
          <w:spacing w:val="40"/>
        </w:rPr>
        <w:t xml:space="preserve"> </w:t>
      </w:r>
      <w:r>
        <w:t>“zona do ouro” (Machado, Coelho e Pantoja, 2021). Ganhou destaque com a</w:t>
      </w:r>
      <w:r>
        <w:rPr>
          <w:spacing w:val="40"/>
        </w:rPr>
        <w:t xml:space="preserve"> </w:t>
      </w:r>
      <w:r>
        <w:t>atuação</w:t>
      </w:r>
      <w:r>
        <w:rPr>
          <w:spacing w:val="-5"/>
        </w:rPr>
        <w:t xml:space="preserve"> </w:t>
      </w:r>
      <w:r>
        <w:t>da empresa canadense Equinox</w:t>
      </w:r>
      <w:r>
        <w:rPr>
          <w:spacing w:val="-5"/>
        </w:rPr>
        <w:t xml:space="preserve"> </w:t>
      </w:r>
      <w:r>
        <w:t>Gold. A</w:t>
      </w:r>
      <w:r>
        <w:rPr>
          <w:spacing w:val="-2"/>
        </w:rPr>
        <w:t xml:space="preserve"> </w:t>
      </w:r>
      <w:r>
        <w:t>empresa opera no estado por meio de sua subsidiária, a Mineraç</w:t>
      </w:r>
      <w:r>
        <w:t>ão Aurizona S.A. (MASA), com um projeto de mineração a céu aberto localizado ao norte do município de Godofredo Viana.</w:t>
      </w:r>
    </w:p>
    <w:p w:rsidR="00972CE3" w:rsidRDefault="001F20D2">
      <w:pPr>
        <w:pStyle w:val="Corpodetexto"/>
        <w:spacing w:before="2" w:line="360" w:lineRule="auto"/>
        <w:ind w:left="140" w:right="138" w:firstLine="710"/>
        <w:jc w:val="both"/>
      </w:pPr>
      <w:r>
        <w:t>A chegada da Equinox Gold ao estado maranhense se deu através da aquisição do controle da Mineração Aurizona, que já possuía licenças e operações na região. O projeto, conhecido como Mina de Piaba, é um dos maiores empreendimentos de extração de ouro do Br</w:t>
      </w:r>
      <w:r>
        <w:t>asil. A empresa extrai o minério, o chamado ouro de aluvião, e o processa para obter o metal, gerando um debate</w:t>
      </w:r>
      <w:r>
        <w:rPr>
          <w:spacing w:val="40"/>
        </w:rPr>
        <w:t xml:space="preserve"> </w:t>
      </w:r>
      <w:r>
        <w:t>sobre os benefícios econômicos e os impactos socioambientais da atividade.</w:t>
      </w:r>
    </w:p>
    <w:p w:rsidR="00972CE3" w:rsidRDefault="001F20D2">
      <w:pPr>
        <w:pStyle w:val="Corpodetexto"/>
        <w:spacing w:line="360" w:lineRule="auto"/>
        <w:ind w:left="140" w:right="134" w:firstLine="710"/>
        <w:jc w:val="both"/>
      </w:pPr>
      <w:r>
        <w:t>A</w:t>
      </w:r>
      <w:r>
        <w:rPr>
          <w:spacing w:val="-4"/>
        </w:rPr>
        <w:t xml:space="preserve"> </w:t>
      </w:r>
      <w:r>
        <w:t>Equinox</w:t>
      </w:r>
      <w:r>
        <w:rPr>
          <w:spacing w:val="-7"/>
        </w:rPr>
        <w:t xml:space="preserve"> </w:t>
      </w:r>
      <w:r>
        <w:t>Gold</w:t>
      </w:r>
      <w:r>
        <w:rPr>
          <w:spacing w:val="-2"/>
        </w:rPr>
        <w:t xml:space="preserve"> </w:t>
      </w:r>
      <w:r>
        <w:t>afirma</w:t>
      </w:r>
      <w:r>
        <w:rPr>
          <w:spacing w:val="-2"/>
        </w:rPr>
        <w:t xml:space="preserve"> </w:t>
      </w:r>
      <w:r>
        <w:t>que</w:t>
      </w:r>
      <w:r>
        <w:rPr>
          <w:spacing w:val="-2"/>
        </w:rPr>
        <w:t xml:space="preserve"> </w:t>
      </w:r>
      <w:r>
        <w:t>suas</w:t>
      </w:r>
      <w:r>
        <w:rPr>
          <w:spacing w:val="-2"/>
        </w:rPr>
        <w:t xml:space="preserve"> </w:t>
      </w:r>
      <w:r>
        <w:t>operações</w:t>
      </w:r>
      <w:r>
        <w:rPr>
          <w:spacing w:val="-2"/>
        </w:rPr>
        <w:t xml:space="preserve"> </w:t>
      </w:r>
      <w:r>
        <w:t>contribuem</w:t>
      </w:r>
      <w:r>
        <w:rPr>
          <w:spacing w:val="-10"/>
        </w:rPr>
        <w:t xml:space="preserve"> </w:t>
      </w:r>
      <w:r>
        <w:t>para</w:t>
      </w:r>
      <w:r>
        <w:rPr>
          <w:spacing w:val="-2"/>
        </w:rPr>
        <w:t xml:space="preserve"> </w:t>
      </w:r>
      <w:r>
        <w:t>a</w:t>
      </w:r>
      <w:r>
        <w:rPr>
          <w:spacing w:val="-1"/>
        </w:rPr>
        <w:t xml:space="preserve"> </w:t>
      </w:r>
      <w:r>
        <w:t>economia</w:t>
      </w:r>
      <w:r>
        <w:rPr>
          <w:spacing w:val="-2"/>
        </w:rPr>
        <w:t xml:space="preserve"> </w:t>
      </w:r>
      <w:r>
        <w:t>l</w:t>
      </w:r>
      <w:r>
        <w:t xml:space="preserve">ocal, criando empregos e movimentando o comércio na região. No entanto, a mineração em larga escala levanta preocupações significativas, principalmente relacionadas à degradação ambiental, ao uso intensivo de água e à gestão dos rejeitos da </w:t>
      </w:r>
      <w:r>
        <w:rPr>
          <w:spacing w:val="-2"/>
        </w:rPr>
        <w:t>mineração.</w:t>
      </w:r>
    </w:p>
    <w:p w:rsidR="00972CE3" w:rsidRDefault="001F20D2">
      <w:pPr>
        <w:pStyle w:val="Corpodetexto"/>
        <w:spacing w:line="362" w:lineRule="auto"/>
        <w:ind w:left="140" w:right="132" w:firstLine="710"/>
        <w:jc w:val="both"/>
      </w:pPr>
      <w:r>
        <w:t>Em</w:t>
      </w:r>
      <w:r>
        <w:rPr>
          <w:spacing w:val="-4"/>
        </w:rPr>
        <w:t xml:space="preserve"> </w:t>
      </w:r>
      <w:r>
        <w:t>2</w:t>
      </w:r>
      <w:r>
        <w:t>5 de março de 2021, diversas</w:t>
      </w:r>
      <w:r>
        <w:rPr>
          <w:spacing w:val="-1"/>
        </w:rPr>
        <w:t xml:space="preserve"> </w:t>
      </w:r>
      <w:r>
        <w:t>denúncias</w:t>
      </w:r>
      <w:r>
        <w:rPr>
          <w:spacing w:val="-1"/>
        </w:rPr>
        <w:t xml:space="preserve"> </w:t>
      </w:r>
      <w:r>
        <w:t>a partir de vídeos</w:t>
      </w:r>
      <w:r>
        <w:rPr>
          <w:spacing w:val="-1"/>
        </w:rPr>
        <w:t xml:space="preserve"> </w:t>
      </w:r>
      <w:r>
        <w:t>e matérias</w:t>
      </w:r>
      <w:r>
        <w:rPr>
          <w:spacing w:val="-1"/>
        </w:rPr>
        <w:t xml:space="preserve"> </w:t>
      </w:r>
      <w:r>
        <w:t>de veículos locais surgiram sobre o rompimento da principal barragem de rejeitos do Maranhão,</w:t>
      </w:r>
      <w:r>
        <w:rPr>
          <w:spacing w:val="69"/>
        </w:rPr>
        <w:t xml:space="preserve"> </w:t>
      </w:r>
      <w:r>
        <w:t>no</w:t>
      </w:r>
      <w:r>
        <w:rPr>
          <w:spacing w:val="74"/>
        </w:rPr>
        <w:t xml:space="preserve"> </w:t>
      </w:r>
      <w:r>
        <w:t>município</w:t>
      </w:r>
      <w:r>
        <w:rPr>
          <w:spacing w:val="69"/>
        </w:rPr>
        <w:t xml:space="preserve"> </w:t>
      </w:r>
      <w:r>
        <w:t>de</w:t>
      </w:r>
      <w:r>
        <w:rPr>
          <w:spacing w:val="69"/>
        </w:rPr>
        <w:t xml:space="preserve"> </w:t>
      </w:r>
      <w:r>
        <w:t>Godofredo</w:t>
      </w:r>
      <w:r>
        <w:rPr>
          <w:spacing w:val="74"/>
        </w:rPr>
        <w:t xml:space="preserve"> </w:t>
      </w:r>
      <w:r>
        <w:t>Viana,</w:t>
      </w:r>
      <w:r>
        <w:rPr>
          <w:spacing w:val="73"/>
        </w:rPr>
        <w:t xml:space="preserve"> </w:t>
      </w:r>
      <w:r>
        <w:t>no</w:t>
      </w:r>
      <w:r>
        <w:rPr>
          <w:spacing w:val="69"/>
        </w:rPr>
        <w:t xml:space="preserve"> </w:t>
      </w:r>
      <w:r>
        <w:t>território</w:t>
      </w:r>
      <w:r>
        <w:rPr>
          <w:spacing w:val="73"/>
        </w:rPr>
        <w:t xml:space="preserve"> </w:t>
      </w:r>
      <w:r>
        <w:t>noroeste,</w:t>
      </w:r>
      <w:r>
        <w:rPr>
          <w:spacing w:val="73"/>
        </w:rPr>
        <w:t xml:space="preserve"> </w:t>
      </w:r>
      <w:r>
        <w:t>próximo</w:t>
      </w:r>
      <w:r>
        <w:rPr>
          <w:spacing w:val="74"/>
        </w:rPr>
        <w:t xml:space="preserve"> </w:t>
      </w:r>
      <w:r>
        <w:t>a</w:t>
      </w:r>
    </w:p>
    <w:p w:rsidR="00972CE3" w:rsidRDefault="00972CE3">
      <w:pPr>
        <w:pStyle w:val="Corpodetexto"/>
        <w:spacing w:line="362"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5824" behindDoc="1" locked="0" layoutInCell="1" allowOverlap="1">
            <wp:simplePos x="0" y="0"/>
            <wp:positionH relativeFrom="page">
              <wp:posOffset>0</wp:posOffset>
            </wp:positionH>
            <wp:positionV relativeFrom="page">
              <wp:posOffset>6982</wp:posOffset>
            </wp:positionV>
            <wp:extent cx="7562088" cy="1048327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40"/>
        <w:jc w:val="both"/>
      </w:pPr>
      <w:r>
        <w:t>divis</w:t>
      </w:r>
      <w:r>
        <w:t>ão com o estado do Pará, a barragem Piracaua. Moradores registraram o momento em que uma das barragens da mineradora Aurizona se rompeu, transbordou e invadiu o reservatório de água de onde era feita a captação do</w:t>
      </w:r>
      <w:r>
        <w:rPr>
          <w:spacing w:val="40"/>
        </w:rPr>
        <w:t xml:space="preserve"> </w:t>
      </w:r>
      <w:r>
        <w:t>sistema de abastecimento do povoado.</w:t>
      </w:r>
    </w:p>
    <w:p w:rsidR="00972CE3" w:rsidRDefault="001F20D2">
      <w:pPr>
        <w:pStyle w:val="Corpodetexto"/>
        <w:spacing w:before="1" w:line="360" w:lineRule="auto"/>
        <w:ind w:left="140" w:right="146" w:firstLine="710"/>
        <w:jc w:val="both"/>
      </w:pPr>
      <w:r>
        <w:t>Os rejeitos tóxicos da extração de ouro atingiram</w:t>
      </w:r>
      <w:r>
        <w:rPr>
          <w:spacing w:val="-2"/>
        </w:rPr>
        <w:t xml:space="preserve"> </w:t>
      </w:r>
      <w:r>
        <w:t xml:space="preserve">30 mil metros quadrados de vegetação nativa, o rio Tromaí e os reservatórios Juiz de Fora e Cachimbo, que abastecem a comunidade de Aurizona, cerca de 4 mil moradores ficaram sem água potável, problema que </w:t>
      </w:r>
      <w:r>
        <w:t>persistiu por mais de 1 ano, pois a mineradora afirmou que estava fornecendo água já em junho de 2021, o que segundo moradores relataram, isto se dava de forma deficiente e sem qualidade, o que fez com a a Equinoxx Gold fornecesse agia mineral à população.</w:t>
      </w:r>
    </w:p>
    <w:p w:rsidR="00972CE3" w:rsidRDefault="001F20D2">
      <w:pPr>
        <w:pStyle w:val="Corpodetexto"/>
        <w:spacing w:before="74"/>
        <w:ind w:left="746"/>
        <w:jc w:val="both"/>
      </w:pPr>
      <w:r>
        <w:rPr>
          <w:noProof/>
          <w:lang w:val="pt-BR" w:eastAsia="pt-BR"/>
        </w:rPr>
        <w:drawing>
          <wp:anchor distT="0" distB="0" distL="0" distR="0" simplePos="0" relativeHeight="487593472" behindDoc="1" locked="0" layoutInCell="1" allowOverlap="1">
            <wp:simplePos x="0" y="0"/>
            <wp:positionH relativeFrom="page">
              <wp:posOffset>1080135</wp:posOffset>
            </wp:positionH>
            <wp:positionV relativeFrom="paragraph">
              <wp:posOffset>228553</wp:posOffset>
            </wp:positionV>
            <wp:extent cx="5768351" cy="363359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5768351" cy="3633597"/>
                    </a:xfrm>
                    <a:prstGeom prst="rect">
                      <a:avLst/>
                    </a:prstGeom>
                  </pic:spPr>
                </pic:pic>
              </a:graphicData>
            </a:graphic>
          </wp:anchor>
        </w:drawing>
      </w:r>
      <w:r>
        <w:rPr>
          <w:rFonts w:ascii="Arial" w:hAnsi="Arial"/>
          <w:b/>
        </w:rPr>
        <w:t>Figura</w:t>
      </w:r>
      <w:r>
        <w:rPr>
          <w:rFonts w:ascii="Arial" w:hAnsi="Arial"/>
          <w:b/>
          <w:spacing w:val="-4"/>
        </w:rPr>
        <w:t xml:space="preserve"> </w:t>
      </w:r>
      <w:r>
        <w:rPr>
          <w:rFonts w:ascii="Arial" w:hAnsi="Arial"/>
          <w:b/>
        </w:rPr>
        <w:t xml:space="preserve">1 </w:t>
      </w:r>
      <w:r>
        <w:t>–</w:t>
      </w:r>
      <w:r>
        <w:rPr>
          <w:spacing w:val="-2"/>
        </w:rPr>
        <w:t xml:space="preserve"> </w:t>
      </w:r>
      <w:r>
        <w:t>Moradores</w:t>
      </w:r>
      <w:r>
        <w:rPr>
          <w:spacing w:val="-4"/>
        </w:rPr>
        <w:t xml:space="preserve"> </w:t>
      </w:r>
      <w:r>
        <w:t>de</w:t>
      </w:r>
      <w:r>
        <w:rPr>
          <w:spacing w:val="-3"/>
        </w:rPr>
        <w:t xml:space="preserve"> </w:t>
      </w:r>
      <w:r>
        <w:t>Aurizona</w:t>
      </w:r>
      <w:r>
        <w:rPr>
          <w:spacing w:val="-7"/>
        </w:rPr>
        <w:t xml:space="preserve"> </w:t>
      </w:r>
      <w:r>
        <w:t>debatendo</w:t>
      </w:r>
      <w:r>
        <w:rPr>
          <w:spacing w:val="-7"/>
        </w:rPr>
        <w:t xml:space="preserve"> </w:t>
      </w:r>
      <w:r>
        <w:t>o</w:t>
      </w:r>
      <w:r>
        <w:rPr>
          <w:spacing w:val="-2"/>
        </w:rPr>
        <w:t xml:space="preserve"> </w:t>
      </w:r>
      <w:r>
        <w:t>rompimento</w:t>
      </w:r>
      <w:r>
        <w:rPr>
          <w:spacing w:val="-2"/>
        </w:rPr>
        <w:t xml:space="preserve"> </w:t>
      </w:r>
      <w:r>
        <w:t>da</w:t>
      </w:r>
      <w:r>
        <w:rPr>
          <w:spacing w:val="-3"/>
        </w:rPr>
        <w:t xml:space="preserve"> </w:t>
      </w:r>
      <w:r>
        <w:rPr>
          <w:spacing w:val="-2"/>
        </w:rPr>
        <w:t>barragem</w:t>
      </w:r>
    </w:p>
    <w:p w:rsidR="00972CE3" w:rsidRDefault="001F20D2">
      <w:pPr>
        <w:spacing w:before="165"/>
        <w:ind w:left="15" w:right="17"/>
        <w:jc w:val="center"/>
        <w:rPr>
          <w:sz w:val="20"/>
        </w:rPr>
      </w:pPr>
      <w:r>
        <w:rPr>
          <w:rFonts w:ascii="Arial"/>
          <w:b/>
          <w:sz w:val="20"/>
        </w:rPr>
        <w:t>Fonte</w:t>
      </w:r>
      <w:r>
        <w:rPr>
          <w:sz w:val="20"/>
        </w:rPr>
        <w:t>:</w:t>
      </w:r>
      <w:r>
        <w:rPr>
          <w:spacing w:val="-7"/>
          <w:sz w:val="20"/>
        </w:rPr>
        <w:t xml:space="preserve"> </w:t>
      </w:r>
      <w:r>
        <w:rPr>
          <w:sz w:val="20"/>
        </w:rPr>
        <w:t>MAM,</w:t>
      </w:r>
      <w:r>
        <w:rPr>
          <w:spacing w:val="-1"/>
          <w:sz w:val="20"/>
        </w:rPr>
        <w:t xml:space="preserve"> </w:t>
      </w:r>
      <w:r>
        <w:rPr>
          <w:spacing w:val="-2"/>
          <w:sz w:val="20"/>
        </w:rPr>
        <w:t>2021.</w:t>
      </w:r>
    </w:p>
    <w:p w:rsidR="00972CE3" w:rsidRDefault="00972CE3">
      <w:pPr>
        <w:jc w:val="center"/>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6848" behindDoc="1" locked="0" layoutInCell="1" allowOverlap="1">
            <wp:simplePos x="0" y="0"/>
            <wp:positionH relativeFrom="page">
              <wp:posOffset>0</wp:posOffset>
            </wp:positionH>
            <wp:positionV relativeFrom="page">
              <wp:posOffset>6982</wp:posOffset>
            </wp:positionV>
            <wp:extent cx="7562088" cy="1048327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5" w:firstLine="710"/>
        <w:jc w:val="both"/>
      </w:pPr>
      <w:r>
        <w:t>O Conselho Nacional de Direitos Humanos (CNDH) aprovou e divulgou</w:t>
      </w:r>
      <w:r>
        <w:t xml:space="preserve"> em novembro de 2021 o relatório do caso da Mineração Aurizona S/A (MASA), nele há diversos relatos de moradores sobre as problemáticas na comunidade depois do rompimento da barragem como: enfermidades dermatológicas diversas, doenças respiratórias, oftalm</w:t>
      </w:r>
      <w:r>
        <w:t xml:space="preserve">ológicas e dermatológicas pelo material particulado, prejuízos à saúde mental dos moradores de Aurizona em decorrência do excesso de ruído constante na região, por conta de uso de explosivos; Destruição do manguezal e mortandade de peixes or causa de lama </w:t>
      </w:r>
      <w:r>
        <w:t>tóxica; Contaminação de mananciais e aquíferos; Problemas estruturais nas casas de moradores; Comprometimento do fornecimento de água (Scalabrin et. al., 2021).</w:t>
      </w:r>
    </w:p>
    <w:p w:rsidR="00972CE3" w:rsidRDefault="001F20D2">
      <w:pPr>
        <w:spacing w:line="275" w:lineRule="exact"/>
        <w:ind w:left="2777"/>
        <w:jc w:val="both"/>
        <w:rPr>
          <w:sz w:val="24"/>
        </w:rPr>
      </w:pPr>
      <w:r>
        <w:rPr>
          <w:rFonts w:ascii="Arial" w:hAnsi="Arial"/>
          <w:b/>
          <w:sz w:val="24"/>
        </w:rPr>
        <w:t>Figura</w:t>
      </w:r>
      <w:r>
        <w:rPr>
          <w:rFonts w:ascii="Arial" w:hAnsi="Arial"/>
          <w:b/>
          <w:spacing w:val="-2"/>
          <w:sz w:val="24"/>
        </w:rPr>
        <w:t xml:space="preserve"> </w:t>
      </w:r>
      <w:r>
        <w:rPr>
          <w:rFonts w:ascii="Arial" w:hAnsi="Arial"/>
          <w:b/>
          <w:sz w:val="24"/>
        </w:rPr>
        <w:t>2</w:t>
      </w:r>
      <w:r>
        <w:rPr>
          <w:rFonts w:ascii="Arial" w:hAnsi="Arial"/>
          <w:b/>
          <w:spacing w:val="2"/>
          <w:sz w:val="24"/>
        </w:rPr>
        <w:t xml:space="preserve"> </w:t>
      </w:r>
      <w:r>
        <w:rPr>
          <w:sz w:val="24"/>
        </w:rPr>
        <w:t>–</w:t>
      </w:r>
      <w:r>
        <w:rPr>
          <w:spacing w:val="-1"/>
          <w:sz w:val="24"/>
        </w:rPr>
        <w:t xml:space="preserve"> </w:t>
      </w:r>
      <w:r>
        <w:rPr>
          <w:sz w:val="24"/>
        </w:rPr>
        <w:t>Rio</w:t>
      </w:r>
      <w:r>
        <w:rPr>
          <w:spacing w:val="-5"/>
          <w:sz w:val="24"/>
        </w:rPr>
        <w:t xml:space="preserve"> </w:t>
      </w:r>
      <w:r>
        <w:rPr>
          <w:sz w:val="24"/>
        </w:rPr>
        <w:t>Tromaí</w:t>
      </w:r>
      <w:r>
        <w:rPr>
          <w:spacing w:val="-1"/>
          <w:sz w:val="24"/>
        </w:rPr>
        <w:t xml:space="preserve"> </w:t>
      </w:r>
      <w:r>
        <w:rPr>
          <w:sz w:val="24"/>
        </w:rPr>
        <w:t>em</w:t>
      </w:r>
      <w:r>
        <w:rPr>
          <w:spacing w:val="-9"/>
          <w:sz w:val="24"/>
        </w:rPr>
        <w:t xml:space="preserve"> </w:t>
      </w:r>
      <w:r>
        <w:rPr>
          <w:spacing w:val="-2"/>
          <w:sz w:val="24"/>
        </w:rPr>
        <w:t>Aurizona</w:t>
      </w:r>
    </w:p>
    <w:p w:rsidR="00972CE3" w:rsidRDefault="001F20D2">
      <w:pPr>
        <w:pStyle w:val="Corpodetexto"/>
        <w:spacing w:before="4"/>
        <w:rPr>
          <w:sz w:val="10"/>
        </w:rPr>
      </w:pPr>
      <w:r>
        <w:rPr>
          <w:noProof/>
          <w:sz w:val="10"/>
          <w:lang w:val="pt-BR" w:eastAsia="pt-BR"/>
        </w:rPr>
        <w:drawing>
          <wp:anchor distT="0" distB="0" distL="0" distR="0" simplePos="0" relativeHeight="487594496" behindDoc="1" locked="0" layoutInCell="1" allowOverlap="1">
            <wp:simplePos x="0" y="0"/>
            <wp:positionH relativeFrom="page">
              <wp:posOffset>1078864</wp:posOffset>
            </wp:positionH>
            <wp:positionV relativeFrom="paragraph">
              <wp:posOffset>91162</wp:posOffset>
            </wp:positionV>
            <wp:extent cx="5759675" cy="385248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759675" cy="3852481"/>
                    </a:xfrm>
                    <a:prstGeom prst="rect">
                      <a:avLst/>
                    </a:prstGeom>
                  </pic:spPr>
                </pic:pic>
              </a:graphicData>
            </a:graphic>
          </wp:anchor>
        </w:drawing>
      </w:r>
    </w:p>
    <w:p w:rsidR="00972CE3" w:rsidRDefault="001F20D2">
      <w:pPr>
        <w:spacing w:before="138"/>
        <w:ind w:left="16" w:right="17"/>
        <w:jc w:val="center"/>
        <w:rPr>
          <w:sz w:val="20"/>
        </w:rPr>
      </w:pPr>
      <w:r>
        <w:rPr>
          <w:rFonts w:ascii="Arial"/>
          <w:b/>
          <w:sz w:val="20"/>
        </w:rPr>
        <w:t>Fonte</w:t>
      </w:r>
      <w:r>
        <w:rPr>
          <w:sz w:val="20"/>
        </w:rPr>
        <w:t>:</w:t>
      </w:r>
      <w:r>
        <w:rPr>
          <w:spacing w:val="-7"/>
          <w:sz w:val="20"/>
        </w:rPr>
        <w:t xml:space="preserve"> </w:t>
      </w:r>
      <w:r>
        <w:rPr>
          <w:sz w:val="20"/>
        </w:rPr>
        <w:t>MAM,</w:t>
      </w:r>
      <w:r>
        <w:rPr>
          <w:spacing w:val="-1"/>
          <w:sz w:val="20"/>
        </w:rPr>
        <w:t xml:space="preserve"> </w:t>
      </w:r>
      <w:r>
        <w:rPr>
          <w:spacing w:val="-2"/>
          <w:sz w:val="20"/>
        </w:rPr>
        <w:t>2021.</w:t>
      </w:r>
    </w:p>
    <w:p w:rsidR="00972CE3" w:rsidRDefault="00972CE3">
      <w:pPr>
        <w:jc w:val="center"/>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7360" behindDoc="1" locked="0" layoutInCell="1" allowOverlap="1">
            <wp:simplePos x="0" y="0"/>
            <wp:positionH relativeFrom="page">
              <wp:posOffset>0</wp:posOffset>
            </wp:positionH>
            <wp:positionV relativeFrom="page">
              <wp:posOffset>6982</wp:posOffset>
            </wp:positionV>
            <wp:extent cx="7562088" cy="1048327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41" w:firstLine="710"/>
        <w:jc w:val="both"/>
      </w:pPr>
      <w:r>
        <w:t>A forma como mega empresas como a Equinoxx Gold se apropriam de territórios com minerais valiosos é muito prejudicial às populações locais, como já afirmamos, o Estado dá sustentação aos objetivos da máquina de guerra do Capital, que por sua vez atua no se</w:t>
      </w:r>
      <w:r>
        <w:t>ntido de auferir seus lucros a qualquer custo, mesmo causando contaminação de cursos d´água e mananciais, como no caso da lama tóxica no rio Tromaí e os cortes de abastecimento de água potável à população.</w:t>
      </w:r>
    </w:p>
    <w:p w:rsidR="00972CE3" w:rsidRDefault="001F20D2">
      <w:pPr>
        <w:pStyle w:val="Corpodetexto"/>
        <w:spacing w:before="4" w:line="360" w:lineRule="auto"/>
        <w:ind w:left="140" w:right="132" w:firstLine="710"/>
        <w:jc w:val="both"/>
      </w:pPr>
      <w:r>
        <w:t>O modelo de mineração vigente no Brasil, além de p</w:t>
      </w:r>
      <w:r>
        <w:t>redatório, é voltado para atuação indiscriminada de transnacionais, sobretudo na região amazônica, afetando de forma bastante incisiva modos de vida de quilombolas, camponeses e indígenas, no que Aráoz (2020, p. 199), denominou de “expropriação ecobiopolít</w:t>
      </w:r>
      <w:r>
        <w:t>ica da mineração”, um tipo de expropriação que adquire dimensões radicais. Não implica somente na privação dos meios de trabalho, mas da vida em todas as frentes. As novas tecnologias de exploração simbolizam as formas contemporâneas que o império do capit</w:t>
      </w:r>
      <w:r>
        <w:t>al impõe sobre a vida em geral; dominio, controle e capacidade de disposição sobre todas as formas etapas e processos. [...] é uma modalidade de dominação baseada no controle integral das dimensões fundamentais constitutivas da vida humana.</w:t>
      </w:r>
    </w:p>
    <w:p w:rsidR="00972CE3" w:rsidRDefault="001F20D2">
      <w:pPr>
        <w:pStyle w:val="Heading2"/>
        <w:numPr>
          <w:ilvl w:val="1"/>
          <w:numId w:val="3"/>
        </w:numPr>
        <w:tabs>
          <w:tab w:val="left" w:pos="543"/>
        </w:tabs>
        <w:spacing w:before="113"/>
        <w:ind w:left="543" w:hanging="403"/>
      </w:pPr>
      <w:r>
        <w:t>Lutas</w:t>
      </w:r>
      <w:r>
        <w:rPr>
          <w:spacing w:val="-7"/>
        </w:rPr>
        <w:t xml:space="preserve"> </w:t>
      </w:r>
      <w:r>
        <w:t>contra</w:t>
      </w:r>
      <w:r>
        <w:rPr>
          <w:spacing w:val="-3"/>
        </w:rPr>
        <w:t xml:space="preserve"> </w:t>
      </w:r>
      <w:r>
        <w:t>a</w:t>
      </w:r>
      <w:r>
        <w:rPr>
          <w:spacing w:val="-1"/>
        </w:rPr>
        <w:t xml:space="preserve"> </w:t>
      </w:r>
      <w:r>
        <w:t>aprovação</w:t>
      </w:r>
      <w:r>
        <w:rPr>
          <w:spacing w:val="-6"/>
        </w:rPr>
        <w:t xml:space="preserve"> </w:t>
      </w:r>
      <w:r>
        <w:t>do</w:t>
      </w:r>
      <w:r>
        <w:rPr>
          <w:spacing w:val="-1"/>
        </w:rPr>
        <w:t xml:space="preserve"> </w:t>
      </w:r>
      <w:r>
        <w:t>Plano</w:t>
      </w:r>
      <w:r>
        <w:rPr>
          <w:spacing w:val="-2"/>
        </w:rPr>
        <w:t xml:space="preserve"> </w:t>
      </w:r>
      <w:r>
        <w:t>Diretor</w:t>
      </w:r>
      <w:r>
        <w:rPr>
          <w:spacing w:val="-5"/>
        </w:rPr>
        <w:t xml:space="preserve"> </w:t>
      </w:r>
      <w:r>
        <w:t>em</w:t>
      </w:r>
      <w:r>
        <w:rPr>
          <w:spacing w:val="-6"/>
        </w:rPr>
        <w:t xml:space="preserve"> </w:t>
      </w:r>
      <w:r>
        <w:t>São</w:t>
      </w:r>
      <w:r>
        <w:rPr>
          <w:spacing w:val="-1"/>
        </w:rPr>
        <w:t xml:space="preserve"> </w:t>
      </w:r>
      <w:r>
        <w:rPr>
          <w:spacing w:val="-4"/>
        </w:rPr>
        <w:t>Luís</w:t>
      </w:r>
    </w:p>
    <w:p w:rsidR="00972CE3" w:rsidRDefault="001F20D2">
      <w:pPr>
        <w:pStyle w:val="Corpodetexto"/>
        <w:spacing w:before="146" w:line="360" w:lineRule="auto"/>
        <w:ind w:left="140" w:right="135" w:firstLine="710"/>
        <w:jc w:val="both"/>
      </w:pPr>
      <w:r>
        <w:t>O Plano Diretor do município de São Luís foi aprovado e sancionado pelo prefeito Eduardo Braide em abril de 2023, depois de oito anos de muitos embates entre diversos agentes da sociedade civil, dos empresários e do p</w:t>
      </w:r>
      <w:r>
        <w:t>oder público. A lei não está articulada às políticas fundiárias e a um processo verdadeiramente participativo,</w:t>
      </w:r>
      <w:r>
        <w:rPr>
          <w:spacing w:val="-6"/>
        </w:rPr>
        <w:t xml:space="preserve"> </w:t>
      </w:r>
      <w:r>
        <w:t>o</w:t>
      </w:r>
      <w:r>
        <w:rPr>
          <w:spacing w:val="-2"/>
        </w:rPr>
        <w:t xml:space="preserve"> </w:t>
      </w:r>
      <w:r>
        <w:t>que</w:t>
      </w:r>
      <w:r>
        <w:rPr>
          <w:spacing w:val="-6"/>
        </w:rPr>
        <w:t xml:space="preserve"> </w:t>
      </w:r>
      <w:r>
        <w:t>enseja</w:t>
      </w:r>
      <w:r>
        <w:rPr>
          <w:spacing w:val="-2"/>
        </w:rPr>
        <w:t xml:space="preserve"> </w:t>
      </w:r>
      <w:r>
        <w:t>implicações</w:t>
      </w:r>
      <w:r>
        <w:rPr>
          <w:spacing w:val="-2"/>
        </w:rPr>
        <w:t xml:space="preserve"> </w:t>
      </w:r>
      <w:r>
        <w:t>no</w:t>
      </w:r>
      <w:r>
        <w:rPr>
          <w:spacing w:val="-6"/>
        </w:rPr>
        <w:t xml:space="preserve"> </w:t>
      </w:r>
      <w:r>
        <w:t>mau</w:t>
      </w:r>
      <w:r>
        <w:rPr>
          <w:spacing w:val="-2"/>
        </w:rPr>
        <w:t xml:space="preserve"> </w:t>
      </w:r>
      <w:r>
        <w:t>uso</w:t>
      </w:r>
      <w:r>
        <w:rPr>
          <w:spacing w:val="-2"/>
        </w:rPr>
        <w:t xml:space="preserve"> </w:t>
      </w:r>
      <w:r>
        <w:t>do</w:t>
      </w:r>
      <w:r>
        <w:rPr>
          <w:spacing w:val="-2"/>
        </w:rPr>
        <w:t xml:space="preserve"> </w:t>
      </w:r>
      <w:r>
        <w:t>solo</w:t>
      </w:r>
      <w:r>
        <w:rPr>
          <w:spacing w:val="-2"/>
        </w:rPr>
        <w:t xml:space="preserve"> </w:t>
      </w:r>
      <w:r>
        <w:t>urbano,</w:t>
      </w:r>
      <w:r>
        <w:rPr>
          <w:spacing w:val="-2"/>
        </w:rPr>
        <w:t xml:space="preserve"> </w:t>
      </w:r>
      <w:r>
        <w:t>contribuindo</w:t>
      </w:r>
      <w:r>
        <w:rPr>
          <w:spacing w:val="-2"/>
        </w:rPr>
        <w:t xml:space="preserve"> </w:t>
      </w:r>
      <w:r>
        <w:t>para um quadro cada vez mais acentuado de precariedade, insalubridade,</w:t>
      </w:r>
      <w:r>
        <w:rPr>
          <w:spacing w:val="40"/>
        </w:rPr>
        <w:t xml:space="preserve"> </w:t>
      </w:r>
      <w:r>
        <w:t>clandestinidade e</w:t>
      </w:r>
      <w:r>
        <w:rPr>
          <w:spacing w:val="-3"/>
        </w:rPr>
        <w:t xml:space="preserve"> </w:t>
      </w:r>
      <w:r>
        <w:t>insegurança para mais de</w:t>
      </w:r>
      <w:r>
        <w:rPr>
          <w:spacing w:val="-3"/>
        </w:rPr>
        <w:t xml:space="preserve"> </w:t>
      </w:r>
      <w:r>
        <w:t>100 mil famílias no município que vivem amontoadas em habitações precárias, suscetíveis à alagamentos, enchentes e deslizamentos.</w:t>
      </w:r>
      <w:r>
        <w:rPr>
          <w:spacing w:val="40"/>
        </w:rPr>
        <w:t xml:space="preserve"> </w:t>
      </w:r>
      <w:r>
        <w:t>Estas</w:t>
      </w:r>
      <w:r>
        <w:rPr>
          <w:spacing w:val="40"/>
        </w:rPr>
        <w:t xml:space="preserve"> </w:t>
      </w:r>
      <w:r>
        <w:t>áreas</w:t>
      </w:r>
      <w:r>
        <w:rPr>
          <w:spacing w:val="40"/>
        </w:rPr>
        <w:t xml:space="preserve"> </w:t>
      </w:r>
      <w:r>
        <w:t>não</w:t>
      </w:r>
      <w:r>
        <w:rPr>
          <w:spacing w:val="40"/>
        </w:rPr>
        <w:t xml:space="preserve"> </w:t>
      </w:r>
      <w:r>
        <w:t>possuem</w:t>
      </w:r>
      <w:r>
        <w:rPr>
          <w:spacing w:val="34"/>
        </w:rPr>
        <w:t xml:space="preserve"> </w:t>
      </w:r>
      <w:r>
        <w:t>a</w:t>
      </w:r>
      <w:r>
        <w:rPr>
          <w:spacing w:val="40"/>
        </w:rPr>
        <w:t xml:space="preserve"> </w:t>
      </w:r>
      <w:r>
        <w:t>segurança</w:t>
      </w:r>
      <w:r>
        <w:rPr>
          <w:spacing w:val="40"/>
        </w:rPr>
        <w:t xml:space="preserve"> </w:t>
      </w:r>
      <w:r>
        <w:t>jurídica</w:t>
      </w:r>
      <w:r>
        <w:rPr>
          <w:spacing w:val="40"/>
        </w:rPr>
        <w:t xml:space="preserve"> </w:t>
      </w:r>
      <w:r>
        <w:t>que</w:t>
      </w:r>
      <w:r>
        <w:rPr>
          <w:spacing w:val="40"/>
        </w:rPr>
        <w:t xml:space="preserve"> </w:t>
      </w:r>
      <w:r>
        <w:t>a</w:t>
      </w:r>
      <w:r>
        <w:rPr>
          <w:spacing w:val="38"/>
        </w:rPr>
        <w:t xml:space="preserve"> </w:t>
      </w:r>
      <w:r>
        <w:t>FIEMA</w:t>
      </w:r>
      <w:r>
        <w:rPr>
          <w:spacing w:val="40"/>
        </w:rPr>
        <w:t xml:space="preserve"> </w:t>
      </w:r>
      <w:r>
        <w:t>e</w:t>
      </w:r>
      <w:r>
        <w:rPr>
          <w:spacing w:val="40"/>
        </w:rPr>
        <w:t xml:space="preserve"> </w:t>
      </w:r>
      <w:r>
        <w:t>o</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7872" behindDoc="1" locked="0" layoutInCell="1" allowOverlap="1">
            <wp:simplePos x="0" y="0"/>
            <wp:positionH relativeFrom="page">
              <wp:posOffset>0</wp:posOffset>
            </wp:positionH>
            <wp:positionV relativeFrom="page">
              <wp:posOffset>6982</wp:posOffset>
            </wp:positionV>
            <wp:extent cx="7562088" cy="104832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45"/>
        <w:jc w:val="both"/>
      </w:pPr>
      <w:r>
        <w:t>S</w:t>
      </w:r>
      <w:r>
        <w:t>INDUSCON conseguiram para as novas áreas urbanas, que segundo eles, servirá para trazer desenvolvimento ao território ludovicense.</w:t>
      </w:r>
    </w:p>
    <w:p w:rsidR="00972CE3" w:rsidRDefault="001F20D2">
      <w:pPr>
        <w:pStyle w:val="Corpodetexto"/>
        <w:spacing w:before="3" w:line="360" w:lineRule="auto"/>
        <w:ind w:left="140" w:right="139" w:firstLine="710"/>
        <w:jc w:val="both"/>
      </w:pPr>
      <w:r>
        <w:t>Há outro problema, os planejadores urbanos em São Luís possuem (ou</w:t>
      </w:r>
      <w:r>
        <w:rPr>
          <w:spacing w:val="40"/>
        </w:rPr>
        <w:t xml:space="preserve"> </w:t>
      </w:r>
      <w:r>
        <w:t>fingem possuir) uma crença excessiva de que o aparato jurí</w:t>
      </w:r>
      <w:r>
        <w:t>dico é suficiente para alcançar conquistas sociais no espaço urbano, mas a realidade é outra, à medida que o acesso à terra urbanizada no Brasil e em São Luís continua desigual, comandada pelo mercado imobiliário, que conta com este aparato legal a seu fav</w:t>
      </w:r>
      <w:r>
        <w:t>or.</w:t>
      </w:r>
    </w:p>
    <w:p w:rsidR="00972CE3" w:rsidRDefault="001F20D2">
      <w:pPr>
        <w:pStyle w:val="Corpodetexto"/>
        <w:spacing w:line="360" w:lineRule="auto"/>
        <w:ind w:left="140" w:right="142" w:firstLine="710"/>
        <w:jc w:val="both"/>
      </w:pPr>
      <w:r>
        <w:t>O Plano Diretor e seus instrumentos tem se caracterizado pela sua não aplicabilidade quando é para afetar positivamente os excluídos e espoliados</w:t>
      </w:r>
      <w:r>
        <w:rPr>
          <w:spacing w:val="40"/>
        </w:rPr>
        <w:t xml:space="preserve"> </w:t>
      </w:r>
      <w:r>
        <w:t>urbanos. Na prática, eles se aplicam para atender interesses econômicos que, amiúde, são carregados com o discurso dominante de modernidade, prosperidade, progresso e desenvolvimento, como temos visto recorrentemente os apologistas desta</w:t>
      </w:r>
      <w:r>
        <w:rPr>
          <w:spacing w:val="-3"/>
        </w:rPr>
        <w:t xml:space="preserve"> </w:t>
      </w:r>
      <w:r>
        <w:t>proposta</w:t>
      </w:r>
      <w:r>
        <w:rPr>
          <w:spacing w:val="-3"/>
        </w:rPr>
        <w:t xml:space="preserve"> </w:t>
      </w:r>
      <w:r>
        <w:t>dizer.</w:t>
      </w:r>
      <w:r>
        <w:rPr>
          <w:spacing w:val="-4"/>
        </w:rPr>
        <w:t xml:space="preserve"> </w:t>
      </w:r>
      <w:r>
        <w:t>Al</w:t>
      </w:r>
      <w:r>
        <w:t>iás,</w:t>
      </w:r>
      <w:r>
        <w:rPr>
          <w:spacing w:val="-4"/>
        </w:rPr>
        <w:t xml:space="preserve"> </w:t>
      </w:r>
      <w:r>
        <w:t>a</w:t>
      </w:r>
      <w:r>
        <w:rPr>
          <w:spacing w:val="-4"/>
        </w:rPr>
        <w:t xml:space="preserve"> </w:t>
      </w:r>
      <w:r>
        <w:t>palavra</w:t>
      </w:r>
      <w:r>
        <w:rPr>
          <w:spacing w:val="-7"/>
        </w:rPr>
        <w:t xml:space="preserve"> </w:t>
      </w:r>
      <w:r>
        <w:t>“desenvolvimento”</w:t>
      </w:r>
      <w:r>
        <w:rPr>
          <w:spacing w:val="-3"/>
        </w:rPr>
        <w:t xml:space="preserve"> </w:t>
      </w:r>
      <w:r>
        <w:t>na</w:t>
      </w:r>
      <w:r>
        <w:rPr>
          <w:spacing w:val="-4"/>
        </w:rPr>
        <w:t xml:space="preserve"> </w:t>
      </w:r>
      <w:r>
        <w:t>proposta</w:t>
      </w:r>
      <w:r>
        <w:rPr>
          <w:spacing w:val="-7"/>
        </w:rPr>
        <w:t xml:space="preserve"> </w:t>
      </w:r>
      <w:r>
        <w:t>atual de</w:t>
      </w:r>
      <w:r>
        <w:rPr>
          <w:spacing w:val="-4"/>
        </w:rPr>
        <w:t xml:space="preserve"> </w:t>
      </w:r>
      <w:r>
        <w:t>revisão do Plano Diretor de São Luís – como já alertei outras vezes – aparece 89 vezes! Sempre acompanhada de sobrenomes para tentar diferenciá-la ou incluir formas de melhorar seu enunciado (Santos, 20</w:t>
      </w:r>
      <w:r>
        <w:t>23). Aparecem as seguintes palavras depois de “desenvolvimento”: urbano, rural, sustentável, econômico, local, social. A pergunta que se faz é que desenvolvimento é esse? Para que e para quem?</w:t>
      </w:r>
    </w:p>
    <w:p w:rsidR="00972CE3" w:rsidRDefault="001F20D2">
      <w:pPr>
        <w:pStyle w:val="Corpodetexto"/>
        <w:spacing w:before="2" w:line="360" w:lineRule="auto"/>
        <w:ind w:left="140" w:right="144" w:firstLine="710"/>
        <w:jc w:val="both"/>
      </w:pPr>
      <w:r>
        <w:t>A ideia de ‘desenvolvimento’ e sua disseminação faz parte de um</w:t>
      </w:r>
      <w:r>
        <w:t xml:space="preserve"> grande projeto da classe capitalista, uma racionalidade que organiza e estrutura a ação</w:t>
      </w:r>
      <w:r>
        <w:rPr>
          <w:spacing w:val="40"/>
        </w:rPr>
        <w:t xml:space="preserve"> </w:t>
      </w:r>
      <w:r>
        <w:t>tanto do poder econômico e político, quanto a conduta dos seus explorados e excluídos. O desenvolvimento justifica seus meios e fracassos, por vezes aceitamos as regra</w:t>
      </w:r>
      <w:r>
        <w:t>s do vale tudo. Tudo é tolerado na luta para deixar o subdesenvolvimento</w:t>
      </w:r>
      <w:r>
        <w:rPr>
          <w:spacing w:val="40"/>
        </w:rPr>
        <w:t xml:space="preserve"> </w:t>
      </w:r>
      <w:r>
        <w:t>em</w:t>
      </w:r>
      <w:r>
        <w:rPr>
          <w:spacing w:val="-3"/>
        </w:rPr>
        <w:t xml:space="preserve"> </w:t>
      </w:r>
      <w:r>
        <w:t>busca do progresso. Nesta perspectiva, a receita de desenvolvimento é benéfica para os povos, mas na realidade ela esconde a imensa concentração de riqueza, renda e patrimônio no m</w:t>
      </w:r>
      <w:r>
        <w:t>undo e a aliança indissociável entre os poderes econômico</w:t>
      </w:r>
      <w:r>
        <w:rPr>
          <w:spacing w:val="40"/>
        </w:rPr>
        <w:t xml:space="preserve"> </w:t>
      </w:r>
      <w:r>
        <w:t>e político, como tão bem analisou Thomas Piketty em sua famigerada obra “O</w:t>
      </w:r>
      <w:r>
        <w:rPr>
          <w:spacing w:val="40"/>
        </w:rPr>
        <w:t xml:space="preserve"> </w:t>
      </w:r>
      <w:r>
        <w:t>Capital no Século XXI”.</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8896" behindDoc="1" locked="0" layoutInCell="1" allowOverlap="1">
            <wp:simplePos x="0" y="0"/>
            <wp:positionH relativeFrom="page">
              <wp:posOffset>0</wp:posOffset>
            </wp:positionH>
            <wp:positionV relativeFrom="page">
              <wp:posOffset>6982</wp:posOffset>
            </wp:positionV>
            <wp:extent cx="7562088" cy="1048327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3"/>
      </w:pPr>
    </w:p>
    <w:p w:rsidR="00972CE3" w:rsidRDefault="001F20D2">
      <w:pPr>
        <w:pStyle w:val="Corpodetexto"/>
        <w:ind w:left="17" w:right="17"/>
        <w:jc w:val="center"/>
      </w:pPr>
      <w:r>
        <w:rPr>
          <w:rFonts w:ascii="Arial" w:hAnsi="Arial"/>
          <w:b/>
        </w:rPr>
        <w:t>Figura</w:t>
      </w:r>
      <w:r>
        <w:rPr>
          <w:rFonts w:ascii="Arial" w:hAnsi="Arial"/>
          <w:b/>
          <w:spacing w:val="-2"/>
        </w:rPr>
        <w:t xml:space="preserve"> </w:t>
      </w:r>
      <w:r>
        <w:rPr>
          <w:rFonts w:ascii="Arial" w:hAnsi="Arial"/>
          <w:b/>
        </w:rPr>
        <w:t>3</w:t>
      </w:r>
      <w:r>
        <w:rPr>
          <w:rFonts w:ascii="Arial" w:hAnsi="Arial"/>
          <w:b/>
          <w:spacing w:val="1"/>
        </w:rPr>
        <w:t xml:space="preserve"> </w:t>
      </w:r>
      <w:r>
        <w:t>- Protesto</w:t>
      </w:r>
      <w:r>
        <w:rPr>
          <w:spacing w:val="-1"/>
        </w:rPr>
        <w:t xml:space="preserve"> </w:t>
      </w:r>
      <w:r>
        <w:t>de</w:t>
      </w:r>
      <w:r>
        <w:rPr>
          <w:spacing w:val="-6"/>
        </w:rPr>
        <w:t xml:space="preserve"> </w:t>
      </w:r>
      <w:r>
        <w:t>moradores</w:t>
      </w:r>
      <w:r>
        <w:rPr>
          <w:spacing w:val="-2"/>
        </w:rPr>
        <w:t xml:space="preserve"> </w:t>
      </w:r>
      <w:r>
        <w:t>do</w:t>
      </w:r>
      <w:r>
        <w:rPr>
          <w:spacing w:val="-2"/>
        </w:rPr>
        <w:t xml:space="preserve"> </w:t>
      </w:r>
      <w:r>
        <w:t>Cajueiro</w:t>
      </w:r>
      <w:r>
        <w:rPr>
          <w:spacing w:val="-6"/>
        </w:rPr>
        <w:t xml:space="preserve"> </w:t>
      </w:r>
      <w:r>
        <w:t>na</w:t>
      </w:r>
      <w:r>
        <w:rPr>
          <w:spacing w:val="-2"/>
        </w:rPr>
        <w:t xml:space="preserve"> </w:t>
      </w:r>
      <w:r>
        <w:t>frente</w:t>
      </w:r>
      <w:r>
        <w:rPr>
          <w:spacing w:val="-1"/>
        </w:rPr>
        <w:t xml:space="preserve"> </w:t>
      </w:r>
      <w:r>
        <w:t>do</w:t>
      </w:r>
      <w:r>
        <w:rPr>
          <w:spacing w:val="-2"/>
        </w:rPr>
        <w:t xml:space="preserve"> </w:t>
      </w:r>
      <w:r>
        <w:t>Palácio</w:t>
      </w:r>
      <w:r>
        <w:rPr>
          <w:spacing w:val="-6"/>
        </w:rPr>
        <w:t xml:space="preserve"> </w:t>
      </w:r>
      <w:r>
        <w:t>dos</w:t>
      </w:r>
      <w:r>
        <w:rPr>
          <w:spacing w:val="-2"/>
        </w:rPr>
        <w:t xml:space="preserve"> Leões</w:t>
      </w:r>
    </w:p>
    <w:p w:rsidR="00972CE3" w:rsidRDefault="001F20D2">
      <w:pPr>
        <w:pStyle w:val="Corpodetexto"/>
        <w:spacing w:before="8"/>
        <w:rPr>
          <w:sz w:val="10"/>
        </w:rPr>
      </w:pPr>
      <w:r>
        <w:rPr>
          <w:noProof/>
          <w:sz w:val="10"/>
          <w:lang w:val="pt-BR" w:eastAsia="pt-BR"/>
        </w:rPr>
        <w:drawing>
          <wp:anchor distT="0" distB="0" distL="0" distR="0" simplePos="0" relativeHeight="487596544" behindDoc="1" locked="0" layoutInCell="1" allowOverlap="1">
            <wp:simplePos x="0" y="0"/>
            <wp:positionH relativeFrom="page">
              <wp:posOffset>1109344</wp:posOffset>
            </wp:positionH>
            <wp:positionV relativeFrom="paragraph">
              <wp:posOffset>93703</wp:posOffset>
            </wp:positionV>
            <wp:extent cx="5739726" cy="312181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5739726" cy="3121818"/>
                    </a:xfrm>
                    <a:prstGeom prst="rect">
                      <a:avLst/>
                    </a:prstGeom>
                  </pic:spPr>
                </pic:pic>
              </a:graphicData>
            </a:graphic>
          </wp:anchor>
        </w:drawing>
      </w:r>
    </w:p>
    <w:p w:rsidR="00972CE3" w:rsidRDefault="001F20D2">
      <w:pPr>
        <w:ind w:left="3" w:right="7"/>
        <w:jc w:val="center"/>
        <w:rPr>
          <w:sz w:val="20"/>
        </w:rPr>
      </w:pPr>
      <w:r>
        <w:rPr>
          <w:rFonts w:ascii="Arial" w:hAnsi="Arial"/>
          <w:b/>
          <w:sz w:val="20"/>
        </w:rPr>
        <w:t>Fonte</w:t>
      </w:r>
      <w:r>
        <w:rPr>
          <w:sz w:val="20"/>
        </w:rPr>
        <w:t>:</w:t>
      </w:r>
      <w:r>
        <w:rPr>
          <w:spacing w:val="-8"/>
          <w:sz w:val="20"/>
        </w:rPr>
        <w:t xml:space="preserve"> </w:t>
      </w:r>
      <w:r>
        <w:rPr>
          <w:sz w:val="20"/>
        </w:rPr>
        <w:t>Acervo</w:t>
      </w:r>
      <w:r>
        <w:rPr>
          <w:spacing w:val="-6"/>
          <w:sz w:val="20"/>
        </w:rPr>
        <w:t xml:space="preserve"> </w:t>
      </w:r>
      <w:r>
        <w:rPr>
          <w:sz w:val="20"/>
        </w:rPr>
        <w:t>da</w:t>
      </w:r>
      <w:r>
        <w:rPr>
          <w:spacing w:val="-6"/>
          <w:sz w:val="20"/>
        </w:rPr>
        <w:t xml:space="preserve"> </w:t>
      </w:r>
      <w:r>
        <w:rPr>
          <w:sz w:val="20"/>
        </w:rPr>
        <w:t>Comissão</w:t>
      </w:r>
      <w:r>
        <w:rPr>
          <w:spacing w:val="-6"/>
          <w:sz w:val="20"/>
        </w:rPr>
        <w:t xml:space="preserve"> </w:t>
      </w:r>
      <w:r>
        <w:rPr>
          <w:sz w:val="20"/>
        </w:rPr>
        <w:t>Pastoral</w:t>
      </w:r>
      <w:r>
        <w:rPr>
          <w:spacing w:val="-2"/>
          <w:sz w:val="20"/>
        </w:rPr>
        <w:t xml:space="preserve"> </w:t>
      </w:r>
      <w:r>
        <w:rPr>
          <w:sz w:val="20"/>
        </w:rPr>
        <w:t>da</w:t>
      </w:r>
      <w:r>
        <w:rPr>
          <w:spacing w:val="-6"/>
          <w:sz w:val="20"/>
        </w:rPr>
        <w:t xml:space="preserve"> </w:t>
      </w:r>
      <w:r>
        <w:rPr>
          <w:sz w:val="20"/>
        </w:rPr>
        <w:t>Terra</w:t>
      </w:r>
      <w:r>
        <w:rPr>
          <w:spacing w:val="-3"/>
          <w:sz w:val="20"/>
        </w:rPr>
        <w:t xml:space="preserve"> </w:t>
      </w:r>
      <w:r>
        <w:rPr>
          <w:sz w:val="20"/>
        </w:rPr>
        <w:t>–</w:t>
      </w:r>
      <w:r>
        <w:rPr>
          <w:spacing w:val="-6"/>
          <w:sz w:val="20"/>
        </w:rPr>
        <w:t xml:space="preserve"> </w:t>
      </w:r>
      <w:r>
        <w:rPr>
          <w:sz w:val="20"/>
        </w:rPr>
        <w:t>CPT,</w:t>
      </w:r>
      <w:r>
        <w:rPr>
          <w:spacing w:val="-11"/>
          <w:sz w:val="20"/>
        </w:rPr>
        <w:t xml:space="preserve"> </w:t>
      </w:r>
      <w:r>
        <w:rPr>
          <w:spacing w:val="-2"/>
          <w:sz w:val="20"/>
        </w:rPr>
        <w:t>2019.</w:t>
      </w:r>
    </w:p>
    <w:p w:rsidR="00972CE3" w:rsidRDefault="00972CE3">
      <w:pPr>
        <w:pStyle w:val="Corpodetexto"/>
        <w:spacing w:before="68"/>
        <w:rPr>
          <w:sz w:val="20"/>
        </w:rPr>
      </w:pPr>
    </w:p>
    <w:p w:rsidR="00972CE3" w:rsidRDefault="001F20D2">
      <w:pPr>
        <w:pStyle w:val="Corpodetexto"/>
        <w:spacing w:line="360" w:lineRule="auto"/>
        <w:ind w:left="140" w:right="135" w:firstLine="710"/>
        <w:jc w:val="both"/>
      </w:pPr>
      <w:r>
        <w:t>Destarte, para a aprovação do Plano Diretor, é preciso vender a imagem de São Luís como uma cidade</w:t>
      </w:r>
      <w:r>
        <w:rPr>
          <w:spacing w:val="-2"/>
        </w:rPr>
        <w:t xml:space="preserve"> </w:t>
      </w:r>
      <w:r>
        <w:t>portuária,</w:t>
      </w:r>
      <w:r>
        <w:rPr>
          <w:spacing w:val="-2"/>
        </w:rPr>
        <w:t xml:space="preserve"> </w:t>
      </w:r>
      <w:r>
        <w:t>que tem</w:t>
      </w:r>
      <w:r>
        <w:rPr>
          <w:spacing w:val="-5"/>
        </w:rPr>
        <w:t xml:space="preserve"> </w:t>
      </w:r>
      <w:r>
        <w:t>potencialidades</w:t>
      </w:r>
      <w:r>
        <w:rPr>
          <w:spacing w:val="-2"/>
        </w:rPr>
        <w:t xml:space="preserve"> </w:t>
      </w:r>
      <w:r>
        <w:t>naturais e</w:t>
      </w:r>
      <w:r>
        <w:rPr>
          <w:spacing w:val="-1"/>
        </w:rPr>
        <w:t xml:space="preserve"> </w:t>
      </w:r>
      <w:r>
        <w:t>localização privilegiada propícias à lógica mercantil</w:t>
      </w:r>
      <w:r>
        <w:t xml:space="preserve"> de escoamento de commodities para o mercado internacional – este entendimento foi evocado por diversos vereadores quando da votação da proposta. Para atender a esse objetivo, é essencial a aprovação de sua lei complementar, o Zoneamento, que permitirá que</w:t>
      </w:r>
      <w:r>
        <w:t xml:space="preserve"> São Luís intensifique o uso do solo pela ocupação de áreas e territórios ociosos, saindo de</w:t>
      </w:r>
      <w:r>
        <w:rPr>
          <w:spacing w:val="40"/>
        </w:rPr>
        <w:t xml:space="preserve"> </w:t>
      </w:r>
      <w:r>
        <w:t>sua condição de “imutabilidade”, a de uma cidade que se recusa a prosperar, como dizem alguns.</w:t>
      </w:r>
    </w:p>
    <w:p w:rsidR="00972CE3" w:rsidRDefault="001F20D2">
      <w:pPr>
        <w:pStyle w:val="Corpodetexto"/>
        <w:spacing w:line="360" w:lineRule="auto"/>
        <w:ind w:left="140" w:right="143" w:firstLine="710"/>
        <w:jc w:val="both"/>
      </w:pPr>
      <w:r>
        <w:t>Por fim, pergunto: quem</w:t>
      </w:r>
      <w:r>
        <w:rPr>
          <w:spacing w:val="-5"/>
        </w:rPr>
        <w:t xml:space="preserve"> </w:t>
      </w:r>
      <w:r>
        <w:t>precisa de Plano Diretor em</w:t>
      </w:r>
      <w:r>
        <w:rPr>
          <w:spacing w:val="-5"/>
        </w:rPr>
        <w:t xml:space="preserve"> </w:t>
      </w:r>
      <w:r>
        <w:t>São Luís? Da forma que a lei se apresenta, certamente os grandes empresários do ramo imobiliário e da indústria da construção civil. Quanto mais burocrático, técnico e instrumental for o Plano Diretor, melhor para esses setores, pois dificulta a compreensã</w:t>
      </w:r>
      <w:r>
        <w:t>o da lei pela maior</w:t>
      </w:r>
      <w:r>
        <w:rPr>
          <w:spacing w:val="49"/>
        </w:rPr>
        <w:t xml:space="preserve"> </w:t>
      </w:r>
      <w:r>
        <w:t>parte</w:t>
      </w:r>
      <w:r>
        <w:rPr>
          <w:spacing w:val="50"/>
        </w:rPr>
        <w:t xml:space="preserve"> </w:t>
      </w:r>
      <w:r>
        <w:t>da</w:t>
      </w:r>
      <w:r>
        <w:rPr>
          <w:spacing w:val="50"/>
        </w:rPr>
        <w:t xml:space="preserve"> </w:t>
      </w:r>
      <w:r>
        <w:t>população</w:t>
      </w:r>
      <w:r>
        <w:rPr>
          <w:spacing w:val="50"/>
        </w:rPr>
        <w:t xml:space="preserve"> </w:t>
      </w:r>
      <w:r>
        <w:t>da</w:t>
      </w:r>
      <w:r>
        <w:rPr>
          <w:spacing w:val="44"/>
        </w:rPr>
        <w:t xml:space="preserve"> </w:t>
      </w:r>
      <w:r>
        <w:t>ilha,</w:t>
      </w:r>
      <w:r>
        <w:rPr>
          <w:spacing w:val="45"/>
        </w:rPr>
        <w:t xml:space="preserve"> </w:t>
      </w:r>
      <w:r>
        <w:t>que</w:t>
      </w:r>
      <w:r>
        <w:rPr>
          <w:spacing w:val="50"/>
        </w:rPr>
        <w:t xml:space="preserve"> </w:t>
      </w:r>
      <w:r>
        <w:t>fica</w:t>
      </w:r>
      <w:r>
        <w:rPr>
          <w:spacing w:val="45"/>
        </w:rPr>
        <w:t xml:space="preserve"> </w:t>
      </w:r>
      <w:r>
        <w:t>suscetível</w:t>
      </w:r>
      <w:r>
        <w:rPr>
          <w:spacing w:val="48"/>
        </w:rPr>
        <w:t xml:space="preserve"> </w:t>
      </w:r>
      <w:r>
        <w:t>de</w:t>
      </w:r>
      <w:r>
        <w:rPr>
          <w:spacing w:val="45"/>
        </w:rPr>
        <w:t xml:space="preserve"> </w:t>
      </w:r>
      <w:r>
        <w:t>cair</w:t>
      </w:r>
      <w:r>
        <w:rPr>
          <w:spacing w:val="46"/>
        </w:rPr>
        <w:t xml:space="preserve"> </w:t>
      </w:r>
      <w:r>
        <w:t>nas</w:t>
      </w:r>
      <w:r>
        <w:rPr>
          <w:spacing w:val="44"/>
        </w:rPr>
        <w:t xml:space="preserve"> </w:t>
      </w:r>
      <w:r>
        <w:t>armadilhas</w:t>
      </w:r>
      <w:r>
        <w:rPr>
          <w:spacing w:val="44"/>
        </w:rPr>
        <w:t xml:space="preserve"> </w:t>
      </w:r>
      <w:r>
        <w:rPr>
          <w:spacing w:val="-5"/>
        </w:rPr>
        <w:t>do</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9408" behindDoc="1" locked="0" layoutInCell="1" allowOverlap="1">
            <wp:simplePos x="0" y="0"/>
            <wp:positionH relativeFrom="page">
              <wp:posOffset>0</wp:posOffset>
            </wp:positionH>
            <wp:positionV relativeFrom="page">
              <wp:posOffset>6982</wp:posOffset>
            </wp:positionV>
            <wp:extent cx="7562088" cy="1048327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6"/>
        <w:jc w:val="both"/>
      </w:pPr>
      <w:r>
        <w:t>discurso utilitarista do desenvolvimento. Nossa tarefa é denunciar todas as mazelas e</w:t>
      </w:r>
      <w:r>
        <w:rPr>
          <w:spacing w:val="-3"/>
        </w:rPr>
        <w:t xml:space="preserve"> </w:t>
      </w:r>
      <w:r>
        <w:t>tentativas</w:t>
      </w:r>
      <w:r>
        <w:rPr>
          <w:spacing w:val="-3"/>
        </w:rPr>
        <w:t xml:space="preserve"> </w:t>
      </w:r>
      <w:r>
        <w:t>de</w:t>
      </w:r>
      <w:r>
        <w:rPr>
          <w:spacing w:val="-3"/>
        </w:rPr>
        <w:t xml:space="preserve"> </w:t>
      </w:r>
      <w:r>
        <w:t>destruição</w:t>
      </w:r>
      <w:r>
        <w:rPr>
          <w:spacing w:val="-3"/>
        </w:rPr>
        <w:t xml:space="preserve"> </w:t>
      </w:r>
      <w:r>
        <w:t>que</w:t>
      </w:r>
      <w:r>
        <w:rPr>
          <w:spacing w:val="-3"/>
        </w:rPr>
        <w:t xml:space="preserve"> </w:t>
      </w:r>
      <w:r>
        <w:t>este</w:t>
      </w:r>
      <w:r>
        <w:rPr>
          <w:spacing w:val="-2"/>
        </w:rPr>
        <w:t xml:space="preserve"> </w:t>
      </w:r>
      <w:r>
        <w:t>Plano</w:t>
      </w:r>
      <w:r>
        <w:rPr>
          <w:spacing w:val="-3"/>
        </w:rPr>
        <w:t xml:space="preserve"> </w:t>
      </w:r>
      <w:r>
        <w:t>Diretor carrega</w:t>
      </w:r>
      <w:r>
        <w:t>,</w:t>
      </w:r>
      <w:r>
        <w:rPr>
          <w:spacing w:val="-3"/>
        </w:rPr>
        <w:t xml:space="preserve"> </w:t>
      </w:r>
      <w:r>
        <w:t>sobretudo</w:t>
      </w:r>
      <w:r>
        <w:rPr>
          <w:spacing w:val="-3"/>
        </w:rPr>
        <w:t xml:space="preserve"> </w:t>
      </w:r>
      <w:r>
        <w:t>no</w:t>
      </w:r>
      <w:r>
        <w:rPr>
          <w:spacing w:val="-3"/>
        </w:rPr>
        <w:t xml:space="preserve"> </w:t>
      </w:r>
      <w:r>
        <w:t>que</w:t>
      </w:r>
      <w:r>
        <w:rPr>
          <w:spacing w:val="-3"/>
        </w:rPr>
        <w:t xml:space="preserve"> </w:t>
      </w:r>
      <w:r>
        <w:t>tange</w:t>
      </w:r>
      <w:r>
        <w:rPr>
          <w:spacing w:val="-3"/>
        </w:rPr>
        <w:t xml:space="preserve"> </w:t>
      </w:r>
      <w:r>
        <w:t>às ameaças aos grupos sociais que vivem e precisam dos rios, do mar, dos manguezais, das florestas, dos aquíferos, da boa qualidade do ar que se respira, de água nas suas torneiras e do solo que se planta. Que possamos continuar</w:t>
      </w:r>
      <w:r>
        <w:rPr>
          <w:spacing w:val="-2"/>
        </w:rPr>
        <w:t xml:space="preserve"> </w:t>
      </w:r>
      <w:r>
        <w:t>lu</w:t>
      </w:r>
      <w:r>
        <w:t>tando e resistindo contra</w:t>
      </w:r>
      <w:r>
        <w:rPr>
          <w:spacing w:val="-2"/>
        </w:rPr>
        <w:t xml:space="preserve"> </w:t>
      </w:r>
      <w:r>
        <w:t>todos aqueles que colocam</w:t>
      </w:r>
      <w:r>
        <w:rPr>
          <w:spacing w:val="-2"/>
        </w:rPr>
        <w:t xml:space="preserve"> </w:t>
      </w:r>
      <w:r>
        <w:t>seus negócios, seus</w:t>
      </w:r>
      <w:r>
        <w:rPr>
          <w:spacing w:val="-3"/>
        </w:rPr>
        <w:t xml:space="preserve"> </w:t>
      </w:r>
      <w:r>
        <w:t>lucros e</w:t>
      </w:r>
      <w:r>
        <w:rPr>
          <w:spacing w:val="-2"/>
        </w:rPr>
        <w:t xml:space="preserve"> </w:t>
      </w:r>
      <w:r>
        <w:t>seu</w:t>
      </w:r>
      <w:r>
        <w:rPr>
          <w:spacing w:val="-3"/>
        </w:rPr>
        <w:t xml:space="preserve"> </w:t>
      </w:r>
      <w:r>
        <w:t>poder acima do bem coletivo e da vida dos grupos subalternos.</w:t>
      </w:r>
    </w:p>
    <w:p w:rsidR="00972CE3" w:rsidRDefault="001F20D2">
      <w:pPr>
        <w:pStyle w:val="Heading1"/>
        <w:spacing w:before="118"/>
        <w:jc w:val="both"/>
      </w:pPr>
      <w:r>
        <w:t xml:space="preserve">3 </w:t>
      </w:r>
      <w:r>
        <w:rPr>
          <w:spacing w:val="-2"/>
        </w:rPr>
        <w:t>CONCLUSÃO</w:t>
      </w:r>
    </w:p>
    <w:p w:rsidR="00972CE3" w:rsidRDefault="001F20D2">
      <w:pPr>
        <w:pStyle w:val="Corpodetexto"/>
        <w:spacing w:before="141" w:line="360" w:lineRule="auto"/>
        <w:ind w:left="140" w:right="133" w:firstLine="710"/>
        <w:jc w:val="both"/>
      </w:pPr>
      <w:r>
        <w:t>Analisando os casos apresentados – os conflitos no Baixo Parnaíba, a mineração em Aurizona e a lu</w:t>
      </w:r>
      <w:r>
        <w:t xml:space="preserve">ta contra o Plano Diretor em São Luís –, fica evidente que a intensificação das tensões sociais no Maranhão é impulsionada pela lógica do Grande Capital. Essa dinâmica de </w:t>
      </w:r>
      <w:r>
        <w:rPr>
          <w:rFonts w:ascii="Arial" w:hAnsi="Arial"/>
          <w:i/>
        </w:rPr>
        <w:t xml:space="preserve">expansão, movida pela busca incessante por lucro, atua como uma máquina </w:t>
      </w:r>
      <w:r>
        <w:t>de guerra que avança de forma predatória sobre biomas e, especialmente, sobre as populações tradicionais, como comunidades ribeirinhas, camponesas, indígenas e quilombolas.</w:t>
      </w:r>
    </w:p>
    <w:p w:rsidR="00972CE3" w:rsidRDefault="001F20D2">
      <w:pPr>
        <w:pStyle w:val="Corpodetexto"/>
        <w:spacing w:before="3" w:line="360" w:lineRule="auto"/>
        <w:ind w:left="140" w:right="137" w:firstLine="710"/>
        <w:jc w:val="both"/>
      </w:pPr>
      <w:r>
        <w:t>A pesquisa, ao adotar uma abordagem geográfica crítica, demonstra que o potencial d</w:t>
      </w:r>
      <w:r>
        <w:t>e acumulação de capital no território maranhense está diretamente ligado à destruição ambiental e à violação de direitos humanos. As lutas dessas comunidades não são apenas reações isoladas a projetos específicos, mas sim a resistência contra um</w:t>
      </w:r>
      <w:r>
        <w:rPr>
          <w:spacing w:val="-1"/>
        </w:rPr>
        <w:t xml:space="preserve"> </w:t>
      </w:r>
      <w:r>
        <w:t>modelo de</w:t>
      </w:r>
      <w:r>
        <w:rPr>
          <w:spacing w:val="-2"/>
        </w:rPr>
        <w:t xml:space="preserve"> </w:t>
      </w:r>
      <w:r>
        <w:t>desenvolvimento que, muitas vezes com</w:t>
      </w:r>
      <w:r>
        <w:rPr>
          <w:spacing w:val="-5"/>
        </w:rPr>
        <w:t xml:space="preserve"> </w:t>
      </w:r>
      <w:r>
        <w:t>a omissão ou conivência dos governos locais, privilegia os interesses econômicos em detrimento da vida e dos direitos desses povos.</w:t>
      </w:r>
    </w:p>
    <w:p w:rsidR="00972CE3" w:rsidRDefault="001F20D2">
      <w:pPr>
        <w:pStyle w:val="Corpodetexto"/>
        <w:spacing w:line="360" w:lineRule="auto"/>
        <w:ind w:left="140" w:right="145" w:firstLine="710"/>
        <w:jc w:val="both"/>
      </w:pPr>
      <w:r>
        <w:t>Portanto, a resistência dessas comunidades é crucial para confrontar esse modelo. O es</w:t>
      </w:r>
      <w:r>
        <w:t xml:space="preserve">tudo não só expõe a realidade dos conflitos, mas também destaca a necessidade de um olhar mais atento para as consequências socioespaciais do avanço do capitalismo. As lutas por terra, por direitos e pela preservação de seus modos de vida são, na verdade, </w:t>
      </w:r>
      <w:r>
        <w:t>a principal forma de defesa do território e</w:t>
      </w:r>
      <w:r>
        <w:rPr>
          <w:spacing w:val="-3"/>
        </w:rPr>
        <w:t xml:space="preserve"> </w:t>
      </w:r>
      <w:r>
        <w:t>da própria dignidade humana no Maranhão.</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29920" behindDoc="1" locked="0" layoutInCell="1" allowOverlap="1">
            <wp:simplePos x="0" y="0"/>
            <wp:positionH relativeFrom="page">
              <wp:posOffset>0</wp:posOffset>
            </wp:positionH>
            <wp:positionV relativeFrom="page">
              <wp:posOffset>6982</wp:posOffset>
            </wp:positionV>
            <wp:extent cx="7562088" cy="1048327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3"/>
      </w:pPr>
    </w:p>
    <w:p w:rsidR="00972CE3" w:rsidRDefault="001F20D2">
      <w:pPr>
        <w:pStyle w:val="Heading1"/>
        <w:ind w:left="14" w:right="17"/>
        <w:jc w:val="center"/>
      </w:pPr>
      <w:r>
        <w:rPr>
          <w:spacing w:val="-2"/>
        </w:rPr>
        <w:t>REFERÊNCIAS</w:t>
      </w:r>
    </w:p>
    <w:p w:rsidR="00972CE3" w:rsidRDefault="001F20D2">
      <w:pPr>
        <w:spacing w:before="258"/>
        <w:ind w:left="140"/>
        <w:jc w:val="both"/>
        <w:rPr>
          <w:sz w:val="24"/>
        </w:rPr>
      </w:pPr>
      <w:r>
        <w:rPr>
          <w:sz w:val="24"/>
        </w:rPr>
        <w:t>ALLIEZ,</w:t>
      </w:r>
      <w:r>
        <w:rPr>
          <w:spacing w:val="-5"/>
          <w:sz w:val="24"/>
        </w:rPr>
        <w:t xml:space="preserve"> </w:t>
      </w:r>
      <w:r>
        <w:rPr>
          <w:sz w:val="24"/>
        </w:rPr>
        <w:t>Éric;</w:t>
      </w:r>
      <w:r>
        <w:rPr>
          <w:spacing w:val="-4"/>
          <w:sz w:val="24"/>
        </w:rPr>
        <w:t xml:space="preserve"> </w:t>
      </w:r>
      <w:r>
        <w:rPr>
          <w:sz w:val="24"/>
        </w:rPr>
        <w:t>LAZZARATO,</w:t>
      </w:r>
      <w:r>
        <w:rPr>
          <w:spacing w:val="-4"/>
          <w:sz w:val="24"/>
        </w:rPr>
        <w:t xml:space="preserve"> </w:t>
      </w:r>
      <w:r>
        <w:rPr>
          <w:sz w:val="24"/>
        </w:rPr>
        <w:t>Maurizio.</w:t>
      </w:r>
      <w:r>
        <w:rPr>
          <w:spacing w:val="2"/>
          <w:sz w:val="24"/>
        </w:rPr>
        <w:t xml:space="preserve"> </w:t>
      </w:r>
      <w:r>
        <w:rPr>
          <w:rFonts w:ascii="Arial" w:hAnsi="Arial"/>
          <w:b/>
          <w:sz w:val="24"/>
        </w:rPr>
        <w:t>Guerras</w:t>
      </w:r>
      <w:r>
        <w:rPr>
          <w:rFonts w:ascii="Arial" w:hAnsi="Arial"/>
          <w:b/>
          <w:spacing w:val="-4"/>
          <w:sz w:val="24"/>
        </w:rPr>
        <w:t xml:space="preserve"> </w:t>
      </w:r>
      <w:r>
        <w:rPr>
          <w:rFonts w:ascii="Arial" w:hAnsi="Arial"/>
          <w:b/>
          <w:sz w:val="24"/>
        </w:rPr>
        <w:t>e</w:t>
      </w:r>
      <w:r>
        <w:rPr>
          <w:rFonts w:ascii="Arial" w:hAnsi="Arial"/>
          <w:b/>
          <w:spacing w:val="-3"/>
          <w:sz w:val="24"/>
        </w:rPr>
        <w:t xml:space="preserve"> </w:t>
      </w:r>
      <w:r>
        <w:rPr>
          <w:rFonts w:ascii="Arial" w:hAnsi="Arial"/>
          <w:b/>
          <w:sz w:val="24"/>
        </w:rPr>
        <w:t>Capital</w:t>
      </w:r>
      <w:r>
        <w:rPr>
          <w:sz w:val="24"/>
        </w:rPr>
        <w:t>.</w:t>
      </w:r>
      <w:r>
        <w:rPr>
          <w:spacing w:val="-3"/>
          <w:sz w:val="24"/>
        </w:rPr>
        <w:t xml:space="preserve"> </w:t>
      </w:r>
      <w:r>
        <w:rPr>
          <w:sz w:val="24"/>
        </w:rPr>
        <w:t>São</w:t>
      </w:r>
      <w:r>
        <w:rPr>
          <w:spacing w:val="-5"/>
          <w:sz w:val="24"/>
        </w:rPr>
        <w:t xml:space="preserve"> </w:t>
      </w:r>
      <w:r>
        <w:rPr>
          <w:sz w:val="24"/>
        </w:rPr>
        <w:t>Paulo:</w:t>
      </w:r>
      <w:r>
        <w:rPr>
          <w:spacing w:val="-2"/>
          <w:sz w:val="24"/>
        </w:rPr>
        <w:t xml:space="preserve"> </w:t>
      </w:r>
      <w:r>
        <w:rPr>
          <w:sz w:val="24"/>
        </w:rPr>
        <w:t>Ubu,</w:t>
      </w:r>
      <w:r>
        <w:rPr>
          <w:spacing w:val="-4"/>
          <w:sz w:val="24"/>
        </w:rPr>
        <w:t xml:space="preserve"> </w:t>
      </w:r>
      <w:r>
        <w:rPr>
          <w:spacing w:val="-2"/>
          <w:sz w:val="24"/>
        </w:rPr>
        <w:t>2021.</w:t>
      </w:r>
    </w:p>
    <w:p w:rsidR="00972CE3" w:rsidRDefault="001F20D2">
      <w:pPr>
        <w:spacing w:before="242" w:line="242" w:lineRule="auto"/>
        <w:ind w:left="140" w:right="138"/>
        <w:jc w:val="both"/>
        <w:rPr>
          <w:sz w:val="24"/>
        </w:rPr>
      </w:pPr>
      <w:r>
        <w:rPr>
          <w:sz w:val="24"/>
        </w:rPr>
        <w:t xml:space="preserve">ARÁOZ, Horacio Machado. </w:t>
      </w:r>
      <w:r>
        <w:rPr>
          <w:rFonts w:ascii="Arial" w:hAnsi="Arial"/>
          <w:b/>
          <w:sz w:val="24"/>
        </w:rPr>
        <w:t>Mineração, genealogia do desastre</w:t>
      </w:r>
      <w:r>
        <w:rPr>
          <w:sz w:val="24"/>
        </w:rPr>
        <w:t>: o extrativismo na América como origem da modernidade. São Paulo: Editora Elefante, 2020.</w:t>
      </w:r>
    </w:p>
    <w:p w:rsidR="00972CE3" w:rsidRDefault="001F20D2">
      <w:pPr>
        <w:spacing w:before="237" w:line="237" w:lineRule="auto"/>
        <w:ind w:left="140" w:right="140"/>
        <w:jc w:val="both"/>
        <w:rPr>
          <w:sz w:val="24"/>
        </w:rPr>
      </w:pPr>
      <w:r>
        <w:rPr>
          <w:sz w:val="24"/>
        </w:rPr>
        <w:t xml:space="preserve">AZEVEDO, J. R.; DANTAS, J. S.; FARIAS, M. F. (Orgs.) </w:t>
      </w:r>
      <w:r>
        <w:rPr>
          <w:rFonts w:ascii="Arial" w:hAnsi="Arial"/>
          <w:b/>
          <w:sz w:val="24"/>
        </w:rPr>
        <w:t>Análise sobre a política territorial no Baixo Parnaíba-MA</w:t>
      </w:r>
      <w:r>
        <w:rPr>
          <w:sz w:val="24"/>
        </w:rPr>
        <w:t>. São Luís: EDUFMA, 2016.</w:t>
      </w:r>
    </w:p>
    <w:p w:rsidR="00972CE3" w:rsidRDefault="001F20D2">
      <w:pPr>
        <w:spacing w:before="244"/>
        <w:ind w:left="140" w:right="138"/>
        <w:jc w:val="both"/>
        <w:rPr>
          <w:sz w:val="24"/>
        </w:rPr>
      </w:pPr>
      <w:r>
        <w:rPr>
          <w:sz w:val="24"/>
        </w:rPr>
        <w:t xml:space="preserve">COSTA, Saulo Barros da. </w:t>
      </w:r>
      <w:r>
        <w:rPr>
          <w:rFonts w:ascii="Arial" w:hAnsi="Arial"/>
          <w:b/>
          <w:sz w:val="24"/>
        </w:rPr>
        <w:t>Chapa</w:t>
      </w:r>
      <w:r>
        <w:rPr>
          <w:rFonts w:ascii="Arial" w:hAnsi="Arial"/>
          <w:b/>
          <w:sz w:val="24"/>
        </w:rPr>
        <w:t>das e lutas: resistência camponesa no Baixo Parnaíba Maranhense na rota do agronegócio silvicultor – conflitos territoriais e “usos” da natureza</w:t>
      </w:r>
      <w:r>
        <w:rPr>
          <w:sz w:val="24"/>
        </w:rPr>
        <w:t>. 2016. 194 f. (Doutorado em Geografia). Universidade</w:t>
      </w:r>
      <w:r>
        <w:rPr>
          <w:spacing w:val="40"/>
          <w:sz w:val="24"/>
        </w:rPr>
        <w:t xml:space="preserve"> </w:t>
      </w:r>
      <w:r>
        <w:rPr>
          <w:sz w:val="24"/>
        </w:rPr>
        <w:t>Federal do Pernambuco - UFPE, Recife, 2016. Disponível em:</w:t>
      </w:r>
      <w:r>
        <w:rPr>
          <w:sz w:val="24"/>
        </w:rPr>
        <w:t xml:space="preserve"> </w:t>
      </w:r>
      <w:hyperlink r:id="rId9">
        <w:r>
          <w:rPr>
            <w:sz w:val="24"/>
            <w:u w:val="single"/>
          </w:rPr>
          <w:t>https://repositorio.ufpe.br/handle/123456789/18436</w:t>
        </w:r>
      </w:hyperlink>
      <w:r>
        <w:rPr>
          <w:sz w:val="24"/>
        </w:rPr>
        <w:t>. Acesso em 10 ago. 2025.</w:t>
      </w:r>
    </w:p>
    <w:p w:rsidR="00972CE3" w:rsidRDefault="001F20D2">
      <w:pPr>
        <w:pStyle w:val="Corpodetexto"/>
        <w:spacing w:before="238" w:line="247" w:lineRule="auto"/>
        <w:ind w:left="140" w:right="136"/>
        <w:jc w:val="both"/>
      </w:pPr>
      <w:bookmarkStart w:id="0" w:name="DELEUZE,_Gilles;_GUATTARI,_Félix._O_Anti"/>
      <w:bookmarkEnd w:id="0"/>
      <w:r>
        <w:t>DELEUZE, Gilles; GUATTARI,</w:t>
      </w:r>
      <w:r>
        <w:rPr>
          <w:spacing w:val="-4"/>
        </w:rPr>
        <w:t xml:space="preserve"> </w:t>
      </w:r>
      <w:r>
        <w:t xml:space="preserve">Félix. </w:t>
      </w:r>
      <w:r>
        <w:rPr>
          <w:rFonts w:ascii="Arial" w:hAnsi="Arial"/>
          <w:b/>
        </w:rPr>
        <w:t>O Anti-Édipo</w:t>
      </w:r>
      <w:r>
        <w:t>:</w:t>
      </w:r>
      <w:r>
        <w:rPr>
          <w:spacing w:val="-4"/>
        </w:rPr>
        <w:t xml:space="preserve"> </w:t>
      </w:r>
      <w:r>
        <w:t>Capitalismo e esquizofrenia</w:t>
      </w:r>
      <w:r>
        <w:rPr>
          <w:spacing w:val="-4"/>
        </w:rPr>
        <w:t xml:space="preserve"> </w:t>
      </w:r>
      <w:r>
        <w:t>1. 2. ed. São Paulo: Editora 34, 2011.</w:t>
      </w:r>
    </w:p>
    <w:p w:rsidR="00972CE3" w:rsidRDefault="001F20D2">
      <w:pPr>
        <w:pStyle w:val="Corpodetexto"/>
        <w:tabs>
          <w:tab w:val="left" w:pos="1081"/>
        </w:tabs>
        <w:spacing w:before="223" w:line="247" w:lineRule="auto"/>
        <w:ind w:left="140" w:right="145"/>
        <w:jc w:val="both"/>
      </w:pPr>
      <w:bookmarkStart w:id="1" w:name="_______._Mil_Platôs_5:_Capitalismo_e_esq"/>
      <w:bookmarkEnd w:id="1"/>
      <w:r>
        <w:rPr>
          <w:u w:val="single"/>
        </w:rPr>
        <w:tab/>
      </w:r>
      <w:r>
        <w:t>.</w:t>
      </w:r>
      <w:r>
        <w:rPr>
          <w:spacing w:val="-7"/>
        </w:rPr>
        <w:t xml:space="preserve"> </w:t>
      </w:r>
      <w:r>
        <w:rPr>
          <w:rFonts w:ascii="Arial" w:hAnsi="Arial"/>
          <w:b/>
        </w:rPr>
        <w:t>Mil Platôs 5</w:t>
      </w:r>
      <w:r>
        <w:t xml:space="preserve">: Capitalismo e esquizofrenia 2. 2. ed. São Paulo: Editora 34, </w:t>
      </w:r>
      <w:r>
        <w:rPr>
          <w:spacing w:val="-2"/>
        </w:rPr>
        <w:t>2012.</w:t>
      </w:r>
    </w:p>
    <w:p w:rsidR="00972CE3" w:rsidRDefault="001F20D2">
      <w:pPr>
        <w:pStyle w:val="Corpodetexto"/>
        <w:spacing w:before="224" w:line="247" w:lineRule="auto"/>
        <w:ind w:left="140" w:right="141"/>
        <w:jc w:val="both"/>
      </w:pPr>
      <w:r>
        <w:t xml:space="preserve">GUDYNAS, Eduardo. </w:t>
      </w:r>
      <w:r>
        <w:rPr>
          <w:rFonts w:ascii="Arial" w:hAnsi="Arial"/>
          <w:b/>
        </w:rPr>
        <w:t>El mandato ecológico</w:t>
      </w:r>
      <w:r>
        <w:t>: Derechos de La naturaleza y políticas ambientales em La nueva Constituición. Quito: Abya Yala</w:t>
      </w:r>
      <w:r>
        <w:t>, 2009.</w:t>
      </w:r>
    </w:p>
    <w:p w:rsidR="00972CE3" w:rsidRDefault="001F20D2">
      <w:pPr>
        <w:spacing w:before="224" w:line="247" w:lineRule="auto"/>
        <w:ind w:left="140" w:right="138"/>
        <w:jc w:val="both"/>
        <w:rPr>
          <w:sz w:val="24"/>
        </w:rPr>
      </w:pPr>
      <w:r>
        <w:rPr>
          <w:sz w:val="24"/>
        </w:rPr>
        <w:t xml:space="preserve">HARVEY, David. </w:t>
      </w:r>
      <w:r>
        <w:rPr>
          <w:rFonts w:ascii="Arial" w:hAnsi="Arial"/>
          <w:b/>
          <w:sz w:val="24"/>
        </w:rPr>
        <w:t>O Enigma do Capital</w:t>
      </w:r>
      <w:r>
        <w:rPr>
          <w:sz w:val="24"/>
        </w:rPr>
        <w:t>: e as crises do capitalismo. São Paulo: Boitempo, 2011.</w:t>
      </w:r>
    </w:p>
    <w:p w:rsidR="00972CE3" w:rsidRDefault="001F20D2">
      <w:pPr>
        <w:tabs>
          <w:tab w:val="left" w:pos="1081"/>
        </w:tabs>
        <w:spacing w:before="223"/>
        <w:ind w:left="140"/>
        <w:jc w:val="both"/>
        <w:rPr>
          <w:sz w:val="24"/>
        </w:rPr>
      </w:pPr>
      <w:r>
        <w:rPr>
          <w:sz w:val="24"/>
          <w:u w:val="single"/>
        </w:rPr>
        <w:tab/>
      </w:r>
      <w:r>
        <w:rPr>
          <w:sz w:val="24"/>
        </w:rPr>
        <w:t>.</w:t>
      </w:r>
      <w:r>
        <w:rPr>
          <w:spacing w:val="-7"/>
          <w:sz w:val="24"/>
        </w:rPr>
        <w:t xml:space="preserve"> </w:t>
      </w:r>
      <w:r>
        <w:rPr>
          <w:rFonts w:ascii="Arial" w:hAnsi="Arial"/>
          <w:b/>
          <w:sz w:val="24"/>
        </w:rPr>
        <w:t>O</w:t>
      </w:r>
      <w:r>
        <w:rPr>
          <w:rFonts w:ascii="Arial" w:hAnsi="Arial"/>
          <w:b/>
          <w:spacing w:val="-2"/>
          <w:sz w:val="24"/>
        </w:rPr>
        <w:t xml:space="preserve"> </w:t>
      </w:r>
      <w:r>
        <w:rPr>
          <w:rFonts w:ascii="Arial" w:hAnsi="Arial"/>
          <w:b/>
          <w:sz w:val="24"/>
        </w:rPr>
        <w:t>Novo</w:t>
      </w:r>
      <w:r>
        <w:rPr>
          <w:rFonts w:ascii="Arial" w:hAnsi="Arial"/>
          <w:b/>
          <w:spacing w:val="-1"/>
          <w:sz w:val="24"/>
        </w:rPr>
        <w:t xml:space="preserve"> </w:t>
      </w:r>
      <w:r>
        <w:rPr>
          <w:rFonts w:ascii="Arial" w:hAnsi="Arial"/>
          <w:b/>
          <w:sz w:val="24"/>
        </w:rPr>
        <w:t>Imperialismo</w:t>
      </w:r>
      <w:r>
        <w:rPr>
          <w:sz w:val="24"/>
        </w:rPr>
        <w:t>.</w:t>
      </w:r>
      <w:r>
        <w:rPr>
          <w:spacing w:val="-3"/>
          <w:sz w:val="24"/>
        </w:rPr>
        <w:t xml:space="preserve"> </w:t>
      </w:r>
      <w:r>
        <w:rPr>
          <w:sz w:val="24"/>
        </w:rPr>
        <w:t>3.</w:t>
      </w:r>
      <w:r>
        <w:rPr>
          <w:spacing w:val="-2"/>
          <w:sz w:val="24"/>
        </w:rPr>
        <w:t xml:space="preserve"> </w:t>
      </w:r>
      <w:r>
        <w:rPr>
          <w:sz w:val="24"/>
        </w:rPr>
        <w:t>ed.</w:t>
      </w:r>
      <w:r>
        <w:rPr>
          <w:spacing w:val="-2"/>
          <w:sz w:val="24"/>
        </w:rPr>
        <w:t xml:space="preserve"> </w:t>
      </w:r>
      <w:r>
        <w:rPr>
          <w:sz w:val="24"/>
        </w:rPr>
        <w:t>São</w:t>
      </w:r>
      <w:r>
        <w:rPr>
          <w:spacing w:val="-6"/>
          <w:sz w:val="24"/>
        </w:rPr>
        <w:t xml:space="preserve"> </w:t>
      </w:r>
      <w:r>
        <w:rPr>
          <w:sz w:val="24"/>
        </w:rPr>
        <w:t>Paulo:</w:t>
      </w:r>
      <w:r>
        <w:rPr>
          <w:spacing w:val="-3"/>
          <w:sz w:val="24"/>
        </w:rPr>
        <w:t xml:space="preserve"> </w:t>
      </w:r>
      <w:r>
        <w:rPr>
          <w:sz w:val="24"/>
        </w:rPr>
        <w:t>Edições</w:t>
      </w:r>
      <w:r>
        <w:rPr>
          <w:spacing w:val="-2"/>
          <w:sz w:val="24"/>
        </w:rPr>
        <w:t xml:space="preserve"> </w:t>
      </w:r>
      <w:r>
        <w:rPr>
          <w:sz w:val="24"/>
        </w:rPr>
        <w:t>Loyola,</w:t>
      </w:r>
      <w:r>
        <w:rPr>
          <w:spacing w:val="-7"/>
          <w:sz w:val="24"/>
        </w:rPr>
        <w:t xml:space="preserve"> </w:t>
      </w:r>
      <w:r>
        <w:rPr>
          <w:spacing w:val="-2"/>
          <w:sz w:val="24"/>
        </w:rPr>
        <w:t>2012.</w:t>
      </w:r>
    </w:p>
    <w:p w:rsidR="00972CE3" w:rsidRDefault="001F20D2">
      <w:pPr>
        <w:pStyle w:val="Corpodetexto"/>
        <w:spacing w:before="248"/>
        <w:ind w:left="140" w:right="136"/>
        <w:jc w:val="both"/>
      </w:pPr>
      <w:r>
        <w:t xml:space="preserve">MACHADO, M. S.; Coelho, Tádzio Peters ; ALVES, Elio de Jesus Pantoja . A Zona do Ouro de Godofredo Viana: ouro, água e desigualdades no Maranhão. In: Horácio Antunes de Sant’Ana; Raquel Maria Rigotto (Orgs.). </w:t>
      </w:r>
      <w:r>
        <w:rPr>
          <w:rFonts w:ascii="Arial" w:hAnsi="Arial"/>
          <w:b/>
        </w:rPr>
        <w:t>Ninguém</w:t>
      </w:r>
      <w:r>
        <w:rPr>
          <w:rFonts w:ascii="Arial" w:hAnsi="Arial"/>
          <w:b/>
          <w:spacing w:val="-1"/>
        </w:rPr>
        <w:t xml:space="preserve"> </w:t>
      </w:r>
      <w:r>
        <w:rPr>
          <w:rFonts w:ascii="Arial" w:hAnsi="Arial"/>
          <w:b/>
        </w:rPr>
        <w:t>bebe minério</w:t>
      </w:r>
      <w:r>
        <w:t xml:space="preserve">. Rio de Janeiro: 7Letras, </w:t>
      </w:r>
      <w:r>
        <w:t>2020, p. 272-298.</w:t>
      </w:r>
    </w:p>
    <w:p w:rsidR="00972CE3" w:rsidRDefault="001F20D2">
      <w:pPr>
        <w:pStyle w:val="Corpodetexto"/>
        <w:spacing w:before="235"/>
        <w:ind w:left="140"/>
        <w:jc w:val="both"/>
      </w:pPr>
      <w:bookmarkStart w:id="2" w:name="MBEMBE,_Achille._Necropolítica._São_Paul"/>
      <w:bookmarkEnd w:id="2"/>
      <w:r>
        <w:t>MBEMBE,</w:t>
      </w:r>
      <w:r>
        <w:rPr>
          <w:spacing w:val="-4"/>
        </w:rPr>
        <w:t xml:space="preserve"> </w:t>
      </w:r>
      <w:r>
        <w:t>Achille.</w:t>
      </w:r>
      <w:r>
        <w:rPr>
          <w:spacing w:val="-6"/>
        </w:rPr>
        <w:t xml:space="preserve"> </w:t>
      </w:r>
      <w:r>
        <w:rPr>
          <w:rFonts w:ascii="Arial" w:hAnsi="Arial"/>
          <w:b/>
        </w:rPr>
        <w:t>Necropolític</w:t>
      </w:r>
      <w:r>
        <w:t>a.</w:t>
      </w:r>
      <w:r>
        <w:rPr>
          <w:spacing w:val="-4"/>
        </w:rPr>
        <w:t xml:space="preserve"> </w:t>
      </w:r>
      <w:r>
        <w:t>São</w:t>
      </w:r>
      <w:r>
        <w:rPr>
          <w:spacing w:val="-4"/>
        </w:rPr>
        <w:t xml:space="preserve"> </w:t>
      </w:r>
      <w:r>
        <w:t>Paulo:</w:t>
      </w:r>
      <w:r>
        <w:rPr>
          <w:spacing w:val="-12"/>
        </w:rPr>
        <w:t xml:space="preserve"> </w:t>
      </w:r>
      <w:r>
        <w:t>N-1</w:t>
      </w:r>
      <w:r>
        <w:rPr>
          <w:spacing w:val="-4"/>
        </w:rPr>
        <w:t xml:space="preserve"> </w:t>
      </w:r>
      <w:r>
        <w:t>edições,</w:t>
      </w:r>
      <w:r>
        <w:rPr>
          <w:spacing w:val="-8"/>
        </w:rPr>
        <w:t xml:space="preserve"> </w:t>
      </w:r>
      <w:r>
        <w:rPr>
          <w:spacing w:val="-2"/>
        </w:rPr>
        <w:t>2018.</w:t>
      </w:r>
    </w:p>
    <w:p w:rsidR="00972CE3" w:rsidRDefault="001F20D2">
      <w:pPr>
        <w:spacing w:before="238"/>
        <w:ind w:left="140"/>
        <w:jc w:val="both"/>
        <w:rPr>
          <w:rFonts w:ascii="Arial"/>
          <w:b/>
          <w:sz w:val="24"/>
        </w:rPr>
      </w:pPr>
      <w:r>
        <w:rPr>
          <w:sz w:val="24"/>
        </w:rPr>
        <w:t>PORCIONATO,</w:t>
      </w:r>
      <w:r>
        <w:rPr>
          <w:spacing w:val="43"/>
          <w:sz w:val="24"/>
        </w:rPr>
        <w:t xml:space="preserve"> </w:t>
      </w:r>
      <w:r>
        <w:rPr>
          <w:sz w:val="24"/>
        </w:rPr>
        <w:t>G.</w:t>
      </w:r>
      <w:r>
        <w:rPr>
          <w:spacing w:val="45"/>
          <w:sz w:val="24"/>
        </w:rPr>
        <w:t xml:space="preserve"> </w:t>
      </w:r>
      <w:r>
        <w:rPr>
          <w:sz w:val="24"/>
        </w:rPr>
        <w:t>L.,</w:t>
      </w:r>
      <w:r>
        <w:rPr>
          <w:spacing w:val="41"/>
          <w:sz w:val="24"/>
        </w:rPr>
        <w:t xml:space="preserve"> </w:t>
      </w:r>
      <w:r>
        <w:rPr>
          <w:sz w:val="24"/>
        </w:rPr>
        <w:t>CASTRO,</w:t>
      </w:r>
      <w:r>
        <w:rPr>
          <w:spacing w:val="45"/>
          <w:sz w:val="24"/>
        </w:rPr>
        <w:t xml:space="preserve"> </w:t>
      </w:r>
      <w:r>
        <w:rPr>
          <w:sz w:val="24"/>
        </w:rPr>
        <w:t>C.</w:t>
      </w:r>
      <w:r>
        <w:rPr>
          <w:spacing w:val="40"/>
          <w:sz w:val="24"/>
        </w:rPr>
        <w:t xml:space="preserve"> </w:t>
      </w:r>
      <w:r>
        <w:rPr>
          <w:sz w:val="24"/>
        </w:rPr>
        <w:t>N.,</w:t>
      </w:r>
      <w:r>
        <w:rPr>
          <w:spacing w:val="45"/>
          <w:sz w:val="24"/>
        </w:rPr>
        <w:t xml:space="preserve"> </w:t>
      </w:r>
      <w:r>
        <w:rPr>
          <w:sz w:val="24"/>
        </w:rPr>
        <w:t>&amp;</w:t>
      </w:r>
      <w:r>
        <w:rPr>
          <w:spacing w:val="39"/>
          <w:sz w:val="24"/>
        </w:rPr>
        <w:t xml:space="preserve"> </w:t>
      </w:r>
      <w:r>
        <w:rPr>
          <w:sz w:val="24"/>
        </w:rPr>
        <w:t>PEREIRA,</w:t>
      </w:r>
      <w:r>
        <w:rPr>
          <w:spacing w:val="45"/>
          <w:sz w:val="24"/>
        </w:rPr>
        <w:t xml:space="preserve"> </w:t>
      </w:r>
      <w:r>
        <w:rPr>
          <w:sz w:val="24"/>
        </w:rPr>
        <w:t>C.</w:t>
      </w:r>
      <w:r>
        <w:rPr>
          <w:spacing w:val="44"/>
          <w:sz w:val="24"/>
        </w:rPr>
        <w:t xml:space="preserve"> </w:t>
      </w:r>
      <w:r>
        <w:rPr>
          <w:sz w:val="24"/>
        </w:rPr>
        <w:t>N.</w:t>
      </w:r>
      <w:r>
        <w:rPr>
          <w:spacing w:val="10"/>
          <w:sz w:val="24"/>
        </w:rPr>
        <w:t xml:space="preserve"> </w:t>
      </w:r>
      <w:r>
        <w:rPr>
          <w:rFonts w:ascii="Arial"/>
          <w:b/>
          <w:sz w:val="24"/>
        </w:rPr>
        <w:t>Aspectos</w:t>
      </w:r>
      <w:r>
        <w:rPr>
          <w:rFonts w:ascii="Arial"/>
          <w:b/>
          <w:spacing w:val="45"/>
          <w:sz w:val="24"/>
        </w:rPr>
        <w:t xml:space="preserve"> </w:t>
      </w:r>
      <w:r>
        <w:rPr>
          <w:rFonts w:ascii="Arial"/>
          <w:b/>
          <w:sz w:val="24"/>
        </w:rPr>
        <w:t>sociais</w:t>
      </w:r>
      <w:r>
        <w:rPr>
          <w:rFonts w:ascii="Arial"/>
          <w:b/>
          <w:spacing w:val="41"/>
          <w:sz w:val="24"/>
        </w:rPr>
        <w:t xml:space="preserve"> </w:t>
      </w:r>
      <w:r>
        <w:rPr>
          <w:rFonts w:ascii="Arial"/>
          <w:b/>
          <w:spacing w:val="-7"/>
          <w:sz w:val="24"/>
        </w:rPr>
        <w:t>do</w:t>
      </w:r>
    </w:p>
    <w:p w:rsidR="00972CE3" w:rsidRDefault="001F20D2">
      <w:pPr>
        <w:pStyle w:val="Corpodetexto"/>
        <w:spacing w:before="3" w:line="242" w:lineRule="auto"/>
        <w:ind w:left="140" w:right="147"/>
        <w:jc w:val="both"/>
      </w:pPr>
      <w:r>
        <w:rPr>
          <w:rFonts w:ascii="Arial" w:hAnsi="Arial"/>
          <w:b/>
        </w:rPr>
        <w:t>MATOPIBA</w:t>
      </w:r>
      <w:r>
        <w:t>:</w:t>
      </w:r>
      <w:r>
        <w:rPr>
          <w:spacing w:val="80"/>
        </w:rPr>
        <w:t xml:space="preserve"> </w:t>
      </w:r>
      <w:r>
        <w:t>análise</w:t>
      </w:r>
      <w:r>
        <w:rPr>
          <w:spacing w:val="80"/>
        </w:rPr>
        <w:t xml:space="preserve"> </w:t>
      </w:r>
      <w:r>
        <w:t>sobre</w:t>
      </w:r>
      <w:r>
        <w:rPr>
          <w:spacing w:val="80"/>
        </w:rPr>
        <w:t xml:space="preserve"> </w:t>
      </w:r>
      <w:r>
        <w:t>o</w:t>
      </w:r>
      <w:r>
        <w:rPr>
          <w:spacing w:val="80"/>
        </w:rPr>
        <w:t xml:space="preserve"> </w:t>
      </w:r>
      <w:r>
        <w:t>desenvolvimento</w:t>
      </w:r>
      <w:r>
        <w:rPr>
          <w:spacing w:val="80"/>
        </w:rPr>
        <w:t xml:space="preserve"> </w:t>
      </w:r>
      <w:r>
        <w:t>humano</w:t>
      </w:r>
      <w:r>
        <w:rPr>
          <w:spacing w:val="80"/>
        </w:rPr>
        <w:t xml:space="preserve"> </w:t>
      </w:r>
      <w:r>
        <w:t>e</w:t>
      </w:r>
      <w:r>
        <w:rPr>
          <w:spacing w:val="80"/>
        </w:rPr>
        <w:t xml:space="preserve"> </w:t>
      </w:r>
      <w:r>
        <w:t>a</w:t>
      </w:r>
      <w:r>
        <w:rPr>
          <w:spacing w:val="80"/>
        </w:rPr>
        <w:t xml:space="preserve"> </w:t>
      </w:r>
      <w:r>
        <w:t>vulnerabilidade social (Texto para Discussão, Nº. 2387). Rio de Janeiro: IPEA, 2018.</w:t>
      </w:r>
    </w:p>
    <w:p w:rsidR="00972CE3" w:rsidRDefault="001F20D2">
      <w:pPr>
        <w:spacing w:before="234" w:line="242" w:lineRule="auto"/>
        <w:ind w:left="140" w:right="141"/>
        <w:jc w:val="both"/>
        <w:rPr>
          <w:sz w:val="24"/>
        </w:rPr>
      </w:pPr>
      <w:r>
        <w:rPr>
          <w:sz w:val="24"/>
        </w:rPr>
        <w:t xml:space="preserve">SANTOS, Luiz Eduardo Neves dos. </w:t>
      </w:r>
      <w:r>
        <w:rPr>
          <w:rFonts w:ascii="Arial" w:hAnsi="Arial"/>
          <w:b/>
          <w:sz w:val="24"/>
        </w:rPr>
        <w:t>Usos do território, urbanização e planejamento</w:t>
      </w:r>
      <w:r>
        <w:rPr>
          <w:sz w:val="24"/>
        </w:rPr>
        <w:t>: discursos, conflitos e o cinismo na revisão do Plano Diretor de São Luís. Teresina: Cancioneiro, 2023.</w:t>
      </w:r>
    </w:p>
    <w:p w:rsidR="00972CE3" w:rsidRDefault="00972CE3">
      <w:pPr>
        <w:spacing w:line="242" w:lineRule="auto"/>
        <w:jc w:val="both"/>
        <w:rPr>
          <w:sz w:val="24"/>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0432" behindDoc="1" locked="0" layoutInCell="1" allowOverlap="1">
            <wp:simplePos x="0" y="0"/>
            <wp:positionH relativeFrom="page">
              <wp:posOffset>0</wp:posOffset>
            </wp:positionH>
            <wp:positionV relativeFrom="page">
              <wp:posOffset>6982</wp:posOffset>
            </wp:positionV>
            <wp:extent cx="7562088" cy="1048327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3"/>
      </w:pPr>
    </w:p>
    <w:p w:rsidR="00972CE3" w:rsidRDefault="001F20D2">
      <w:pPr>
        <w:spacing w:line="242" w:lineRule="auto"/>
        <w:ind w:left="140" w:right="140"/>
        <w:jc w:val="both"/>
        <w:rPr>
          <w:sz w:val="24"/>
        </w:rPr>
      </w:pPr>
      <w:r>
        <w:rPr>
          <w:sz w:val="24"/>
        </w:rPr>
        <w:t xml:space="preserve">SCALABRIN, L.; CACENOTE, R.; MOTA, T. D.; MASO, T. </w:t>
      </w:r>
      <w:r>
        <w:rPr>
          <w:rFonts w:ascii="Arial" w:hAnsi="Arial"/>
          <w:b/>
          <w:sz w:val="24"/>
        </w:rPr>
        <w:t>Relatório preliminar</w:t>
      </w:r>
      <w:r>
        <w:rPr>
          <w:rFonts w:ascii="Arial" w:hAnsi="Arial"/>
          <w:b/>
          <w:spacing w:val="40"/>
          <w:sz w:val="24"/>
        </w:rPr>
        <w:t xml:space="preserve"> </w:t>
      </w:r>
      <w:r>
        <w:rPr>
          <w:rFonts w:ascii="Arial" w:hAnsi="Arial"/>
          <w:b/>
          <w:sz w:val="24"/>
        </w:rPr>
        <w:t>do caso da mineração de Aurizona/MA</w:t>
      </w:r>
      <w:r>
        <w:rPr>
          <w:sz w:val="24"/>
        </w:rPr>
        <w:t>. Conselho Nacional de Direitos Humanos (CNDH). Brasília, Nov. 2021.</w:t>
      </w:r>
    </w:p>
    <w:p w:rsidR="00972CE3" w:rsidRDefault="00972CE3">
      <w:pPr>
        <w:spacing w:line="242" w:lineRule="auto"/>
        <w:jc w:val="both"/>
        <w:rPr>
          <w:sz w:val="24"/>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1456" behindDoc="1" locked="0" layoutInCell="1" allowOverlap="1">
            <wp:simplePos x="0" y="0"/>
            <wp:positionH relativeFrom="page">
              <wp:posOffset>0</wp:posOffset>
            </wp:positionH>
            <wp:positionV relativeFrom="page">
              <wp:posOffset>6982</wp:posOffset>
            </wp:positionV>
            <wp:extent cx="7562088" cy="1048327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Heading1"/>
        <w:ind w:left="19" w:right="17"/>
        <w:jc w:val="center"/>
      </w:pPr>
      <w:r>
        <w:t>MODERNIDADE</w:t>
      </w:r>
      <w:r>
        <w:rPr>
          <w:spacing w:val="-3"/>
        </w:rPr>
        <w:t xml:space="preserve"> </w:t>
      </w:r>
      <w:r>
        <w:t>URBANA</w:t>
      </w:r>
      <w:r>
        <w:rPr>
          <w:spacing w:val="-7"/>
        </w:rPr>
        <w:t xml:space="preserve"> </w:t>
      </w:r>
      <w:r>
        <w:t>E</w:t>
      </w:r>
      <w:r>
        <w:rPr>
          <w:spacing w:val="-1"/>
        </w:rPr>
        <w:t xml:space="preserve"> </w:t>
      </w:r>
      <w:r>
        <w:t xml:space="preserve">COLONIALIDADE </w:t>
      </w:r>
      <w:r>
        <w:rPr>
          <w:spacing w:val="-2"/>
        </w:rPr>
        <w:t>TÉCNICA:</w:t>
      </w:r>
    </w:p>
    <w:p w:rsidR="00972CE3" w:rsidRDefault="001F20D2">
      <w:pPr>
        <w:pStyle w:val="Corpodetexto"/>
        <w:spacing w:before="137"/>
        <w:ind w:left="8" w:right="5"/>
        <w:jc w:val="center"/>
      </w:pPr>
      <w:r>
        <w:t>O</w:t>
      </w:r>
      <w:r>
        <w:rPr>
          <w:spacing w:val="-3"/>
        </w:rPr>
        <w:t xml:space="preserve"> </w:t>
      </w:r>
      <w:r>
        <w:t>planejamento contra</w:t>
      </w:r>
      <w:r>
        <w:rPr>
          <w:spacing w:val="-5"/>
        </w:rPr>
        <w:t xml:space="preserve"> </w:t>
      </w:r>
      <w:r>
        <w:t>a</w:t>
      </w:r>
      <w:r>
        <w:rPr>
          <w:spacing w:val="-3"/>
        </w:rPr>
        <w:t xml:space="preserve"> </w:t>
      </w:r>
      <w:r>
        <w:t>cidade</w:t>
      </w:r>
      <w:r>
        <w:rPr>
          <w:spacing w:val="-5"/>
        </w:rPr>
        <w:t xml:space="preserve"> </w:t>
      </w:r>
      <w:r>
        <w:t>tradicional</w:t>
      </w:r>
      <w:r>
        <w:rPr>
          <w:spacing w:val="-1"/>
        </w:rPr>
        <w:t xml:space="preserve"> </w:t>
      </w:r>
      <w:r>
        <w:t>em</w:t>
      </w:r>
      <w:r>
        <w:rPr>
          <w:spacing w:val="-1"/>
        </w:rPr>
        <w:t xml:space="preserve"> </w:t>
      </w:r>
      <w:r>
        <w:t>São</w:t>
      </w:r>
      <w:r>
        <w:rPr>
          <w:spacing w:val="-6"/>
        </w:rPr>
        <w:t xml:space="preserve"> </w:t>
      </w:r>
      <w:r>
        <w:t>Luis,</w:t>
      </w:r>
      <w:r>
        <w:rPr>
          <w:spacing w:val="-3"/>
        </w:rPr>
        <w:t xml:space="preserve"> </w:t>
      </w:r>
      <w:r>
        <w:rPr>
          <w:spacing w:val="-2"/>
        </w:rPr>
        <w:t>Maranhão?</w:t>
      </w:r>
    </w:p>
    <w:p w:rsidR="00972CE3" w:rsidRDefault="00972CE3">
      <w:pPr>
        <w:pStyle w:val="Corpodetexto"/>
        <w:spacing w:before="94"/>
      </w:pPr>
    </w:p>
    <w:p w:rsidR="00972CE3" w:rsidRDefault="001F20D2">
      <w:pPr>
        <w:ind w:left="6194"/>
      </w:pPr>
      <w:r>
        <w:t>Carlos</w:t>
      </w:r>
      <w:r>
        <w:rPr>
          <w:spacing w:val="-6"/>
        </w:rPr>
        <w:t xml:space="preserve"> </w:t>
      </w:r>
      <w:r>
        <w:t>Frederico</w:t>
      </w:r>
      <w:r>
        <w:rPr>
          <w:spacing w:val="-7"/>
        </w:rPr>
        <w:t xml:space="preserve"> </w:t>
      </w:r>
      <w:r>
        <w:t>Lago</w:t>
      </w:r>
      <w:r>
        <w:rPr>
          <w:spacing w:val="-8"/>
        </w:rPr>
        <w:t xml:space="preserve"> </w:t>
      </w:r>
      <w:r>
        <w:rPr>
          <w:spacing w:val="-2"/>
        </w:rPr>
        <w:t>Burnett</w:t>
      </w:r>
      <w:r>
        <w:rPr>
          <w:spacing w:val="-2"/>
          <w:vertAlign w:val="superscript"/>
        </w:rPr>
        <w:t>1</w:t>
      </w:r>
    </w:p>
    <w:p w:rsidR="00972CE3" w:rsidRDefault="001F20D2">
      <w:pPr>
        <w:spacing w:before="227"/>
        <w:ind w:left="2977"/>
        <w:rPr>
          <w:rFonts w:ascii="Arial"/>
          <w:b/>
          <w:sz w:val="20"/>
        </w:rPr>
      </w:pPr>
      <w:r>
        <w:rPr>
          <w:rFonts w:ascii="Arial"/>
          <w:b/>
          <w:spacing w:val="-2"/>
          <w:sz w:val="20"/>
        </w:rPr>
        <w:t>Resumo</w:t>
      </w:r>
    </w:p>
    <w:p w:rsidR="00972CE3" w:rsidRDefault="001F20D2">
      <w:pPr>
        <w:spacing w:before="2"/>
        <w:ind w:left="2977" w:right="137"/>
        <w:jc w:val="both"/>
        <w:rPr>
          <w:sz w:val="20"/>
        </w:rPr>
      </w:pPr>
      <w:r>
        <w:rPr>
          <w:sz w:val="20"/>
        </w:rPr>
        <w:t>A proposta de zoneamento do solo do município de São Luís, regulamentação do Plano Diretor de 2023 em discussão no Conselho da Cidade para atualização da lei de 1992, busca compensar lucros perdidos pelo mercado fundiário e imobiliário com adensamento do s</w:t>
      </w:r>
      <w:r>
        <w:rPr>
          <w:sz w:val="20"/>
        </w:rPr>
        <w:t>olo em áreas de urbanização tradicional da cidade. Ignorando usos sociais</w:t>
      </w:r>
      <w:r>
        <w:rPr>
          <w:spacing w:val="-3"/>
          <w:sz w:val="20"/>
        </w:rPr>
        <w:t xml:space="preserve"> </w:t>
      </w:r>
      <w:r>
        <w:rPr>
          <w:sz w:val="20"/>
        </w:rPr>
        <w:t>consolidados,</w:t>
      </w:r>
      <w:r>
        <w:rPr>
          <w:spacing w:val="-5"/>
          <w:sz w:val="20"/>
        </w:rPr>
        <w:t xml:space="preserve"> </w:t>
      </w:r>
      <w:r>
        <w:rPr>
          <w:sz w:val="20"/>
        </w:rPr>
        <w:t>a</w:t>
      </w:r>
      <w:r>
        <w:rPr>
          <w:spacing w:val="-5"/>
          <w:sz w:val="20"/>
        </w:rPr>
        <w:t xml:space="preserve"> </w:t>
      </w:r>
      <w:r>
        <w:rPr>
          <w:sz w:val="20"/>
        </w:rPr>
        <w:t>modernização</w:t>
      </w:r>
      <w:r>
        <w:rPr>
          <w:spacing w:val="-3"/>
          <w:sz w:val="20"/>
        </w:rPr>
        <w:t xml:space="preserve"> </w:t>
      </w:r>
      <w:r>
        <w:rPr>
          <w:sz w:val="20"/>
        </w:rPr>
        <w:t>urbana</w:t>
      </w:r>
      <w:r>
        <w:rPr>
          <w:spacing w:val="-5"/>
          <w:sz w:val="20"/>
        </w:rPr>
        <w:t xml:space="preserve"> </w:t>
      </w:r>
      <w:r>
        <w:rPr>
          <w:sz w:val="20"/>
        </w:rPr>
        <w:t>justifica</w:t>
      </w:r>
      <w:r>
        <w:rPr>
          <w:spacing w:val="-1"/>
          <w:sz w:val="20"/>
        </w:rPr>
        <w:t xml:space="preserve"> </w:t>
      </w:r>
      <w:r>
        <w:rPr>
          <w:sz w:val="20"/>
        </w:rPr>
        <w:t>lucros</w:t>
      </w:r>
      <w:r>
        <w:rPr>
          <w:spacing w:val="-3"/>
          <w:sz w:val="20"/>
        </w:rPr>
        <w:t xml:space="preserve"> </w:t>
      </w:r>
      <w:r>
        <w:rPr>
          <w:sz w:val="20"/>
        </w:rPr>
        <w:t>privados, oferecendo</w:t>
      </w:r>
      <w:r>
        <w:rPr>
          <w:spacing w:val="-5"/>
          <w:sz w:val="20"/>
        </w:rPr>
        <w:t xml:space="preserve"> </w:t>
      </w:r>
      <w:r>
        <w:rPr>
          <w:sz w:val="20"/>
        </w:rPr>
        <w:t>ao</w:t>
      </w:r>
      <w:r>
        <w:rPr>
          <w:spacing w:val="-3"/>
          <w:sz w:val="20"/>
        </w:rPr>
        <w:t xml:space="preserve"> </w:t>
      </w:r>
      <w:r>
        <w:rPr>
          <w:sz w:val="20"/>
        </w:rPr>
        <w:t>mercado</w:t>
      </w:r>
      <w:r>
        <w:rPr>
          <w:spacing w:val="-3"/>
          <w:sz w:val="20"/>
        </w:rPr>
        <w:t xml:space="preserve"> </w:t>
      </w:r>
      <w:r>
        <w:rPr>
          <w:sz w:val="20"/>
        </w:rPr>
        <w:t>imobiliário</w:t>
      </w:r>
      <w:r>
        <w:rPr>
          <w:spacing w:val="-4"/>
          <w:sz w:val="20"/>
        </w:rPr>
        <w:t xml:space="preserve"> </w:t>
      </w:r>
      <w:r>
        <w:rPr>
          <w:sz w:val="20"/>
        </w:rPr>
        <w:t>novo</w:t>
      </w:r>
      <w:r>
        <w:rPr>
          <w:spacing w:val="-2"/>
          <w:sz w:val="20"/>
        </w:rPr>
        <w:t xml:space="preserve"> </w:t>
      </w:r>
      <w:r>
        <w:rPr>
          <w:sz w:val="20"/>
        </w:rPr>
        <w:t>zoneamento para</w:t>
      </w:r>
      <w:r>
        <w:rPr>
          <w:spacing w:val="-4"/>
          <w:sz w:val="20"/>
        </w:rPr>
        <w:t xml:space="preserve"> </w:t>
      </w:r>
      <w:r>
        <w:rPr>
          <w:sz w:val="20"/>
        </w:rPr>
        <w:t>a</w:t>
      </w:r>
      <w:r>
        <w:rPr>
          <w:spacing w:val="-3"/>
          <w:sz w:val="20"/>
        </w:rPr>
        <w:t xml:space="preserve"> </w:t>
      </w:r>
      <w:r>
        <w:rPr>
          <w:sz w:val="20"/>
        </w:rPr>
        <w:t>região</w:t>
      </w:r>
      <w:r>
        <w:rPr>
          <w:spacing w:val="-5"/>
          <w:sz w:val="20"/>
        </w:rPr>
        <w:t xml:space="preserve"> </w:t>
      </w:r>
      <w:r>
        <w:rPr>
          <w:sz w:val="20"/>
        </w:rPr>
        <w:t>da cidade de urbanização secular, abandonada há décadas</w:t>
      </w:r>
      <w:r>
        <w:rPr>
          <w:sz w:val="20"/>
        </w:rPr>
        <w:t xml:space="preserve"> pelo Estado que,</w:t>
      </w:r>
      <w:r>
        <w:rPr>
          <w:spacing w:val="-4"/>
          <w:sz w:val="20"/>
        </w:rPr>
        <w:t xml:space="preserve"> </w:t>
      </w:r>
      <w:r>
        <w:rPr>
          <w:sz w:val="20"/>
        </w:rPr>
        <w:t>comprometido</w:t>
      </w:r>
      <w:r>
        <w:rPr>
          <w:spacing w:val="-7"/>
          <w:sz w:val="20"/>
        </w:rPr>
        <w:t xml:space="preserve"> </w:t>
      </w:r>
      <w:r>
        <w:rPr>
          <w:sz w:val="20"/>
        </w:rPr>
        <w:t>com</w:t>
      </w:r>
      <w:r>
        <w:rPr>
          <w:spacing w:val="-4"/>
          <w:sz w:val="20"/>
        </w:rPr>
        <w:t xml:space="preserve"> </w:t>
      </w:r>
      <w:r>
        <w:rPr>
          <w:sz w:val="20"/>
        </w:rPr>
        <w:t>milionários</w:t>
      </w:r>
      <w:r>
        <w:rPr>
          <w:spacing w:val="-5"/>
          <w:sz w:val="20"/>
        </w:rPr>
        <w:t xml:space="preserve"> </w:t>
      </w:r>
      <w:r>
        <w:rPr>
          <w:sz w:val="20"/>
        </w:rPr>
        <w:t>investimentos</w:t>
      </w:r>
      <w:r>
        <w:rPr>
          <w:spacing w:val="-1"/>
          <w:sz w:val="20"/>
        </w:rPr>
        <w:t xml:space="preserve"> </w:t>
      </w:r>
      <w:r>
        <w:rPr>
          <w:sz w:val="20"/>
        </w:rPr>
        <w:t>além</w:t>
      </w:r>
      <w:r>
        <w:rPr>
          <w:spacing w:val="-1"/>
          <w:sz w:val="20"/>
        </w:rPr>
        <w:t xml:space="preserve"> </w:t>
      </w:r>
      <w:r>
        <w:rPr>
          <w:sz w:val="20"/>
        </w:rPr>
        <w:t>dos</w:t>
      </w:r>
      <w:r>
        <w:rPr>
          <w:spacing w:val="-5"/>
          <w:sz w:val="20"/>
        </w:rPr>
        <w:t xml:space="preserve"> </w:t>
      </w:r>
      <w:r>
        <w:rPr>
          <w:sz w:val="20"/>
        </w:rPr>
        <w:t>rios</w:t>
      </w:r>
      <w:r>
        <w:rPr>
          <w:spacing w:val="-5"/>
          <w:sz w:val="20"/>
        </w:rPr>
        <w:t xml:space="preserve"> </w:t>
      </w:r>
      <w:r>
        <w:rPr>
          <w:sz w:val="20"/>
        </w:rPr>
        <w:t>Anil</w:t>
      </w:r>
      <w:r>
        <w:rPr>
          <w:spacing w:val="-5"/>
          <w:sz w:val="20"/>
        </w:rPr>
        <w:t xml:space="preserve"> </w:t>
      </w:r>
      <w:r>
        <w:rPr>
          <w:sz w:val="20"/>
        </w:rPr>
        <w:t>e Bacanga, abdicou de sua obrigação constitucional de qualificar infraestrutura e serviços públicos essenciais para economias de pequena escala. Entregando ao mercado monopolis</w:t>
      </w:r>
      <w:r>
        <w:rPr>
          <w:sz w:val="20"/>
        </w:rPr>
        <w:t>ta altas taxas de exploração do solo que irão impactar vizinhanças consolidadas, o governo municipal pretende resolver a crise urbana através da hegemonização de lógicas colonizadas.</w:t>
      </w:r>
    </w:p>
    <w:p w:rsidR="00972CE3" w:rsidRDefault="001F20D2">
      <w:pPr>
        <w:spacing w:line="242" w:lineRule="auto"/>
        <w:ind w:left="2977" w:right="139"/>
        <w:jc w:val="both"/>
        <w:rPr>
          <w:sz w:val="20"/>
        </w:rPr>
      </w:pPr>
      <w:r>
        <w:rPr>
          <w:rFonts w:ascii="Arial" w:hAnsi="Arial"/>
          <w:b/>
          <w:sz w:val="20"/>
        </w:rPr>
        <w:t xml:space="preserve">Palavras-chave: </w:t>
      </w:r>
      <w:r>
        <w:rPr>
          <w:sz w:val="20"/>
        </w:rPr>
        <w:t xml:space="preserve">Planejamento urbano; Cidade tradicional; Mercado </w:t>
      </w:r>
      <w:r>
        <w:rPr>
          <w:spacing w:val="-2"/>
          <w:sz w:val="20"/>
        </w:rPr>
        <w:t>imobiliá</w:t>
      </w:r>
      <w:r>
        <w:rPr>
          <w:spacing w:val="-2"/>
          <w:sz w:val="20"/>
        </w:rPr>
        <w:t>rio.</w:t>
      </w:r>
    </w:p>
    <w:p w:rsidR="00972CE3" w:rsidRDefault="001F20D2">
      <w:pPr>
        <w:spacing w:before="222"/>
        <w:ind w:left="2977"/>
        <w:rPr>
          <w:rFonts w:ascii="Arial"/>
          <w:b/>
          <w:sz w:val="20"/>
        </w:rPr>
      </w:pPr>
      <w:r>
        <w:rPr>
          <w:rFonts w:ascii="Arial"/>
          <w:b/>
          <w:spacing w:val="-2"/>
          <w:sz w:val="20"/>
        </w:rPr>
        <w:t>Abstract</w:t>
      </w:r>
    </w:p>
    <w:p w:rsidR="00972CE3" w:rsidRDefault="001F20D2">
      <w:pPr>
        <w:spacing w:before="3"/>
        <w:ind w:left="2977" w:right="139"/>
        <w:jc w:val="both"/>
        <w:rPr>
          <w:sz w:val="20"/>
        </w:rPr>
      </w:pPr>
      <w:r>
        <w:rPr>
          <w:sz w:val="20"/>
        </w:rPr>
        <w:t>The land zoning proposal</w:t>
      </w:r>
      <w:r>
        <w:rPr>
          <w:spacing w:val="-1"/>
          <w:sz w:val="20"/>
        </w:rPr>
        <w:t xml:space="preserve"> </w:t>
      </w:r>
      <w:r>
        <w:rPr>
          <w:sz w:val="20"/>
        </w:rPr>
        <w:t>for the municipality</w:t>
      </w:r>
      <w:r>
        <w:rPr>
          <w:spacing w:val="-3"/>
          <w:sz w:val="20"/>
        </w:rPr>
        <w:t xml:space="preserve"> </w:t>
      </w:r>
      <w:r>
        <w:rPr>
          <w:sz w:val="20"/>
        </w:rPr>
        <w:t>of São Luís, a regulation of the 2023 Master Plan currently under discussion in the City Council to update the 1992 law, seeks to offset lost profits from the land and real estate market by increasing land density in traditionally urbanized areas of the ci</w:t>
      </w:r>
      <w:r>
        <w:rPr>
          <w:sz w:val="20"/>
        </w:rPr>
        <w:t>ty. Ignoring established social uses, urban modernization</w:t>
      </w:r>
      <w:r>
        <w:rPr>
          <w:spacing w:val="-1"/>
          <w:sz w:val="20"/>
        </w:rPr>
        <w:t xml:space="preserve"> </w:t>
      </w:r>
      <w:r>
        <w:rPr>
          <w:sz w:val="20"/>
        </w:rPr>
        <w:t>justifies</w:t>
      </w:r>
      <w:r>
        <w:rPr>
          <w:spacing w:val="-2"/>
          <w:sz w:val="20"/>
        </w:rPr>
        <w:t xml:space="preserve"> </w:t>
      </w:r>
      <w:r>
        <w:rPr>
          <w:sz w:val="20"/>
        </w:rPr>
        <w:t>private</w:t>
      </w:r>
      <w:r>
        <w:rPr>
          <w:spacing w:val="-1"/>
          <w:sz w:val="20"/>
        </w:rPr>
        <w:t xml:space="preserve"> </w:t>
      </w:r>
      <w:r>
        <w:rPr>
          <w:sz w:val="20"/>
        </w:rPr>
        <w:t>profits</w:t>
      </w:r>
      <w:r>
        <w:rPr>
          <w:spacing w:val="-2"/>
          <w:sz w:val="20"/>
        </w:rPr>
        <w:t xml:space="preserve"> </w:t>
      </w:r>
      <w:r>
        <w:rPr>
          <w:sz w:val="20"/>
        </w:rPr>
        <w:t>by</w:t>
      </w:r>
      <w:r>
        <w:rPr>
          <w:spacing w:val="-3"/>
          <w:sz w:val="20"/>
        </w:rPr>
        <w:t xml:space="preserve"> </w:t>
      </w:r>
      <w:r>
        <w:rPr>
          <w:sz w:val="20"/>
        </w:rPr>
        <w:t>offering</w:t>
      </w:r>
      <w:r>
        <w:rPr>
          <w:spacing w:val="-2"/>
          <w:sz w:val="20"/>
        </w:rPr>
        <w:t xml:space="preserve"> </w:t>
      </w:r>
      <w:r>
        <w:rPr>
          <w:sz w:val="20"/>
        </w:rPr>
        <w:t>the</w:t>
      </w:r>
      <w:r>
        <w:rPr>
          <w:spacing w:val="-3"/>
          <w:sz w:val="20"/>
        </w:rPr>
        <w:t xml:space="preserve"> </w:t>
      </w:r>
      <w:r>
        <w:rPr>
          <w:sz w:val="20"/>
        </w:rPr>
        <w:t>real</w:t>
      </w:r>
      <w:r>
        <w:rPr>
          <w:spacing w:val="-2"/>
          <w:sz w:val="20"/>
        </w:rPr>
        <w:t xml:space="preserve"> </w:t>
      </w:r>
      <w:r>
        <w:rPr>
          <w:sz w:val="20"/>
        </w:rPr>
        <w:t>estate</w:t>
      </w:r>
      <w:r>
        <w:rPr>
          <w:spacing w:val="-1"/>
          <w:sz w:val="20"/>
        </w:rPr>
        <w:t xml:space="preserve"> </w:t>
      </w:r>
      <w:r>
        <w:rPr>
          <w:sz w:val="20"/>
        </w:rPr>
        <w:t>market new zoning for the city'</w:t>
      </w:r>
      <w:r>
        <w:rPr>
          <w:sz w:val="20"/>
        </w:rPr>
        <w:t>s centuries-old urbanized region, abandoned decades ago by the State. Committed to millionaire investments beyond the Anil and Bacanga rivers, it abdicated its constitutional obligation to improve infrastructure and essential public services for small-scal</w:t>
      </w:r>
      <w:r>
        <w:rPr>
          <w:sz w:val="20"/>
        </w:rPr>
        <w:t>e economies. By handing over to the monopolistic market high rates of land exploitation that will impact established neighborhoods, the municipal government intends to resolve the</w:t>
      </w:r>
      <w:r>
        <w:rPr>
          <w:spacing w:val="40"/>
          <w:sz w:val="20"/>
        </w:rPr>
        <w:t xml:space="preserve"> </w:t>
      </w:r>
      <w:r>
        <w:rPr>
          <w:sz w:val="20"/>
        </w:rPr>
        <w:t>urban crisis through the hegemony of colonized logics</w:t>
      </w:r>
    </w:p>
    <w:p w:rsidR="00972CE3" w:rsidRDefault="001F20D2">
      <w:pPr>
        <w:spacing w:before="2"/>
        <w:ind w:left="2977"/>
        <w:jc w:val="both"/>
      </w:pPr>
      <w:r>
        <w:rPr>
          <w:rFonts w:ascii="Arial"/>
          <w:b/>
          <w:sz w:val="20"/>
        </w:rPr>
        <w:t>Keywords</w:t>
      </w:r>
      <w:r>
        <w:rPr>
          <w:sz w:val="20"/>
        </w:rPr>
        <w:t>:</w:t>
      </w:r>
      <w:r>
        <w:rPr>
          <w:spacing w:val="-8"/>
          <w:sz w:val="20"/>
        </w:rPr>
        <w:t xml:space="preserve"> </w:t>
      </w:r>
      <w:r>
        <w:t>Urban</w:t>
      </w:r>
      <w:r>
        <w:rPr>
          <w:spacing w:val="-7"/>
        </w:rPr>
        <w:t xml:space="preserve"> </w:t>
      </w:r>
      <w:r>
        <w:t>planni</w:t>
      </w:r>
      <w:r>
        <w:t>ng;</w:t>
      </w:r>
      <w:r>
        <w:rPr>
          <w:spacing w:val="-8"/>
        </w:rPr>
        <w:t xml:space="preserve"> </w:t>
      </w:r>
      <w:r>
        <w:t>Traditional</w:t>
      </w:r>
      <w:r>
        <w:rPr>
          <w:spacing w:val="-8"/>
        </w:rPr>
        <w:t xml:space="preserve"> </w:t>
      </w:r>
      <w:r>
        <w:t>city;</w:t>
      </w:r>
      <w:r>
        <w:rPr>
          <w:spacing w:val="-6"/>
        </w:rPr>
        <w:t xml:space="preserve"> </w:t>
      </w:r>
      <w:r>
        <w:t>Real</w:t>
      </w:r>
      <w:r>
        <w:rPr>
          <w:spacing w:val="-7"/>
        </w:rPr>
        <w:t xml:space="preserve"> </w:t>
      </w:r>
      <w:r>
        <w:t>estate</w:t>
      </w:r>
      <w:r>
        <w:rPr>
          <w:spacing w:val="-9"/>
        </w:rPr>
        <w:t xml:space="preserve"> </w:t>
      </w:r>
      <w:r>
        <w:rPr>
          <w:spacing w:val="-2"/>
        </w:rPr>
        <w:t>market.</w:t>
      </w: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spacing w:before="73"/>
        <w:rPr>
          <w:sz w:val="20"/>
        </w:rPr>
      </w:pPr>
      <w:r w:rsidRPr="00972CE3">
        <w:rPr>
          <w:sz w:val="20"/>
        </w:rPr>
        <w:pict>
          <v:rect id="docshape3" o:spid="_x0000_s1056" style="position:absolute;margin-left:85.1pt;margin-top:16.35pt;width:2in;height:.6pt;z-index:-15717376;mso-wrap-distance-left:0;mso-wrap-distance-right:0;mso-position-horizontal-relative:page" fillcolor="black" stroked="f">
            <w10:wrap type="topAndBottom" anchorx="page"/>
          </v:rect>
        </w:pict>
      </w:r>
    </w:p>
    <w:p w:rsidR="00972CE3" w:rsidRDefault="001F20D2">
      <w:pPr>
        <w:spacing w:before="93" w:line="276" w:lineRule="auto"/>
        <w:ind w:left="143"/>
        <w:rPr>
          <w:sz w:val="20"/>
        </w:rPr>
      </w:pPr>
      <w:r>
        <w:rPr>
          <w:sz w:val="20"/>
          <w:vertAlign w:val="superscript"/>
        </w:rPr>
        <w:t>1</w:t>
      </w:r>
      <w:r>
        <w:rPr>
          <w:spacing w:val="80"/>
          <w:w w:val="150"/>
          <w:sz w:val="20"/>
        </w:rPr>
        <w:t xml:space="preserve"> </w:t>
      </w:r>
      <w:r>
        <w:rPr>
          <w:sz w:val="20"/>
        </w:rPr>
        <w:t>Arquiteto</w:t>
      </w:r>
      <w:r>
        <w:rPr>
          <w:spacing w:val="80"/>
          <w:w w:val="150"/>
          <w:sz w:val="20"/>
        </w:rPr>
        <w:t xml:space="preserve"> </w:t>
      </w:r>
      <w:r>
        <w:rPr>
          <w:sz w:val="20"/>
        </w:rPr>
        <w:t>e</w:t>
      </w:r>
      <w:r>
        <w:rPr>
          <w:spacing w:val="80"/>
          <w:w w:val="150"/>
          <w:sz w:val="20"/>
        </w:rPr>
        <w:t xml:space="preserve"> </w:t>
      </w:r>
      <w:r>
        <w:rPr>
          <w:sz w:val="20"/>
        </w:rPr>
        <w:t>Urbanista,</w:t>
      </w:r>
      <w:r>
        <w:rPr>
          <w:spacing w:val="80"/>
          <w:w w:val="150"/>
          <w:sz w:val="20"/>
        </w:rPr>
        <w:t xml:space="preserve"> </w:t>
      </w:r>
      <w:r>
        <w:rPr>
          <w:sz w:val="20"/>
        </w:rPr>
        <w:t>Professor</w:t>
      </w:r>
      <w:r>
        <w:rPr>
          <w:spacing w:val="80"/>
          <w:w w:val="150"/>
          <w:sz w:val="20"/>
        </w:rPr>
        <w:t xml:space="preserve"> </w:t>
      </w:r>
      <w:r>
        <w:rPr>
          <w:sz w:val="20"/>
        </w:rPr>
        <w:t>do</w:t>
      </w:r>
      <w:r>
        <w:rPr>
          <w:spacing w:val="80"/>
          <w:w w:val="150"/>
          <w:sz w:val="20"/>
        </w:rPr>
        <w:t xml:space="preserve"> </w:t>
      </w:r>
      <w:r>
        <w:rPr>
          <w:sz w:val="20"/>
        </w:rPr>
        <w:t>Programa</w:t>
      </w:r>
      <w:r>
        <w:rPr>
          <w:spacing w:val="80"/>
          <w:w w:val="150"/>
          <w:sz w:val="20"/>
        </w:rPr>
        <w:t xml:space="preserve"> </w:t>
      </w:r>
      <w:r>
        <w:rPr>
          <w:sz w:val="20"/>
        </w:rPr>
        <w:t>de</w:t>
      </w:r>
      <w:r>
        <w:rPr>
          <w:spacing w:val="80"/>
          <w:w w:val="150"/>
          <w:sz w:val="20"/>
        </w:rPr>
        <w:t xml:space="preserve"> </w:t>
      </w:r>
      <w:r>
        <w:rPr>
          <w:sz w:val="20"/>
        </w:rPr>
        <w:t>Pós-Graduação</w:t>
      </w:r>
      <w:r>
        <w:rPr>
          <w:spacing w:val="80"/>
          <w:w w:val="150"/>
          <w:sz w:val="20"/>
        </w:rPr>
        <w:t xml:space="preserve"> </w:t>
      </w:r>
      <w:r>
        <w:rPr>
          <w:sz w:val="20"/>
        </w:rPr>
        <w:t>em</w:t>
      </w:r>
      <w:r>
        <w:rPr>
          <w:spacing w:val="80"/>
          <w:w w:val="150"/>
          <w:sz w:val="20"/>
        </w:rPr>
        <w:t xml:space="preserve"> </w:t>
      </w:r>
      <w:r>
        <w:rPr>
          <w:sz w:val="20"/>
        </w:rPr>
        <w:t>Desenvolvimento Socioespacial da Universidade Estadual do Maranhão (UEMA).</w:t>
      </w:r>
    </w:p>
    <w:p w:rsidR="00972CE3" w:rsidRDefault="00972CE3">
      <w:pPr>
        <w:spacing w:line="276" w:lineRule="auto"/>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1968" behindDoc="1" locked="0" layoutInCell="1" allowOverlap="1">
            <wp:simplePos x="0" y="0"/>
            <wp:positionH relativeFrom="page">
              <wp:posOffset>0</wp:posOffset>
            </wp:positionH>
            <wp:positionV relativeFrom="page">
              <wp:posOffset>6982</wp:posOffset>
            </wp:positionV>
            <wp:extent cx="7562088" cy="1048327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Heading1"/>
        <w:tabs>
          <w:tab w:val="left" w:pos="862"/>
        </w:tabs>
        <w:ind w:left="143"/>
      </w:pPr>
      <w:r>
        <w:rPr>
          <w:spacing w:val="-10"/>
        </w:rPr>
        <w:t>1</w:t>
      </w:r>
      <w:r>
        <w:tab/>
      </w:r>
      <w:r>
        <w:rPr>
          <w:spacing w:val="-2"/>
        </w:rPr>
        <w:t>INTRODUÇÃO</w:t>
      </w:r>
    </w:p>
    <w:p w:rsidR="00972CE3" w:rsidRDefault="00972CE3">
      <w:pPr>
        <w:pStyle w:val="Corpodetexto"/>
        <w:rPr>
          <w:rFonts w:ascii="Arial"/>
          <w:b/>
        </w:rPr>
      </w:pPr>
    </w:p>
    <w:p w:rsidR="00972CE3" w:rsidRDefault="00972CE3">
      <w:pPr>
        <w:pStyle w:val="Corpodetexto"/>
        <w:rPr>
          <w:rFonts w:ascii="Arial"/>
          <w:b/>
        </w:rPr>
      </w:pPr>
    </w:p>
    <w:p w:rsidR="00972CE3" w:rsidRDefault="001F20D2">
      <w:pPr>
        <w:pStyle w:val="Corpodetexto"/>
        <w:spacing w:line="360" w:lineRule="auto"/>
        <w:ind w:left="143" w:right="133" w:firstLine="707"/>
        <w:jc w:val="both"/>
      </w:pPr>
      <w:r>
        <w:t>Após várias tentativas de modernização urbana da cidade de São Luís entre 1930 e 1960 (Lopes, 2013), seus espaços, produzidos ao longo de três séculos por sociabilidades pretéritas, se comprovaram disfuncionais para incorporar transformações no uso e ocupa</w:t>
      </w:r>
      <w:r>
        <w:t>ção do solo (Mesquita, 1958). Com a oportunidade aberta, a partir de 1960, por recursos técnicos e financeiros das políticas federais de desenvolvimento urbano (Serra, 1991), forças políticas e econômicas locais se lançaram na ocupação de imensas glebas pú</w:t>
      </w:r>
      <w:r>
        <w:t>blicas além dos rios Anil e Bacanga, relegando a região ao abandono institucional (Burnett, 2022).</w:t>
      </w:r>
    </w:p>
    <w:p w:rsidR="00972CE3" w:rsidRDefault="001F20D2">
      <w:pPr>
        <w:pStyle w:val="Corpodetexto"/>
        <w:spacing w:before="1" w:line="360" w:lineRule="auto"/>
        <w:ind w:left="143" w:right="134" w:firstLine="707"/>
        <w:jc w:val="both"/>
      </w:pPr>
      <w:r>
        <w:t>Envolvido nas gigantescas intervenções urbanas e arquitetônicas de grande porte que, sob cronograma e financiamentos federais, moldavam modernas espacialidades na região recém-ocupada, o Estado acompanhou os interesses do mercado imobiliário e, por</w:t>
      </w:r>
      <w:r>
        <w:rPr>
          <w:spacing w:val="-1"/>
        </w:rPr>
        <w:t xml:space="preserve"> </w:t>
      </w:r>
      <w:r>
        <w:t>décadas</w:t>
      </w:r>
      <w:r>
        <w:t>, suspendeu a gestão e os investimentos públicos na cidade de urbanização tradicional. Apesar do esvaziamento demográfico provocado pela saída das camadas de alta e média rendas e das sedes de seus serviços de finanças, educação e saúde que, paulatinamente</w:t>
      </w:r>
      <w:r>
        <w:t>, migraram para as “novas” regiões, uma extensa população manteve suas atividades econômicas de pequena escala e seus espaços miscigenados, assegurando a reprodução sócio- espacial</w:t>
      </w:r>
      <w:r>
        <w:rPr>
          <w:spacing w:val="-1"/>
        </w:rPr>
        <w:t xml:space="preserve"> </w:t>
      </w:r>
      <w:r>
        <w:t>tradicional sob omissão estatal</w:t>
      </w:r>
      <w:r>
        <w:rPr>
          <w:spacing w:val="-2"/>
        </w:rPr>
        <w:t xml:space="preserve"> </w:t>
      </w:r>
      <w:r>
        <w:t>que agravava as condições de</w:t>
      </w:r>
      <w:r>
        <w:rPr>
          <w:spacing w:val="-1"/>
        </w:rPr>
        <w:t xml:space="preserve"> </w:t>
      </w:r>
      <w:r>
        <w:t>infraestrutura</w:t>
      </w:r>
      <w:r>
        <w:t xml:space="preserve"> e serviços públicos. (Burnett, 2022)</w:t>
      </w:r>
    </w:p>
    <w:p w:rsidR="00972CE3" w:rsidRDefault="001F20D2">
      <w:pPr>
        <w:pStyle w:val="Corpodetexto"/>
        <w:spacing w:line="360" w:lineRule="auto"/>
        <w:ind w:left="143" w:right="135" w:firstLine="707"/>
        <w:jc w:val="both"/>
      </w:pPr>
      <w:r>
        <w:t>Atendendo as demandas mais urgentes de forma pontual, mas sem nunca se dispor a implementar projetos e programas voltados para qualificar as condições de vida e trabalho da população da área, agentes urbanos públicos c</w:t>
      </w:r>
      <w:r>
        <w:t>onsolidaram ao longo do tempo a prática de ações pontuais que, como “acupunturas urbanas” (Lerner, 2003), seriam métodos eficientes e econômicos de intervir sobre a “arcaica” região. Porém, meio século depois de tais posturas e diante da ineficácia das int</w:t>
      </w:r>
      <w:r>
        <w:t>ervenções</w:t>
      </w:r>
      <w:r>
        <w:rPr>
          <w:spacing w:val="40"/>
        </w:rPr>
        <w:t xml:space="preserve"> </w:t>
      </w:r>
      <w:r>
        <w:t>pontuais</w:t>
      </w:r>
      <w:r>
        <w:rPr>
          <w:spacing w:val="40"/>
        </w:rPr>
        <w:t xml:space="preserve"> </w:t>
      </w:r>
      <w:r>
        <w:t>em</w:t>
      </w:r>
      <w:r>
        <w:rPr>
          <w:spacing w:val="40"/>
        </w:rPr>
        <w:t xml:space="preserve"> </w:t>
      </w:r>
      <w:r>
        <w:t>inserir</w:t>
      </w:r>
      <w:r>
        <w:rPr>
          <w:spacing w:val="40"/>
        </w:rPr>
        <w:t xml:space="preserve"> </w:t>
      </w:r>
      <w:r>
        <w:t>o</w:t>
      </w:r>
      <w:r>
        <w:rPr>
          <w:spacing w:val="40"/>
        </w:rPr>
        <w:t xml:space="preserve"> </w:t>
      </w:r>
      <w:r>
        <w:t>território</w:t>
      </w:r>
      <w:r>
        <w:rPr>
          <w:spacing w:val="40"/>
        </w:rPr>
        <w:t xml:space="preserve"> </w:t>
      </w:r>
      <w:r>
        <w:t>no</w:t>
      </w:r>
      <w:r>
        <w:rPr>
          <w:spacing w:val="40"/>
        </w:rPr>
        <w:t xml:space="preserve"> </w:t>
      </w:r>
      <w:r>
        <w:t>circuito</w:t>
      </w:r>
      <w:r>
        <w:rPr>
          <w:spacing w:val="40"/>
        </w:rPr>
        <w:t xml:space="preserve"> </w:t>
      </w:r>
      <w:r>
        <w:t>dominante</w:t>
      </w:r>
      <w:r>
        <w:rPr>
          <w:spacing w:val="40"/>
        </w:rPr>
        <w:t xml:space="preserve"> </w:t>
      </w:r>
      <w:r>
        <w:t>da</w:t>
      </w:r>
      <w:r>
        <w:rPr>
          <w:spacing w:val="40"/>
        </w:rPr>
        <w:t xml:space="preserve"> </w:t>
      </w:r>
      <w:r>
        <w:t>reprodução</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2480" behindDoc="1" locked="0" layoutInCell="1" allowOverlap="1">
            <wp:simplePos x="0" y="0"/>
            <wp:positionH relativeFrom="page">
              <wp:posOffset>0</wp:posOffset>
            </wp:positionH>
            <wp:positionV relativeFrom="page">
              <wp:posOffset>6982</wp:posOffset>
            </wp:positionV>
            <wp:extent cx="7562088" cy="1048327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6"/>
        <w:jc w:val="both"/>
      </w:pPr>
      <w:r>
        <w:t xml:space="preserve">capitalista de São Luís, o planejamento, “forma de racionalização da reprodução ampliada do capital”, tem recentemente surgido como alternativa para abrir, </w:t>
      </w:r>
      <w:r>
        <w:t>ampla e profundamente, o espaço em “regiões fechadas” (Oliveira, 1981, p. 24) que se opõem à expansão do capital imobiliário monopolista.</w:t>
      </w:r>
    </w:p>
    <w:p w:rsidR="00972CE3" w:rsidRDefault="001F20D2">
      <w:pPr>
        <w:pStyle w:val="Corpodetexto"/>
        <w:spacing w:before="1" w:line="360" w:lineRule="auto"/>
        <w:ind w:left="143" w:right="135" w:firstLine="707"/>
        <w:jc w:val="both"/>
      </w:pPr>
      <w:r>
        <w:t>Entendendo estarmos diante de um novo “momento urbano” para a capital maranhense, quando se busca potencializar a regi</w:t>
      </w:r>
      <w:r>
        <w:t>ão para a produção imobiliária, este texto analisa o</w:t>
      </w:r>
      <w:r>
        <w:rPr>
          <w:spacing w:val="-1"/>
        </w:rPr>
        <w:t xml:space="preserve"> </w:t>
      </w:r>
      <w:r>
        <w:t>movimento que, unido sujeitos do campo da técnica urbana e do mercado imobiliário, se propõe instituir novas regras de reprodução do espaço favoráveis à inserção, na cidade tradicional de São Luís, da ló</w:t>
      </w:r>
      <w:r>
        <w:t xml:space="preserve">gica capitalista neoliberal. Num movimento iniciado em 2015, para atualização da colonização fundiária do solo urbano de São Luís através Plano Diretor, o novo laboratório que pretende modernizar as dinâmicas urbanas do capitalismo mercantil foi instalado </w:t>
      </w:r>
      <w:r>
        <w:t>no Instituto da Cidade – INCID e no Conselho da Cidade de São Luís, órgão criado em 1992 para racionalizar o desenvolvimento do solo urbano do município e, desde então, funcional para a reprodução do capital em detrimento de demandas sociais e realidades a</w:t>
      </w:r>
      <w:r>
        <w:t>mbientais da capital maranhense (Burnett, 2022).</w:t>
      </w:r>
    </w:p>
    <w:p w:rsidR="00972CE3" w:rsidRDefault="001F20D2">
      <w:pPr>
        <w:pStyle w:val="Corpodetexto"/>
        <w:spacing w:line="360" w:lineRule="auto"/>
        <w:ind w:left="143" w:right="135" w:firstLine="707"/>
        <w:jc w:val="both"/>
      </w:pPr>
      <w:r>
        <w:t>O texto se organiza em três seções, além da Introdução e Conclusão. Na primeira, discute os desafios de interesses monopolistas para produção do espaço quando confrontada com realidades sócio-espaciais conso</w:t>
      </w:r>
      <w:r>
        <w:t>lidadas por forças concorrenciais mercantis; em seguida, caracteriza as razões pelas quais a sócio- espacialidade da cidade tradicional se mostra disfuncional e marginal ao sistema hegemônico de produção do espaço em São Luís; na terceira seção, a partir d</w:t>
      </w:r>
      <w:r>
        <w:t>as propostas urbanísticas, discute possibilidades e desafios da Lei de Zoneamento de inserir,</w:t>
      </w:r>
      <w:r>
        <w:rPr>
          <w:spacing w:val="-3"/>
        </w:rPr>
        <w:t xml:space="preserve"> </w:t>
      </w:r>
      <w:r>
        <w:t>no</w:t>
      </w:r>
      <w:r>
        <w:rPr>
          <w:spacing w:val="-3"/>
        </w:rPr>
        <w:t xml:space="preserve"> </w:t>
      </w:r>
      <w:r>
        <w:t>território,</w:t>
      </w:r>
      <w:r>
        <w:rPr>
          <w:spacing w:val="-1"/>
        </w:rPr>
        <w:t xml:space="preserve"> </w:t>
      </w:r>
      <w:r>
        <w:t>regulações</w:t>
      </w:r>
      <w:r>
        <w:rPr>
          <w:spacing w:val="-2"/>
        </w:rPr>
        <w:t xml:space="preserve"> </w:t>
      </w:r>
      <w:r>
        <w:t>do</w:t>
      </w:r>
      <w:r>
        <w:rPr>
          <w:spacing w:val="-3"/>
        </w:rPr>
        <w:t xml:space="preserve"> </w:t>
      </w:r>
      <w:r>
        <w:t>solo</w:t>
      </w:r>
      <w:r>
        <w:rPr>
          <w:spacing w:val="-3"/>
        </w:rPr>
        <w:t xml:space="preserve"> </w:t>
      </w:r>
      <w:r>
        <w:t>capazes</w:t>
      </w:r>
      <w:r>
        <w:rPr>
          <w:spacing w:val="-3"/>
        </w:rPr>
        <w:t xml:space="preserve"> </w:t>
      </w:r>
      <w:r>
        <w:t>de</w:t>
      </w:r>
      <w:r>
        <w:rPr>
          <w:spacing w:val="-3"/>
        </w:rPr>
        <w:t xml:space="preserve"> </w:t>
      </w:r>
      <w:r>
        <w:t>abrir</w:t>
      </w:r>
      <w:r>
        <w:rPr>
          <w:spacing w:val="-3"/>
        </w:rPr>
        <w:t xml:space="preserve"> </w:t>
      </w:r>
      <w:r>
        <w:t>a</w:t>
      </w:r>
      <w:r>
        <w:rPr>
          <w:spacing w:val="-3"/>
        </w:rPr>
        <w:t xml:space="preserve"> </w:t>
      </w:r>
      <w:r>
        <w:t>região</w:t>
      </w:r>
      <w:r>
        <w:rPr>
          <w:spacing w:val="-4"/>
        </w:rPr>
        <w:t xml:space="preserve"> </w:t>
      </w:r>
      <w:r>
        <w:t>para penetração</w:t>
      </w:r>
      <w:r>
        <w:rPr>
          <w:spacing w:val="-3"/>
        </w:rPr>
        <w:t xml:space="preserve"> </w:t>
      </w:r>
      <w:r>
        <w:t>do médio e grande capital imobiliário. Na Conclusão, em uma síntese das discussões, in</w:t>
      </w:r>
      <w:r>
        <w:t>daga-se sobre as consequências que poderão advir das novas posturas urbanísticas para as sociabilidades da cidade tradicional em São Luís.</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2992" behindDoc="1" locked="0" layoutInCell="1" allowOverlap="1">
            <wp:simplePos x="0" y="0"/>
            <wp:positionH relativeFrom="page">
              <wp:posOffset>0</wp:posOffset>
            </wp:positionH>
            <wp:positionV relativeFrom="page">
              <wp:posOffset>6982</wp:posOffset>
            </wp:positionV>
            <wp:extent cx="7562088" cy="1048327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Heading1"/>
        <w:ind w:left="143"/>
      </w:pPr>
      <w:r>
        <w:t>2.</w:t>
      </w:r>
      <w:r>
        <w:rPr>
          <w:spacing w:val="-4"/>
        </w:rPr>
        <w:t xml:space="preserve"> </w:t>
      </w:r>
      <w:r>
        <w:t>O</w:t>
      </w:r>
      <w:r>
        <w:rPr>
          <w:spacing w:val="-2"/>
        </w:rPr>
        <w:t xml:space="preserve"> </w:t>
      </w:r>
      <w:r>
        <w:t>CAPITALISMO DE</w:t>
      </w:r>
      <w:r>
        <w:rPr>
          <w:spacing w:val="-3"/>
        </w:rPr>
        <w:t xml:space="preserve"> </w:t>
      </w:r>
      <w:r>
        <w:t>VOLTA</w:t>
      </w:r>
      <w:r>
        <w:rPr>
          <w:spacing w:val="-5"/>
        </w:rPr>
        <w:t xml:space="preserve"> </w:t>
      </w:r>
      <w:r>
        <w:t>AO SEU</w:t>
      </w:r>
      <w:r>
        <w:rPr>
          <w:spacing w:val="-2"/>
        </w:rPr>
        <w:t xml:space="preserve"> </w:t>
      </w:r>
      <w:r>
        <w:t>PASSADO</w:t>
      </w:r>
      <w:r>
        <w:rPr>
          <w:spacing w:val="-1"/>
        </w:rPr>
        <w:t xml:space="preserve"> </w:t>
      </w:r>
      <w:r>
        <w:rPr>
          <w:spacing w:val="-2"/>
        </w:rPr>
        <w:t>ESPACIAL</w:t>
      </w:r>
    </w:p>
    <w:p w:rsidR="00972CE3" w:rsidRDefault="001F20D2">
      <w:pPr>
        <w:spacing w:before="137"/>
        <w:ind w:left="4240" w:right="135" w:firstLine="905"/>
        <w:jc w:val="right"/>
      </w:pPr>
      <w:r>
        <w:t>No</w:t>
      </w:r>
      <w:r>
        <w:rPr>
          <w:spacing w:val="-4"/>
        </w:rPr>
        <w:t xml:space="preserve"> </w:t>
      </w:r>
      <w:r>
        <w:t>presente,</w:t>
      </w:r>
      <w:r>
        <w:rPr>
          <w:spacing w:val="-5"/>
        </w:rPr>
        <w:t xml:space="preserve"> </w:t>
      </w:r>
      <w:r>
        <w:t>a</w:t>
      </w:r>
      <w:r>
        <w:rPr>
          <w:spacing w:val="-6"/>
        </w:rPr>
        <w:t xml:space="preserve"> </w:t>
      </w:r>
      <w:r>
        <w:t>mente,</w:t>
      </w:r>
      <w:r>
        <w:rPr>
          <w:spacing w:val="-2"/>
        </w:rPr>
        <w:t xml:space="preserve"> </w:t>
      </w:r>
      <w:r>
        <w:t>o</w:t>
      </w:r>
      <w:r>
        <w:rPr>
          <w:spacing w:val="-8"/>
        </w:rPr>
        <w:t xml:space="preserve"> </w:t>
      </w:r>
      <w:r>
        <w:t>corpo</w:t>
      </w:r>
      <w:r>
        <w:rPr>
          <w:spacing w:val="-4"/>
        </w:rPr>
        <w:t xml:space="preserve"> </w:t>
      </w:r>
      <w:r>
        <w:t>é</w:t>
      </w:r>
      <w:r>
        <w:rPr>
          <w:spacing w:val="-6"/>
        </w:rPr>
        <w:t xml:space="preserve"> </w:t>
      </w:r>
      <w:r>
        <w:t>diferente E</w:t>
      </w:r>
      <w:r>
        <w:rPr>
          <w:spacing w:val="-3"/>
        </w:rPr>
        <w:t xml:space="preserve"> </w:t>
      </w:r>
      <w:r>
        <w:t>o</w:t>
      </w:r>
      <w:r>
        <w:rPr>
          <w:spacing w:val="-2"/>
        </w:rPr>
        <w:t xml:space="preserve"> </w:t>
      </w:r>
      <w:r>
        <w:t>passado</w:t>
      </w:r>
      <w:r>
        <w:rPr>
          <w:spacing w:val="-4"/>
        </w:rPr>
        <w:t xml:space="preserve"> </w:t>
      </w:r>
      <w:r>
        <w:t>é</w:t>
      </w:r>
      <w:r>
        <w:rPr>
          <w:spacing w:val="-2"/>
        </w:rPr>
        <w:t xml:space="preserve"> </w:t>
      </w:r>
      <w:r>
        <w:t>uma</w:t>
      </w:r>
      <w:r>
        <w:rPr>
          <w:spacing w:val="-4"/>
        </w:rPr>
        <w:t xml:space="preserve"> </w:t>
      </w:r>
      <w:r>
        <w:t>roupa</w:t>
      </w:r>
      <w:r>
        <w:rPr>
          <w:spacing w:val="-3"/>
        </w:rPr>
        <w:t xml:space="preserve"> </w:t>
      </w:r>
      <w:r>
        <w:t>que</w:t>
      </w:r>
      <w:r>
        <w:rPr>
          <w:spacing w:val="-3"/>
        </w:rPr>
        <w:t xml:space="preserve"> </w:t>
      </w:r>
      <w:r>
        <w:t>não</w:t>
      </w:r>
      <w:r>
        <w:rPr>
          <w:spacing w:val="-3"/>
        </w:rPr>
        <w:t xml:space="preserve"> </w:t>
      </w:r>
      <w:r>
        <w:t>nos</w:t>
      </w:r>
      <w:r>
        <w:rPr>
          <w:spacing w:val="-4"/>
        </w:rPr>
        <w:t xml:space="preserve"> </w:t>
      </w:r>
      <w:r>
        <w:t>serve</w:t>
      </w:r>
      <w:r>
        <w:rPr>
          <w:spacing w:val="-2"/>
        </w:rPr>
        <w:t xml:space="preserve"> </w:t>
      </w:r>
      <w:r>
        <w:rPr>
          <w:spacing w:val="-4"/>
        </w:rPr>
        <w:t>mais.</w:t>
      </w:r>
    </w:p>
    <w:p w:rsidR="00972CE3" w:rsidRDefault="001F20D2">
      <w:pPr>
        <w:ind w:right="139"/>
        <w:jc w:val="right"/>
        <w:rPr>
          <w:sz w:val="20"/>
        </w:rPr>
      </w:pPr>
      <w:r>
        <w:rPr>
          <w:sz w:val="20"/>
        </w:rPr>
        <w:t>Belchior,</w:t>
      </w:r>
      <w:r>
        <w:rPr>
          <w:spacing w:val="-10"/>
          <w:sz w:val="20"/>
        </w:rPr>
        <w:t xml:space="preserve"> </w:t>
      </w:r>
      <w:r>
        <w:rPr>
          <w:spacing w:val="-4"/>
          <w:sz w:val="20"/>
        </w:rPr>
        <w:t>1976</w:t>
      </w:r>
    </w:p>
    <w:p w:rsidR="00972CE3" w:rsidRDefault="00972CE3">
      <w:pPr>
        <w:pStyle w:val="Corpodetexto"/>
        <w:spacing w:before="117"/>
        <w:rPr>
          <w:sz w:val="20"/>
        </w:rPr>
      </w:pPr>
    </w:p>
    <w:p w:rsidR="00972CE3" w:rsidRDefault="001F20D2">
      <w:pPr>
        <w:pStyle w:val="Corpodetexto"/>
        <w:spacing w:line="360" w:lineRule="auto"/>
        <w:ind w:left="143" w:right="134" w:firstLine="707"/>
        <w:jc w:val="both"/>
      </w:pPr>
      <w:r>
        <w:t>Os denominados “centros antigos” (Singer, 1982), produções sócio-espaciais de capitais mercantis interessados na renda do solo em pequena escala, conspiram contra as intenções financeirizadas de g</w:t>
      </w:r>
      <w:r>
        <w:t>randes capitais e suas mega operações urbanas. Como ali</w:t>
      </w:r>
      <w:r>
        <w:rPr>
          <w:spacing w:val="-1"/>
        </w:rPr>
        <w:t xml:space="preserve"> </w:t>
      </w:r>
      <w:r>
        <w:t>o parcelamento do solo foi tradicionalmente ocupado por</w:t>
      </w:r>
      <w:r>
        <w:rPr>
          <w:spacing w:val="-1"/>
        </w:rPr>
        <w:t xml:space="preserve"> </w:t>
      </w:r>
      <w:r>
        <w:t>variados usos em torno das dinâmicas predominantemente comerciais de áreas centrais (Soja, 1993) sob dinâmica da “história lenta” (Martins, 1994</w:t>
      </w:r>
      <w:r>
        <w:t>), a miscigenação funcional da cidade resultou na sobreposição do espaço social ao espaço físico (Bourdieu, 2013), onde a sociedade produzia e se reproduzia sob estreitas relações de usos e de trocas.</w:t>
      </w:r>
    </w:p>
    <w:p w:rsidR="00972CE3" w:rsidRDefault="001F20D2">
      <w:pPr>
        <w:pStyle w:val="Corpodetexto"/>
        <w:spacing w:line="360" w:lineRule="auto"/>
        <w:ind w:left="143" w:right="134" w:firstLine="707"/>
        <w:jc w:val="both"/>
      </w:pPr>
      <w:r>
        <w:t xml:space="preserve">Este processo de produção do espaço foi modificado, no </w:t>
      </w:r>
      <w:r>
        <w:t xml:space="preserve">centro político e econômico do modo de produção capitalista, com o desenvolvimento das forças produtivas da segunda metade do século XIX que, invertendo a relação entre produção agrícola e manufatureira, levou a privatização dos campos e tornou as cidades </w:t>
      </w:r>
      <w:r>
        <w:t>destinos inevitáveis da maioria da população trabalhadora (Federici, 2017). A explosão demográfica das grandes cidades da Europa Ocidental, fruto simultâneo da despossessão rural e demanda de força de trabalho para a manufatura, desestruturou capacidades d</w:t>
      </w:r>
      <w:r>
        <w:t>as edificações e das redes de utilidades daquele</w:t>
      </w:r>
      <w:r>
        <w:rPr>
          <w:spacing w:val="40"/>
        </w:rPr>
        <w:t xml:space="preserve"> </w:t>
      </w:r>
      <w:r>
        <w:t>espaço com formas e funções unitárias (Benévolo, 1974; Hall, 2002).</w:t>
      </w:r>
    </w:p>
    <w:p w:rsidR="00972CE3" w:rsidRDefault="001F20D2">
      <w:pPr>
        <w:pStyle w:val="Corpodetexto"/>
        <w:spacing w:line="360" w:lineRule="auto"/>
        <w:ind w:left="143" w:right="135" w:firstLine="707"/>
        <w:jc w:val="both"/>
      </w:pPr>
      <w:r>
        <w:t>As grandes reformas urbanas de final do século XIX, das quais a de Paris sob a gestão do Barão Haussmann é a mais radical e emblemática (Ha</w:t>
      </w:r>
      <w:r>
        <w:t>rvey, 2015), tiveram como desafio adequar cidades que, expandidas e adensadas por pressões funcionais e demográficas, vinham se transformando em centros produtores de epidemias mortais e insurreições populares (Benévolo, 1974).</w:t>
      </w:r>
      <w:r>
        <w:rPr>
          <w:spacing w:val="40"/>
        </w:rPr>
        <w:t xml:space="preserve"> </w:t>
      </w:r>
      <w:r>
        <w:t>Simultaneamente, novas deman</w:t>
      </w:r>
      <w:r>
        <w:t>das de localização e mobilidade, exigidas pelo comando da indústria e</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3504" behindDoc="1" locked="0" layoutInCell="1" allowOverlap="1">
            <wp:simplePos x="0" y="0"/>
            <wp:positionH relativeFrom="page">
              <wp:posOffset>0</wp:posOffset>
            </wp:positionH>
            <wp:positionV relativeFrom="page">
              <wp:posOffset>6982</wp:posOffset>
            </wp:positionV>
            <wp:extent cx="7562088" cy="1048327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6"/>
        <w:jc w:val="both"/>
      </w:pPr>
      <w:r>
        <w:t>do comércio financeirizado, pressionavam por melhor ordenamento e fluidez em</w:t>
      </w:r>
      <w:r>
        <w:rPr>
          <w:spacing w:val="40"/>
        </w:rPr>
        <w:t xml:space="preserve"> </w:t>
      </w:r>
      <w:r>
        <w:t>seus espaços de trabalho (Harvey, 2015).</w:t>
      </w:r>
    </w:p>
    <w:p w:rsidR="00972CE3" w:rsidRDefault="001F20D2">
      <w:pPr>
        <w:pStyle w:val="Corpodetexto"/>
        <w:spacing w:line="360" w:lineRule="auto"/>
        <w:ind w:left="143" w:right="135" w:firstLine="707"/>
        <w:jc w:val="both"/>
      </w:pPr>
      <w:r>
        <w:t>Demandada por uma nova configuração do poder po</w:t>
      </w:r>
      <w:r>
        <w:t xml:space="preserve">lítico e econômico, em um momento de modernização geral das técnicas de pequena e grande escala, a modernização urbana se mostrou uma tarefa social urgente e espacialmente complexa, resultando em uma grande diversidade de desafios para a tradicional forma </w:t>
      </w:r>
      <w:r>
        <w:t>de gestão da cidade (Benévolo, 1974). Diante de tecidos urbanos consolidados por usos e funções de variados grupos sociais — nos quais predominavam grandes contingentes empobrecidos subempregados, mas também camadas médias e mesmo altos escalões dirigentes</w:t>
      </w:r>
      <w:r>
        <w:t xml:space="preserve"> —, as operações de ordenamento espacial exigiram a despossessão urbana em massa de vizinhanças e bairros inteiros (Lefebvre, 2008).</w:t>
      </w:r>
    </w:p>
    <w:p w:rsidR="00972CE3" w:rsidRDefault="001F20D2">
      <w:pPr>
        <w:pStyle w:val="Corpodetexto"/>
        <w:spacing w:before="2" w:line="360" w:lineRule="auto"/>
        <w:ind w:left="143" w:right="135" w:firstLine="707"/>
        <w:jc w:val="both"/>
      </w:pPr>
      <w:r>
        <w:t>Esse procedimento, impondo às reformas um caráter autoritário, comum a todas as modernizações urbanas, se mostrava oposto à trajetória histórica e política das cidadelas burguesas que, ao longo de sua constituição e percurso diante do espaço feudal, se con</w:t>
      </w:r>
      <w:r>
        <w:t>solidaram sob a premissa de que “o ar da cidade liberta” (Custódio, 2015). Exigida pelas novas relações de produção vigentes na cidade industrial moderna, a ruptura com sócio-espacialidades vigentes, marca assim a origem e modo de operar do planejamento ur</w:t>
      </w:r>
      <w:r>
        <w:t>bano, a nova ciência que nasce nesse processo: ele terá que ser, sempre, descolado de “razões e paixões” vigentes, negando tradições</w:t>
      </w:r>
      <w:r>
        <w:rPr>
          <w:spacing w:val="-1"/>
        </w:rPr>
        <w:t xml:space="preserve"> </w:t>
      </w:r>
      <w:r>
        <w:t>e</w:t>
      </w:r>
      <w:r>
        <w:rPr>
          <w:spacing w:val="-1"/>
        </w:rPr>
        <w:t xml:space="preserve"> </w:t>
      </w:r>
      <w:r>
        <w:t>costumes, pois</w:t>
      </w:r>
      <w:r>
        <w:rPr>
          <w:spacing w:val="-1"/>
        </w:rPr>
        <w:t xml:space="preserve"> </w:t>
      </w:r>
      <w:r>
        <w:t>seu</w:t>
      </w:r>
      <w:r>
        <w:rPr>
          <w:spacing w:val="-1"/>
        </w:rPr>
        <w:t xml:space="preserve"> </w:t>
      </w:r>
      <w:r>
        <w:t>compromisso com a</w:t>
      </w:r>
      <w:r>
        <w:rPr>
          <w:spacing w:val="-1"/>
        </w:rPr>
        <w:t xml:space="preserve"> </w:t>
      </w:r>
      <w:r>
        <w:t>racionalidade</w:t>
      </w:r>
      <w:r>
        <w:rPr>
          <w:spacing w:val="-2"/>
        </w:rPr>
        <w:t xml:space="preserve"> </w:t>
      </w:r>
      <w:r>
        <w:t>funcional e instrumental do capitalismo industrial lhe faz impor, à sociedade, como destino e razão de Estado, a fé inerente na</w:t>
      </w:r>
      <w:r>
        <w:rPr>
          <w:spacing w:val="-1"/>
        </w:rPr>
        <w:t xml:space="preserve"> </w:t>
      </w:r>
      <w:r>
        <w:t>economia</w:t>
      </w:r>
      <w:r>
        <w:rPr>
          <w:spacing w:val="-1"/>
        </w:rPr>
        <w:t xml:space="preserve"> </w:t>
      </w:r>
      <w:r>
        <w:t>política do</w:t>
      </w:r>
      <w:r>
        <w:rPr>
          <w:spacing w:val="-1"/>
        </w:rPr>
        <w:t xml:space="preserve"> </w:t>
      </w:r>
      <w:r>
        <w:t>planejamento (Oliveira, 1981; Piccinato, 1993).</w:t>
      </w:r>
    </w:p>
    <w:p w:rsidR="00972CE3" w:rsidRDefault="001F20D2">
      <w:pPr>
        <w:pStyle w:val="Corpodetexto"/>
        <w:spacing w:line="360" w:lineRule="auto"/>
        <w:ind w:left="143" w:right="135" w:firstLine="707"/>
        <w:jc w:val="both"/>
      </w:pPr>
      <w:r>
        <w:t>Por isso, intervir em um espaço consolidado enquanto territ</w:t>
      </w:r>
      <w:r>
        <w:t>orialidade, onde teias de relações e interesses estabelecidos são obstáculos culturais para as mudanças sócio-espaciais (Santos, 2006) exige decisão política do Estado. Isto é, um convencimento político da imprescindibilidade da intervenção, com seus risco</w:t>
      </w:r>
      <w:r>
        <w:t>s e</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4016" behindDoc="1" locked="0" layoutInCell="1" allowOverlap="1">
            <wp:simplePos x="0" y="0"/>
            <wp:positionH relativeFrom="page">
              <wp:posOffset>0</wp:posOffset>
            </wp:positionH>
            <wp:positionV relativeFrom="page">
              <wp:posOffset>6982</wp:posOffset>
            </wp:positionV>
            <wp:extent cx="7562088" cy="1048327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7"/>
        <w:jc w:val="both"/>
      </w:pPr>
      <w:r>
        <w:t>benefícios, condições que irão determinar a extensão territorial da própria operação sócio-espacial, cujos resultados dependem da reação social dos atingidos antes e durante as ações, assim como da capacidade estatal em mobilizar g</w:t>
      </w:r>
      <w:r>
        <w:t>rupos sociais expressivos em favor de seus objetivos de transformação do espaço construído. Comparativamente aos espaços rurais resistentes de povos originários e comunidades tradicionais, onde o objetivo estatal é a despossessão e imposição de relações de</w:t>
      </w:r>
      <w:r>
        <w:t xml:space="preserve"> produção embasadas na propriedade privada e na produção de valores de troca, configurando o “cativeiro da terra” (Martins, 2010), as intervenções modernizantes em áreas de urbanização tradicional visam adequar o espaço construído às exigências de produção</w:t>
      </w:r>
      <w:r>
        <w:t xml:space="preserve"> e retorno econômico do capital monopolista.</w:t>
      </w:r>
    </w:p>
    <w:p w:rsidR="00972CE3" w:rsidRDefault="001F20D2">
      <w:pPr>
        <w:pStyle w:val="Corpodetexto"/>
        <w:spacing w:before="1" w:line="360" w:lineRule="auto"/>
        <w:ind w:left="143" w:right="135" w:firstLine="707"/>
        <w:jc w:val="both"/>
      </w:pPr>
      <w:r>
        <w:t>No Brasil, centros urbanos originados no período de colonização portuguesa tiveram seus cronogramas de modernização subordinados ao próprio desenvolvimento econômico experimentado pelo lugar. Assim foi que o Rio</w:t>
      </w:r>
      <w:r>
        <w:t xml:space="preserve"> de Janeiro emulou Paris com as reformas urbanas do prefeito Pereira Passos, no início do século XX, com o centro da capital do Império tomado por grupos de recém libertos da escravidão urbana e rural, buscando resolver suas demandas habitacionais em corti</w:t>
      </w:r>
      <w:r>
        <w:t>ços e autoconstruções nas beiradas da cidade (Azevedo,</w:t>
      </w:r>
      <w:r>
        <w:rPr>
          <w:spacing w:val="40"/>
        </w:rPr>
        <w:t xml:space="preserve"> </w:t>
      </w:r>
      <w:r>
        <w:t>2004; Villaça, 1986)</w:t>
      </w:r>
    </w:p>
    <w:p w:rsidR="00972CE3" w:rsidRDefault="001F20D2">
      <w:pPr>
        <w:pStyle w:val="Corpodetexto"/>
        <w:spacing w:line="360" w:lineRule="auto"/>
        <w:ind w:left="143" w:right="134" w:firstLine="707"/>
        <w:jc w:val="both"/>
      </w:pPr>
      <w:r>
        <w:t>Além da complexa sócio-espacialidade do território a reformar, outros fatores contribuem para viabilizar politicamente as intervenções, desde aqueles internos — crise urbana impost</w:t>
      </w:r>
      <w:r>
        <w:t>a à área antiga por colapso de serviços públicos e infraestrutura, sistematicamente negados pelo Estado, que degradam as condições de vida e contribuem para seu esvaziamento populacional — aos externos, na própria cidade ou alhures, através da celebração p</w:t>
      </w:r>
      <w:r>
        <w:t>ública da modernidade de novas centralidades que, substituindo o “centro antigo” (Singer, 1982), erigem os espaços das elites</w:t>
      </w:r>
      <w:r>
        <w:rPr>
          <w:spacing w:val="40"/>
        </w:rPr>
        <w:t xml:space="preserve"> </w:t>
      </w:r>
      <w:r>
        <w:t>como “a cara da cidade” (Villaça, 2001, p. 346-347).</w:t>
      </w:r>
    </w:p>
    <w:p w:rsidR="00972CE3" w:rsidRDefault="001F20D2">
      <w:pPr>
        <w:pStyle w:val="Corpodetexto"/>
        <w:spacing w:line="362" w:lineRule="auto"/>
        <w:ind w:left="143" w:right="136" w:firstLine="775"/>
        <w:jc w:val="both"/>
      </w:pPr>
      <w:r>
        <w:t>Entretanto, além de motivações políticas, a decisão de intervir em espaços ur</w:t>
      </w:r>
      <w:r>
        <w:t>banos</w:t>
      </w:r>
      <w:r>
        <w:rPr>
          <w:spacing w:val="28"/>
        </w:rPr>
        <w:t xml:space="preserve"> </w:t>
      </w:r>
      <w:r>
        <w:t>consolidados</w:t>
      </w:r>
      <w:r>
        <w:rPr>
          <w:spacing w:val="26"/>
        </w:rPr>
        <w:t xml:space="preserve"> </w:t>
      </w:r>
      <w:r>
        <w:t>implica</w:t>
      </w:r>
      <w:r>
        <w:rPr>
          <w:spacing w:val="32"/>
        </w:rPr>
        <w:t xml:space="preserve"> </w:t>
      </w:r>
      <w:r>
        <w:t>em</w:t>
      </w:r>
      <w:r>
        <w:rPr>
          <w:spacing w:val="29"/>
        </w:rPr>
        <w:t xml:space="preserve"> </w:t>
      </w:r>
      <w:r>
        <w:t>consenso</w:t>
      </w:r>
      <w:r>
        <w:rPr>
          <w:spacing w:val="27"/>
        </w:rPr>
        <w:t xml:space="preserve"> </w:t>
      </w:r>
      <w:r>
        <w:t>entre</w:t>
      </w:r>
      <w:r>
        <w:rPr>
          <w:spacing w:val="29"/>
        </w:rPr>
        <w:t xml:space="preserve"> </w:t>
      </w:r>
      <w:r>
        <w:t>agentes</w:t>
      </w:r>
      <w:r>
        <w:rPr>
          <w:spacing w:val="28"/>
        </w:rPr>
        <w:t xml:space="preserve"> </w:t>
      </w:r>
      <w:r>
        <w:t>econômicos</w:t>
      </w:r>
      <w:r>
        <w:rPr>
          <w:spacing w:val="28"/>
        </w:rPr>
        <w:t xml:space="preserve"> </w:t>
      </w:r>
      <w:r>
        <w:t>que</w:t>
      </w:r>
      <w:r>
        <w:rPr>
          <w:spacing w:val="32"/>
        </w:rPr>
        <w:t xml:space="preserve"> </w:t>
      </w:r>
      <w:r>
        <w:t>lucram</w:t>
      </w:r>
    </w:p>
    <w:p w:rsidR="00972CE3" w:rsidRDefault="00972CE3">
      <w:pPr>
        <w:pStyle w:val="Corpodetexto"/>
        <w:spacing w:line="362"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4528" behindDoc="1" locked="0" layoutInCell="1" allowOverlap="1">
            <wp:simplePos x="0" y="0"/>
            <wp:positionH relativeFrom="page">
              <wp:posOffset>0</wp:posOffset>
            </wp:positionH>
            <wp:positionV relativeFrom="page">
              <wp:posOffset>6982</wp:posOffset>
            </wp:positionV>
            <wp:extent cx="7562088" cy="1048327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6"/>
        <w:jc w:val="both"/>
      </w:pPr>
      <w:r>
        <w:t>com operações fundiárias e imobiliárias. Materializando as mudanças físicas e consolidando valores simbólicos no arcaico espaço construído, suas realizações dependem da disposição, por parte das camadas de alta renda, de consumirem as áreas resgatadas do p</w:t>
      </w:r>
      <w:r>
        <w:t>assado. Um resgate que implica impor ao lugar padrões espaciais de usos e funções não apenas reprodutores de segregação social, mas uma gentrificação urbana ativada por certas camadas sociais com poder econômico, como ocorrido nos EUA (Smith, 2012).</w:t>
      </w:r>
    </w:p>
    <w:p w:rsidR="00972CE3" w:rsidRDefault="001F20D2">
      <w:pPr>
        <w:pStyle w:val="Corpodetexto"/>
        <w:spacing w:line="360" w:lineRule="auto"/>
        <w:ind w:left="143" w:right="134" w:firstLine="707"/>
        <w:jc w:val="both"/>
      </w:pPr>
      <w:r>
        <w:t>Um con</w:t>
      </w:r>
      <w:r>
        <w:t>texto social que, com exceção das demandas por solo em São Paulo, não se reproduz nas outras capitais e grandes cidades do país, prevalecendo intervenções estatais como políticas de patrimônio cultural (Vargas e de Castilho, 2006). Levadas adiante em inúme</w:t>
      </w:r>
      <w:r>
        <w:t xml:space="preserve">ros “centros históricos” do Brasil, transformados em vitrines turísticas previamente “higienizadas” de seus usos rebeldes, tiveram curta duração pelos efeitos cenográficos que abreviam, tanto a permanência dos visitantes, quanto seu perfil de apreciadores </w:t>
      </w:r>
      <w:r>
        <w:t>de monumentos. A redução do “consumo”</w:t>
      </w:r>
      <w:r>
        <w:rPr>
          <w:spacing w:val="-2"/>
        </w:rPr>
        <w:t xml:space="preserve"> </w:t>
      </w:r>
      <w:r>
        <w:t>do</w:t>
      </w:r>
      <w:r>
        <w:rPr>
          <w:spacing w:val="-3"/>
        </w:rPr>
        <w:t xml:space="preserve"> </w:t>
      </w:r>
      <w:r>
        <w:t>lugar,</w:t>
      </w:r>
      <w:r>
        <w:rPr>
          <w:spacing w:val="-2"/>
        </w:rPr>
        <w:t xml:space="preserve"> </w:t>
      </w:r>
      <w:r>
        <w:t>levando</w:t>
      </w:r>
      <w:r>
        <w:rPr>
          <w:spacing w:val="-2"/>
        </w:rPr>
        <w:t xml:space="preserve"> </w:t>
      </w:r>
      <w:r>
        <w:t>aos</w:t>
      </w:r>
      <w:r>
        <w:rPr>
          <w:spacing w:val="-5"/>
        </w:rPr>
        <w:t xml:space="preserve"> </w:t>
      </w:r>
      <w:r>
        <w:t>cada</w:t>
      </w:r>
      <w:r>
        <w:rPr>
          <w:spacing w:val="-2"/>
        </w:rPr>
        <w:t xml:space="preserve"> </w:t>
      </w:r>
      <w:r>
        <w:t>vez</w:t>
      </w:r>
      <w:r>
        <w:rPr>
          <w:spacing w:val="-5"/>
        </w:rPr>
        <w:t xml:space="preserve"> </w:t>
      </w:r>
      <w:r>
        <w:t>mais tímidos</w:t>
      </w:r>
      <w:r>
        <w:rPr>
          <w:spacing w:val="-2"/>
        </w:rPr>
        <w:t xml:space="preserve"> </w:t>
      </w:r>
      <w:r>
        <w:t>aportes</w:t>
      </w:r>
      <w:r>
        <w:rPr>
          <w:spacing w:val="-4"/>
        </w:rPr>
        <w:t xml:space="preserve"> </w:t>
      </w:r>
      <w:r>
        <w:t>do</w:t>
      </w:r>
      <w:r>
        <w:rPr>
          <w:spacing w:val="-4"/>
        </w:rPr>
        <w:t xml:space="preserve"> </w:t>
      </w:r>
      <w:r>
        <w:t>“mercado”,</w:t>
      </w:r>
      <w:r>
        <w:rPr>
          <w:spacing w:val="-2"/>
        </w:rPr>
        <w:t xml:space="preserve"> </w:t>
      </w:r>
      <w:r>
        <w:t>passa a ter efeitos sobre os serviços público e logo as áreas retornam aos seus antigos moradores e usuários, pois “os territórios usados pelo turismo s</w:t>
      </w:r>
      <w:r>
        <w:t>ão, também, paradoxalmente negligenciados”, limitando ao consumo e fruição “o seu potencial passível de exploração pelo turismo e negligenciada, simultaneamente, a sua condição primeira de lugar da reprodução da vida.” (Cruz, 2005, p. 39)</w:t>
      </w:r>
    </w:p>
    <w:p w:rsidR="00972CE3" w:rsidRDefault="001F20D2">
      <w:pPr>
        <w:pStyle w:val="Corpodetexto"/>
        <w:spacing w:line="360" w:lineRule="auto"/>
        <w:ind w:left="143" w:right="134" w:firstLine="707"/>
        <w:jc w:val="both"/>
      </w:pPr>
      <w:r>
        <w:t xml:space="preserve">Assim, para além </w:t>
      </w:r>
      <w:r>
        <w:t>dos desafios estruturais da modernização de áreas antigas, cabe considerar a lógica urbana de áreas históricas em sociedades periféricas, onde o racismo ambiental urbano concentrou em poucos espaços a qualidade dos serviços e das infraestruturas, dando-lhe</w:t>
      </w:r>
      <w:r>
        <w:t>s “valores de aglomeração” (Villaça, 2001) que sua raridade restringe o acesso aos mais ricos. Como a requalificação dos centros históricos implica a preservação urbana e edilícia, são nulos os interesses que despertam no mercado imobiliário monopolista, q</w:t>
      </w:r>
      <w:r>
        <w:t>ue volta suas atenções e pressões</w:t>
      </w:r>
      <w:r>
        <w:rPr>
          <w:spacing w:val="33"/>
        </w:rPr>
        <w:t xml:space="preserve"> </w:t>
      </w:r>
      <w:r>
        <w:t>para</w:t>
      </w:r>
      <w:r>
        <w:rPr>
          <w:spacing w:val="33"/>
        </w:rPr>
        <w:t xml:space="preserve"> </w:t>
      </w:r>
      <w:r>
        <w:t>os</w:t>
      </w:r>
      <w:r>
        <w:rPr>
          <w:spacing w:val="33"/>
        </w:rPr>
        <w:t xml:space="preserve"> </w:t>
      </w:r>
      <w:r>
        <w:t>territórios</w:t>
      </w:r>
      <w:r>
        <w:rPr>
          <w:spacing w:val="33"/>
        </w:rPr>
        <w:t xml:space="preserve"> </w:t>
      </w:r>
      <w:r>
        <w:t>onde</w:t>
      </w:r>
      <w:r>
        <w:rPr>
          <w:spacing w:val="34"/>
        </w:rPr>
        <w:t xml:space="preserve"> </w:t>
      </w:r>
      <w:r>
        <w:t>a</w:t>
      </w:r>
      <w:r>
        <w:rPr>
          <w:spacing w:val="34"/>
        </w:rPr>
        <w:t xml:space="preserve"> </w:t>
      </w:r>
      <w:r>
        <w:t>“destruição</w:t>
      </w:r>
      <w:r>
        <w:rPr>
          <w:spacing w:val="34"/>
        </w:rPr>
        <w:t xml:space="preserve"> </w:t>
      </w:r>
      <w:r>
        <w:t>construtiva”</w:t>
      </w:r>
      <w:r>
        <w:rPr>
          <w:spacing w:val="32"/>
        </w:rPr>
        <w:t xml:space="preserve"> </w:t>
      </w:r>
      <w:r>
        <w:t>pode</w:t>
      </w:r>
      <w:r>
        <w:rPr>
          <w:spacing w:val="32"/>
        </w:rPr>
        <w:t xml:space="preserve"> </w:t>
      </w:r>
      <w:r>
        <w:t>ter</w:t>
      </w:r>
      <w:r>
        <w:rPr>
          <w:spacing w:val="32"/>
        </w:rPr>
        <w:t xml:space="preserve"> </w:t>
      </w:r>
      <w:r>
        <w:t>livre</w:t>
      </w:r>
      <w:r>
        <w:rPr>
          <w:spacing w:val="36"/>
        </w:rPr>
        <w:t xml:space="preserve"> </w:t>
      </w:r>
      <w:r>
        <w:t>vazão</w:t>
      </w:r>
      <w:r>
        <w:rPr>
          <w:spacing w:val="34"/>
        </w:rPr>
        <w:t xml:space="preserve"> </w:t>
      </w:r>
      <w:r>
        <w:t>e</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5552" behindDoc="1" locked="0" layoutInCell="1" allowOverlap="1">
            <wp:simplePos x="0" y="0"/>
            <wp:positionH relativeFrom="page">
              <wp:posOffset>0</wp:posOffset>
            </wp:positionH>
            <wp:positionV relativeFrom="page">
              <wp:posOffset>6982</wp:posOffset>
            </wp:positionV>
            <wp:extent cx="7562088" cy="1048327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6"/>
        <w:jc w:val="both"/>
      </w:pPr>
      <w:r>
        <w:t>expressão. Neste sentido, as imensas áreas de urbanização tradicional de São Luís, compactas e contínuas, oferecem grande potencial para ganhos privados, malgrado suas “rugosidades”.</w:t>
      </w:r>
    </w:p>
    <w:p w:rsidR="00972CE3" w:rsidRDefault="00972CE3">
      <w:pPr>
        <w:pStyle w:val="Corpodetexto"/>
        <w:spacing w:before="139"/>
      </w:pPr>
    </w:p>
    <w:p w:rsidR="00972CE3" w:rsidRDefault="001F20D2">
      <w:pPr>
        <w:pStyle w:val="Heading1"/>
        <w:numPr>
          <w:ilvl w:val="0"/>
          <w:numId w:val="2"/>
        </w:numPr>
        <w:tabs>
          <w:tab w:val="left" w:pos="346"/>
        </w:tabs>
        <w:ind w:left="346" w:hanging="203"/>
      </w:pPr>
      <w:r>
        <w:t>AS</w:t>
      </w:r>
      <w:r>
        <w:rPr>
          <w:spacing w:val="-2"/>
        </w:rPr>
        <w:t xml:space="preserve"> </w:t>
      </w:r>
      <w:r>
        <w:t>RUGOSIDADES</w:t>
      </w:r>
      <w:r>
        <w:rPr>
          <w:spacing w:val="-2"/>
        </w:rPr>
        <w:t xml:space="preserve"> </w:t>
      </w:r>
      <w:r>
        <w:t>DA</w:t>
      </w:r>
      <w:r>
        <w:rPr>
          <w:spacing w:val="-6"/>
        </w:rPr>
        <w:t xml:space="preserve"> </w:t>
      </w:r>
      <w:r>
        <w:t>CIDADE</w:t>
      </w:r>
      <w:r>
        <w:rPr>
          <w:spacing w:val="-2"/>
        </w:rPr>
        <w:t xml:space="preserve"> </w:t>
      </w:r>
      <w:r>
        <w:t>TRADICIONAL</w:t>
      </w:r>
      <w:r>
        <w:rPr>
          <w:spacing w:val="-2"/>
        </w:rPr>
        <w:t xml:space="preserve"> </w:t>
      </w:r>
      <w:r>
        <w:t>EM</w:t>
      </w:r>
      <w:r>
        <w:rPr>
          <w:spacing w:val="-3"/>
        </w:rPr>
        <w:t xml:space="preserve"> </w:t>
      </w:r>
      <w:r>
        <w:t>SÃO</w:t>
      </w:r>
      <w:r>
        <w:rPr>
          <w:spacing w:val="-2"/>
        </w:rPr>
        <w:t xml:space="preserve"> </w:t>
      </w:r>
      <w:r>
        <w:rPr>
          <w:spacing w:val="-4"/>
        </w:rPr>
        <w:t>LUÍS</w:t>
      </w:r>
    </w:p>
    <w:p w:rsidR="00972CE3" w:rsidRDefault="001F20D2">
      <w:pPr>
        <w:spacing w:before="136"/>
        <w:ind w:right="134"/>
        <w:jc w:val="right"/>
      </w:pPr>
      <w:r>
        <w:t>A</w:t>
      </w:r>
      <w:r>
        <w:rPr>
          <w:spacing w:val="-3"/>
        </w:rPr>
        <w:t xml:space="preserve"> </w:t>
      </w:r>
      <w:r>
        <w:t>força da</w:t>
      </w:r>
      <w:r>
        <w:rPr>
          <w:spacing w:val="-4"/>
        </w:rPr>
        <w:t xml:space="preserve"> </w:t>
      </w:r>
      <w:r>
        <w:rPr>
          <w:spacing w:val="-2"/>
        </w:rPr>
        <w:t>grana</w:t>
      </w:r>
    </w:p>
    <w:p w:rsidR="00972CE3" w:rsidRDefault="001F20D2">
      <w:pPr>
        <w:spacing w:before="2" w:line="252" w:lineRule="exact"/>
        <w:ind w:right="135"/>
        <w:jc w:val="right"/>
      </w:pPr>
      <w:r>
        <w:t>que</w:t>
      </w:r>
      <w:r>
        <w:rPr>
          <w:spacing w:val="-5"/>
        </w:rPr>
        <w:t xml:space="preserve"> </w:t>
      </w:r>
      <w:r>
        <w:t>ergue</w:t>
      </w:r>
      <w:r>
        <w:rPr>
          <w:spacing w:val="-5"/>
        </w:rPr>
        <w:t xml:space="preserve"> </w:t>
      </w:r>
      <w:r>
        <w:t>e</w:t>
      </w:r>
      <w:r>
        <w:rPr>
          <w:spacing w:val="-2"/>
        </w:rPr>
        <w:t xml:space="preserve"> </w:t>
      </w:r>
      <w:r>
        <w:t>destrói</w:t>
      </w:r>
      <w:r>
        <w:rPr>
          <w:spacing w:val="-6"/>
        </w:rPr>
        <w:t xml:space="preserve"> </w:t>
      </w:r>
      <w:r>
        <w:t>coisas</w:t>
      </w:r>
      <w:r>
        <w:rPr>
          <w:spacing w:val="-2"/>
        </w:rPr>
        <w:t xml:space="preserve"> belas...</w:t>
      </w:r>
    </w:p>
    <w:p w:rsidR="00972CE3" w:rsidRDefault="001F20D2">
      <w:pPr>
        <w:spacing w:line="229" w:lineRule="exact"/>
        <w:ind w:right="139"/>
        <w:jc w:val="right"/>
        <w:rPr>
          <w:sz w:val="20"/>
        </w:rPr>
      </w:pPr>
      <w:r>
        <w:rPr>
          <w:sz w:val="20"/>
        </w:rPr>
        <w:t>Caetano</w:t>
      </w:r>
      <w:r>
        <w:rPr>
          <w:spacing w:val="-9"/>
          <w:sz w:val="20"/>
        </w:rPr>
        <w:t xml:space="preserve"> </w:t>
      </w:r>
      <w:r>
        <w:rPr>
          <w:spacing w:val="-2"/>
          <w:sz w:val="20"/>
        </w:rPr>
        <w:t>Veloso</w:t>
      </w:r>
    </w:p>
    <w:p w:rsidR="00972CE3" w:rsidRDefault="00972CE3">
      <w:pPr>
        <w:pStyle w:val="Corpodetexto"/>
        <w:spacing w:before="6"/>
        <w:rPr>
          <w:sz w:val="20"/>
        </w:rPr>
      </w:pPr>
    </w:p>
    <w:p w:rsidR="00972CE3" w:rsidRDefault="001F20D2">
      <w:pPr>
        <w:pStyle w:val="Corpodetexto"/>
        <w:spacing w:line="360" w:lineRule="auto"/>
        <w:ind w:left="143" w:right="135" w:firstLine="719"/>
        <w:jc w:val="both"/>
      </w:pPr>
      <w:r>
        <w:t>O núcleo fundacional de São Luís, que vivenciou a Colônia, o Império e as Repúblicas</w:t>
      </w:r>
      <w:r>
        <w:rPr>
          <w:spacing w:val="-3"/>
        </w:rPr>
        <w:t xml:space="preserve"> </w:t>
      </w:r>
      <w:r>
        <w:t>(Mota</w:t>
      </w:r>
      <w:r>
        <w:rPr>
          <w:spacing w:val="-1"/>
        </w:rPr>
        <w:t xml:space="preserve"> </w:t>
      </w:r>
      <w:r>
        <w:t>e</w:t>
      </w:r>
      <w:r>
        <w:rPr>
          <w:spacing w:val="-3"/>
        </w:rPr>
        <w:t xml:space="preserve"> </w:t>
      </w:r>
      <w:r>
        <w:t>Mantovani,</w:t>
      </w:r>
      <w:r>
        <w:rPr>
          <w:spacing w:val="-5"/>
        </w:rPr>
        <w:t xml:space="preserve"> </w:t>
      </w:r>
      <w:r>
        <w:t>1998;</w:t>
      </w:r>
      <w:r>
        <w:rPr>
          <w:spacing w:val="-3"/>
        </w:rPr>
        <w:t xml:space="preserve"> </w:t>
      </w:r>
      <w:r>
        <w:t>Burnett,</w:t>
      </w:r>
      <w:r>
        <w:rPr>
          <w:spacing w:val="-3"/>
        </w:rPr>
        <w:t xml:space="preserve"> </w:t>
      </w:r>
      <w:r>
        <w:t>2022)</w:t>
      </w:r>
      <w:r>
        <w:rPr>
          <w:spacing w:val="-5"/>
        </w:rPr>
        <w:t xml:space="preserve"> </w:t>
      </w:r>
      <w:r>
        <w:t>e</w:t>
      </w:r>
      <w:r>
        <w:rPr>
          <w:spacing w:val="-3"/>
        </w:rPr>
        <w:t xml:space="preserve"> </w:t>
      </w:r>
      <w:r>
        <w:t>se</w:t>
      </w:r>
      <w:r>
        <w:rPr>
          <w:spacing w:val="-3"/>
        </w:rPr>
        <w:t xml:space="preserve"> </w:t>
      </w:r>
      <w:r>
        <w:t>conservou</w:t>
      </w:r>
      <w:r>
        <w:rPr>
          <w:spacing w:val="-2"/>
        </w:rPr>
        <w:t xml:space="preserve"> </w:t>
      </w:r>
      <w:r>
        <w:t>pela</w:t>
      </w:r>
      <w:r>
        <w:rPr>
          <w:spacing w:val="-6"/>
        </w:rPr>
        <w:t xml:space="preserve"> </w:t>
      </w:r>
      <w:r>
        <w:t>decadência econômica do estado, foi tombado pelos Governos Federal e Estadual e referência mundial para a humanidade (Andrés, 1998). Com espaços públicos de vida,</w:t>
      </w:r>
      <w:r>
        <w:rPr>
          <w:spacing w:val="40"/>
        </w:rPr>
        <w:t xml:space="preserve"> </w:t>
      </w:r>
      <w:r>
        <w:t xml:space="preserve">trabalho, culto, lazer e serviços, se originaram dezenas de bairros que reproduziram a malha </w:t>
      </w:r>
      <w:r>
        <w:t>urbana original do século XVII em terras altas e baixas (Lopes, 2013), como Ribeirão, Alecrim, Remédios, Desterro, Diamante, Madre Deus, Portinho, Goiabal, Baixinha, Camboa, Floresta e muitos outros (Figuras 1 e 2).</w:t>
      </w:r>
    </w:p>
    <w:p w:rsidR="00972CE3" w:rsidRDefault="00972CE3">
      <w:pPr>
        <w:pStyle w:val="Corpodetexto"/>
        <w:spacing w:before="135"/>
      </w:pPr>
    </w:p>
    <w:p w:rsidR="00972CE3" w:rsidRDefault="001F20D2">
      <w:pPr>
        <w:spacing w:after="4"/>
        <w:ind w:left="680"/>
      </w:pPr>
      <w:r>
        <w:rPr>
          <w:rFonts w:ascii="Arial" w:hAnsi="Arial"/>
          <w:b/>
        </w:rPr>
        <w:t>Figuras</w:t>
      </w:r>
      <w:r>
        <w:rPr>
          <w:rFonts w:ascii="Arial" w:hAnsi="Arial"/>
          <w:b/>
          <w:spacing w:val="-4"/>
        </w:rPr>
        <w:t xml:space="preserve"> </w:t>
      </w:r>
      <w:r>
        <w:rPr>
          <w:rFonts w:ascii="Arial" w:hAnsi="Arial"/>
          <w:b/>
        </w:rPr>
        <w:t>1</w:t>
      </w:r>
      <w:r>
        <w:rPr>
          <w:rFonts w:ascii="Arial" w:hAnsi="Arial"/>
          <w:b/>
          <w:spacing w:val="-6"/>
        </w:rPr>
        <w:t xml:space="preserve"> </w:t>
      </w:r>
      <w:r>
        <w:rPr>
          <w:rFonts w:ascii="Arial" w:hAnsi="Arial"/>
          <w:b/>
        </w:rPr>
        <w:t>e</w:t>
      </w:r>
      <w:r>
        <w:rPr>
          <w:rFonts w:ascii="Arial" w:hAnsi="Arial"/>
          <w:b/>
          <w:spacing w:val="-6"/>
        </w:rPr>
        <w:t xml:space="preserve"> </w:t>
      </w:r>
      <w:r>
        <w:rPr>
          <w:rFonts w:ascii="Arial" w:hAnsi="Arial"/>
          <w:b/>
        </w:rPr>
        <w:t>2</w:t>
      </w:r>
      <w:r>
        <w:t>:</w:t>
      </w:r>
      <w:r>
        <w:rPr>
          <w:spacing w:val="-5"/>
        </w:rPr>
        <w:t xml:space="preserve"> </w:t>
      </w:r>
      <w:r>
        <w:t>Periodização</w:t>
      </w:r>
      <w:r>
        <w:rPr>
          <w:spacing w:val="-4"/>
        </w:rPr>
        <w:t xml:space="preserve"> </w:t>
      </w:r>
      <w:r>
        <w:t>da</w:t>
      </w:r>
      <w:r>
        <w:rPr>
          <w:spacing w:val="-4"/>
        </w:rPr>
        <w:t xml:space="preserve"> </w:t>
      </w:r>
      <w:r>
        <w:t>urbaniza</w:t>
      </w:r>
      <w:r>
        <w:t>ção</w:t>
      </w:r>
      <w:r>
        <w:rPr>
          <w:spacing w:val="-2"/>
        </w:rPr>
        <w:t xml:space="preserve"> </w:t>
      </w:r>
      <w:r>
        <w:t>e</w:t>
      </w:r>
      <w:r>
        <w:rPr>
          <w:spacing w:val="-6"/>
        </w:rPr>
        <w:t xml:space="preserve"> </w:t>
      </w:r>
      <w:r>
        <w:t>Tipos</w:t>
      </w:r>
      <w:r>
        <w:rPr>
          <w:spacing w:val="-3"/>
        </w:rPr>
        <w:t xml:space="preserve"> </w:t>
      </w:r>
      <w:r>
        <w:t>de</w:t>
      </w:r>
      <w:r>
        <w:rPr>
          <w:spacing w:val="-4"/>
        </w:rPr>
        <w:t xml:space="preserve"> </w:t>
      </w:r>
      <w:r>
        <w:t>urbanização</w:t>
      </w:r>
      <w:r>
        <w:rPr>
          <w:spacing w:val="-3"/>
        </w:rPr>
        <w:t xml:space="preserve"> </w:t>
      </w:r>
      <w:r>
        <w:t>em</w:t>
      </w:r>
      <w:r>
        <w:rPr>
          <w:spacing w:val="-8"/>
        </w:rPr>
        <w:t xml:space="preserve"> </w:t>
      </w:r>
      <w:r>
        <w:t>São</w:t>
      </w:r>
      <w:r>
        <w:rPr>
          <w:spacing w:val="-3"/>
        </w:rPr>
        <w:t xml:space="preserve"> </w:t>
      </w:r>
      <w:r>
        <w:rPr>
          <w:spacing w:val="-2"/>
        </w:rPr>
        <w:t>Luis.</w:t>
      </w:r>
    </w:p>
    <w:p w:rsidR="00972CE3" w:rsidRDefault="00972CE3">
      <w:pPr>
        <w:pStyle w:val="Corpodetexto"/>
        <w:ind w:left="219"/>
        <w:rPr>
          <w:sz w:val="20"/>
        </w:rPr>
      </w:pPr>
      <w:r w:rsidRPr="00972CE3">
        <w:rPr>
          <w:sz w:val="20"/>
        </w:rPr>
      </w:r>
      <w:r>
        <w:rPr>
          <w:sz w:val="20"/>
        </w:rPr>
        <w:pict>
          <v:group id="docshapegroup4" o:spid="_x0000_s1051" style="width:446.15pt;height:203.45pt;mso-position-horizontal-relative:char;mso-position-vertical-relative:line" coordsize="8923,4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55" type="#_x0000_t75" style="position:absolute;left:9;top:8;width:4387;height:4049">
              <v:imagedata r:id="rId11" o:title=""/>
            </v:shape>
            <v:shape id="docshape6" o:spid="_x0000_s1054" style="position:absolute;width:4407;height:4069" coordsize="4407,4069" o:spt="100" adj="0,,0" path="m4397,4059r-4387,l10,10,,10,,4059r,10l10,4069r4387,l4397,4059xm4397,l10,,,,,10r10,l4397,10r,-10xm4407,10r-10,l4397,4059r,10l4407,4069r,-10l4407,10xm4407,r-10,l4397,10r10,l4407,xe" fillcolor="#4471c4" stroked="f">
              <v:stroke joinstyle="round"/>
              <v:formulas/>
              <v:path arrowok="t" o:connecttype="segments"/>
            </v:shape>
            <v:shape id="docshape7" o:spid="_x0000_s1053" type="#_x0000_t75" alt="MAPA%20URBANO%20COMPLETO%20-%20A0%20-%20modificado%20em%20areas%20%20de%20expansão2-300DPI" style="position:absolute;left:4415;top:13;width:4496;height:4044">
              <v:imagedata r:id="rId12" o:title=""/>
            </v:shape>
            <v:shape id="docshape8" o:spid="_x0000_s1052" style="position:absolute;left:4406;top:4;width:4516;height:4064" coordorigin="4407,5" coordsize="4516,4064" o:spt="100" adj="0,,0" path="m8913,4059r-4496,l4417,15r-10,l4407,4059r,10l4417,4069r4496,l8913,4059xm8913,5l4417,5r,l4407,5r,l4407,14r,l4417,14r,l8913,14r,-9xm8922,15r-9,l8913,4059r,10l8922,4069r,-10l8922,15xm8922,5r-9,l8913,14r9,l8922,5xe" fillcolor="blue" stroked="f">
              <v:stroke joinstyle="round"/>
              <v:formulas/>
              <v:path arrowok="t" o:connecttype="segments"/>
            </v:shape>
            <w10:wrap type="none"/>
            <w10:anchorlock/>
          </v:group>
        </w:pict>
      </w:r>
    </w:p>
    <w:p w:rsidR="00972CE3" w:rsidRDefault="001F20D2">
      <w:pPr>
        <w:ind w:left="22" w:right="17"/>
        <w:jc w:val="center"/>
      </w:pPr>
      <w:r>
        <w:rPr>
          <w:rFonts w:ascii="Arial" w:hAnsi="Arial"/>
          <w:b/>
        </w:rPr>
        <w:t>Fontes</w:t>
      </w:r>
      <w:r>
        <w:t>:</w:t>
      </w:r>
      <w:r>
        <w:rPr>
          <w:spacing w:val="-6"/>
        </w:rPr>
        <w:t xml:space="preserve"> </w:t>
      </w:r>
      <w:r>
        <w:t>Espírito</w:t>
      </w:r>
      <w:r>
        <w:rPr>
          <w:spacing w:val="-5"/>
        </w:rPr>
        <w:t xml:space="preserve"> </w:t>
      </w:r>
      <w:r>
        <w:t>Santo,</w:t>
      </w:r>
      <w:r>
        <w:rPr>
          <w:spacing w:val="-8"/>
        </w:rPr>
        <w:t xml:space="preserve"> </w:t>
      </w:r>
      <w:r>
        <w:t>2006;</w:t>
      </w:r>
      <w:r>
        <w:rPr>
          <w:spacing w:val="-3"/>
        </w:rPr>
        <w:t xml:space="preserve"> </w:t>
      </w:r>
      <w:r>
        <w:t>Burnett,</w:t>
      </w:r>
      <w:r>
        <w:rPr>
          <w:spacing w:val="-5"/>
        </w:rPr>
        <w:t xml:space="preserve"> </w:t>
      </w:r>
      <w:r>
        <w:rPr>
          <w:spacing w:val="-4"/>
        </w:rPr>
        <w:t>2008.</w:t>
      </w:r>
    </w:p>
    <w:p w:rsidR="00972CE3" w:rsidRDefault="00972CE3">
      <w:pPr>
        <w:jc w:val="cente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6576" behindDoc="1" locked="0" layoutInCell="1" allowOverlap="1">
            <wp:simplePos x="0" y="0"/>
            <wp:positionH relativeFrom="page">
              <wp:posOffset>0</wp:posOffset>
            </wp:positionH>
            <wp:positionV relativeFrom="page">
              <wp:posOffset>6982</wp:posOffset>
            </wp:positionV>
            <wp:extent cx="7562088" cy="1048327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8"/>
        <w:jc w:val="both"/>
      </w:pPr>
      <w:r>
        <w:t>Realidade urbana própria de uma sociedade mercantil que tentou se</w:t>
      </w:r>
      <w:r>
        <w:t xml:space="preserve"> industrializar (Itapary, 1997), planejada e controlada por Códigos de Postura (Selbach, 2010), o caráter miscigenado daquele padrão de cidade que a literatura chama de “urbanização tradicional ou pré-industrial — pois originada anteriormente à industriali</w:t>
      </w:r>
      <w:r>
        <w:t>zação moderna” (Benévolo, 1984, p. 30-31) —, se fez predominante em São Luís ao longo de 350 anos (Burnett, 2022).</w:t>
      </w:r>
    </w:p>
    <w:p w:rsidR="00972CE3" w:rsidRDefault="001F20D2">
      <w:pPr>
        <w:pStyle w:val="Corpodetexto"/>
        <w:spacing w:before="1" w:line="360" w:lineRule="auto"/>
        <w:ind w:left="143" w:right="136"/>
        <w:jc w:val="both"/>
      </w:pPr>
      <w:r>
        <w:t>Expandindo o crescimento através do Caminho Grande, a cidade se estendeu até a Vila do Anil (Figura 3), onde diversos povoados surgiram —Apea</w:t>
      </w:r>
      <w:r>
        <w:t>douro, Caminho da Boiada, Areal, Monte Castelo, João Paulo etc. —, a partir de sítios diversos, núcleos de</w:t>
      </w:r>
      <w:r>
        <w:rPr>
          <w:spacing w:val="-2"/>
        </w:rPr>
        <w:t xml:space="preserve"> </w:t>
      </w:r>
      <w:r>
        <w:t>moradia</w:t>
      </w:r>
      <w:r>
        <w:rPr>
          <w:spacing w:val="-2"/>
        </w:rPr>
        <w:t xml:space="preserve"> </w:t>
      </w:r>
      <w:r>
        <w:t>e trabalho</w:t>
      </w:r>
      <w:r>
        <w:rPr>
          <w:spacing w:val="-2"/>
        </w:rPr>
        <w:t xml:space="preserve"> </w:t>
      </w:r>
      <w:r>
        <w:t>(Pinto,</w:t>
      </w:r>
      <w:r>
        <w:rPr>
          <w:spacing w:val="-2"/>
        </w:rPr>
        <w:t xml:space="preserve"> </w:t>
      </w:r>
      <w:r>
        <w:t>2018),</w:t>
      </w:r>
      <w:r>
        <w:rPr>
          <w:spacing w:val="-2"/>
        </w:rPr>
        <w:t xml:space="preserve"> </w:t>
      </w:r>
      <w:r>
        <w:t xml:space="preserve">um </w:t>
      </w:r>
      <w:r>
        <w:rPr>
          <w:rFonts w:ascii="Arial" w:hAnsi="Arial"/>
          <w:i/>
        </w:rPr>
        <w:t>continuum</w:t>
      </w:r>
      <w:r>
        <w:rPr>
          <w:rFonts w:ascii="Arial" w:hAnsi="Arial"/>
          <w:i/>
          <w:spacing w:val="-2"/>
        </w:rPr>
        <w:t xml:space="preserve"> </w:t>
      </w:r>
      <w:r>
        <w:t>de</w:t>
      </w:r>
      <w:r>
        <w:rPr>
          <w:spacing w:val="-1"/>
        </w:rPr>
        <w:t xml:space="preserve"> </w:t>
      </w:r>
      <w:r>
        <w:t>13</w:t>
      </w:r>
      <w:r>
        <w:rPr>
          <w:spacing w:val="-1"/>
        </w:rPr>
        <w:t xml:space="preserve"> </w:t>
      </w:r>
      <w:r>
        <w:t>km</w:t>
      </w:r>
      <w:r>
        <w:rPr>
          <w:spacing w:val="-1"/>
        </w:rPr>
        <w:t xml:space="preserve"> </w:t>
      </w:r>
      <w:r>
        <w:t>de</w:t>
      </w:r>
      <w:r>
        <w:rPr>
          <w:spacing w:val="-2"/>
        </w:rPr>
        <w:t xml:space="preserve"> </w:t>
      </w:r>
      <w:r>
        <w:t>extensão e</w:t>
      </w:r>
      <w:r>
        <w:rPr>
          <w:spacing w:val="-1"/>
        </w:rPr>
        <w:t xml:space="preserve"> </w:t>
      </w:r>
      <w:r>
        <w:t>22 ha</w:t>
      </w:r>
      <w:r>
        <w:rPr>
          <w:spacing w:val="-2"/>
        </w:rPr>
        <w:t xml:space="preserve"> </w:t>
      </w:r>
      <w:r>
        <w:t>de área, intensamente povoado, com diversidades de usos, funções e classe</w:t>
      </w:r>
      <w:r>
        <w:t>s sociais (Pinto, 2018).</w:t>
      </w:r>
    </w:p>
    <w:p w:rsidR="00972CE3" w:rsidRDefault="00972CE3">
      <w:pPr>
        <w:pStyle w:val="Corpodetexto"/>
        <w:spacing w:before="135"/>
      </w:pPr>
    </w:p>
    <w:p w:rsidR="00972CE3" w:rsidRDefault="001F20D2">
      <w:pPr>
        <w:ind w:left="17" w:right="17"/>
        <w:jc w:val="center"/>
      </w:pPr>
      <w:r>
        <w:rPr>
          <w:noProof/>
          <w:lang w:val="pt-BR" w:eastAsia="pt-BR"/>
        </w:rPr>
        <w:drawing>
          <wp:anchor distT="0" distB="0" distL="0" distR="0" simplePos="0" relativeHeight="487604224" behindDoc="1" locked="0" layoutInCell="1" allowOverlap="1">
            <wp:simplePos x="0" y="0"/>
            <wp:positionH relativeFrom="page">
              <wp:posOffset>1131697</wp:posOffset>
            </wp:positionH>
            <wp:positionV relativeFrom="paragraph">
              <wp:posOffset>187555</wp:posOffset>
            </wp:positionV>
            <wp:extent cx="5659639" cy="337870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3" cstate="print"/>
                    <a:stretch>
                      <a:fillRect/>
                    </a:stretch>
                  </pic:blipFill>
                  <pic:spPr>
                    <a:xfrm>
                      <a:off x="0" y="0"/>
                      <a:ext cx="5659639" cy="3378708"/>
                    </a:xfrm>
                    <a:prstGeom prst="rect">
                      <a:avLst/>
                    </a:prstGeom>
                  </pic:spPr>
                </pic:pic>
              </a:graphicData>
            </a:graphic>
          </wp:anchor>
        </w:drawing>
      </w:r>
      <w:r>
        <w:rPr>
          <w:rFonts w:ascii="Arial" w:hAnsi="Arial"/>
          <w:b/>
        </w:rPr>
        <w:t>Figura</w:t>
      </w:r>
      <w:r>
        <w:rPr>
          <w:rFonts w:ascii="Arial" w:hAnsi="Arial"/>
          <w:b/>
          <w:spacing w:val="-5"/>
        </w:rPr>
        <w:t xml:space="preserve"> </w:t>
      </w:r>
      <w:r>
        <w:rPr>
          <w:rFonts w:ascii="Arial" w:hAnsi="Arial"/>
          <w:b/>
        </w:rPr>
        <w:t>3:</w:t>
      </w:r>
      <w:r>
        <w:rPr>
          <w:rFonts w:ascii="Arial" w:hAnsi="Arial"/>
          <w:b/>
          <w:spacing w:val="-3"/>
        </w:rPr>
        <w:t xml:space="preserve"> </w:t>
      </w:r>
      <w:r>
        <w:t>Localização</w:t>
      </w:r>
      <w:r>
        <w:rPr>
          <w:spacing w:val="-5"/>
        </w:rPr>
        <w:t xml:space="preserve"> </w:t>
      </w:r>
      <w:r>
        <w:t>aproximada</w:t>
      </w:r>
      <w:r>
        <w:rPr>
          <w:spacing w:val="-5"/>
        </w:rPr>
        <w:t xml:space="preserve"> </w:t>
      </w:r>
      <w:r>
        <w:t>de</w:t>
      </w:r>
      <w:r>
        <w:rPr>
          <w:spacing w:val="-5"/>
        </w:rPr>
        <w:t xml:space="preserve"> </w:t>
      </w:r>
      <w:r>
        <w:t>alguns</w:t>
      </w:r>
      <w:r>
        <w:rPr>
          <w:spacing w:val="-7"/>
        </w:rPr>
        <w:t xml:space="preserve"> </w:t>
      </w:r>
      <w:r>
        <w:t>sítios</w:t>
      </w:r>
      <w:r>
        <w:rPr>
          <w:spacing w:val="-5"/>
        </w:rPr>
        <w:t xml:space="preserve"> </w:t>
      </w:r>
      <w:r>
        <w:t>ao</w:t>
      </w:r>
      <w:r>
        <w:rPr>
          <w:spacing w:val="-4"/>
        </w:rPr>
        <w:t xml:space="preserve"> </w:t>
      </w:r>
      <w:r>
        <w:t>longo</w:t>
      </w:r>
      <w:r>
        <w:rPr>
          <w:spacing w:val="-7"/>
        </w:rPr>
        <w:t xml:space="preserve"> </w:t>
      </w:r>
      <w:r>
        <w:t>do</w:t>
      </w:r>
      <w:r>
        <w:rPr>
          <w:spacing w:val="-5"/>
        </w:rPr>
        <w:t xml:space="preserve"> </w:t>
      </w:r>
      <w:r>
        <w:t>Caminho</w:t>
      </w:r>
      <w:r>
        <w:rPr>
          <w:spacing w:val="-7"/>
        </w:rPr>
        <w:t xml:space="preserve"> </w:t>
      </w:r>
      <w:r>
        <w:t>Grande,</w:t>
      </w:r>
      <w:r>
        <w:rPr>
          <w:spacing w:val="-3"/>
        </w:rPr>
        <w:t xml:space="preserve"> </w:t>
      </w:r>
      <w:r>
        <w:t>São</w:t>
      </w:r>
      <w:r>
        <w:rPr>
          <w:spacing w:val="-6"/>
        </w:rPr>
        <w:t xml:space="preserve"> </w:t>
      </w:r>
      <w:r>
        <w:rPr>
          <w:spacing w:val="-4"/>
        </w:rPr>
        <w:t>Luís</w:t>
      </w:r>
    </w:p>
    <w:p w:rsidR="00972CE3" w:rsidRDefault="001F20D2">
      <w:pPr>
        <w:ind w:left="21" w:right="17"/>
        <w:jc w:val="center"/>
      </w:pPr>
      <w:r>
        <w:rPr>
          <w:rFonts w:ascii="Arial"/>
          <w:b/>
        </w:rPr>
        <w:t>Fonte</w:t>
      </w:r>
      <w:r>
        <w:t>:</w:t>
      </w:r>
      <w:r>
        <w:rPr>
          <w:spacing w:val="-6"/>
        </w:rPr>
        <w:t xml:space="preserve"> </w:t>
      </w:r>
      <w:r>
        <w:t>Pinto,</w:t>
      </w:r>
      <w:r>
        <w:rPr>
          <w:spacing w:val="-2"/>
        </w:rPr>
        <w:t xml:space="preserve"> </w:t>
      </w:r>
      <w:r>
        <w:rPr>
          <w:spacing w:val="-4"/>
        </w:rPr>
        <w:t>2018</w:t>
      </w:r>
    </w:p>
    <w:p w:rsidR="00972CE3" w:rsidRDefault="00972CE3">
      <w:pPr>
        <w:jc w:val="cente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7600" behindDoc="1" locked="0" layoutInCell="1" allowOverlap="1">
            <wp:simplePos x="0" y="0"/>
            <wp:positionH relativeFrom="page">
              <wp:posOffset>0</wp:posOffset>
            </wp:positionH>
            <wp:positionV relativeFrom="page">
              <wp:posOffset>6982</wp:posOffset>
            </wp:positionV>
            <wp:extent cx="7562088" cy="1048327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5" w:firstLine="707"/>
        <w:jc w:val="both"/>
      </w:pPr>
      <w:r>
        <w:t xml:space="preserve">Nestes espaços também se verificam outras semelhanças ou circunstâncias comuns: a maioria dos “centros antigos” (Singer, 1982) vive situações de arruinamento físico e esvaziamento de usos e funções, resultado da migração de instituições, negócios e gentes </w:t>
      </w:r>
      <w:r>
        <w:t>para áreas novas que, urbanizadas ao longo do século XX, adotaram princípios de divisão espacial de usos e funções do urbanismo modernista (Le Corbusier, 2000), do qual Brasília é expressão mundial. A disponibilidade inédita de volumosos recursos financeir</w:t>
      </w:r>
      <w:r>
        <w:t>os para ocupação das terras, realizada sob regime político da ditadura cívico-militar (Serra, 1991), unificou interesses fundiários particulares ao saber tecnocrático do planejamento urbano, justificando a suspensão de políticas urbanas na área de urbaniza</w:t>
      </w:r>
      <w:r>
        <w:t>ção tradicional.</w:t>
      </w:r>
    </w:p>
    <w:p w:rsidR="00972CE3" w:rsidRDefault="001F20D2">
      <w:pPr>
        <w:pStyle w:val="Corpodetexto"/>
        <w:spacing w:before="121" w:line="360" w:lineRule="auto"/>
        <w:ind w:left="143" w:right="135" w:firstLine="707"/>
        <w:jc w:val="both"/>
      </w:pPr>
      <w:r>
        <w:t>E assim, as áreas antigas, produzida para outros modos de vida (Wall, 2012), apesar</w:t>
      </w:r>
      <w:r>
        <w:rPr>
          <w:spacing w:val="-4"/>
        </w:rPr>
        <w:t xml:space="preserve"> </w:t>
      </w:r>
      <w:r>
        <w:t>de</w:t>
      </w:r>
      <w:r>
        <w:rPr>
          <w:spacing w:val="-3"/>
        </w:rPr>
        <w:t xml:space="preserve"> </w:t>
      </w:r>
      <w:r>
        <w:t>possuírem</w:t>
      </w:r>
      <w:r>
        <w:rPr>
          <w:spacing w:val="-3"/>
        </w:rPr>
        <w:t xml:space="preserve"> </w:t>
      </w:r>
      <w:r>
        <w:t>infraestruturas</w:t>
      </w:r>
      <w:r>
        <w:rPr>
          <w:spacing w:val="-4"/>
        </w:rPr>
        <w:t xml:space="preserve"> </w:t>
      </w:r>
      <w:r>
        <w:t>instaladas</w:t>
      </w:r>
      <w:r>
        <w:rPr>
          <w:spacing w:val="-1"/>
        </w:rPr>
        <w:t xml:space="preserve"> </w:t>
      </w:r>
      <w:r>
        <w:t>(Figura</w:t>
      </w:r>
      <w:r>
        <w:rPr>
          <w:spacing w:val="-4"/>
        </w:rPr>
        <w:t xml:space="preserve"> </w:t>
      </w:r>
      <w:r>
        <w:t>4),</w:t>
      </w:r>
      <w:r>
        <w:rPr>
          <w:spacing w:val="-4"/>
        </w:rPr>
        <w:t xml:space="preserve"> </w:t>
      </w:r>
      <w:r>
        <w:t>assistem</w:t>
      </w:r>
      <w:r>
        <w:rPr>
          <w:spacing w:val="-5"/>
        </w:rPr>
        <w:t xml:space="preserve"> </w:t>
      </w:r>
      <w:r>
        <w:t>ao</w:t>
      </w:r>
      <w:r>
        <w:rPr>
          <w:spacing w:val="-4"/>
        </w:rPr>
        <w:t xml:space="preserve"> </w:t>
      </w:r>
      <w:r>
        <w:t>esvaziamento populacional e à desvalorização imobiliária provocado pelo êxodo de empresas c</w:t>
      </w:r>
      <w:r>
        <w:t>omerciais e de serviços, e mesmo sedes de instituições públicas do executivo, legislativo e judiciário (Burnett, 2022).</w:t>
      </w:r>
    </w:p>
    <w:p w:rsidR="00972CE3" w:rsidRDefault="001F20D2">
      <w:pPr>
        <w:spacing w:line="250" w:lineRule="exact"/>
        <w:ind w:left="337"/>
        <w:jc w:val="both"/>
      </w:pPr>
      <w:r>
        <w:rPr>
          <w:rFonts w:ascii="Arial" w:hAnsi="Arial"/>
          <w:b/>
        </w:rPr>
        <w:t>Figura</w:t>
      </w:r>
      <w:r>
        <w:rPr>
          <w:rFonts w:ascii="Arial" w:hAnsi="Arial"/>
          <w:b/>
          <w:spacing w:val="-7"/>
        </w:rPr>
        <w:t xml:space="preserve"> </w:t>
      </w:r>
      <w:r>
        <w:rPr>
          <w:rFonts w:ascii="Arial" w:hAnsi="Arial"/>
          <w:b/>
        </w:rPr>
        <w:t>4</w:t>
      </w:r>
      <w:r>
        <w:t>:</w:t>
      </w:r>
      <w:r>
        <w:rPr>
          <w:spacing w:val="-2"/>
        </w:rPr>
        <w:t xml:space="preserve"> </w:t>
      </w:r>
      <w:r>
        <w:t>Esgotamento</w:t>
      </w:r>
      <w:r>
        <w:rPr>
          <w:spacing w:val="-6"/>
        </w:rPr>
        <w:t xml:space="preserve"> </w:t>
      </w:r>
      <w:r>
        <w:t>sanitário</w:t>
      </w:r>
      <w:r>
        <w:rPr>
          <w:spacing w:val="-4"/>
        </w:rPr>
        <w:t xml:space="preserve"> </w:t>
      </w:r>
      <w:r>
        <w:t>em</w:t>
      </w:r>
      <w:r>
        <w:rPr>
          <w:spacing w:val="-4"/>
        </w:rPr>
        <w:t xml:space="preserve"> </w:t>
      </w:r>
      <w:r>
        <w:t>São</w:t>
      </w:r>
      <w:r>
        <w:rPr>
          <w:spacing w:val="-4"/>
        </w:rPr>
        <w:t xml:space="preserve"> </w:t>
      </w:r>
      <w:r>
        <w:t>Luís,</w:t>
      </w:r>
      <w:r>
        <w:rPr>
          <w:spacing w:val="-2"/>
        </w:rPr>
        <w:t xml:space="preserve"> </w:t>
      </w:r>
      <w:r>
        <w:t>em</w:t>
      </w:r>
      <w:r>
        <w:rPr>
          <w:spacing w:val="-6"/>
        </w:rPr>
        <w:t xml:space="preserve"> </w:t>
      </w:r>
      <w:r>
        <w:t>destaque</w:t>
      </w:r>
      <w:r>
        <w:rPr>
          <w:spacing w:val="-6"/>
        </w:rPr>
        <w:t xml:space="preserve"> </w:t>
      </w:r>
      <w:r>
        <w:t>a</w:t>
      </w:r>
      <w:r>
        <w:rPr>
          <w:spacing w:val="-4"/>
        </w:rPr>
        <w:t xml:space="preserve"> </w:t>
      </w:r>
      <w:r>
        <w:t>área</w:t>
      </w:r>
      <w:r>
        <w:rPr>
          <w:spacing w:val="-4"/>
        </w:rPr>
        <w:t xml:space="preserve"> </w:t>
      </w:r>
      <w:r>
        <w:t>da</w:t>
      </w:r>
      <w:r>
        <w:rPr>
          <w:spacing w:val="-6"/>
        </w:rPr>
        <w:t xml:space="preserve"> </w:t>
      </w:r>
      <w:r>
        <w:t>cidade</w:t>
      </w:r>
      <w:r>
        <w:rPr>
          <w:spacing w:val="-4"/>
        </w:rPr>
        <w:t xml:space="preserve"> </w:t>
      </w:r>
      <w:r>
        <w:rPr>
          <w:spacing w:val="-2"/>
        </w:rPr>
        <w:t>tradicional.</w:t>
      </w:r>
    </w:p>
    <w:p w:rsidR="00972CE3" w:rsidRDefault="00972CE3">
      <w:pPr>
        <w:pStyle w:val="Corpodetexto"/>
        <w:spacing w:before="9"/>
        <w:rPr>
          <w:sz w:val="11"/>
        </w:rPr>
      </w:pPr>
      <w:r w:rsidRPr="00972CE3">
        <w:rPr>
          <w:sz w:val="11"/>
        </w:rPr>
        <w:pict>
          <v:group id="docshapegroup9" o:spid="_x0000_s1046" style="position:absolute;margin-left:123.1pt;margin-top:8pt;width:389.6pt;height:229.55pt;z-index:-15711232;mso-wrap-distance-left:0;mso-wrap-distance-right:0;mso-position-horizontal-relative:page" coordorigin="2462,160" coordsize="7792,4591">
            <v:shape id="docshape10" o:spid="_x0000_s1050" type="#_x0000_t75" style="position:absolute;left:2504;top:159;width:5489;height:4522">
              <v:imagedata r:id="rId14" o:title=""/>
            </v:shape>
            <v:shape id="docshape11" o:spid="_x0000_s1049" type="#_x0000_t75" style="position:absolute;left:7993;top:2713;width:1980;height:1969">
              <v:imagedata r:id="rId15" o:title=""/>
            </v:shape>
            <v:shape id="docshape12" o:spid="_x0000_s1048" style="position:absolute;left:3725;top:2228;width:2182;height:1427" coordorigin="3726,2228" coordsize="2182,1427" path="m5043,2363r-93,-34l4858,2300r-92,-24l4676,2257r-88,-14l4502,2233r-84,-4l4337,2228r-78,5l4185,2242r-69,14l4050,2274r-60,23l3934,2324r-93,67l3772,2475r-38,97l3726,2674r6,53l3764,2836r26,54l3821,2945r38,55l3901,3055r49,53l4003,3161r59,52l4125,3263r67,48l4264,3358r76,44l4420,3444r83,40l4590,3520r93,34l4775,3583r92,24l4957,3626r88,14l5131,3650r84,5l5296,3655r78,-5l5448,3641r69,-14l5583,3609r60,-22l5699,3560r93,-68l5861,3408r38,-97l5907,3209r-6,-53l5869,3047r-26,-54l5812,2938r-38,-55l5732,2829r-49,-54l5630,2722r-59,-52l5508,2620r-67,-48l5369,2525r-76,-44l5213,2439r-83,-39l5043,2363xe" filled="f" strokecolor="yellow" strokeweight="1.5pt">
              <v:path arrowok="t"/>
            </v:shape>
            <v:rect id="docshape13" o:spid="_x0000_s1047" style="position:absolute;left:2472;top:172;width:7772;height:4568" filled="f" strokeweight="1pt"/>
            <w10:wrap type="topAndBottom" anchorx="page"/>
          </v:group>
        </w:pict>
      </w:r>
    </w:p>
    <w:p w:rsidR="00972CE3" w:rsidRDefault="001F20D2">
      <w:pPr>
        <w:spacing w:before="57"/>
        <w:ind w:left="19" w:right="17"/>
        <w:jc w:val="center"/>
      </w:pPr>
      <w:r>
        <w:rPr>
          <w:rFonts w:ascii="Arial"/>
          <w:b/>
        </w:rPr>
        <w:t>Fonte</w:t>
      </w:r>
      <w:r>
        <w:t>:</w:t>
      </w:r>
      <w:r>
        <w:rPr>
          <w:spacing w:val="-9"/>
        </w:rPr>
        <w:t xml:space="preserve"> </w:t>
      </w:r>
      <w:r>
        <w:t>Barbosa,</w:t>
      </w:r>
      <w:r>
        <w:rPr>
          <w:spacing w:val="-4"/>
        </w:rPr>
        <w:t xml:space="preserve"> 2014.</w:t>
      </w:r>
    </w:p>
    <w:p w:rsidR="00972CE3" w:rsidRDefault="00972CE3">
      <w:pPr>
        <w:jc w:val="cente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8112" behindDoc="1" locked="0" layoutInCell="1" allowOverlap="1">
            <wp:simplePos x="0" y="0"/>
            <wp:positionH relativeFrom="page">
              <wp:posOffset>0</wp:posOffset>
            </wp:positionH>
            <wp:positionV relativeFrom="page">
              <wp:posOffset>6982</wp:posOffset>
            </wp:positionV>
            <wp:extent cx="7562088" cy="1048327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4" w:firstLine="707"/>
        <w:jc w:val="both"/>
      </w:pPr>
      <w:r>
        <w:t xml:space="preserve">. Desde então limitada a formalidades jurídicas e simbólicas — proteção cultural dos bairros da antiga área portuária e do centro comercial, incentivos à conservação dos imóveis pelos seus proprietários, retorno à toponímia original, criação/instalação de </w:t>
      </w:r>
      <w:r>
        <w:t>órgãos estadual e federal para preservação edilícia (Lopes, 2013)</w:t>
      </w:r>
      <w:r>
        <w:rPr>
          <w:spacing w:val="-4"/>
        </w:rPr>
        <w:t xml:space="preserve"> </w:t>
      </w:r>
      <w:r>
        <w:t>—,</w:t>
      </w:r>
      <w:r>
        <w:rPr>
          <w:spacing w:val="-3"/>
        </w:rPr>
        <w:t xml:space="preserve"> </w:t>
      </w:r>
      <w:r>
        <w:t>a</w:t>
      </w:r>
      <w:r>
        <w:rPr>
          <w:spacing w:val="-3"/>
        </w:rPr>
        <w:t xml:space="preserve"> </w:t>
      </w:r>
      <w:r>
        <w:t>região</w:t>
      </w:r>
      <w:r>
        <w:rPr>
          <w:spacing w:val="-4"/>
        </w:rPr>
        <w:t xml:space="preserve"> </w:t>
      </w:r>
      <w:r>
        <w:t>passou</w:t>
      </w:r>
      <w:r>
        <w:rPr>
          <w:spacing w:val="-3"/>
        </w:rPr>
        <w:t xml:space="preserve"> </w:t>
      </w:r>
      <w:r>
        <w:t>a</w:t>
      </w:r>
      <w:r>
        <w:rPr>
          <w:spacing w:val="-2"/>
        </w:rPr>
        <w:t xml:space="preserve"> </w:t>
      </w:r>
      <w:r>
        <w:t>sofrer</w:t>
      </w:r>
      <w:r>
        <w:rPr>
          <w:spacing w:val="-3"/>
        </w:rPr>
        <w:t xml:space="preserve"> </w:t>
      </w:r>
      <w:r>
        <w:t>paulatino</w:t>
      </w:r>
      <w:r>
        <w:rPr>
          <w:spacing w:val="-5"/>
        </w:rPr>
        <w:t xml:space="preserve"> </w:t>
      </w:r>
      <w:r>
        <w:t>esvaziamento</w:t>
      </w:r>
      <w:r>
        <w:rPr>
          <w:spacing w:val="-2"/>
        </w:rPr>
        <w:t xml:space="preserve"> </w:t>
      </w:r>
      <w:r>
        <w:t>populacional</w:t>
      </w:r>
      <w:r>
        <w:rPr>
          <w:spacing w:val="-3"/>
        </w:rPr>
        <w:t xml:space="preserve"> </w:t>
      </w:r>
      <w:r>
        <w:t>e</w:t>
      </w:r>
      <w:r>
        <w:rPr>
          <w:spacing w:val="-5"/>
        </w:rPr>
        <w:t xml:space="preserve"> </w:t>
      </w:r>
      <w:r>
        <w:t>econômico de extratos de alta e média renda.</w:t>
      </w:r>
    </w:p>
    <w:p w:rsidR="00972CE3" w:rsidRDefault="001F20D2">
      <w:pPr>
        <w:pStyle w:val="Corpodetexto"/>
        <w:spacing w:before="1" w:line="360" w:lineRule="auto"/>
        <w:ind w:left="143" w:right="134" w:firstLine="707"/>
        <w:jc w:val="both"/>
      </w:pPr>
      <w:r>
        <w:t>A popularização da área, recorrente quando as camadas de alta renda abandonam o</w:t>
      </w:r>
      <w:r>
        <w:t xml:space="preserve"> lugar em função de mistura de usos e classes (Singer, 1982), foi agravada pelo êxodo de órgãos públicos, atraídos pelas regiões litorâneas, onde já residiam</w:t>
      </w:r>
      <w:r>
        <w:rPr>
          <w:spacing w:val="-2"/>
        </w:rPr>
        <w:t xml:space="preserve"> </w:t>
      </w:r>
      <w:r>
        <w:t>seus</w:t>
      </w:r>
      <w:r>
        <w:rPr>
          <w:spacing w:val="-2"/>
        </w:rPr>
        <w:t xml:space="preserve"> </w:t>
      </w:r>
      <w:r>
        <w:t>gestores</w:t>
      </w:r>
      <w:r>
        <w:rPr>
          <w:spacing w:val="-3"/>
        </w:rPr>
        <w:t xml:space="preserve"> </w:t>
      </w:r>
      <w:r>
        <w:t>e</w:t>
      </w:r>
      <w:r>
        <w:rPr>
          <w:spacing w:val="-2"/>
        </w:rPr>
        <w:t xml:space="preserve"> </w:t>
      </w:r>
      <w:r>
        <w:t>se</w:t>
      </w:r>
      <w:r>
        <w:rPr>
          <w:spacing w:val="-2"/>
        </w:rPr>
        <w:t xml:space="preserve"> </w:t>
      </w:r>
      <w:r>
        <w:t>ofereciam</w:t>
      </w:r>
      <w:r>
        <w:rPr>
          <w:spacing w:val="-2"/>
        </w:rPr>
        <w:t xml:space="preserve"> </w:t>
      </w:r>
      <w:r>
        <w:t>serviços</w:t>
      </w:r>
      <w:r>
        <w:rPr>
          <w:spacing w:val="-3"/>
        </w:rPr>
        <w:t xml:space="preserve"> </w:t>
      </w:r>
      <w:r>
        <w:t>condizentes</w:t>
      </w:r>
      <w:r>
        <w:rPr>
          <w:spacing w:val="-3"/>
        </w:rPr>
        <w:t xml:space="preserve"> </w:t>
      </w:r>
      <w:r>
        <w:t>com</w:t>
      </w:r>
      <w:r>
        <w:rPr>
          <w:spacing w:val="-2"/>
        </w:rPr>
        <w:t xml:space="preserve"> </w:t>
      </w:r>
      <w:r>
        <w:t>seu status</w:t>
      </w:r>
      <w:r>
        <w:rPr>
          <w:spacing w:val="-3"/>
        </w:rPr>
        <w:t xml:space="preserve"> </w:t>
      </w:r>
      <w:r>
        <w:t>social.</w:t>
      </w:r>
      <w:r>
        <w:rPr>
          <w:spacing w:val="-2"/>
        </w:rPr>
        <w:t xml:space="preserve"> </w:t>
      </w:r>
      <w:r>
        <w:t>A ausência de investimentos públicos na área se modifica a partir da internacionalização financeira promovida pelo neoliberalismo, quando organismos bilaterais, Banco Interamericano de Desenvolvimento - BID à frente, passaram a oferecer consultorias e empr</w:t>
      </w:r>
      <w:r>
        <w:t>éstimos financeiros para produção urbana. Assim, programas de desenvolvimento turístico e habitacional para cidades de países periféricos entraram no circuito mundial através de programas federais, estaduais e municipais. Atingindo todas as regiões do país</w:t>
      </w:r>
      <w:r>
        <w:t>, com financiamento internacional à União e estados, o Programa de Desenvolvimento Turístico – PRODETUR acarreou recursos técnicos e financeiros para os centros históricos de vários capitais brasileiras (Vargas; Castilho, 2006), abandonados pelas políticas</w:t>
      </w:r>
      <w:r>
        <w:t xml:space="preserve"> de desenvolvimento urbano dos anos 1970.</w:t>
      </w:r>
    </w:p>
    <w:p w:rsidR="00972CE3" w:rsidRDefault="001F20D2">
      <w:pPr>
        <w:pStyle w:val="Corpodetexto"/>
        <w:spacing w:line="360" w:lineRule="auto"/>
        <w:ind w:left="143" w:right="134" w:firstLine="707"/>
        <w:jc w:val="both"/>
      </w:pPr>
      <w:r>
        <w:t>No Maranhão, os programas contemplaram a região dos Lençóis Maranhenses e a área de tombamento governo federal em São Luís, depois reconhecida como Patrimônio da Humanidade pela Unesco, fortalecendo programas estad</w:t>
      </w:r>
      <w:r>
        <w:t>uais de</w:t>
      </w:r>
      <w:r>
        <w:rPr>
          <w:spacing w:val="-2"/>
        </w:rPr>
        <w:t xml:space="preserve"> </w:t>
      </w:r>
      <w:r>
        <w:t>habitação popular e espaços de educação</w:t>
      </w:r>
      <w:r>
        <w:rPr>
          <w:spacing w:val="-2"/>
        </w:rPr>
        <w:t xml:space="preserve"> </w:t>
      </w:r>
      <w:r>
        <w:t>e cultura,</w:t>
      </w:r>
      <w:r>
        <w:rPr>
          <w:spacing w:val="-1"/>
        </w:rPr>
        <w:t xml:space="preserve"> </w:t>
      </w:r>
      <w:r>
        <w:t>buscando juntar,</w:t>
      </w:r>
      <w:r>
        <w:rPr>
          <w:spacing w:val="-2"/>
        </w:rPr>
        <w:t xml:space="preserve"> </w:t>
      </w:r>
      <w:r>
        <w:t>à valorizada função simbólica da Praia Grande e adjacências, atividades comerciais e de serviços (Andrés, 1998). Reconhecidos principalmente por iniciativas de proteção histórica,</w:t>
      </w:r>
      <w:r>
        <w:rPr>
          <w:spacing w:val="65"/>
          <w:w w:val="150"/>
        </w:rPr>
        <w:t xml:space="preserve"> </w:t>
      </w:r>
      <w:r>
        <w:t>o</w:t>
      </w:r>
      <w:r>
        <w:rPr>
          <w:spacing w:val="80"/>
        </w:rPr>
        <w:t xml:space="preserve"> </w:t>
      </w:r>
      <w:r>
        <w:t>valor</w:t>
      </w:r>
      <w:r>
        <w:rPr>
          <w:spacing w:val="80"/>
        </w:rPr>
        <w:t xml:space="preserve"> </w:t>
      </w:r>
      <w:r>
        <w:t>dos</w:t>
      </w:r>
      <w:r>
        <w:rPr>
          <w:spacing w:val="80"/>
        </w:rPr>
        <w:t xml:space="preserve"> </w:t>
      </w:r>
      <w:r>
        <w:t>centros</w:t>
      </w:r>
      <w:r>
        <w:rPr>
          <w:spacing w:val="80"/>
        </w:rPr>
        <w:t xml:space="preserve"> </w:t>
      </w:r>
      <w:r>
        <w:t>antigos</w:t>
      </w:r>
      <w:r>
        <w:rPr>
          <w:spacing w:val="80"/>
        </w:rPr>
        <w:t xml:space="preserve"> </w:t>
      </w:r>
      <w:r>
        <w:t>não</w:t>
      </w:r>
      <w:r>
        <w:rPr>
          <w:spacing w:val="65"/>
          <w:w w:val="150"/>
        </w:rPr>
        <w:t xml:space="preserve"> </w:t>
      </w:r>
      <w:r>
        <w:t>se</w:t>
      </w:r>
      <w:r>
        <w:rPr>
          <w:spacing w:val="80"/>
        </w:rPr>
        <w:t xml:space="preserve"> </w:t>
      </w:r>
      <w:r>
        <w:t>esgota,</w:t>
      </w:r>
      <w:r>
        <w:rPr>
          <w:spacing w:val="80"/>
        </w:rPr>
        <w:t xml:space="preserve"> </w:t>
      </w:r>
      <w:r>
        <w:t>nem</w:t>
      </w:r>
      <w:r>
        <w:rPr>
          <w:spacing w:val="66"/>
          <w:w w:val="150"/>
        </w:rPr>
        <w:t xml:space="preserve"> </w:t>
      </w:r>
      <w:r>
        <w:t>quantitativa,</w:t>
      </w:r>
      <w:r>
        <w:rPr>
          <w:spacing w:val="65"/>
          <w:w w:val="150"/>
        </w:rPr>
        <w:t xml:space="preserve"> </w:t>
      </w:r>
      <w:r>
        <w:t>nem</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8624" behindDoc="1" locked="0" layoutInCell="1" allowOverlap="1">
            <wp:simplePos x="0" y="0"/>
            <wp:positionH relativeFrom="page">
              <wp:posOffset>0</wp:posOffset>
            </wp:positionH>
            <wp:positionV relativeFrom="page">
              <wp:posOffset>6982</wp:posOffset>
            </wp:positionV>
            <wp:extent cx="7562088" cy="1048327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5"/>
        <w:jc w:val="both"/>
      </w:pPr>
      <w:r>
        <w:t>qualitativamente, na categoria de patrimônio cultural, um conceito construído de forma elitizada que costuma escorregar para o racismo urbano e o controle autoritário do uso do espaço.</w:t>
      </w:r>
    </w:p>
    <w:p w:rsidR="00972CE3" w:rsidRDefault="001F20D2">
      <w:pPr>
        <w:pStyle w:val="Corpodetexto"/>
        <w:spacing w:line="360" w:lineRule="auto"/>
        <w:ind w:left="143" w:right="135" w:firstLine="707"/>
        <w:jc w:val="both"/>
      </w:pPr>
      <w:r>
        <w:t>O recurso preservacionista se mostra urbanística e arquitetonicamente s</w:t>
      </w:r>
      <w:r>
        <w:t xml:space="preserve">eletivo, uma vez que a dimensão e diversidade sócio-espacial da cidade tradicional não cabe nos seus parâmetros “culturais”, pois, apesar de certos padrões predominantes — quadras, lotes, implantação e volumetrias —, a produção vernacular dos seus espaços </w:t>
      </w:r>
      <w:r>
        <w:t>é dinâmica e sujeita às chuvas e trovoadas do</w:t>
      </w:r>
      <w:r>
        <w:rPr>
          <w:spacing w:val="40"/>
        </w:rPr>
        <w:t xml:space="preserve"> </w:t>
      </w:r>
      <w:r>
        <w:rPr>
          <w:rFonts w:ascii="Arial" w:hAnsi="Arial"/>
          <w:i/>
        </w:rPr>
        <w:t>zeitgeist</w:t>
      </w:r>
      <w:r>
        <w:t>. Com baixa taxa de ocupação, a área sempre se mostrou incapaz de se tornar alavanca de mudanças nos usos e ocupações da cidade tradicional e a prioridade em torno de “políticas de revitalização” das á</w:t>
      </w:r>
      <w:r>
        <w:t>reas patrimoniais, ofuscou a totalidade da região, relegada pela urbanização modernista, apagando ainda mais a relevância sócio-espacial de milhares de ludovicenses que ali vivem e trabalham.</w:t>
      </w:r>
    </w:p>
    <w:p w:rsidR="00972CE3" w:rsidRDefault="00972CE3">
      <w:pPr>
        <w:pStyle w:val="Corpodetexto"/>
        <w:spacing w:before="140"/>
      </w:pPr>
    </w:p>
    <w:p w:rsidR="00972CE3" w:rsidRDefault="001F20D2">
      <w:pPr>
        <w:pStyle w:val="Heading1"/>
        <w:numPr>
          <w:ilvl w:val="0"/>
          <w:numId w:val="2"/>
        </w:numPr>
        <w:tabs>
          <w:tab w:val="left" w:pos="517"/>
          <w:tab w:val="left" w:pos="2527"/>
          <w:tab w:val="left" w:pos="4180"/>
          <w:tab w:val="left" w:pos="5102"/>
          <w:tab w:val="left" w:pos="7325"/>
          <w:tab w:val="left" w:pos="7908"/>
          <w:tab w:val="left" w:pos="8666"/>
        </w:tabs>
        <w:spacing w:line="360" w:lineRule="auto"/>
        <w:ind w:left="143" w:right="142" w:firstLine="0"/>
      </w:pPr>
      <w:r>
        <w:rPr>
          <w:spacing w:val="-2"/>
        </w:rPr>
        <w:t>ZONEAMENTO,</w:t>
      </w:r>
      <w:r>
        <w:tab/>
      </w:r>
      <w:r>
        <w:rPr>
          <w:spacing w:val="-2"/>
        </w:rPr>
        <w:t>ABRE-ALAS</w:t>
      </w:r>
      <w:r>
        <w:tab/>
      </w:r>
      <w:r>
        <w:rPr>
          <w:spacing w:val="-4"/>
        </w:rPr>
        <w:t>PARA</w:t>
      </w:r>
      <w:r>
        <w:tab/>
      </w:r>
      <w:r>
        <w:rPr>
          <w:spacing w:val="-2"/>
        </w:rPr>
        <w:t>MODERNIZAÇÃO</w:t>
      </w:r>
      <w:r>
        <w:tab/>
      </w:r>
      <w:r>
        <w:rPr>
          <w:spacing w:val="-6"/>
        </w:rPr>
        <w:t>DA</w:t>
      </w:r>
      <w:r>
        <w:tab/>
      </w:r>
      <w:r>
        <w:rPr>
          <w:spacing w:val="-4"/>
        </w:rPr>
        <w:t>SÃO</w:t>
      </w:r>
      <w:r>
        <w:tab/>
      </w:r>
      <w:r>
        <w:rPr>
          <w:spacing w:val="-4"/>
        </w:rPr>
        <w:t xml:space="preserve">LUÍS </w:t>
      </w:r>
      <w:r>
        <w:rPr>
          <w:spacing w:val="-2"/>
        </w:rPr>
        <w:t>TRADICIONAL</w:t>
      </w:r>
      <w:r>
        <w:rPr>
          <w:spacing w:val="-2"/>
        </w:rPr>
        <w:t>?</w:t>
      </w:r>
    </w:p>
    <w:p w:rsidR="00972CE3" w:rsidRDefault="001F20D2">
      <w:pPr>
        <w:pStyle w:val="Corpodetexto"/>
        <w:spacing w:before="117" w:line="360" w:lineRule="auto"/>
        <w:ind w:left="143" w:right="135" w:firstLine="707"/>
        <w:jc w:val="both"/>
      </w:pPr>
      <w:r>
        <w:t>Com as oportunidades fundiárias e imobiliárias abertas pelo Plano Diretor, aprovado em 2023, expandindo os limites urbanos sobre a zona rural do município (Souza, 2022), agentes capitalistas da construção civil que, recorrentemente lamentam a caduquice d</w:t>
      </w:r>
      <w:r>
        <w:t xml:space="preserve">o zoneamento da cidade, datado de 1992, têm pressionado órgãos públicos e a sociedade em geral para, através da expansão e adensamento da ocupação do solo urbano, a oportunidade de ombrear São Luís com grandes capitais do Nordeste, iniciativa já efetivada </w:t>
      </w:r>
      <w:r>
        <w:t>na vizinhança da capital maranhense (São José de Ribamar sai na frente..., 2025).</w:t>
      </w:r>
    </w:p>
    <w:p w:rsidR="00972CE3" w:rsidRDefault="001F20D2">
      <w:pPr>
        <w:pStyle w:val="Corpodetexto"/>
        <w:spacing w:before="121" w:line="360" w:lineRule="auto"/>
        <w:ind w:left="143" w:right="134" w:firstLine="719"/>
        <w:jc w:val="both"/>
      </w:pPr>
      <w:r>
        <w:t>Preparando terreno para o cenário favorável aos negócios imobiliários, apoiado por programas de financiamento público para diferentes faixas de renda e sempre presente atrati</w:t>
      </w:r>
      <w:r>
        <w:t>vidade dos “ativos imobiliários” para os investidores, a bandeira</w:t>
      </w:r>
      <w:r>
        <w:rPr>
          <w:spacing w:val="-1"/>
        </w:rPr>
        <w:t xml:space="preserve"> </w:t>
      </w:r>
      <w:r>
        <w:t>do</w:t>
      </w:r>
      <w:r>
        <w:rPr>
          <w:spacing w:val="-4"/>
        </w:rPr>
        <w:t xml:space="preserve"> </w:t>
      </w:r>
      <w:r>
        <w:t>adensamento/verticalização imobiliários</w:t>
      </w:r>
      <w:r>
        <w:rPr>
          <w:spacing w:val="-2"/>
        </w:rPr>
        <w:t xml:space="preserve"> </w:t>
      </w:r>
      <w:r>
        <w:t>—</w:t>
      </w:r>
      <w:r>
        <w:rPr>
          <w:spacing w:val="-2"/>
        </w:rPr>
        <w:t xml:space="preserve"> </w:t>
      </w:r>
      <w:r>
        <w:t>generalizada</w:t>
      </w:r>
      <w:r>
        <w:rPr>
          <w:spacing w:val="-1"/>
        </w:rPr>
        <w:t xml:space="preserve"> </w:t>
      </w:r>
      <w:r>
        <w:t>em todo</w:t>
      </w:r>
      <w:r>
        <w:rPr>
          <w:spacing w:val="-1"/>
        </w:rPr>
        <w:t xml:space="preserve"> </w:t>
      </w:r>
      <w:r>
        <w:t>o</w:t>
      </w:r>
      <w:r>
        <w:rPr>
          <w:spacing w:val="-1"/>
        </w:rPr>
        <w:t xml:space="preserve"> </w:t>
      </w:r>
      <w:r>
        <w:t>país,</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9136" behindDoc="1" locked="0" layoutInCell="1" allowOverlap="1">
            <wp:simplePos x="0" y="0"/>
            <wp:positionH relativeFrom="page">
              <wp:posOffset>0</wp:posOffset>
            </wp:positionH>
            <wp:positionV relativeFrom="page">
              <wp:posOffset>6982</wp:posOffset>
            </wp:positionV>
            <wp:extent cx="7562088" cy="1048327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5"/>
        <w:jc w:val="both"/>
      </w:pPr>
      <w:r>
        <w:t xml:space="preserve">São Paulo à frente —, passou a ocupar lugar central na agenda do Conselho da Cidade de São Luís, onde desde 2023 a nova lei de zoneamento vem sendo discutida e aprovada. Radicalizando a atualização dos parâmetros edilícios, toda a região compreendida pela </w:t>
      </w:r>
      <w:r>
        <w:t>urbanização tradicional em São Luís está sendo incluída nas intenções de modernização urbana promovida pelo mercado imobiliário (São Luís, 2025).</w:t>
      </w:r>
    </w:p>
    <w:p w:rsidR="00972CE3" w:rsidRDefault="001F20D2">
      <w:pPr>
        <w:pStyle w:val="Corpodetexto"/>
        <w:spacing w:before="121" w:line="360" w:lineRule="auto"/>
        <w:ind w:left="143" w:right="134" w:firstLine="707"/>
        <w:jc w:val="both"/>
      </w:pPr>
      <w:r>
        <w:t>Ignorando a ausência de uma demanda imobiliária com interesse e solvência suficientes para retorno de moradore</w:t>
      </w:r>
      <w:r>
        <w:t>s e de negócios para</w:t>
      </w:r>
      <w:r>
        <w:rPr>
          <w:spacing w:val="-1"/>
        </w:rPr>
        <w:t xml:space="preserve"> </w:t>
      </w:r>
      <w:r>
        <w:t>a região, pois “dificilmente camadas ricas ou de rendimentos médios se disporiam a morar em bairros que adquiriram má fama.” (Singer, 1982, p. 32), bairros populares têm sido incluídos nas propostas de adensamento. As intenções descons</w:t>
      </w:r>
      <w:r>
        <w:t>ideram o fato de que o próprio modo de produção capitalista, em sua fuga histórica para frente em busca de novos espaços de acumulação, inevitavelmente transforma a composição de seus capitais (Harvey, 2015), onde atualmente predominam a financeirização do</w:t>
      </w:r>
      <w:r>
        <w:t>s processos de produção, a celeridade na realização do lucro e o redimensionamento das escalas</w:t>
      </w:r>
      <w:r>
        <w:rPr>
          <w:spacing w:val="40"/>
        </w:rPr>
        <w:t xml:space="preserve"> </w:t>
      </w:r>
      <w:r>
        <w:t>de intervenção e de retorno financeiro de suas operações. No que se refere especificamente ao capital imobiliário, essa situação tem suas particularidades</w:t>
      </w:r>
      <w:r>
        <w:rPr>
          <w:spacing w:val="40"/>
        </w:rPr>
        <w:t xml:space="preserve"> </w:t>
      </w:r>
      <w:r>
        <w:t>sócio-</w:t>
      </w:r>
      <w:r>
        <w:t>espaciais, vinculadas ao perfil da clientela, a localização, a dimensão e a complexidade da obra, fatores que interverem na celeridade dos processos de projeto, legalização e construção, mas também no perfil socioeconômico dos potenciais clientes.</w:t>
      </w:r>
    </w:p>
    <w:p w:rsidR="00972CE3" w:rsidRDefault="001F20D2">
      <w:pPr>
        <w:pStyle w:val="Corpodetexto"/>
        <w:spacing w:line="360" w:lineRule="auto"/>
        <w:ind w:left="143" w:right="136" w:firstLine="707"/>
        <w:jc w:val="both"/>
      </w:pPr>
      <w:r>
        <w:t>Estas pe</w:t>
      </w:r>
      <w:r>
        <w:t>culiaridades da atual produção imobiliária interpelam as intenções do Estado em intervir sobre áreas urbanas consolidadas, pois tanto a propriedade, quanto o parcelamento e taxas de aproveitamento do solo de tais espaços conflitam com os processos de valor</w:t>
      </w:r>
      <w:r>
        <w:t>ização de seus capitais. No que se refere à propriedade do solo, a predominância de dimensões diminutas dos lotes e das quadras, além de exigir negociações com vários possuidores, o remembramento esbarra em taxas de</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39648" behindDoc="1" locked="0" layoutInCell="1" allowOverlap="1">
            <wp:simplePos x="0" y="0"/>
            <wp:positionH relativeFrom="page">
              <wp:posOffset>0</wp:posOffset>
            </wp:positionH>
            <wp:positionV relativeFrom="page">
              <wp:posOffset>6982</wp:posOffset>
            </wp:positionV>
            <wp:extent cx="7562088" cy="1048327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5"/>
        <w:jc w:val="both"/>
      </w:pPr>
      <w:r>
        <w:t>ocupação e gabarito</w:t>
      </w:r>
      <w:r>
        <w:t>s relacionados aos valores de uso que originaram a área, contrariando valores de troca implícitos na produção capitalista.</w:t>
      </w:r>
    </w:p>
    <w:p w:rsidR="00972CE3" w:rsidRDefault="001F20D2">
      <w:pPr>
        <w:pStyle w:val="Corpodetexto"/>
        <w:spacing w:line="360" w:lineRule="auto"/>
        <w:ind w:left="143" w:right="137" w:firstLine="707"/>
        <w:jc w:val="both"/>
      </w:pPr>
      <w:r>
        <w:t>Apresentando misturas de usos e funções, o tecido urbano da área a renovar pode tanto atrair quanto repelir potenciais clientes, a de</w:t>
      </w:r>
      <w:r>
        <w:t>pender dos processos particulares de permanência ou mudança de perfil socioeconômico do uso e ocupação do solo, impactando no seu valor de aglomeração e, consequentemente, na economia de deslocamentos dos moradores (Villaça, 2001). Neste sentido, o sistema</w:t>
      </w:r>
      <w:r>
        <w:t xml:space="preserve"> viário também pode implicar em deseconomias para a “requalificação” da área, condicionando taxas de ocupação e limitando o uso de veículos particulares, um valor cultural que as camadas de média e alta renda não demonstram interesse em abrir mão, em espec</w:t>
      </w:r>
      <w:r>
        <w:t>ial no Brasil.</w:t>
      </w:r>
    </w:p>
    <w:p w:rsidR="00972CE3" w:rsidRDefault="001F20D2">
      <w:pPr>
        <w:pStyle w:val="Corpodetexto"/>
        <w:spacing w:before="1" w:line="360" w:lineRule="auto"/>
        <w:ind w:left="143" w:right="133" w:firstLine="707"/>
        <w:jc w:val="both"/>
      </w:pPr>
      <w:r>
        <w:t>Diante daqueles</w:t>
      </w:r>
      <w:r>
        <w:rPr>
          <w:spacing w:val="-3"/>
        </w:rPr>
        <w:t xml:space="preserve"> </w:t>
      </w:r>
      <w:r>
        <w:t>fixos e fluxos sócio-espaciais produzidos pela resistência dos circuitos mercantis da economia urbana, espacialmente imbricados e consolidados ao longo do</w:t>
      </w:r>
      <w:r>
        <w:rPr>
          <w:spacing w:val="-2"/>
        </w:rPr>
        <w:t xml:space="preserve"> </w:t>
      </w:r>
      <w:r>
        <w:t>tempo lento (Martins, 1994),</w:t>
      </w:r>
      <w:r>
        <w:rPr>
          <w:spacing w:val="-1"/>
        </w:rPr>
        <w:t xml:space="preserve"> </w:t>
      </w:r>
      <w:r>
        <w:t>próprios</w:t>
      </w:r>
      <w:r>
        <w:rPr>
          <w:spacing w:val="-1"/>
        </w:rPr>
        <w:t xml:space="preserve"> </w:t>
      </w:r>
      <w:r>
        <w:t>da cidade</w:t>
      </w:r>
      <w:r>
        <w:rPr>
          <w:spacing w:val="-2"/>
        </w:rPr>
        <w:t xml:space="preserve"> </w:t>
      </w:r>
      <w:r>
        <w:t>mercantil</w:t>
      </w:r>
      <w:r>
        <w:rPr>
          <w:spacing w:val="-2"/>
        </w:rPr>
        <w:t xml:space="preserve"> </w:t>
      </w:r>
      <w:r>
        <w:t>(Soja, 1993)</w:t>
      </w:r>
      <w:r>
        <w:t>,</w:t>
      </w:r>
      <w:r>
        <w:rPr>
          <w:spacing w:val="-2"/>
        </w:rPr>
        <w:t xml:space="preserve"> </w:t>
      </w:r>
      <w:r>
        <w:t>a inscrição na lei</w:t>
      </w:r>
      <w:r>
        <w:rPr>
          <w:spacing w:val="-1"/>
        </w:rPr>
        <w:t xml:space="preserve"> </w:t>
      </w:r>
      <w:r>
        <w:t>de novas</w:t>
      </w:r>
      <w:r>
        <w:rPr>
          <w:spacing w:val="-1"/>
        </w:rPr>
        <w:t xml:space="preserve"> </w:t>
      </w:r>
      <w:r>
        <w:t>posturas construtivas</w:t>
      </w:r>
      <w:r>
        <w:rPr>
          <w:spacing w:val="-1"/>
        </w:rPr>
        <w:t xml:space="preserve"> </w:t>
      </w:r>
      <w:r>
        <w:t>conseguirá incluir</w:t>
      </w:r>
      <w:r>
        <w:rPr>
          <w:spacing w:val="-2"/>
        </w:rPr>
        <w:t xml:space="preserve"> </w:t>
      </w:r>
      <w:r>
        <w:t>a cidade tradicional de São Luís no circuito monetário do capital imobiliário local?</w:t>
      </w:r>
    </w:p>
    <w:p w:rsidR="00972CE3" w:rsidRDefault="00972CE3">
      <w:pPr>
        <w:pStyle w:val="Corpodetexto"/>
        <w:spacing w:before="138"/>
      </w:pPr>
    </w:p>
    <w:p w:rsidR="00972CE3" w:rsidRDefault="001F20D2">
      <w:pPr>
        <w:pStyle w:val="Heading2"/>
        <w:numPr>
          <w:ilvl w:val="1"/>
          <w:numId w:val="2"/>
        </w:numPr>
        <w:tabs>
          <w:tab w:val="left" w:pos="547"/>
        </w:tabs>
        <w:ind w:left="547" w:hanging="404"/>
      </w:pPr>
      <w:r>
        <w:t>As</w:t>
      </w:r>
      <w:r>
        <w:rPr>
          <w:spacing w:val="-1"/>
        </w:rPr>
        <w:t xml:space="preserve"> </w:t>
      </w:r>
      <w:r>
        <w:t>propostas</w:t>
      </w:r>
      <w:r>
        <w:rPr>
          <w:spacing w:val="-1"/>
        </w:rPr>
        <w:t xml:space="preserve"> </w:t>
      </w:r>
      <w:r>
        <w:t>do</w:t>
      </w:r>
      <w:r>
        <w:rPr>
          <w:spacing w:val="-1"/>
        </w:rPr>
        <w:t xml:space="preserve"> </w:t>
      </w:r>
      <w:r>
        <w:t>novo</w:t>
      </w:r>
      <w:r>
        <w:rPr>
          <w:spacing w:val="-1"/>
        </w:rPr>
        <w:t xml:space="preserve"> </w:t>
      </w:r>
      <w:r>
        <w:t>zoneamento</w:t>
      </w:r>
      <w:r>
        <w:rPr>
          <w:spacing w:val="-1"/>
        </w:rPr>
        <w:t xml:space="preserve"> </w:t>
      </w:r>
      <w:r>
        <w:t>para</w:t>
      </w:r>
      <w:r>
        <w:rPr>
          <w:spacing w:val="1"/>
        </w:rPr>
        <w:t xml:space="preserve"> </w:t>
      </w:r>
      <w:r>
        <w:t>a</w:t>
      </w:r>
      <w:r>
        <w:rPr>
          <w:spacing w:val="-3"/>
        </w:rPr>
        <w:t xml:space="preserve"> </w:t>
      </w:r>
      <w:r>
        <w:t>cidade</w:t>
      </w:r>
      <w:r>
        <w:rPr>
          <w:spacing w:val="-2"/>
        </w:rPr>
        <w:t xml:space="preserve"> </w:t>
      </w:r>
      <w:r>
        <w:t>tradicional</w:t>
      </w:r>
      <w:r>
        <w:rPr>
          <w:spacing w:val="-1"/>
        </w:rPr>
        <w:t xml:space="preserve"> </w:t>
      </w:r>
      <w:r>
        <w:t>de</w:t>
      </w:r>
      <w:r>
        <w:rPr>
          <w:spacing w:val="-1"/>
        </w:rPr>
        <w:t xml:space="preserve"> </w:t>
      </w:r>
      <w:r>
        <w:t>São</w:t>
      </w:r>
      <w:r>
        <w:rPr>
          <w:spacing w:val="-1"/>
        </w:rPr>
        <w:t xml:space="preserve"> </w:t>
      </w:r>
      <w:r>
        <w:rPr>
          <w:spacing w:val="-4"/>
        </w:rPr>
        <w:t>Luís</w:t>
      </w:r>
    </w:p>
    <w:p w:rsidR="00972CE3" w:rsidRDefault="001F20D2">
      <w:pPr>
        <w:pStyle w:val="Corpodetexto"/>
        <w:spacing w:before="137" w:line="360" w:lineRule="auto"/>
        <w:ind w:left="143" w:right="134" w:firstLine="719"/>
        <w:jc w:val="both"/>
      </w:pPr>
      <w:r>
        <w:t>Mantendo “leituras da cidade” ligeiras, inspiradas nos costumes urbanísticos locais e formalidades legais, que quase sempre prevalecem sobre a complexidade social da realidade, a proposta mantém a divisão da área em duas “zonas”, aquela contida pelo Anel V</w:t>
      </w:r>
      <w:r>
        <w:t xml:space="preserve">iário que contorna o núcleo mais antigo da cidade, com áreas tombadas e vizinhanças populares, e todo o resto. Isto é, a imensa e diversificada sócio-espacialidade de uma região com histórias e trajetórias, usos e funções, fortemente diferenciadas (Pinto, </w:t>
      </w:r>
      <w:r>
        <w:t>2018). A partir de tal leitura, as especificidades são genéricas e sintetizadas nas lacônicas justificativas para as posturas edilícias propostas, comentadas a seguir.</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0672" behindDoc="1" locked="0" layoutInCell="1" allowOverlap="1">
            <wp:simplePos x="0" y="0"/>
            <wp:positionH relativeFrom="page">
              <wp:posOffset>0</wp:posOffset>
            </wp:positionH>
            <wp:positionV relativeFrom="page">
              <wp:posOffset>6982</wp:posOffset>
            </wp:positionV>
            <wp:extent cx="7562088" cy="1048327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4" w:firstLine="719"/>
        <w:jc w:val="both"/>
      </w:pPr>
      <w:r>
        <w:t>Para a ZPH, Zona de Preservação Histórica, são permitidos “acréscim</w:t>
      </w:r>
      <w:r>
        <w:t>os”, desde que assegurem “volume, gabarito, materiais e cores em harmonia com o conjunto”, entregando a aprovação da proposta de intervenção à “Comissão Técnica de Proteção do Patrimônio Cultural do Centro Antigo (CTPC)”, que reúne órgãos do pacto federati</w:t>
      </w:r>
      <w:r>
        <w:t>vo com comprovadas diferenças de visões e valores sobre o urbano e</w:t>
      </w:r>
      <w:r>
        <w:rPr>
          <w:spacing w:val="40"/>
        </w:rPr>
        <w:t xml:space="preserve"> </w:t>
      </w:r>
      <w:r>
        <w:t>a proteção histórica.</w:t>
      </w:r>
    </w:p>
    <w:p w:rsidR="00972CE3" w:rsidRDefault="001F20D2">
      <w:pPr>
        <w:pStyle w:val="Corpodetexto"/>
        <w:spacing w:before="1" w:line="360" w:lineRule="auto"/>
        <w:ind w:left="143" w:right="136" w:firstLine="719"/>
        <w:jc w:val="both"/>
      </w:pPr>
      <w:r>
        <w:t>No entorno dessa área protegida, ainda dentro do Anel Viário (Figura 5) e denominada de Centro Antigo, a proposta apresenta Zonas de Amortecimento Central, “tendo em v</w:t>
      </w:r>
      <w:r>
        <w:t xml:space="preserve">ista suas características de ocupação histórica, índices socioeconômicos e espaciais e, principalmente, seu potencial de desenvolvimento, fomento e apoio às atividades e preservação da Zona de Preservação Histórica - ZPH de São Luís”, conforme o Artigo 8º </w:t>
      </w:r>
      <w:r>
        <w:t>da proposta de Lei. (São Luís, 2025)</w:t>
      </w:r>
    </w:p>
    <w:p w:rsidR="00972CE3" w:rsidRDefault="00972CE3">
      <w:pPr>
        <w:pStyle w:val="Corpodetexto"/>
        <w:spacing w:before="135"/>
      </w:pPr>
    </w:p>
    <w:p w:rsidR="00972CE3" w:rsidRDefault="001F20D2">
      <w:pPr>
        <w:ind w:left="1071"/>
        <w:rPr>
          <w:rFonts w:ascii="Arial" w:hAnsi="Arial"/>
          <w:b/>
        </w:rPr>
      </w:pPr>
      <w:r>
        <w:rPr>
          <w:rFonts w:ascii="Arial" w:hAnsi="Arial"/>
          <w:b/>
        </w:rPr>
        <w:t>Figura</w:t>
      </w:r>
      <w:r>
        <w:rPr>
          <w:rFonts w:ascii="Arial" w:hAnsi="Arial"/>
          <w:b/>
          <w:spacing w:val="-4"/>
        </w:rPr>
        <w:t xml:space="preserve"> </w:t>
      </w:r>
      <w:r>
        <w:rPr>
          <w:rFonts w:ascii="Arial" w:hAnsi="Arial"/>
          <w:b/>
        </w:rPr>
        <w:t>5:</w:t>
      </w:r>
      <w:r>
        <w:rPr>
          <w:rFonts w:ascii="Arial" w:hAnsi="Arial"/>
          <w:b/>
          <w:spacing w:val="-1"/>
        </w:rPr>
        <w:t xml:space="preserve"> </w:t>
      </w:r>
      <w:r>
        <w:rPr>
          <w:rFonts w:ascii="Arial" w:hAnsi="Arial"/>
          <w:b/>
        </w:rPr>
        <w:t>Zoneamento</w:t>
      </w:r>
      <w:r>
        <w:rPr>
          <w:rFonts w:ascii="Arial" w:hAnsi="Arial"/>
          <w:b/>
          <w:spacing w:val="-7"/>
        </w:rPr>
        <w:t xml:space="preserve"> </w:t>
      </w:r>
      <w:r>
        <w:rPr>
          <w:rFonts w:ascii="Arial" w:hAnsi="Arial"/>
          <w:b/>
        </w:rPr>
        <w:t>da</w:t>
      </w:r>
      <w:r>
        <w:rPr>
          <w:rFonts w:ascii="Arial" w:hAnsi="Arial"/>
          <w:b/>
          <w:spacing w:val="-1"/>
        </w:rPr>
        <w:t xml:space="preserve"> </w:t>
      </w:r>
      <w:r>
        <w:rPr>
          <w:rFonts w:ascii="Arial" w:hAnsi="Arial"/>
          <w:b/>
        </w:rPr>
        <w:t>Área</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Preservação</w:t>
      </w:r>
      <w:r>
        <w:rPr>
          <w:rFonts w:ascii="Arial" w:hAnsi="Arial"/>
          <w:b/>
          <w:spacing w:val="-2"/>
        </w:rPr>
        <w:t xml:space="preserve"> </w:t>
      </w:r>
      <w:r>
        <w:rPr>
          <w:rFonts w:ascii="Arial" w:hAnsi="Arial"/>
          <w:b/>
        </w:rPr>
        <w:t>Histórica</w:t>
      </w:r>
      <w:r>
        <w:rPr>
          <w:rFonts w:ascii="Arial" w:hAnsi="Arial"/>
          <w:b/>
          <w:spacing w:val="-5"/>
        </w:rPr>
        <w:t xml:space="preserve"> </w:t>
      </w:r>
      <w:r>
        <w:rPr>
          <w:rFonts w:ascii="Arial" w:hAnsi="Arial"/>
          <w:b/>
        </w:rPr>
        <w:t>de</w:t>
      </w:r>
      <w:r>
        <w:rPr>
          <w:rFonts w:ascii="Arial" w:hAnsi="Arial"/>
          <w:b/>
          <w:spacing w:val="-3"/>
        </w:rPr>
        <w:t xml:space="preserve"> </w:t>
      </w:r>
      <w:r>
        <w:rPr>
          <w:rFonts w:ascii="Arial" w:hAnsi="Arial"/>
          <w:b/>
        </w:rPr>
        <w:t>São</w:t>
      </w:r>
      <w:r>
        <w:rPr>
          <w:rFonts w:ascii="Arial" w:hAnsi="Arial"/>
          <w:b/>
          <w:spacing w:val="-5"/>
        </w:rPr>
        <w:t xml:space="preserve"> </w:t>
      </w:r>
      <w:r>
        <w:rPr>
          <w:rFonts w:ascii="Arial" w:hAnsi="Arial"/>
          <w:b/>
          <w:spacing w:val="-2"/>
        </w:rPr>
        <w:t>Luís.</w:t>
      </w:r>
    </w:p>
    <w:p w:rsidR="00972CE3" w:rsidRDefault="00972CE3">
      <w:pPr>
        <w:pStyle w:val="Corpodetexto"/>
        <w:ind w:left="1969"/>
        <w:rPr>
          <w:rFonts w:ascii="Arial"/>
          <w:sz w:val="20"/>
        </w:rPr>
      </w:pPr>
      <w:r w:rsidRPr="00972CE3">
        <w:rPr>
          <w:rFonts w:ascii="Arial"/>
          <w:sz w:val="20"/>
        </w:rPr>
      </w:r>
      <w:r>
        <w:rPr>
          <w:rFonts w:ascii="Arial"/>
          <w:sz w:val="20"/>
        </w:rPr>
        <w:pict>
          <v:group id="docshapegroup14" o:spid="_x0000_s1038" style="width:271.1pt;height:4in;mso-position-horizontal-relative:char;mso-position-vertical-relative:line" coordsize="5422,5760">
            <v:shape id="docshape15" o:spid="_x0000_s1045" type="#_x0000_t75" style="position:absolute;width:5422;height:5760">
              <v:imagedata r:id="rId16" o:title=""/>
            </v:shape>
            <v:shapetype id="_x0000_t202" coordsize="21600,21600" o:spt="202" path="m,l,21600r21600,l21600,xe">
              <v:stroke joinstyle="miter"/>
              <v:path gradientshapeok="t" o:connecttype="rect"/>
            </v:shapetype>
            <v:shape id="docshape16" o:spid="_x0000_s1044" type="#_x0000_t202" style="position:absolute;left:2844;top:3918;width:702;height:314" fillcolor="yellow" stroked="f">
              <v:textbox inset="0,0,0,0">
                <w:txbxContent>
                  <w:p w:rsidR="00972CE3" w:rsidRDefault="001F20D2">
                    <w:pPr>
                      <w:spacing w:before="71"/>
                      <w:ind w:left="155"/>
                      <w:rPr>
                        <w:rFonts w:ascii="Calibri"/>
                        <w:b/>
                        <w:color w:val="000000"/>
                        <w:sz w:val="16"/>
                      </w:rPr>
                    </w:pPr>
                    <w:r>
                      <w:rPr>
                        <w:rFonts w:ascii="Calibri"/>
                        <w:b/>
                        <w:color w:val="000000"/>
                        <w:sz w:val="16"/>
                      </w:rPr>
                      <w:t xml:space="preserve">ZEIS </w:t>
                    </w:r>
                    <w:r>
                      <w:rPr>
                        <w:rFonts w:ascii="Calibri"/>
                        <w:b/>
                        <w:color w:val="000000"/>
                        <w:spacing w:val="-10"/>
                        <w:sz w:val="16"/>
                      </w:rPr>
                      <w:t>1</w:t>
                    </w:r>
                  </w:p>
                </w:txbxContent>
              </v:textbox>
            </v:shape>
            <v:shape id="docshape17" o:spid="_x0000_s1043" type="#_x0000_t202" style="position:absolute;left:949;top:3709;width:731;height:306" fillcolor="yellow" stroked="f">
              <v:textbox inset="0,0,0,0">
                <w:txbxContent>
                  <w:p w:rsidR="00972CE3" w:rsidRDefault="001F20D2">
                    <w:pPr>
                      <w:spacing w:before="72"/>
                      <w:ind w:left="177"/>
                      <w:rPr>
                        <w:rFonts w:ascii="Calibri"/>
                        <w:b/>
                        <w:color w:val="000000"/>
                        <w:sz w:val="16"/>
                      </w:rPr>
                    </w:pPr>
                    <w:r>
                      <w:rPr>
                        <w:rFonts w:ascii="Calibri"/>
                        <w:b/>
                        <w:color w:val="000000"/>
                        <w:sz w:val="16"/>
                      </w:rPr>
                      <w:t>ZAC</w:t>
                    </w:r>
                    <w:r>
                      <w:rPr>
                        <w:rFonts w:ascii="Calibri"/>
                        <w:b/>
                        <w:color w:val="000000"/>
                        <w:spacing w:val="-2"/>
                        <w:sz w:val="16"/>
                      </w:rPr>
                      <w:t xml:space="preserve"> </w:t>
                    </w:r>
                    <w:r>
                      <w:rPr>
                        <w:rFonts w:ascii="Calibri"/>
                        <w:b/>
                        <w:color w:val="000000"/>
                        <w:spacing w:val="-10"/>
                        <w:sz w:val="16"/>
                      </w:rPr>
                      <w:t>4</w:t>
                    </w:r>
                  </w:p>
                </w:txbxContent>
              </v:textbox>
            </v:shape>
            <v:shape id="docshape18" o:spid="_x0000_s1042" type="#_x0000_t202" style="position:absolute;left:2904;top:2925;width:730;height:314" fillcolor="yellow" stroked="f">
              <v:textbox inset="0,0,0,0">
                <w:txbxContent>
                  <w:p w:rsidR="00972CE3" w:rsidRDefault="001F20D2">
                    <w:pPr>
                      <w:spacing w:before="73"/>
                      <w:ind w:left="178"/>
                      <w:rPr>
                        <w:rFonts w:ascii="Calibri"/>
                        <w:b/>
                        <w:color w:val="000000"/>
                        <w:sz w:val="16"/>
                      </w:rPr>
                    </w:pPr>
                    <w:r>
                      <w:rPr>
                        <w:rFonts w:ascii="Calibri"/>
                        <w:b/>
                        <w:color w:val="000000"/>
                        <w:sz w:val="16"/>
                      </w:rPr>
                      <w:t>ZAC</w:t>
                    </w:r>
                    <w:r>
                      <w:rPr>
                        <w:rFonts w:ascii="Calibri"/>
                        <w:b/>
                        <w:color w:val="000000"/>
                        <w:spacing w:val="-2"/>
                        <w:sz w:val="16"/>
                      </w:rPr>
                      <w:t xml:space="preserve"> </w:t>
                    </w:r>
                    <w:r>
                      <w:rPr>
                        <w:rFonts w:ascii="Calibri"/>
                        <w:b/>
                        <w:color w:val="000000"/>
                        <w:spacing w:val="-10"/>
                        <w:sz w:val="16"/>
                      </w:rPr>
                      <w:t>2</w:t>
                    </w:r>
                  </w:p>
                </w:txbxContent>
              </v:textbox>
            </v:shape>
            <v:shape id="docshape19" o:spid="_x0000_s1041" type="#_x0000_t202" style="position:absolute;left:4276;top:2671;width:687;height:314" fillcolor="yellow" stroked="f">
              <v:textbox inset="0,0,0,0">
                <w:txbxContent>
                  <w:p w:rsidR="00972CE3" w:rsidRDefault="001F20D2">
                    <w:pPr>
                      <w:spacing w:before="73"/>
                      <w:ind w:left="158"/>
                      <w:rPr>
                        <w:rFonts w:ascii="Calibri"/>
                        <w:b/>
                        <w:color w:val="000000"/>
                        <w:sz w:val="16"/>
                      </w:rPr>
                    </w:pPr>
                    <w:r>
                      <w:rPr>
                        <w:rFonts w:ascii="Calibri"/>
                        <w:b/>
                        <w:color w:val="000000"/>
                        <w:sz w:val="16"/>
                      </w:rPr>
                      <w:t>ZAC</w:t>
                    </w:r>
                    <w:r>
                      <w:rPr>
                        <w:rFonts w:ascii="Calibri"/>
                        <w:b/>
                        <w:color w:val="000000"/>
                        <w:spacing w:val="-2"/>
                        <w:sz w:val="16"/>
                      </w:rPr>
                      <w:t xml:space="preserve"> </w:t>
                    </w:r>
                    <w:r>
                      <w:rPr>
                        <w:rFonts w:ascii="Calibri"/>
                        <w:b/>
                        <w:color w:val="000000"/>
                        <w:spacing w:val="-10"/>
                        <w:sz w:val="16"/>
                      </w:rPr>
                      <w:t>3</w:t>
                    </w:r>
                  </w:p>
                </w:txbxContent>
              </v:textbox>
            </v:shape>
            <v:shape id="docshape20" o:spid="_x0000_s1040" type="#_x0000_t202" style="position:absolute;left:1860;top:1889;width:583;height:343" fillcolor="yellow" stroked="f">
              <v:textbox inset="0,0,0,0">
                <w:txbxContent>
                  <w:p w:rsidR="00972CE3" w:rsidRDefault="001F20D2">
                    <w:pPr>
                      <w:spacing w:before="72"/>
                      <w:ind w:left="161"/>
                      <w:rPr>
                        <w:rFonts w:ascii="Calibri"/>
                        <w:b/>
                        <w:color w:val="000000"/>
                        <w:sz w:val="16"/>
                      </w:rPr>
                    </w:pPr>
                    <w:r>
                      <w:rPr>
                        <w:rFonts w:ascii="Calibri"/>
                        <w:b/>
                        <w:color w:val="000000"/>
                        <w:spacing w:val="-5"/>
                        <w:sz w:val="16"/>
                      </w:rPr>
                      <w:t>ZPH</w:t>
                    </w:r>
                  </w:p>
                </w:txbxContent>
              </v:textbox>
            </v:shape>
            <v:shape id="docshape21" o:spid="_x0000_s1039" type="#_x0000_t202" style="position:absolute;left:3634;top:1254;width:710;height:314" fillcolor="yellow" stroked="f">
              <v:textbox inset="0,0,0,0">
                <w:txbxContent>
                  <w:p w:rsidR="00972CE3" w:rsidRDefault="001F20D2">
                    <w:pPr>
                      <w:spacing w:before="73"/>
                      <w:ind w:left="168"/>
                      <w:rPr>
                        <w:rFonts w:ascii="Calibri"/>
                        <w:b/>
                        <w:color w:val="000000"/>
                        <w:sz w:val="16"/>
                      </w:rPr>
                    </w:pPr>
                    <w:r>
                      <w:rPr>
                        <w:rFonts w:ascii="Calibri"/>
                        <w:b/>
                        <w:color w:val="000000"/>
                        <w:sz w:val="16"/>
                      </w:rPr>
                      <w:t>ZAC</w:t>
                    </w:r>
                    <w:r>
                      <w:rPr>
                        <w:rFonts w:ascii="Calibri"/>
                        <w:b/>
                        <w:color w:val="000000"/>
                        <w:spacing w:val="-2"/>
                        <w:sz w:val="16"/>
                      </w:rPr>
                      <w:t xml:space="preserve"> </w:t>
                    </w:r>
                    <w:r>
                      <w:rPr>
                        <w:rFonts w:ascii="Calibri"/>
                        <w:b/>
                        <w:color w:val="000000"/>
                        <w:spacing w:val="-10"/>
                        <w:sz w:val="16"/>
                      </w:rPr>
                      <w:t>1</w:t>
                    </w:r>
                  </w:p>
                </w:txbxContent>
              </v:textbox>
            </v:shape>
            <w10:wrap type="none"/>
            <w10:anchorlock/>
          </v:group>
        </w:pict>
      </w:r>
    </w:p>
    <w:p w:rsidR="00972CE3" w:rsidRDefault="001F20D2">
      <w:pPr>
        <w:spacing w:before="28"/>
        <w:ind w:left="15" w:right="17"/>
        <w:jc w:val="center"/>
        <w:rPr>
          <w:sz w:val="20"/>
        </w:rPr>
      </w:pPr>
      <w:r>
        <w:rPr>
          <w:rFonts w:ascii="Arial" w:hAnsi="Arial"/>
          <w:b/>
          <w:sz w:val="20"/>
        </w:rPr>
        <w:t>Fonte:</w:t>
      </w:r>
      <w:r>
        <w:rPr>
          <w:rFonts w:ascii="Arial" w:hAnsi="Arial"/>
          <w:b/>
          <w:spacing w:val="-8"/>
          <w:sz w:val="20"/>
        </w:rPr>
        <w:t xml:space="preserve"> </w:t>
      </w:r>
      <w:r>
        <w:rPr>
          <w:sz w:val="20"/>
        </w:rPr>
        <w:t>São</w:t>
      </w:r>
      <w:r>
        <w:rPr>
          <w:spacing w:val="-6"/>
          <w:sz w:val="20"/>
        </w:rPr>
        <w:t xml:space="preserve"> </w:t>
      </w:r>
      <w:r>
        <w:rPr>
          <w:sz w:val="20"/>
        </w:rPr>
        <w:t>Luís,</w:t>
      </w:r>
      <w:r>
        <w:rPr>
          <w:spacing w:val="-6"/>
          <w:sz w:val="20"/>
        </w:rPr>
        <w:t xml:space="preserve"> </w:t>
      </w:r>
      <w:r>
        <w:rPr>
          <w:spacing w:val="-4"/>
          <w:sz w:val="20"/>
        </w:rPr>
        <w:t>2025</w:t>
      </w:r>
    </w:p>
    <w:p w:rsidR="00972CE3" w:rsidRDefault="00972CE3">
      <w:pPr>
        <w:jc w:val="center"/>
        <w:rPr>
          <w:sz w:val="20"/>
        </w:rPr>
        <w:sectPr w:rsidR="00972CE3">
          <w:pgSz w:w="11910" w:h="16840"/>
          <w:pgMar w:top="1920" w:right="992" w:bottom="280" w:left="1559" w:header="720" w:footer="720" w:gutter="0"/>
          <w:cols w:space="720"/>
        </w:sectPr>
      </w:pPr>
    </w:p>
    <w:p w:rsidR="00972CE3" w:rsidRDefault="001F20D2">
      <w:pPr>
        <w:pStyle w:val="Corpodetexto"/>
        <w:rPr>
          <w:sz w:val="22"/>
        </w:rPr>
      </w:pPr>
      <w:r>
        <w:rPr>
          <w:noProof/>
          <w:sz w:val="22"/>
          <w:lang w:val="pt-BR" w:eastAsia="pt-BR"/>
        </w:rPr>
        <w:lastRenderedPageBreak/>
        <w:drawing>
          <wp:anchor distT="0" distB="0" distL="0" distR="0" simplePos="0" relativeHeight="486941696" behindDoc="1" locked="0" layoutInCell="1" allowOverlap="1">
            <wp:simplePos x="0" y="0"/>
            <wp:positionH relativeFrom="page">
              <wp:posOffset>0</wp:posOffset>
            </wp:positionH>
            <wp:positionV relativeFrom="page">
              <wp:posOffset>6982</wp:posOffset>
            </wp:positionV>
            <wp:extent cx="7562088" cy="1048327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rPr>
          <w:sz w:val="22"/>
        </w:rPr>
      </w:pPr>
    </w:p>
    <w:p w:rsidR="00972CE3" w:rsidRDefault="00972CE3">
      <w:pPr>
        <w:pStyle w:val="Corpodetexto"/>
        <w:rPr>
          <w:sz w:val="22"/>
        </w:rPr>
      </w:pPr>
    </w:p>
    <w:p w:rsidR="00972CE3" w:rsidRDefault="00972CE3">
      <w:pPr>
        <w:pStyle w:val="Corpodetexto"/>
        <w:rPr>
          <w:sz w:val="22"/>
        </w:rPr>
      </w:pPr>
    </w:p>
    <w:p w:rsidR="00972CE3" w:rsidRDefault="00972CE3">
      <w:pPr>
        <w:pStyle w:val="Corpodetexto"/>
        <w:rPr>
          <w:sz w:val="22"/>
        </w:rPr>
      </w:pPr>
    </w:p>
    <w:p w:rsidR="00972CE3" w:rsidRDefault="00972CE3">
      <w:pPr>
        <w:pStyle w:val="Corpodetexto"/>
        <w:spacing w:before="237"/>
        <w:rPr>
          <w:sz w:val="22"/>
        </w:rPr>
      </w:pPr>
    </w:p>
    <w:p w:rsidR="00972CE3" w:rsidRDefault="001F20D2">
      <w:pPr>
        <w:ind w:left="8" w:right="5"/>
        <w:jc w:val="center"/>
      </w:pPr>
      <w:r>
        <w:rPr>
          <w:rFonts w:ascii="Arial"/>
          <w:b/>
        </w:rPr>
        <w:t>Tabela</w:t>
      </w:r>
      <w:r>
        <w:rPr>
          <w:rFonts w:ascii="Arial"/>
          <w:b/>
          <w:spacing w:val="-4"/>
        </w:rPr>
        <w:t xml:space="preserve"> </w:t>
      </w:r>
      <w:r>
        <w:rPr>
          <w:rFonts w:ascii="Arial"/>
          <w:b/>
        </w:rPr>
        <w:t>1:</w:t>
      </w:r>
      <w:r>
        <w:rPr>
          <w:rFonts w:ascii="Arial"/>
          <w:b/>
          <w:spacing w:val="-1"/>
        </w:rPr>
        <w:t xml:space="preserve"> </w:t>
      </w:r>
      <w:r>
        <w:t>Zonas</w:t>
      </w:r>
      <w:r>
        <w:rPr>
          <w:spacing w:val="-5"/>
        </w:rPr>
        <w:t xml:space="preserve"> </w:t>
      </w:r>
      <w:r>
        <w:t>e</w:t>
      </w:r>
      <w:r>
        <w:rPr>
          <w:spacing w:val="-6"/>
        </w:rPr>
        <w:t xml:space="preserve"> </w:t>
      </w:r>
      <w:r>
        <w:t>Taxas</w:t>
      </w:r>
      <w:r>
        <w:rPr>
          <w:spacing w:val="-1"/>
        </w:rPr>
        <w:t xml:space="preserve"> </w:t>
      </w:r>
      <w:r>
        <w:t>do</w:t>
      </w:r>
      <w:r>
        <w:rPr>
          <w:spacing w:val="-3"/>
        </w:rPr>
        <w:t xml:space="preserve"> </w:t>
      </w:r>
      <w:r>
        <w:t>Centro</w:t>
      </w:r>
      <w:r>
        <w:rPr>
          <w:spacing w:val="-5"/>
        </w:rPr>
        <w:t xml:space="preserve"> </w:t>
      </w:r>
      <w:r>
        <w:rPr>
          <w:spacing w:val="-2"/>
        </w:rPr>
        <w:t>Antigo</w:t>
      </w:r>
    </w:p>
    <w:tbl>
      <w:tblPr>
        <w:tblStyle w:val="TableNormal"/>
        <w:tblW w:w="0" w:type="auto"/>
        <w:tblInd w:w="82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1195"/>
        <w:gridCol w:w="1136"/>
        <w:gridCol w:w="1669"/>
        <w:gridCol w:w="1450"/>
        <w:gridCol w:w="1134"/>
        <w:gridCol w:w="1136"/>
      </w:tblGrid>
      <w:tr w:rsidR="00972CE3">
        <w:trPr>
          <w:trHeight w:val="210"/>
        </w:trPr>
        <w:tc>
          <w:tcPr>
            <w:tcW w:w="2331" w:type="dxa"/>
            <w:gridSpan w:val="2"/>
            <w:vMerge w:val="restart"/>
            <w:tcBorders>
              <w:left w:val="single" w:sz="4" w:space="0" w:color="000000"/>
              <w:right w:val="single" w:sz="4" w:space="0" w:color="000000"/>
            </w:tcBorders>
          </w:tcPr>
          <w:p w:rsidR="00972CE3" w:rsidRDefault="001F20D2">
            <w:pPr>
              <w:pStyle w:val="TableParagraph"/>
              <w:spacing w:before="111" w:line="240" w:lineRule="auto"/>
              <w:ind w:left="0" w:right="99"/>
              <w:rPr>
                <w:rFonts w:ascii="Arial"/>
                <w:b/>
                <w:sz w:val="20"/>
              </w:rPr>
            </w:pPr>
            <w:r>
              <w:rPr>
                <w:rFonts w:ascii="Arial"/>
                <w:b/>
                <w:spacing w:val="-2"/>
                <w:sz w:val="20"/>
              </w:rPr>
              <w:t>Zonas</w:t>
            </w:r>
          </w:p>
        </w:tc>
        <w:tc>
          <w:tcPr>
            <w:tcW w:w="1669" w:type="dxa"/>
            <w:vMerge w:val="restart"/>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226" w:lineRule="exact"/>
              <w:ind w:left="148"/>
              <w:jc w:val="left"/>
              <w:rPr>
                <w:rFonts w:ascii="Arial" w:hAnsi="Arial"/>
                <w:b/>
                <w:sz w:val="20"/>
              </w:rPr>
            </w:pPr>
            <w:r>
              <w:rPr>
                <w:rFonts w:ascii="Arial" w:hAnsi="Arial"/>
                <w:b/>
                <w:sz w:val="20"/>
              </w:rPr>
              <w:t>Altura</w:t>
            </w:r>
            <w:r>
              <w:rPr>
                <w:rFonts w:ascii="Arial" w:hAnsi="Arial"/>
                <w:b/>
                <w:spacing w:val="-8"/>
                <w:sz w:val="20"/>
              </w:rPr>
              <w:t xml:space="preserve"> </w:t>
            </w:r>
            <w:r>
              <w:rPr>
                <w:rFonts w:ascii="Arial" w:hAnsi="Arial"/>
                <w:b/>
                <w:spacing w:val="-2"/>
                <w:sz w:val="20"/>
              </w:rPr>
              <w:t>Máxima</w:t>
            </w:r>
          </w:p>
          <w:p w:rsidR="00972CE3" w:rsidRDefault="001F20D2">
            <w:pPr>
              <w:pStyle w:val="TableParagraph"/>
              <w:spacing w:line="220" w:lineRule="exact"/>
              <w:ind w:left="186"/>
              <w:jc w:val="left"/>
              <w:rPr>
                <w:rFonts w:ascii="Arial" w:hAnsi="Arial"/>
                <w:b/>
                <w:sz w:val="20"/>
              </w:rPr>
            </w:pPr>
            <w:r>
              <w:rPr>
                <w:rFonts w:ascii="Arial" w:hAnsi="Arial"/>
                <w:b/>
                <w:sz w:val="20"/>
              </w:rPr>
              <w:t>da</w:t>
            </w:r>
            <w:r>
              <w:rPr>
                <w:rFonts w:ascii="Arial" w:hAnsi="Arial"/>
                <w:b/>
                <w:spacing w:val="-4"/>
                <w:sz w:val="20"/>
              </w:rPr>
              <w:t xml:space="preserve"> </w:t>
            </w:r>
            <w:r>
              <w:rPr>
                <w:rFonts w:ascii="Arial" w:hAnsi="Arial"/>
                <w:b/>
                <w:spacing w:val="-2"/>
                <w:sz w:val="20"/>
              </w:rPr>
              <w:t>Edificação</w:t>
            </w:r>
          </w:p>
        </w:tc>
        <w:tc>
          <w:tcPr>
            <w:tcW w:w="1450" w:type="dxa"/>
            <w:vMerge w:val="restart"/>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226" w:lineRule="exact"/>
              <w:ind w:left="16" w:right="4"/>
              <w:rPr>
                <w:rFonts w:ascii="Arial"/>
                <w:b/>
                <w:sz w:val="20"/>
              </w:rPr>
            </w:pPr>
            <w:r>
              <w:rPr>
                <w:rFonts w:ascii="Arial"/>
                <w:b/>
                <w:sz w:val="20"/>
              </w:rPr>
              <w:t>Taxa</w:t>
            </w:r>
            <w:r>
              <w:rPr>
                <w:rFonts w:ascii="Arial"/>
                <w:b/>
                <w:spacing w:val="-5"/>
                <w:sz w:val="20"/>
              </w:rPr>
              <w:t xml:space="preserve"> de</w:t>
            </w:r>
          </w:p>
          <w:p w:rsidR="00972CE3" w:rsidRDefault="001F20D2">
            <w:pPr>
              <w:pStyle w:val="TableParagraph"/>
              <w:spacing w:line="220" w:lineRule="exact"/>
              <w:ind w:left="16" w:right="14"/>
              <w:rPr>
                <w:rFonts w:ascii="Arial" w:hAnsi="Arial"/>
                <w:b/>
                <w:sz w:val="20"/>
              </w:rPr>
            </w:pPr>
            <w:r>
              <w:rPr>
                <w:rFonts w:ascii="Arial" w:hAnsi="Arial"/>
                <w:b/>
                <w:spacing w:val="-2"/>
                <w:sz w:val="20"/>
              </w:rPr>
              <w:t>Ocupação</w:t>
            </w:r>
          </w:p>
        </w:tc>
        <w:tc>
          <w:tcPr>
            <w:tcW w:w="2270" w:type="dxa"/>
            <w:gridSpan w:val="2"/>
            <w:tcBorders>
              <w:left w:val="single" w:sz="4" w:space="0" w:color="000000"/>
              <w:right w:val="single" w:sz="4" w:space="0" w:color="000000"/>
            </w:tcBorders>
          </w:tcPr>
          <w:p w:rsidR="00972CE3" w:rsidRDefault="001F20D2">
            <w:pPr>
              <w:pStyle w:val="TableParagraph"/>
              <w:spacing w:line="191" w:lineRule="exact"/>
              <w:ind w:left="476"/>
              <w:jc w:val="left"/>
              <w:rPr>
                <w:rFonts w:ascii="Arial"/>
                <w:b/>
                <w:sz w:val="20"/>
              </w:rPr>
            </w:pPr>
            <w:r>
              <w:rPr>
                <w:rFonts w:ascii="Arial"/>
                <w:b/>
                <w:spacing w:val="-2"/>
                <w:sz w:val="20"/>
              </w:rPr>
              <w:t>Parcelamento</w:t>
            </w:r>
          </w:p>
        </w:tc>
      </w:tr>
      <w:tr w:rsidR="00972CE3">
        <w:trPr>
          <w:trHeight w:val="210"/>
        </w:trPr>
        <w:tc>
          <w:tcPr>
            <w:tcW w:w="2331" w:type="dxa"/>
            <w:gridSpan w:val="2"/>
            <w:vMerge/>
            <w:tcBorders>
              <w:top w:val="nil"/>
              <w:left w:val="single" w:sz="4" w:space="0" w:color="000000"/>
              <w:right w:val="single" w:sz="4" w:space="0" w:color="000000"/>
            </w:tcBorders>
          </w:tcPr>
          <w:p w:rsidR="00972CE3" w:rsidRDefault="00972CE3">
            <w:pPr>
              <w:rPr>
                <w:sz w:val="2"/>
                <w:szCs w:val="2"/>
              </w:rPr>
            </w:pPr>
          </w:p>
        </w:tc>
        <w:tc>
          <w:tcPr>
            <w:tcW w:w="1669" w:type="dxa"/>
            <w:vMerge/>
            <w:tcBorders>
              <w:top w:val="nil"/>
              <w:left w:val="single" w:sz="4" w:space="0" w:color="000000"/>
              <w:bottom w:val="single" w:sz="18" w:space="0" w:color="FFFFFF"/>
              <w:right w:val="single" w:sz="4" w:space="0" w:color="000000"/>
            </w:tcBorders>
          </w:tcPr>
          <w:p w:rsidR="00972CE3" w:rsidRDefault="00972CE3">
            <w:pPr>
              <w:rPr>
                <w:sz w:val="2"/>
                <w:szCs w:val="2"/>
              </w:rPr>
            </w:pPr>
          </w:p>
        </w:tc>
        <w:tc>
          <w:tcPr>
            <w:tcW w:w="1450" w:type="dxa"/>
            <w:vMerge/>
            <w:tcBorders>
              <w:top w:val="nil"/>
              <w:left w:val="single" w:sz="4" w:space="0" w:color="000000"/>
              <w:bottom w:val="single" w:sz="18" w:space="0" w:color="FFFFFF"/>
              <w:right w:val="single" w:sz="4" w:space="0" w:color="000000"/>
            </w:tcBorders>
          </w:tcPr>
          <w:p w:rsidR="00972CE3" w:rsidRDefault="00972CE3">
            <w:pPr>
              <w:rPr>
                <w:sz w:val="2"/>
                <w:szCs w:val="2"/>
              </w:rPr>
            </w:pPr>
          </w:p>
        </w:tc>
        <w:tc>
          <w:tcPr>
            <w:tcW w:w="1134" w:type="dxa"/>
            <w:tcBorders>
              <w:left w:val="single" w:sz="4" w:space="0" w:color="000000"/>
              <w:right w:val="single" w:sz="4" w:space="0" w:color="000000"/>
            </w:tcBorders>
          </w:tcPr>
          <w:p w:rsidR="00972CE3" w:rsidRDefault="001F20D2">
            <w:pPr>
              <w:pStyle w:val="TableParagraph"/>
              <w:spacing w:line="191" w:lineRule="exact"/>
              <w:ind w:left="54"/>
              <w:rPr>
                <w:rFonts w:ascii="Arial"/>
                <w:b/>
                <w:sz w:val="20"/>
              </w:rPr>
            </w:pPr>
            <w:r>
              <w:rPr>
                <w:rFonts w:ascii="Arial"/>
                <w:b/>
                <w:spacing w:val="-2"/>
                <w:sz w:val="20"/>
              </w:rPr>
              <w:t>Frente</w:t>
            </w:r>
          </w:p>
        </w:tc>
        <w:tc>
          <w:tcPr>
            <w:tcW w:w="1136" w:type="dxa"/>
            <w:tcBorders>
              <w:left w:val="single" w:sz="4" w:space="0" w:color="000000"/>
              <w:right w:val="single" w:sz="4" w:space="0" w:color="000000"/>
            </w:tcBorders>
          </w:tcPr>
          <w:p w:rsidR="00972CE3" w:rsidRDefault="001F20D2">
            <w:pPr>
              <w:pStyle w:val="TableParagraph"/>
              <w:spacing w:line="191" w:lineRule="exact"/>
              <w:ind w:left="10" w:right="10"/>
              <w:rPr>
                <w:rFonts w:ascii="Arial" w:hAnsi="Arial"/>
                <w:b/>
                <w:sz w:val="20"/>
              </w:rPr>
            </w:pPr>
            <w:r>
              <w:rPr>
                <w:rFonts w:ascii="Arial" w:hAnsi="Arial"/>
                <w:b/>
                <w:spacing w:val="-4"/>
                <w:sz w:val="20"/>
              </w:rPr>
              <w:t>Área</w:t>
            </w:r>
          </w:p>
        </w:tc>
      </w:tr>
      <w:tr w:rsidR="00972CE3">
        <w:trPr>
          <w:trHeight w:val="216"/>
        </w:trPr>
        <w:tc>
          <w:tcPr>
            <w:tcW w:w="1195" w:type="dxa"/>
            <w:vMerge w:val="restart"/>
            <w:tcBorders>
              <w:left w:val="single" w:sz="4" w:space="0" w:color="000000"/>
              <w:bottom w:val="single" w:sz="4" w:space="0" w:color="000000"/>
              <w:right w:val="single" w:sz="4" w:space="0" w:color="000000"/>
            </w:tcBorders>
          </w:tcPr>
          <w:p w:rsidR="00972CE3" w:rsidRDefault="00972CE3">
            <w:pPr>
              <w:pStyle w:val="TableParagraph"/>
              <w:spacing w:line="240" w:lineRule="auto"/>
              <w:ind w:left="0"/>
              <w:jc w:val="left"/>
              <w:rPr>
                <w:sz w:val="20"/>
              </w:rPr>
            </w:pPr>
          </w:p>
          <w:p w:rsidR="00972CE3" w:rsidRDefault="00972CE3">
            <w:pPr>
              <w:pStyle w:val="TableParagraph"/>
              <w:spacing w:before="64" w:line="240" w:lineRule="auto"/>
              <w:ind w:left="0"/>
              <w:jc w:val="left"/>
              <w:rPr>
                <w:sz w:val="20"/>
              </w:rPr>
            </w:pPr>
          </w:p>
          <w:p w:rsidR="00972CE3" w:rsidRDefault="001F20D2">
            <w:pPr>
              <w:pStyle w:val="TableParagraph"/>
              <w:spacing w:line="240" w:lineRule="auto"/>
              <w:ind w:left="208" w:right="164" w:hanging="34"/>
              <w:jc w:val="left"/>
              <w:rPr>
                <w:rFonts w:ascii="Arial"/>
                <w:b/>
                <w:sz w:val="20"/>
              </w:rPr>
            </w:pPr>
            <w:r>
              <w:rPr>
                <w:rFonts w:ascii="Arial"/>
                <w:b/>
                <w:spacing w:val="-2"/>
                <w:sz w:val="20"/>
              </w:rPr>
              <w:t>CENTRO ANTIGO</w:t>
            </w:r>
          </w:p>
        </w:tc>
        <w:tc>
          <w:tcPr>
            <w:tcW w:w="1136" w:type="dxa"/>
            <w:tcBorders>
              <w:left w:val="single" w:sz="4" w:space="0" w:color="000000"/>
              <w:right w:val="single" w:sz="4" w:space="0" w:color="000000"/>
            </w:tcBorders>
          </w:tcPr>
          <w:p w:rsidR="00972CE3" w:rsidRDefault="001F20D2">
            <w:pPr>
              <w:pStyle w:val="TableParagraph"/>
              <w:spacing w:line="197" w:lineRule="exact"/>
              <w:ind w:left="10" w:right="8"/>
              <w:rPr>
                <w:sz w:val="20"/>
              </w:rPr>
            </w:pPr>
            <w:r>
              <w:rPr>
                <w:spacing w:val="-5"/>
                <w:sz w:val="20"/>
              </w:rPr>
              <w:t>ZPH</w:t>
            </w:r>
          </w:p>
        </w:tc>
        <w:tc>
          <w:tcPr>
            <w:tcW w:w="1669" w:type="dxa"/>
            <w:tcBorders>
              <w:top w:val="single" w:sz="18" w:space="0" w:color="FFFFFF"/>
              <w:left w:val="single" w:sz="4" w:space="0" w:color="000000"/>
              <w:right w:val="single" w:sz="4" w:space="0" w:color="000000"/>
            </w:tcBorders>
          </w:tcPr>
          <w:p w:rsidR="00972CE3" w:rsidRDefault="001F20D2">
            <w:pPr>
              <w:pStyle w:val="TableParagraph"/>
              <w:spacing w:line="197" w:lineRule="exact"/>
              <w:ind w:left="3" w:right="2"/>
              <w:rPr>
                <w:sz w:val="20"/>
              </w:rPr>
            </w:pPr>
            <w:r>
              <w:rPr>
                <w:spacing w:val="-5"/>
                <w:sz w:val="20"/>
              </w:rPr>
              <w:t>AFC</w:t>
            </w:r>
          </w:p>
        </w:tc>
        <w:tc>
          <w:tcPr>
            <w:tcW w:w="1450" w:type="dxa"/>
            <w:tcBorders>
              <w:top w:val="single" w:sz="18" w:space="0" w:color="FFFFFF"/>
              <w:left w:val="single" w:sz="4" w:space="0" w:color="000000"/>
              <w:right w:val="single" w:sz="4" w:space="0" w:color="000000"/>
            </w:tcBorders>
          </w:tcPr>
          <w:p w:rsidR="00972CE3" w:rsidRDefault="001F20D2">
            <w:pPr>
              <w:pStyle w:val="TableParagraph"/>
              <w:spacing w:line="197" w:lineRule="exact"/>
              <w:ind w:left="16" w:right="5"/>
              <w:rPr>
                <w:sz w:val="20"/>
              </w:rPr>
            </w:pPr>
            <w:r>
              <w:rPr>
                <w:spacing w:val="-5"/>
                <w:sz w:val="20"/>
              </w:rPr>
              <w:t>80%</w:t>
            </w:r>
          </w:p>
        </w:tc>
        <w:tc>
          <w:tcPr>
            <w:tcW w:w="1134" w:type="dxa"/>
            <w:tcBorders>
              <w:left w:val="single" w:sz="4" w:space="0" w:color="000000"/>
              <w:right w:val="single" w:sz="4" w:space="0" w:color="000000"/>
            </w:tcBorders>
          </w:tcPr>
          <w:p w:rsidR="00972CE3" w:rsidRDefault="001F20D2">
            <w:pPr>
              <w:pStyle w:val="TableParagraph"/>
              <w:spacing w:line="197" w:lineRule="exact"/>
              <w:ind w:left="54" w:right="51"/>
              <w:rPr>
                <w:sz w:val="20"/>
              </w:rPr>
            </w:pPr>
            <w:r>
              <w:rPr>
                <w:spacing w:val="-5"/>
                <w:sz w:val="20"/>
              </w:rPr>
              <w:t>5m</w:t>
            </w:r>
          </w:p>
        </w:tc>
        <w:tc>
          <w:tcPr>
            <w:tcW w:w="1136" w:type="dxa"/>
            <w:tcBorders>
              <w:left w:val="single" w:sz="4" w:space="0" w:color="000000"/>
              <w:right w:val="single" w:sz="4" w:space="0" w:color="000000"/>
            </w:tcBorders>
          </w:tcPr>
          <w:p w:rsidR="00972CE3" w:rsidRDefault="001F20D2">
            <w:pPr>
              <w:pStyle w:val="TableParagraph"/>
              <w:spacing w:line="197" w:lineRule="exact"/>
              <w:ind w:left="10" w:right="6"/>
              <w:rPr>
                <w:sz w:val="20"/>
              </w:rPr>
            </w:pPr>
            <w:r>
              <w:rPr>
                <w:spacing w:val="-4"/>
                <w:sz w:val="20"/>
              </w:rPr>
              <w:t>80m²</w:t>
            </w:r>
          </w:p>
        </w:tc>
      </w:tr>
      <w:tr w:rsidR="00972CE3">
        <w:trPr>
          <w:trHeight w:val="226"/>
        </w:trPr>
        <w:tc>
          <w:tcPr>
            <w:tcW w:w="1195" w:type="dxa"/>
            <w:vMerge/>
            <w:tcBorders>
              <w:top w:val="nil"/>
              <w:left w:val="single" w:sz="4" w:space="0" w:color="000000"/>
              <w:bottom w:val="single" w:sz="4" w:space="0" w:color="000000"/>
              <w:right w:val="single" w:sz="4" w:space="0" w:color="000000"/>
            </w:tcBorders>
          </w:tcPr>
          <w:p w:rsidR="00972CE3" w:rsidRDefault="00972CE3">
            <w:pPr>
              <w:rPr>
                <w:sz w:val="2"/>
                <w:szCs w:val="2"/>
              </w:rPr>
            </w:pPr>
          </w:p>
        </w:tc>
        <w:tc>
          <w:tcPr>
            <w:tcW w:w="1136" w:type="dxa"/>
            <w:tcBorders>
              <w:left w:val="single" w:sz="4" w:space="0" w:color="000000"/>
              <w:right w:val="single" w:sz="4" w:space="0" w:color="000000"/>
            </w:tcBorders>
          </w:tcPr>
          <w:p w:rsidR="00972CE3" w:rsidRDefault="001F20D2">
            <w:pPr>
              <w:pStyle w:val="TableParagraph"/>
              <w:spacing w:line="206" w:lineRule="exact"/>
              <w:ind w:left="10" w:right="5"/>
              <w:rPr>
                <w:sz w:val="20"/>
              </w:rPr>
            </w:pPr>
            <w:r>
              <w:rPr>
                <w:sz w:val="20"/>
              </w:rPr>
              <w:t>ZAC</w:t>
            </w:r>
            <w:r>
              <w:rPr>
                <w:spacing w:val="-6"/>
                <w:sz w:val="20"/>
              </w:rPr>
              <w:t xml:space="preserve"> </w:t>
            </w:r>
            <w:r>
              <w:rPr>
                <w:spacing w:val="-10"/>
                <w:sz w:val="20"/>
              </w:rPr>
              <w:t>1</w:t>
            </w:r>
          </w:p>
        </w:tc>
        <w:tc>
          <w:tcPr>
            <w:tcW w:w="1669" w:type="dxa"/>
            <w:tcBorders>
              <w:left w:val="single" w:sz="4" w:space="0" w:color="000000"/>
              <w:right w:val="single" w:sz="4" w:space="0" w:color="000000"/>
            </w:tcBorders>
          </w:tcPr>
          <w:p w:rsidR="00972CE3" w:rsidRDefault="001F20D2">
            <w:pPr>
              <w:pStyle w:val="TableParagraph"/>
              <w:spacing w:line="206" w:lineRule="exact"/>
              <w:ind w:left="3" w:right="4"/>
              <w:rPr>
                <w:sz w:val="20"/>
              </w:rPr>
            </w:pPr>
            <w:r>
              <w:rPr>
                <w:spacing w:val="-5"/>
                <w:sz w:val="20"/>
              </w:rPr>
              <w:t>11m</w:t>
            </w:r>
          </w:p>
        </w:tc>
        <w:tc>
          <w:tcPr>
            <w:tcW w:w="1450" w:type="dxa"/>
            <w:tcBorders>
              <w:left w:val="single" w:sz="4" w:space="0" w:color="000000"/>
              <w:right w:val="single" w:sz="4" w:space="0" w:color="000000"/>
            </w:tcBorders>
          </w:tcPr>
          <w:p w:rsidR="00972CE3" w:rsidRDefault="001F20D2">
            <w:pPr>
              <w:pStyle w:val="TableParagraph"/>
              <w:spacing w:line="206" w:lineRule="exact"/>
              <w:ind w:left="16" w:right="5"/>
              <w:rPr>
                <w:sz w:val="20"/>
              </w:rPr>
            </w:pPr>
            <w:r>
              <w:rPr>
                <w:spacing w:val="-5"/>
                <w:sz w:val="20"/>
              </w:rPr>
              <w:t>75%</w:t>
            </w:r>
          </w:p>
        </w:tc>
        <w:tc>
          <w:tcPr>
            <w:tcW w:w="1134" w:type="dxa"/>
            <w:tcBorders>
              <w:left w:val="single" w:sz="4" w:space="0" w:color="000000"/>
              <w:right w:val="single" w:sz="4" w:space="0" w:color="000000"/>
            </w:tcBorders>
          </w:tcPr>
          <w:p w:rsidR="00972CE3" w:rsidRDefault="001F20D2">
            <w:pPr>
              <w:pStyle w:val="TableParagraph"/>
              <w:spacing w:line="206" w:lineRule="exact"/>
              <w:ind w:left="54" w:right="51"/>
              <w:rPr>
                <w:sz w:val="20"/>
              </w:rPr>
            </w:pPr>
            <w:r>
              <w:rPr>
                <w:spacing w:val="-5"/>
                <w:sz w:val="20"/>
              </w:rPr>
              <w:t>5m</w:t>
            </w:r>
          </w:p>
        </w:tc>
        <w:tc>
          <w:tcPr>
            <w:tcW w:w="1136" w:type="dxa"/>
            <w:tcBorders>
              <w:left w:val="single" w:sz="4" w:space="0" w:color="000000"/>
              <w:right w:val="single" w:sz="4" w:space="0" w:color="000000"/>
            </w:tcBorders>
          </w:tcPr>
          <w:p w:rsidR="00972CE3" w:rsidRDefault="001F20D2">
            <w:pPr>
              <w:pStyle w:val="TableParagraph"/>
              <w:spacing w:line="206" w:lineRule="exact"/>
              <w:ind w:left="10" w:right="6"/>
              <w:rPr>
                <w:sz w:val="20"/>
              </w:rPr>
            </w:pPr>
            <w:r>
              <w:rPr>
                <w:spacing w:val="-4"/>
                <w:sz w:val="20"/>
              </w:rPr>
              <w:t>80m²</w:t>
            </w:r>
          </w:p>
        </w:tc>
      </w:tr>
      <w:tr w:rsidR="00972CE3">
        <w:trPr>
          <w:trHeight w:val="224"/>
        </w:trPr>
        <w:tc>
          <w:tcPr>
            <w:tcW w:w="1195" w:type="dxa"/>
            <w:vMerge/>
            <w:tcBorders>
              <w:top w:val="nil"/>
              <w:left w:val="single" w:sz="4" w:space="0" w:color="000000"/>
              <w:bottom w:val="single" w:sz="4" w:space="0" w:color="000000"/>
              <w:right w:val="single" w:sz="4" w:space="0" w:color="000000"/>
            </w:tcBorders>
          </w:tcPr>
          <w:p w:rsidR="00972CE3" w:rsidRDefault="00972CE3">
            <w:pPr>
              <w:rPr>
                <w:sz w:val="2"/>
                <w:szCs w:val="2"/>
              </w:rPr>
            </w:pPr>
          </w:p>
        </w:tc>
        <w:tc>
          <w:tcPr>
            <w:tcW w:w="1136" w:type="dxa"/>
            <w:tcBorders>
              <w:left w:val="single" w:sz="4" w:space="0" w:color="000000"/>
              <w:right w:val="single" w:sz="4" w:space="0" w:color="000000"/>
            </w:tcBorders>
          </w:tcPr>
          <w:p w:rsidR="00972CE3" w:rsidRDefault="001F20D2">
            <w:pPr>
              <w:pStyle w:val="TableParagraph"/>
              <w:ind w:left="10" w:right="5"/>
              <w:rPr>
                <w:sz w:val="20"/>
              </w:rPr>
            </w:pPr>
            <w:r>
              <w:rPr>
                <w:sz w:val="20"/>
              </w:rPr>
              <w:t>ZAC</w:t>
            </w:r>
            <w:r>
              <w:rPr>
                <w:spacing w:val="-6"/>
                <w:sz w:val="20"/>
              </w:rPr>
              <w:t xml:space="preserve"> </w:t>
            </w:r>
            <w:r>
              <w:rPr>
                <w:spacing w:val="-10"/>
                <w:sz w:val="20"/>
              </w:rPr>
              <w:t>2</w:t>
            </w:r>
          </w:p>
        </w:tc>
        <w:tc>
          <w:tcPr>
            <w:tcW w:w="1669" w:type="dxa"/>
            <w:tcBorders>
              <w:left w:val="single" w:sz="4" w:space="0" w:color="000000"/>
              <w:right w:val="single" w:sz="4" w:space="0" w:color="000000"/>
            </w:tcBorders>
          </w:tcPr>
          <w:p w:rsidR="00972CE3" w:rsidRDefault="001F20D2">
            <w:pPr>
              <w:pStyle w:val="TableParagraph"/>
              <w:ind w:left="3" w:right="3"/>
              <w:rPr>
                <w:sz w:val="20"/>
              </w:rPr>
            </w:pPr>
            <w:r>
              <w:rPr>
                <w:sz w:val="20"/>
              </w:rPr>
              <w:t>24m</w:t>
            </w:r>
            <w:r>
              <w:rPr>
                <w:spacing w:val="1"/>
                <w:sz w:val="20"/>
              </w:rPr>
              <w:t xml:space="preserve"> </w:t>
            </w:r>
            <w:r>
              <w:rPr>
                <w:sz w:val="20"/>
              </w:rPr>
              <w:t>/</w:t>
            </w:r>
            <w:r>
              <w:rPr>
                <w:spacing w:val="-4"/>
                <w:sz w:val="20"/>
              </w:rPr>
              <w:t xml:space="preserve"> 8pav</w:t>
            </w:r>
          </w:p>
        </w:tc>
        <w:tc>
          <w:tcPr>
            <w:tcW w:w="1450" w:type="dxa"/>
            <w:tcBorders>
              <w:left w:val="single" w:sz="4" w:space="0" w:color="000000"/>
              <w:right w:val="single" w:sz="4" w:space="0" w:color="000000"/>
            </w:tcBorders>
          </w:tcPr>
          <w:p w:rsidR="00972CE3" w:rsidRDefault="001F20D2">
            <w:pPr>
              <w:pStyle w:val="TableParagraph"/>
              <w:ind w:left="16" w:right="5"/>
              <w:rPr>
                <w:sz w:val="20"/>
              </w:rPr>
            </w:pPr>
            <w:r>
              <w:rPr>
                <w:spacing w:val="-5"/>
                <w:sz w:val="20"/>
              </w:rPr>
              <w:t>60%</w:t>
            </w:r>
          </w:p>
        </w:tc>
        <w:tc>
          <w:tcPr>
            <w:tcW w:w="1134" w:type="dxa"/>
            <w:tcBorders>
              <w:left w:val="single" w:sz="4" w:space="0" w:color="000000"/>
              <w:right w:val="single" w:sz="4" w:space="0" w:color="000000"/>
            </w:tcBorders>
          </w:tcPr>
          <w:p w:rsidR="00972CE3" w:rsidRDefault="001F20D2">
            <w:pPr>
              <w:pStyle w:val="TableParagraph"/>
              <w:ind w:left="54" w:right="51"/>
              <w:rPr>
                <w:sz w:val="20"/>
              </w:rPr>
            </w:pPr>
            <w:r>
              <w:rPr>
                <w:spacing w:val="-5"/>
                <w:sz w:val="20"/>
              </w:rPr>
              <w:t>5m</w:t>
            </w:r>
          </w:p>
        </w:tc>
        <w:tc>
          <w:tcPr>
            <w:tcW w:w="1136" w:type="dxa"/>
            <w:tcBorders>
              <w:left w:val="single" w:sz="4" w:space="0" w:color="000000"/>
              <w:right w:val="single" w:sz="4" w:space="0" w:color="000000"/>
            </w:tcBorders>
          </w:tcPr>
          <w:p w:rsidR="00972CE3" w:rsidRDefault="001F20D2">
            <w:pPr>
              <w:pStyle w:val="TableParagraph"/>
              <w:ind w:left="10" w:right="6"/>
              <w:rPr>
                <w:sz w:val="20"/>
              </w:rPr>
            </w:pPr>
            <w:r>
              <w:rPr>
                <w:spacing w:val="-2"/>
                <w:sz w:val="20"/>
              </w:rPr>
              <w:t>250m²</w:t>
            </w:r>
          </w:p>
        </w:tc>
      </w:tr>
      <w:tr w:rsidR="00972CE3">
        <w:trPr>
          <w:trHeight w:val="221"/>
        </w:trPr>
        <w:tc>
          <w:tcPr>
            <w:tcW w:w="1195" w:type="dxa"/>
            <w:vMerge/>
            <w:tcBorders>
              <w:top w:val="nil"/>
              <w:left w:val="single" w:sz="4" w:space="0" w:color="000000"/>
              <w:bottom w:val="single" w:sz="4" w:space="0" w:color="000000"/>
              <w:right w:val="single" w:sz="4" w:space="0" w:color="000000"/>
            </w:tcBorders>
          </w:tcPr>
          <w:p w:rsidR="00972CE3" w:rsidRDefault="00972CE3">
            <w:pPr>
              <w:rPr>
                <w:sz w:val="2"/>
                <w:szCs w:val="2"/>
              </w:rPr>
            </w:pPr>
          </w:p>
        </w:tc>
        <w:tc>
          <w:tcPr>
            <w:tcW w:w="1136" w:type="dxa"/>
            <w:tcBorders>
              <w:left w:val="single" w:sz="4" w:space="0" w:color="000000"/>
              <w:bottom w:val="single" w:sz="18" w:space="0" w:color="FFFFFF"/>
              <w:right w:val="single" w:sz="4" w:space="0" w:color="000000"/>
            </w:tcBorders>
          </w:tcPr>
          <w:p w:rsidR="00972CE3" w:rsidRDefault="001F20D2">
            <w:pPr>
              <w:pStyle w:val="TableParagraph"/>
              <w:spacing w:line="202" w:lineRule="exact"/>
              <w:ind w:left="10" w:right="5"/>
              <w:rPr>
                <w:sz w:val="20"/>
              </w:rPr>
            </w:pPr>
            <w:r>
              <w:rPr>
                <w:sz w:val="20"/>
              </w:rPr>
              <w:t>ZAC</w:t>
            </w:r>
            <w:r>
              <w:rPr>
                <w:spacing w:val="-6"/>
                <w:sz w:val="20"/>
              </w:rPr>
              <w:t xml:space="preserve"> </w:t>
            </w:r>
            <w:r>
              <w:rPr>
                <w:spacing w:val="-10"/>
                <w:sz w:val="20"/>
              </w:rPr>
              <w:t>3</w:t>
            </w:r>
          </w:p>
        </w:tc>
        <w:tc>
          <w:tcPr>
            <w:tcW w:w="1669" w:type="dxa"/>
            <w:tcBorders>
              <w:left w:val="single" w:sz="4" w:space="0" w:color="000000"/>
              <w:bottom w:val="single" w:sz="18" w:space="0" w:color="FFFFFF"/>
              <w:right w:val="single" w:sz="4" w:space="0" w:color="000000"/>
            </w:tcBorders>
          </w:tcPr>
          <w:p w:rsidR="00972CE3" w:rsidRDefault="001F20D2">
            <w:pPr>
              <w:pStyle w:val="TableParagraph"/>
              <w:spacing w:line="202" w:lineRule="exact"/>
              <w:ind w:left="3" w:right="2"/>
              <w:rPr>
                <w:sz w:val="20"/>
              </w:rPr>
            </w:pPr>
            <w:r>
              <w:rPr>
                <w:sz w:val="20"/>
              </w:rPr>
              <w:t>42m</w:t>
            </w:r>
            <w:r>
              <w:rPr>
                <w:spacing w:val="1"/>
                <w:sz w:val="20"/>
              </w:rPr>
              <w:t xml:space="preserve"> </w:t>
            </w:r>
            <w:r>
              <w:rPr>
                <w:sz w:val="20"/>
              </w:rPr>
              <w:t>/</w:t>
            </w:r>
            <w:r>
              <w:rPr>
                <w:spacing w:val="-4"/>
                <w:sz w:val="20"/>
              </w:rPr>
              <w:t xml:space="preserve"> </w:t>
            </w:r>
            <w:r>
              <w:rPr>
                <w:spacing w:val="-2"/>
                <w:sz w:val="20"/>
              </w:rPr>
              <w:t>11pav</w:t>
            </w:r>
          </w:p>
        </w:tc>
        <w:tc>
          <w:tcPr>
            <w:tcW w:w="1450" w:type="dxa"/>
            <w:tcBorders>
              <w:left w:val="single" w:sz="4" w:space="0" w:color="000000"/>
              <w:bottom w:val="single" w:sz="18" w:space="0" w:color="FFFFFF"/>
              <w:right w:val="single" w:sz="4" w:space="0" w:color="000000"/>
            </w:tcBorders>
          </w:tcPr>
          <w:p w:rsidR="00972CE3" w:rsidRDefault="001F20D2">
            <w:pPr>
              <w:pStyle w:val="TableParagraph"/>
              <w:spacing w:line="202" w:lineRule="exact"/>
              <w:ind w:left="16" w:right="5"/>
              <w:rPr>
                <w:sz w:val="20"/>
              </w:rPr>
            </w:pPr>
            <w:r>
              <w:rPr>
                <w:spacing w:val="-5"/>
                <w:sz w:val="20"/>
              </w:rPr>
              <w:t>60%</w:t>
            </w:r>
          </w:p>
        </w:tc>
        <w:tc>
          <w:tcPr>
            <w:tcW w:w="1134" w:type="dxa"/>
            <w:tcBorders>
              <w:left w:val="single" w:sz="4" w:space="0" w:color="000000"/>
              <w:bottom w:val="single" w:sz="18" w:space="0" w:color="FFFFFF"/>
              <w:right w:val="single" w:sz="4" w:space="0" w:color="000000"/>
            </w:tcBorders>
          </w:tcPr>
          <w:p w:rsidR="00972CE3" w:rsidRDefault="001F20D2">
            <w:pPr>
              <w:pStyle w:val="TableParagraph"/>
              <w:spacing w:line="202" w:lineRule="exact"/>
              <w:ind w:left="54" w:right="51"/>
              <w:rPr>
                <w:sz w:val="20"/>
              </w:rPr>
            </w:pPr>
            <w:r>
              <w:rPr>
                <w:spacing w:val="-5"/>
                <w:sz w:val="20"/>
              </w:rPr>
              <w:t>5m</w:t>
            </w:r>
          </w:p>
        </w:tc>
        <w:tc>
          <w:tcPr>
            <w:tcW w:w="1136" w:type="dxa"/>
            <w:tcBorders>
              <w:left w:val="single" w:sz="4" w:space="0" w:color="000000"/>
              <w:bottom w:val="single" w:sz="18" w:space="0" w:color="FFFFFF"/>
              <w:right w:val="single" w:sz="4" w:space="0" w:color="000000"/>
            </w:tcBorders>
          </w:tcPr>
          <w:p w:rsidR="00972CE3" w:rsidRDefault="001F20D2">
            <w:pPr>
              <w:pStyle w:val="TableParagraph"/>
              <w:spacing w:line="202" w:lineRule="exact"/>
              <w:ind w:left="10" w:right="6"/>
              <w:rPr>
                <w:sz w:val="20"/>
              </w:rPr>
            </w:pPr>
            <w:r>
              <w:rPr>
                <w:spacing w:val="-2"/>
                <w:sz w:val="20"/>
              </w:rPr>
              <w:t>125m²</w:t>
            </w:r>
          </w:p>
        </w:tc>
      </w:tr>
      <w:tr w:rsidR="00972CE3">
        <w:trPr>
          <w:trHeight w:val="217"/>
        </w:trPr>
        <w:tc>
          <w:tcPr>
            <w:tcW w:w="1195" w:type="dxa"/>
            <w:vMerge/>
            <w:tcBorders>
              <w:top w:val="nil"/>
              <w:left w:val="single" w:sz="4" w:space="0" w:color="000000"/>
              <w:bottom w:val="single" w:sz="4" w:space="0" w:color="000000"/>
              <w:right w:val="single" w:sz="4" w:space="0" w:color="000000"/>
            </w:tcBorders>
          </w:tcPr>
          <w:p w:rsidR="00972CE3" w:rsidRDefault="00972CE3">
            <w:pPr>
              <w:rPr>
                <w:sz w:val="2"/>
                <w:szCs w:val="2"/>
              </w:rPr>
            </w:pPr>
          </w:p>
        </w:tc>
        <w:tc>
          <w:tcPr>
            <w:tcW w:w="1136" w:type="dxa"/>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198" w:lineRule="exact"/>
              <w:ind w:left="10" w:right="5"/>
              <w:rPr>
                <w:sz w:val="20"/>
              </w:rPr>
            </w:pPr>
            <w:r>
              <w:rPr>
                <w:sz w:val="20"/>
              </w:rPr>
              <w:t>ZAC</w:t>
            </w:r>
            <w:r>
              <w:rPr>
                <w:spacing w:val="-6"/>
                <w:sz w:val="20"/>
              </w:rPr>
              <w:t xml:space="preserve"> </w:t>
            </w:r>
            <w:r>
              <w:rPr>
                <w:spacing w:val="-10"/>
                <w:sz w:val="20"/>
              </w:rPr>
              <w:t>4</w:t>
            </w:r>
          </w:p>
        </w:tc>
        <w:tc>
          <w:tcPr>
            <w:tcW w:w="1669" w:type="dxa"/>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198" w:lineRule="exact"/>
              <w:ind w:left="3" w:right="4"/>
              <w:rPr>
                <w:sz w:val="20"/>
              </w:rPr>
            </w:pPr>
            <w:r>
              <w:rPr>
                <w:spacing w:val="-5"/>
                <w:sz w:val="20"/>
              </w:rPr>
              <w:t>7m</w:t>
            </w:r>
          </w:p>
        </w:tc>
        <w:tc>
          <w:tcPr>
            <w:tcW w:w="1450" w:type="dxa"/>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198" w:lineRule="exact"/>
              <w:ind w:left="16" w:right="5"/>
              <w:rPr>
                <w:sz w:val="20"/>
              </w:rPr>
            </w:pPr>
            <w:r>
              <w:rPr>
                <w:spacing w:val="-5"/>
                <w:sz w:val="20"/>
              </w:rPr>
              <w:t>10%</w:t>
            </w:r>
          </w:p>
        </w:tc>
        <w:tc>
          <w:tcPr>
            <w:tcW w:w="1134" w:type="dxa"/>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198" w:lineRule="exact"/>
              <w:ind w:left="54" w:right="52"/>
              <w:rPr>
                <w:sz w:val="20"/>
              </w:rPr>
            </w:pPr>
            <w:r>
              <w:rPr>
                <w:spacing w:val="-5"/>
                <w:sz w:val="20"/>
              </w:rPr>
              <w:t>N/A</w:t>
            </w:r>
          </w:p>
        </w:tc>
        <w:tc>
          <w:tcPr>
            <w:tcW w:w="1136" w:type="dxa"/>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198" w:lineRule="exact"/>
              <w:ind w:left="10" w:right="10"/>
              <w:rPr>
                <w:sz w:val="20"/>
              </w:rPr>
            </w:pPr>
            <w:r>
              <w:rPr>
                <w:spacing w:val="-5"/>
                <w:sz w:val="20"/>
              </w:rPr>
              <w:t>N/A</w:t>
            </w:r>
          </w:p>
        </w:tc>
      </w:tr>
      <w:tr w:rsidR="00972CE3">
        <w:trPr>
          <w:trHeight w:val="246"/>
        </w:trPr>
        <w:tc>
          <w:tcPr>
            <w:tcW w:w="1195" w:type="dxa"/>
            <w:vMerge/>
            <w:tcBorders>
              <w:top w:val="nil"/>
              <w:left w:val="single" w:sz="4" w:space="0" w:color="000000"/>
              <w:bottom w:val="single" w:sz="4" w:space="0" w:color="000000"/>
              <w:right w:val="single" w:sz="4" w:space="0" w:color="000000"/>
            </w:tcBorders>
          </w:tcPr>
          <w:p w:rsidR="00972CE3" w:rsidRDefault="00972CE3">
            <w:pPr>
              <w:rPr>
                <w:sz w:val="2"/>
                <w:szCs w:val="2"/>
              </w:rPr>
            </w:pPr>
          </w:p>
        </w:tc>
        <w:tc>
          <w:tcPr>
            <w:tcW w:w="1136" w:type="dxa"/>
            <w:tcBorders>
              <w:top w:val="single" w:sz="18" w:space="0" w:color="FFFFFF"/>
              <w:left w:val="single" w:sz="4" w:space="0" w:color="000000"/>
              <w:bottom w:val="single" w:sz="4" w:space="0" w:color="000000"/>
              <w:right w:val="single" w:sz="4" w:space="0" w:color="000000"/>
            </w:tcBorders>
          </w:tcPr>
          <w:p w:rsidR="00972CE3" w:rsidRDefault="001F20D2">
            <w:pPr>
              <w:pStyle w:val="TableParagraph"/>
              <w:spacing w:line="226" w:lineRule="exact"/>
              <w:ind w:left="10"/>
            </w:pPr>
            <w:r>
              <w:t>ZEIS</w:t>
            </w:r>
            <w:r>
              <w:rPr>
                <w:spacing w:val="-2"/>
              </w:rPr>
              <w:t xml:space="preserve"> </w:t>
            </w:r>
            <w:r>
              <w:rPr>
                <w:spacing w:val="-10"/>
              </w:rPr>
              <w:t>1</w:t>
            </w:r>
          </w:p>
        </w:tc>
        <w:tc>
          <w:tcPr>
            <w:tcW w:w="1669" w:type="dxa"/>
            <w:tcBorders>
              <w:top w:val="single" w:sz="18" w:space="0" w:color="FFFFFF"/>
              <w:left w:val="single" w:sz="4" w:space="0" w:color="000000"/>
              <w:bottom w:val="single" w:sz="4" w:space="0" w:color="000000"/>
              <w:right w:val="single" w:sz="4" w:space="0" w:color="000000"/>
            </w:tcBorders>
          </w:tcPr>
          <w:p w:rsidR="00972CE3" w:rsidRDefault="001F20D2">
            <w:pPr>
              <w:pStyle w:val="TableParagraph"/>
              <w:spacing w:line="226" w:lineRule="exact"/>
              <w:ind w:left="4" w:right="1"/>
            </w:pPr>
            <w:r>
              <w:t>11m</w:t>
            </w:r>
            <w:r>
              <w:rPr>
                <w:spacing w:val="-2"/>
              </w:rPr>
              <w:t xml:space="preserve"> </w:t>
            </w:r>
            <w:r>
              <w:t>/</w:t>
            </w:r>
            <w:r>
              <w:rPr>
                <w:spacing w:val="2"/>
              </w:rPr>
              <w:t xml:space="preserve"> </w:t>
            </w:r>
            <w:r>
              <w:rPr>
                <w:spacing w:val="-4"/>
              </w:rPr>
              <w:t>4pav</w:t>
            </w:r>
          </w:p>
        </w:tc>
        <w:tc>
          <w:tcPr>
            <w:tcW w:w="1450" w:type="dxa"/>
            <w:tcBorders>
              <w:top w:val="single" w:sz="18" w:space="0" w:color="FFFFFF"/>
              <w:left w:val="single" w:sz="4" w:space="0" w:color="000000"/>
              <w:bottom w:val="single" w:sz="4" w:space="0" w:color="000000"/>
              <w:right w:val="single" w:sz="4" w:space="0" w:color="000000"/>
            </w:tcBorders>
          </w:tcPr>
          <w:p w:rsidR="00972CE3" w:rsidRDefault="001F20D2">
            <w:pPr>
              <w:pStyle w:val="TableParagraph"/>
              <w:spacing w:line="226" w:lineRule="exact"/>
              <w:ind w:left="16"/>
            </w:pPr>
            <w:r>
              <w:rPr>
                <w:spacing w:val="-5"/>
              </w:rPr>
              <w:t>70%</w:t>
            </w:r>
          </w:p>
        </w:tc>
        <w:tc>
          <w:tcPr>
            <w:tcW w:w="1134" w:type="dxa"/>
            <w:tcBorders>
              <w:top w:val="single" w:sz="18" w:space="0" w:color="FFFFFF"/>
              <w:left w:val="single" w:sz="4" w:space="0" w:color="000000"/>
              <w:bottom w:val="single" w:sz="4" w:space="0" w:color="000000"/>
              <w:right w:val="single" w:sz="4" w:space="0" w:color="000000"/>
            </w:tcBorders>
          </w:tcPr>
          <w:p w:rsidR="00972CE3" w:rsidRDefault="001F20D2">
            <w:pPr>
              <w:pStyle w:val="TableParagraph"/>
              <w:spacing w:line="226" w:lineRule="exact"/>
              <w:ind w:left="54" w:right="49"/>
            </w:pPr>
            <w:r>
              <w:rPr>
                <w:spacing w:val="-5"/>
              </w:rPr>
              <w:t>5m</w:t>
            </w:r>
          </w:p>
        </w:tc>
        <w:tc>
          <w:tcPr>
            <w:tcW w:w="1136" w:type="dxa"/>
            <w:tcBorders>
              <w:top w:val="single" w:sz="18" w:space="0" w:color="FFFFFF"/>
              <w:left w:val="single" w:sz="4" w:space="0" w:color="000000"/>
              <w:bottom w:val="single" w:sz="4" w:space="0" w:color="000000"/>
              <w:right w:val="single" w:sz="4" w:space="0" w:color="000000"/>
            </w:tcBorders>
          </w:tcPr>
          <w:p w:rsidR="00972CE3" w:rsidRDefault="001F20D2">
            <w:pPr>
              <w:pStyle w:val="TableParagraph"/>
              <w:spacing w:line="226" w:lineRule="exact"/>
              <w:ind w:left="10" w:right="6"/>
            </w:pPr>
            <w:r>
              <w:rPr>
                <w:spacing w:val="-2"/>
              </w:rPr>
              <w:t>125m²</w:t>
            </w:r>
          </w:p>
        </w:tc>
      </w:tr>
    </w:tbl>
    <w:p w:rsidR="00972CE3" w:rsidRDefault="001F20D2">
      <w:pPr>
        <w:ind w:left="726" w:right="17"/>
        <w:jc w:val="center"/>
        <w:rPr>
          <w:sz w:val="20"/>
        </w:rPr>
      </w:pPr>
      <w:r>
        <w:rPr>
          <w:rFonts w:ascii="Arial" w:hAnsi="Arial"/>
          <w:b/>
          <w:sz w:val="20"/>
        </w:rPr>
        <w:t>Fonte:</w:t>
      </w:r>
      <w:r>
        <w:rPr>
          <w:rFonts w:ascii="Arial" w:hAnsi="Arial"/>
          <w:b/>
          <w:spacing w:val="-8"/>
          <w:sz w:val="20"/>
        </w:rPr>
        <w:t xml:space="preserve"> </w:t>
      </w:r>
      <w:r>
        <w:rPr>
          <w:sz w:val="20"/>
        </w:rPr>
        <w:t>São</w:t>
      </w:r>
      <w:r>
        <w:rPr>
          <w:spacing w:val="-6"/>
          <w:sz w:val="20"/>
        </w:rPr>
        <w:t xml:space="preserve"> </w:t>
      </w:r>
      <w:r>
        <w:rPr>
          <w:sz w:val="20"/>
        </w:rPr>
        <w:t>Luís,</w:t>
      </w:r>
      <w:r>
        <w:rPr>
          <w:spacing w:val="-5"/>
          <w:sz w:val="20"/>
        </w:rPr>
        <w:t xml:space="preserve"> </w:t>
      </w:r>
      <w:r>
        <w:rPr>
          <w:spacing w:val="-4"/>
          <w:sz w:val="20"/>
        </w:rPr>
        <w:t>2025</w:t>
      </w:r>
    </w:p>
    <w:p w:rsidR="00972CE3" w:rsidRDefault="001F20D2">
      <w:pPr>
        <w:pStyle w:val="Corpodetexto"/>
        <w:spacing w:before="112" w:line="360" w:lineRule="auto"/>
        <w:ind w:left="143" w:right="133" w:firstLine="707"/>
        <w:jc w:val="both"/>
      </w:pPr>
      <w:r>
        <w:t>Outra é a proposta para o entorno dessa área, onde as posturas abrem a possibilidade de, em lotes com 5 metros de testada e áreas de 125 m² e 250m²,</w:t>
      </w:r>
      <w:r>
        <w:rPr>
          <w:spacing w:val="40"/>
        </w:rPr>
        <w:t xml:space="preserve"> </w:t>
      </w:r>
      <w:r>
        <w:t>erigir edificações com até 11 e oito pavimentos, respectivamente! Como o Coeficientes de Aproveitamento che</w:t>
      </w:r>
      <w:r>
        <w:t>ga a 3,6, em um lote de 125 m² na ZAC 3 e na ZEIS 1, a área de construção da edificação poderá chegar a 450 m². Em um</w:t>
      </w:r>
      <w:r>
        <w:rPr>
          <w:spacing w:val="40"/>
        </w:rPr>
        <w:t xml:space="preserve"> </w:t>
      </w:r>
      <w:r>
        <w:t>contexto urbano de ruas estreitas e predominância de moradias unifamiliares, pode- se imaginar os impactos sócio-espaciais da proposta.</w:t>
      </w:r>
    </w:p>
    <w:p w:rsidR="00972CE3" w:rsidRDefault="001F20D2">
      <w:pPr>
        <w:spacing w:line="252" w:lineRule="exact"/>
        <w:ind w:left="8" w:right="5"/>
        <w:jc w:val="center"/>
        <w:rPr>
          <w:rFonts w:ascii="Arial" w:hAnsi="Arial"/>
          <w:b/>
        </w:rPr>
      </w:pPr>
      <w:r>
        <w:rPr>
          <w:rFonts w:ascii="Arial" w:hAnsi="Arial"/>
          <w:b/>
        </w:rPr>
        <w:t>Figura</w:t>
      </w:r>
      <w:r>
        <w:rPr>
          <w:rFonts w:ascii="Arial" w:hAnsi="Arial"/>
          <w:b/>
          <w:spacing w:val="-4"/>
        </w:rPr>
        <w:t xml:space="preserve"> </w:t>
      </w:r>
      <w:r>
        <w:rPr>
          <w:rFonts w:ascii="Arial" w:hAnsi="Arial"/>
          <w:b/>
        </w:rPr>
        <w:t>6:</w:t>
      </w:r>
      <w:r>
        <w:rPr>
          <w:rFonts w:ascii="Arial" w:hAnsi="Arial"/>
          <w:b/>
          <w:spacing w:val="-2"/>
        </w:rPr>
        <w:t xml:space="preserve"> </w:t>
      </w:r>
      <w:r>
        <w:rPr>
          <w:rFonts w:ascii="Arial" w:hAnsi="Arial"/>
          <w:b/>
        </w:rPr>
        <w:t>Zoneamento</w:t>
      </w:r>
      <w:r>
        <w:rPr>
          <w:rFonts w:ascii="Arial" w:hAnsi="Arial"/>
          <w:b/>
          <w:spacing w:val="-8"/>
        </w:rPr>
        <w:t xml:space="preserve"> </w:t>
      </w:r>
      <w:r>
        <w:rPr>
          <w:rFonts w:ascii="Arial" w:hAnsi="Arial"/>
          <w:b/>
        </w:rPr>
        <w:t>da</w:t>
      </w:r>
      <w:r>
        <w:rPr>
          <w:rFonts w:ascii="Arial" w:hAnsi="Arial"/>
          <w:b/>
          <w:spacing w:val="-2"/>
        </w:rPr>
        <w:t xml:space="preserve"> </w:t>
      </w:r>
      <w:r>
        <w:rPr>
          <w:rFonts w:ascii="Arial" w:hAnsi="Arial"/>
          <w:b/>
        </w:rPr>
        <w:t>Área</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urbanização</w:t>
      </w:r>
      <w:r>
        <w:rPr>
          <w:rFonts w:ascii="Arial" w:hAnsi="Arial"/>
          <w:b/>
          <w:spacing w:val="-3"/>
        </w:rPr>
        <w:t xml:space="preserve"> </w:t>
      </w:r>
      <w:r>
        <w:rPr>
          <w:rFonts w:ascii="Arial" w:hAnsi="Arial"/>
          <w:b/>
          <w:spacing w:val="-2"/>
        </w:rPr>
        <w:t>Tradicional.</w:t>
      </w:r>
    </w:p>
    <w:p w:rsidR="00972CE3" w:rsidRDefault="00972CE3">
      <w:pPr>
        <w:pStyle w:val="Corpodetexto"/>
        <w:ind w:left="553"/>
        <w:rPr>
          <w:rFonts w:ascii="Arial"/>
          <w:sz w:val="20"/>
        </w:rPr>
      </w:pPr>
      <w:r w:rsidRPr="00972CE3">
        <w:rPr>
          <w:rFonts w:ascii="Arial"/>
          <w:sz w:val="20"/>
        </w:rPr>
      </w:r>
      <w:r>
        <w:rPr>
          <w:rFonts w:ascii="Arial"/>
          <w:sz w:val="20"/>
        </w:rPr>
        <w:pict>
          <v:group id="docshapegroup22" o:spid="_x0000_s1031" style="width:411.25pt;height:278.75pt;mso-position-horizontal-relative:char;mso-position-vertical-relative:line" coordsize="8225,5575">
            <v:shape id="docshape23" o:spid="_x0000_s1037" type="#_x0000_t75" style="position:absolute;width:8225;height:5575">
              <v:imagedata r:id="rId17" o:title=""/>
            </v:shape>
            <v:shape id="docshape24" o:spid="_x0000_s1036" type="#_x0000_t202" style="position:absolute;left:3061;top:1241;width:1017;height:223" filled="f" stroked="f">
              <v:textbox inset="0,0,0,0">
                <w:txbxContent>
                  <w:p w:rsidR="00972CE3" w:rsidRDefault="001F20D2">
                    <w:pPr>
                      <w:spacing w:line="223" w:lineRule="exact"/>
                      <w:rPr>
                        <w:rFonts w:ascii="Arial"/>
                        <w:b/>
                        <w:sz w:val="20"/>
                      </w:rPr>
                    </w:pPr>
                    <w:r>
                      <w:rPr>
                        <w:rFonts w:ascii="Arial"/>
                        <w:b/>
                        <w:color w:val="000000"/>
                        <w:spacing w:val="37"/>
                        <w:sz w:val="20"/>
                        <w:highlight w:val="yellow"/>
                      </w:rPr>
                      <w:t xml:space="preserve">  </w:t>
                    </w:r>
                    <w:r>
                      <w:rPr>
                        <w:rFonts w:ascii="Arial"/>
                        <w:b/>
                        <w:color w:val="000000"/>
                        <w:sz w:val="20"/>
                        <w:highlight w:val="yellow"/>
                      </w:rPr>
                      <w:t>ZEIS</w:t>
                    </w:r>
                    <w:r>
                      <w:rPr>
                        <w:rFonts w:ascii="Arial"/>
                        <w:b/>
                        <w:color w:val="000000"/>
                        <w:spacing w:val="-1"/>
                        <w:sz w:val="20"/>
                        <w:highlight w:val="yellow"/>
                      </w:rPr>
                      <w:t xml:space="preserve"> </w:t>
                    </w:r>
                    <w:r>
                      <w:rPr>
                        <w:rFonts w:ascii="Arial"/>
                        <w:b/>
                        <w:color w:val="000000"/>
                        <w:spacing w:val="-10"/>
                        <w:sz w:val="20"/>
                        <w:highlight w:val="yellow"/>
                      </w:rPr>
                      <w:t>1</w:t>
                    </w:r>
                    <w:r>
                      <w:rPr>
                        <w:rFonts w:ascii="Arial"/>
                        <w:b/>
                        <w:color w:val="000000"/>
                        <w:spacing w:val="80"/>
                        <w:sz w:val="20"/>
                        <w:highlight w:val="yellow"/>
                      </w:rPr>
                      <w:t xml:space="preserve"> </w:t>
                    </w:r>
                  </w:p>
                </w:txbxContent>
              </v:textbox>
            </v:shape>
            <v:shape id="docshape25" o:spid="_x0000_s1035" type="#_x0000_t202" style="position:absolute;left:1004;top:1692;width:728;height:223" filled="f" stroked="f">
              <v:textbox inset="0,0,0,0">
                <w:txbxContent>
                  <w:p w:rsidR="00972CE3" w:rsidRDefault="001F20D2">
                    <w:pPr>
                      <w:spacing w:line="223" w:lineRule="exact"/>
                      <w:rPr>
                        <w:rFonts w:ascii="Arial"/>
                        <w:b/>
                        <w:sz w:val="20"/>
                      </w:rPr>
                    </w:pPr>
                    <w:r>
                      <w:rPr>
                        <w:rFonts w:ascii="Arial"/>
                        <w:b/>
                        <w:color w:val="000000"/>
                        <w:spacing w:val="68"/>
                        <w:w w:val="150"/>
                        <w:sz w:val="20"/>
                        <w:highlight w:val="yellow"/>
                      </w:rPr>
                      <w:t xml:space="preserve"> </w:t>
                    </w:r>
                    <w:r>
                      <w:rPr>
                        <w:rFonts w:ascii="Arial"/>
                        <w:b/>
                        <w:color w:val="000000"/>
                        <w:spacing w:val="-5"/>
                        <w:sz w:val="20"/>
                        <w:highlight w:val="yellow"/>
                      </w:rPr>
                      <w:t>ZPH</w:t>
                    </w:r>
                    <w:r>
                      <w:rPr>
                        <w:rFonts w:ascii="Arial"/>
                        <w:b/>
                        <w:color w:val="000000"/>
                        <w:spacing w:val="80"/>
                        <w:sz w:val="20"/>
                        <w:highlight w:val="yellow"/>
                      </w:rPr>
                      <w:t xml:space="preserve"> </w:t>
                    </w:r>
                  </w:p>
                </w:txbxContent>
              </v:textbox>
            </v:shape>
            <v:shape id="docshape26" o:spid="_x0000_s1034" type="#_x0000_t202" style="position:absolute;left:3517;top:2466;width:938;height:223" filled="f" stroked="f">
              <v:textbox inset="0,0,0,0">
                <w:txbxContent>
                  <w:p w:rsidR="00972CE3" w:rsidRDefault="001F20D2">
                    <w:pPr>
                      <w:tabs>
                        <w:tab w:val="left" w:pos="917"/>
                      </w:tabs>
                      <w:spacing w:line="223" w:lineRule="exact"/>
                      <w:rPr>
                        <w:rFonts w:ascii="Arial"/>
                        <w:b/>
                        <w:sz w:val="20"/>
                      </w:rPr>
                    </w:pPr>
                    <w:r>
                      <w:rPr>
                        <w:rFonts w:ascii="Arial"/>
                        <w:b/>
                        <w:color w:val="000000"/>
                        <w:spacing w:val="45"/>
                        <w:sz w:val="20"/>
                        <w:highlight w:val="yellow"/>
                      </w:rPr>
                      <w:t xml:space="preserve">  </w:t>
                    </w:r>
                    <w:r>
                      <w:rPr>
                        <w:rFonts w:ascii="Arial"/>
                        <w:b/>
                        <w:color w:val="000000"/>
                        <w:spacing w:val="-4"/>
                        <w:sz w:val="20"/>
                        <w:highlight w:val="yellow"/>
                      </w:rPr>
                      <w:t>ZER2</w:t>
                    </w:r>
                    <w:r>
                      <w:rPr>
                        <w:rFonts w:ascii="Arial"/>
                        <w:b/>
                        <w:color w:val="000000"/>
                        <w:sz w:val="20"/>
                        <w:highlight w:val="yellow"/>
                      </w:rPr>
                      <w:tab/>
                    </w:r>
                  </w:p>
                </w:txbxContent>
              </v:textbox>
            </v:shape>
            <v:shape id="docshape27" o:spid="_x0000_s1033" type="#_x0000_t202" style="position:absolute;left:5783;top:2963;width:791;height:223" filled="f" stroked="f">
              <v:textbox inset="0,0,0,0">
                <w:txbxContent>
                  <w:p w:rsidR="00972CE3" w:rsidRDefault="001F20D2">
                    <w:pPr>
                      <w:spacing w:line="223" w:lineRule="exact"/>
                      <w:rPr>
                        <w:rFonts w:ascii="Arial"/>
                        <w:b/>
                        <w:sz w:val="20"/>
                      </w:rPr>
                    </w:pPr>
                    <w:r>
                      <w:rPr>
                        <w:rFonts w:ascii="Arial"/>
                        <w:b/>
                        <w:color w:val="000000"/>
                        <w:spacing w:val="37"/>
                        <w:sz w:val="20"/>
                        <w:highlight w:val="yellow"/>
                      </w:rPr>
                      <w:t xml:space="preserve">  </w:t>
                    </w:r>
                    <w:r>
                      <w:rPr>
                        <w:rFonts w:ascii="Arial"/>
                        <w:b/>
                        <w:color w:val="000000"/>
                        <w:spacing w:val="-5"/>
                        <w:sz w:val="20"/>
                        <w:highlight w:val="yellow"/>
                      </w:rPr>
                      <w:t>ZCS</w:t>
                    </w:r>
                    <w:r>
                      <w:rPr>
                        <w:rFonts w:ascii="Arial"/>
                        <w:b/>
                        <w:color w:val="000000"/>
                        <w:spacing w:val="80"/>
                        <w:sz w:val="20"/>
                        <w:highlight w:val="yellow"/>
                      </w:rPr>
                      <w:t xml:space="preserve"> </w:t>
                    </w:r>
                  </w:p>
                </w:txbxContent>
              </v:textbox>
            </v:shape>
            <v:shape id="docshape28" o:spid="_x0000_s1032" type="#_x0000_t202" style="position:absolute;left:2471;top:3642;width:920;height:361" fillcolor="yellow" stroked="f">
              <v:textbox inset="0,0,0,0">
                <w:txbxContent>
                  <w:p w:rsidR="00972CE3" w:rsidRDefault="001F20D2">
                    <w:pPr>
                      <w:spacing w:before="72"/>
                      <w:ind w:left="205"/>
                      <w:rPr>
                        <w:rFonts w:ascii="Arial"/>
                        <w:b/>
                        <w:color w:val="000000"/>
                        <w:sz w:val="20"/>
                      </w:rPr>
                    </w:pPr>
                    <w:r>
                      <w:rPr>
                        <w:rFonts w:ascii="Arial"/>
                        <w:b/>
                        <w:color w:val="000000"/>
                        <w:spacing w:val="-4"/>
                        <w:sz w:val="20"/>
                      </w:rPr>
                      <w:t>ZER3</w:t>
                    </w:r>
                  </w:p>
                </w:txbxContent>
              </v:textbox>
            </v:shape>
            <w10:wrap type="none"/>
            <w10:anchorlock/>
          </v:group>
        </w:pict>
      </w:r>
    </w:p>
    <w:p w:rsidR="00972CE3" w:rsidRDefault="001F20D2">
      <w:pPr>
        <w:spacing w:before="13"/>
        <w:ind w:left="15" w:right="17"/>
        <w:jc w:val="center"/>
        <w:rPr>
          <w:sz w:val="20"/>
        </w:rPr>
      </w:pPr>
      <w:r>
        <w:rPr>
          <w:rFonts w:ascii="Arial" w:hAnsi="Arial"/>
          <w:b/>
          <w:sz w:val="20"/>
        </w:rPr>
        <w:t>Fonte:</w:t>
      </w:r>
      <w:r>
        <w:rPr>
          <w:rFonts w:ascii="Arial" w:hAnsi="Arial"/>
          <w:b/>
          <w:spacing w:val="-8"/>
          <w:sz w:val="20"/>
        </w:rPr>
        <w:t xml:space="preserve"> </w:t>
      </w:r>
      <w:r>
        <w:rPr>
          <w:sz w:val="20"/>
        </w:rPr>
        <w:t>São</w:t>
      </w:r>
      <w:r>
        <w:rPr>
          <w:spacing w:val="-6"/>
          <w:sz w:val="20"/>
        </w:rPr>
        <w:t xml:space="preserve"> </w:t>
      </w:r>
      <w:r>
        <w:rPr>
          <w:sz w:val="20"/>
        </w:rPr>
        <w:t>Luís,</w:t>
      </w:r>
      <w:r>
        <w:rPr>
          <w:spacing w:val="-6"/>
          <w:sz w:val="20"/>
        </w:rPr>
        <w:t xml:space="preserve"> </w:t>
      </w:r>
      <w:r>
        <w:rPr>
          <w:spacing w:val="-4"/>
          <w:sz w:val="20"/>
        </w:rPr>
        <w:t>2025</w:t>
      </w:r>
    </w:p>
    <w:p w:rsidR="00972CE3" w:rsidRDefault="00972CE3">
      <w:pPr>
        <w:jc w:val="center"/>
        <w:rPr>
          <w:sz w:val="20"/>
        </w:rPr>
        <w:sectPr w:rsidR="00972CE3">
          <w:pgSz w:w="11910" w:h="16840"/>
          <w:pgMar w:top="1920" w:right="992" w:bottom="280" w:left="1559" w:header="720" w:footer="720" w:gutter="0"/>
          <w:cols w:space="720"/>
        </w:sectPr>
      </w:pPr>
    </w:p>
    <w:p w:rsidR="00972CE3" w:rsidRDefault="001F20D2">
      <w:pPr>
        <w:pStyle w:val="Corpodetexto"/>
        <w:rPr>
          <w:sz w:val="22"/>
        </w:rPr>
      </w:pPr>
      <w:r>
        <w:rPr>
          <w:noProof/>
          <w:sz w:val="22"/>
          <w:lang w:val="pt-BR" w:eastAsia="pt-BR"/>
        </w:rPr>
        <w:lastRenderedPageBreak/>
        <w:drawing>
          <wp:anchor distT="0" distB="0" distL="0" distR="0" simplePos="0" relativeHeight="486942208" behindDoc="1" locked="0" layoutInCell="1" allowOverlap="1">
            <wp:simplePos x="0" y="0"/>
            <wp:positionH relativeFrom="page">
              <wp:posOffset>0</wp:posOffset>
            </wp:positionH>
            <wp:positionV relativeFrom="page">
              <wp:posOffset>6982</wp:posOffset>
            </wp:positionV>
            <wp:extent cx="7562088" cy="1048327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rPr>
          <w:sz w:val="22"/>
        </w:rPr>
      </w:pPr>
    </w:p>
    <w:p w:rsidR="00972CE3" w:rsidRDefault="00972CE3">
      <w:pPr>
        <w:pStyle w:val="Corpodetexto"/>
        <w:rPr>
          <w:sz w:val="22"/>
        </w:rPr>
      </w:pPr>
    </w:p>
    <w:p w:rsidR="00972CE3" w:rsidRDefault="00972CE3">
      <w:pPr>
        <w:pStyle w:val="Corpodetexto"/>
        <w:rPr>
          <w:sz w:val="22"/>
        </w:rPr>
      </w:pPr>
    </w:p>
    <w:p w:rsidR="00972CE3" w:rsidRDefault="00972CE3">
      <w:pPr>
        <w:pStyle w:val="Corpodetexto"/>
        <w:rPr>
          <w:sz w:val="22"/>
        </w:rPr>
      </w:pPr>
    </w:p>
    <w:p w:rsidR="00972CE3" w:rsidRDefault="00972CE3">
      <w:pPr>
        <w:pStyle w:val="Corpodetexto"/>
        <w:spacing w:before="237"/>
        <w:rPr>
          <w:sz w:val="22"/>
        </w:rPr>
      </w:pPr>
    </w:p>
    <w:p w:rsidR="00972CE3" w:rsidRDefault="001F20D2">
      <w:pPr>
        <w:ind w:left="21" w:right="17"/>
        <w:jc w:val="center"/>
      </w:pPr>
      <w:r>
        <w:rPr>
          <w:rFonts w:ascii="Arial"/>
          <w:b/>
        </w:rPr>
        <w:t>Tabela</w:t>
      </w:r>
      <w:r>
        <w:rPr>
          <w:rFonts w:ascii="Arial"/>
          <w:b/>
          <w:spacing w:val="-2"/>
        </w:rPr>
        <w:t xml:space="preserve"> </w:t>
      </w:r>
      <w:r>
        <w:rPr>
          <w:rFonts w:ascii="Arial"/>
          <w:b/>
        </w:rPr>
        <w:t>2:</w:t>
      </w:r>
      <w:r>
        <w:rPr>
          <w:rFonts w:ascii="Arial"/>
          <w:b/>
          <w:spacing w:val="-2"/>
        </w:rPr>
        <w:t xml:space="preserve"> </w:t>
      </w:r>
      <w:r>
        <w:t>Zonas</w:t>
      </w:r>
      <w:r>
        <w:rPr>
          <w:spacing w:val="-5"/>
        </w:rPr>
        <w:t xml:space="preserve"> </w:t>
      </w:r>
      <w:r>
        <w:t>e</w:t>
      </w:r>
      <w:r>
        <w:rPr>
          <w:spacing w:val="-4"/>
        </w:rPr>
        <w:t xml:space="preserve"> </w:t>
      </w:r>
      <w:r>
        <w:t>Taxas</w:t>
      </w:r>
      <w:r>
        <w:rPr>
          <w:spacing w:val="-2"/>
        </w:rPr>
        <w:t xml:space="preserve"> </w:t>
      </w:r>
      <w:r>
        <w:t>do</w:t>
      </w:r>
      <w:r>
        <w:rPr>
          <w:spacing w:val="-3"/>
        </w:rPr>
        <w:t xml:space="preserve"> </w:t>
      </w:r>
      <w:r>
        <w:t>eixo</w:t>
      </w:r>
      <w:r>
        <w:rPr>
          <w:spacing w:val="-3"/>
        </w:rPr>
        <w:t xml:space="preserve"> </w:t>
      </w:r>
      <w:r>
        <w:t>Monte</w:t>
      </w:r>
      <w:r>
        <w:rPr>
          <w:spacing w:val="-3"/>
        </w:rPr>
        <w:t xml:space="preserve"> </w:t>
      </w:r>
      <w:r>
        <w:t>Castelo</w:t>
      </w:r>
      <w:r>
        <w:rPr>
          <w:spacing w:val="-5"/>
        </w:rPr>
        <w:t xml:space="preserve"> </w:t>
      </w:r>
      <w:r>
        <w:t>-</w:t>
      </w:r>
      <w:r>
        <w:rPr>
          <w:spacing w:val="-1"/>
        </w:rPr>
        <w:t xml:space="preserve"> </w:t>
      </w:r>
      <w:r>
        <w:rPr>
          <w:spacing w:val="-4"/>
        </w:rPr>
        <w:t>Anil</w:t>
      </w:r>
    </w:p>
    <w:p w:rsidR="00972CE3" w:rsidRDefault="00972CE3">
      <w:pPr>
        <w:pStyle w:val="Corpodetexto"/>
        <w:spacing w:before="10"/>
        <w:rPr>
          <w:sz w:val="10"/>
        </w:rPr>
      </w:pPr>
    </w:p>
    <w:tbl>
      <w:tblPr>
        <w:tblStyle w:val="TableNormal"/>
        <w:tblW w:w="0" w:type="auto"/>
        <w:tblInd w:w="128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1455"/>
        <w:gridCol w:w="1939"/>
        <w:gridCol w:w="1275"/>
        <w:gridCol w:w="852"/>
        <w:gridCol w:w="1275"/>
      </w:tblGrid>
      <w:tr w:rsidR="00972CE3">
        <w:trPr>
          <w:trHeight w:val="209"/>
        </w:trPr>
        <w:tc>
          <w:tcPr>
            <w:tcW w:w="1455" w:type="dxa"/>
            <w:vMerge w:val="restart"/>
            <w:tcBorders>
              <w:left w:val="single" w:sz="4" w:space="0" w:color="000000"/>
              <w:right w:val="single" w:sz="4" w:space="0" w:color="000000"/>
            </w:tcBorders>
          </w:tcPr>
          <w:p w:rsidR="00972CE3" w:rsidRDefault="001F20D2">
            <w:pPr>
              <w:pStyle w:val="TableParagraph"/>
              <w:spacing w:before="111" w:line="240" w:lineRule="auto"/>
              <w:ind w:left="429"/>
              <w:jc w:val="left"/>
              <w:rPr>
                <w:rFonts w:ascii="Arial"/>
                <w:b/>
                <w:sz w:val="20"/>
              </w:rPr>
            </w:pPr>
            <w:r>
              <w:rPr>
                <w:rFonts w:ascii="Arial"/>
                <w:b/>
                <w:spacing w:val="-2"/>
                <w:sz w:val="20"/>
              </w:rPr>
              <w:t>Zonas</w:t>
            </w:r>
          </w:p>
        </w:tc>
        <w:tc>
          <w:tcPr>
            <w:tcW w:w="1939" w:type="dxa"/>
            <w:vMerge w:val="restart"/>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226" w:lineRule="exact"/>
              <w:ind w:left="6"/>
              <w:rPr>
                <w:rFonts w:ascii="Arial" w:hAnsi="Arial"/>
                <w:b/>
                <w:sz w:val="20"/>
              </w:rPr>
            </w:pPr>
            <w:r>
              <w:rPr>
                <w:rFonts w:ascii="Arial" w:hAnsi="Arial"/>
                <w:b/>
                <w:sz w:val="20"/>
              </w:rPr>
              <w:t>Altura</w:t>
            </w:r>
            <w:r>
              <w:rPr>
                <w:rFonts w:ascii="Arial" w:hAnsi="Arial"/>
                <w:b/>
                <w:spacing w:val="-7"/>
                <w:sz w:val="20"/>
              </w:rPr>
              <w:t xml:space="preserve"> </w:t>
            </w:r>
            <w:r>
              <w:rPr>
                <w:rFonts w:ascii="Arial" w:hAnsi="Arial"/>
                <w:b/>
                <w:sz w:val="20"/>
              </w:rPr>
              <w:t>Máxima</w:t>
            </w:r>
            <w:r>
              <w:rPr>
                <w:rFonts w:ascii="Arial" w:hAnsi="Arial"/>
                <w:b/>
                <w:spacing w:val="-7"/>
                <w:sz w:val="20"/>
              </w:rPr>
              <w:t xml:space="preserve"> </w:t>
            </w:r>
            <w:r>
              <w:rPr>
                <w:rFonts w:ascii="Arial" w:hAnsi="Arial"/>
                <w:b/>
                <w:spacing w:val="-5"/>
                <w:sz w:val="20"/>
              </w:rPr>
              <w:t>da</w:t>
            </w:r>
          </w:p>
          <w:p w:rsidR="00972CE3" w:rsidRDefault="001F20D2">
            <w:pPr>
              <w:pStyle w:val="TableParagraph"/>
              <w:spacing w:line="218" w:lineRule="exact"/>
              <w:ind w:left="6" w:right="3"/>
              <w:rPr>
                <w:rFonts w:ascii="Arial" w:hAnsi="Arial"/>
                <w:b/>
                <w:sz w:val="20"/>
              </w:rPr>
            </w:pPr>
            <w:r>
              <w:rPr>
                <w:rFonts w:ascii="Arial" w:hAnsi="Arial"/>
                <w:b/>
                <w:spacing w:val="-2"/>
                <w:sz w:val="20"/>
              </w:rPr>
              <w:t>Edificação</w:t>
            </w:r>
          </w:p>
        </w:tc>
        <w:tc>
          <w:tcPr>
            <w:tcW w:w="1275" w:type="dxa"/>
            <w:vMerge w:val="restart"/>
            <w:tcBorders>
              <w:top w:val="single" w:sz="18" w:space="0" w:color="FFFFFF"/>
              <w:left w:val="single" w:sz="4" w:space="0" w:color="000000"/>
              <w:bottom w:val="single" w:sz="18" w:space="0" w:color="FFFFFF"/>
              <w:right w:val="single" w:sz="4" w:space="0" w:color="000000"/>
            </w:tcBorders>
          </w:tcPr>
          <w:p w:rsidR="00972CE3" w:rsidRDefault="001F20D2">
            <w:pPr>
              <w:pStyle w:val="TableParagraph"/>
              <w:spacing w:line="226" w:lineRule="exact"/>
              <w:ind w:right="4"/>
              <w:rPr>
                <w:rFonts w:ascii="Arial"/>
                <w:b/>
                <w:sz w:val="20"/>
              </w:rPr>
            </w:pPr>
            <w:r>
              <w:rPr>
                <w:rFonts w:ascii="Arial"/>
                <w:b/>
                <w:spacing w:val="-4"/>
                <w:sz w:val="20"/>
              </w:rPr>
              <w:t>Taxa</w:t>
            </w:r>
          </w:p>
          <w:p w:rsidR="00972CE3" w:rsidRDefault="001F20D2">
            <w:pPr>
              <w:pStyle w:val="TableParagraph"/>
              <w:spacing w:line="218" w:lineRule="exact"/>
              <w:ind w:right="5"/>
              <w:rPr>
                <w:rFonts w:ascii="Arial" w:hAnsi="Arial"/>
                <w:b/>
                <w:sz w:val="20"/>
              </w:rPr>
            </w:pPr>
            <w:r>
              <w:rPr>
                <w:rFonts w:ascii="Arial" w:hAnsi="Arial"/>
                <w:b/>
                <w:spacing w:val="-2"/>
                <w:sz w:val="20"/>
              </w:rPr>
              <w:t>Ocupação</w:t>
            </w:r>
          </w:p>
        </w:tc>
        <w:tc>
          <w:tcPr>
            <w:tcW w:w="2127" w:type="dxa"/>
            <w:gridSpan w:val="2"/>
            <w:tcBorders>
              <w:left w:val="single" w:sz="4" w:space="0" w:color="000000"/>
              <w:right w:val="single" w:sz="4" w:space="0" w:color="000000"/>
            </w:tcBorders>
          </w:tcPr>
          <w:p w:rsidR="00972CE3" w:rsidRDefault="001F20D2">
            <w:pPr>
              <w:pStyle w:val="TableParagraph"/>
              <w:spacing w:line="189" w:lineRule="exact"/>
              <w:ind w:left="405"/>
              <w:jc w:val="left"/>
              <w:rPr>
                <w:rFonts w:ascii="Arial"/>
                <w:b/>
                <w:sz w:val="20"/>
              </w:rPr>
            </w:pPr>
            <w:r>
              <w:rPr>
                <w:rFonts w:ascii="Arial"/>
                <w:b/>
                <w:spacing w:val="-2"/>
                <w:sz w:val="20"/>
              </w:rPr>
              <w:t>Parcelamento</w:t>
            </w:r>
          </w:p>
        </w:tc>
      </w:tr>
      <w:tr w:rsidR="00972CE3">
        <w:trPr>
          <w:trHeight w:val="210"/>
        </w:trPr>
        <w:tc>
          <w:tcPr>
            <w:tcW w:w="1455" w:type="dxa"/>
            <w:vMerge/>
            <w:tcBorders>
              <w:top w:val="nil"/>
              <w:left w:val="single" w:sz="4" w:space="0" w:color="000000"/>
              <w:right w:val="single" w:sz="4" w:space="0" w:color="000000"/>
            </w:tcBorders>
          </w:tcPr>
          <w:p w:rsidR="00972CE3" w:rsidRDefault="00972CE3">
            <w:pPr>
              <w:rPr>
                <w:sz w:val="2"/>
                <w:szCs w:val="2"/>
              </w:rPr>
            </w:pPr>
          </w:p>
        </w:tc>
        <w:tc>
          <w:tcPr>
            <w:tcW w:w="1939" w:type="dxa"/>
            <w:vMerge/>
            <w:tcBorders>
              <w:top w:val="nil"/>
              <w:left w:val="single" w:sz="4" w:space="0" w:color="000000"/>
              <w:bottom w:val="single" w:sz="18" w:space="0" w:color="FFFFFF"/>
              <w:right w:val="single" w:sz="4" w:space="0" w:color="000000"/>
            </w:tcBorders>
          </w:tcPr>
          <w:p w:rsidR="00972CE3" w:rsidRDefault="00972CE3">
            <w:pPr>
              <w:rPr>
                <w:sz w:val="2"/>
                <w:szCs w:val="2"/>
              </w:rPr>
            </w:pPr>
          </w:p>
        </w:tc>
        <w:tc>
          <w:tcPr>
            <w:tcW w:w="1275" w:type="dxa"/>
            <w:vMerge/>
            <w:tcBorders>
              <w:top w:val="nil"/>
              <w:left w:val="single" w:sz="4" w:space="0" w:color="000000"/>
              <w:bottom w:val="single" w:sz="18" w:space="0" w:color="FFFFFF"/>
              <w:right w:val="single" w:sz="4" w:space="0" w:color="000000"/>
            </w:tcBorders>
          </w:tcPr>
          <w:p w:rsidR="00972CE3" w:rsidRDefault="00972CE3">
            <w:pPr>
              <w:rPr>
                <w:sz w:val="2"/>
                <w:szCs w:val="2"/>
              </w:rPr>
            </w:pPr>
          </w:p>
        </w:tc>
        <w:tc>
          <w:tcPr>
            <w:tcW w:w="852" w:type="dxa"/>
            <w:tcBorders>
              <w:left w:val="single" w:sz="4" w:space="0" w:color="000000"/>
              <w:right w:val="single" w:sz="4" w:space="0" w:color="000000"/>
            </w:tcBorders>
          </w:tcPr>
          <w:p w:rsidR="00972CE3" w:rsidRDefault="001F20D2">
            <w:pPr>
              <w:pStyle w:val="TableParagraph"/>
              <w:spacing w:line="191" w:lineRule="exact"/>
              <w:rPr>
                <w:rFonts w:ascii="Arial"/>
                <w:b/>
                <w:sz w:val="20"/>
              </w:rPr>
            </w:pPr>
            <w:r>
              <w:rPr>
                <w:rFonts w:ascii="Arial"/>
                <w:b/>
                <w:spacing w:val="-2"/>
                <w:sz w:val="20"/>
              </w:rPr>
              <w:t>Frente</w:t>
            </w:r>
          </w:p>
        </w:tc>
        <w:tc>
          <w:tcPr>
            <w:tcW w:w="1275" w:type="dxa"/>
            <w:tcBorders>
              <w:left w:val="single" w:sz="4" w:space="0" w:color="000000"/>
              <w:right w:val="single" w:sz="4" w:space="0" w:color="000000"/>
            </w:tcBorders>
          </w:tcPr>
          <w:p w:rsidR="00972CE3" w:rsidRDefault="001F20D2">
            <w:pPr>
              <w:pStyle w:val="TableParagraph"/>
              <w:spacing w:line="191" w:lineRule="exact"/>
              <w:ind w:right="4"/>
              <w:rPr>
                <w:rFonts w:ascii="Arial" w:hAnsi="Arial"/>
                <w:b/>
                <w:sz w:val="20"/>
              </w:rPr>
            </w:pPr>
            <w:r>
              <w:rPr>
                <w:rFonts w:ascii="Arial" w:hAnsi="Arial"/>
                <w:b/>
                <w:spacing w:val="-4"/>
                <w:sz w:val="20"/>
              </w:rPr>
              <w:t>Área</w:t>
            </w:r>
          </w:p>
        </w:tc>
      </w:tr>
      <w:tr w:rsidR="00972CE3">
        <w:trPr>
          <w:trHeight w:val="218"/>
        </w:trPr>
        <w:tc>
          <w:tcPr>
            <w:tcW w:w="1455" w:type="dxa"/>
            <w:tcBorders>
              <w:left w:val="single" w:sz="4" w:space="0" w:color="000000"/>
              <w:right w:val="single" w:sz="4" w:space="0" w:color="000000"/>
            </w:tcBorders>
          </w:tcPr>
          <w:p w:rsidR="00972CE3" w:rsidRDefault="001F20D2">
            <w:pPr>
              <w:pStyle w:val="TableParagraph"/>
              <w:spacing w:line="198" w:lineRule="exact"/>
              <w:ind w:left="1" w:right="1"/>
              <w:rPr>
                <w:sz w:val="20"/>
              </w:rPr>
            </w:pPr>
            <w:r>
              <w:rPr>
                <w:sz w:val="20"/>
              </w:rPr>
              <w:t>ZEIS</w:t>
            </w:r>
            <w:r>
              <w:rPr>
                <w:spacing w:val="-5"/>
                <w:sz w:val="20"/>
              </w:rPr>
              <w:t xml:space="preserve"> </w:t>
            </w:r>
            <w:r>
              <w:rPr>
                <w:spacing w:val="-10"/>
                <w:sz w:val="20"/>
              </w:rPr>
              <w:t>1</w:t>
            </w:r>
          </w:p>
        </w:tc>
        <w:tc>
          <w:tcPr>
            <w:tcW w:w="1939" w:type="dxa"/>
            <w:tcBorders>
              <w:top w:val="single" w:sz="18" w:space="0" w:color="FFFFFF"/>
              <w:left w:val="single" w:sz="4" w:space="0" w:color="000000"/>
              <w:right w:val="single" w:sz="4" w:space="0" w:color="000000"/>
            </w:tcBorders>
          </w:tcPr>
          <w:p w:rsidR="00972CE3" w:rsidRDefault="001F20D2">
            <w:pPr>
              <w:pStyle w:val="TableParagraph"/>
              <w:spacing w:line="198" w:lineRule="exact"/>
              <w:ind w:left="8" w:right="1"/>
              <w:rPr>
                <w:sz w:val="20"/>
              </w:rPr>
            </w:pPr>
            <w:r>
              <w:rPr>
                <w:spacing w:val="-5"/>
                <w:sz w:val="20"/>
              </w:rPr>
              <w:t>13m</w:t>
            </w:r>
          </w:p>
        </w:tc>
        <w:tc>
          <w:tcPr>
            <w:tcW w:w="1275" w:type="dxa"/>
            <w:tcBorders>
              <w:top w:val="single" w:sz="18" w:space="0" w:color="FFFFFF"/>
              <w:left w:val="single" w:sz="4" w:space="0" w:color="000000"/>
              <w:right w:val="single" w:sz="4" w:space="0" w:color="000000"/>
            </w:tcBorders>
          </w:tcPr>
          <w:p w:rsidR="00972CE3" w:rsidRDefault="001F20D2">
            <w:pPr>
              <w:pStyle w:val="TableParagraph"/>
              <w:spacing w:line="198" w:lineRule="exact"/>
              <w:ind w:right="5"/>
              <w:rPr>
                <w:sz w:val="20"/>
              </w:rPr>
            </w:pPr>
            <w:r>
              <w:rPr>
                <w:spacing w:val="-5"/>
                <w:sz w:val="20"/>
              </w:rPr>
              <w:t>70%</w:t>
            </w:r>
          </w:p>
        </w:tc>
        <w:tc>
          <w:tcPr>
            <w:tcW w:w="852" w:type="dxa"/>
            <w:tcBorders>
              <w:left w:val="single" w:sz="4" w:space="0" w:color="000000"/>
              <w:right w:val="single" w:sz="4" w:space="0" w:color="000000"/>
            </w:tcBorders>
          </w:tcPr>
          <w:p w:rsidR="00972CE3" w:rsidRDefault="001F20D2">
            <w:pPr>
              <w:pStyle w:val="TableParagraph"/>
              <w:spacing w:line="198" w:lineRule="exact"/>
              <w:ind w:right="3"/>
              <w:rPr>
                <w:sz w:val="20"/>
              </w:rPr>
            </w:pPr>
            <w:r>
              <w:rPr>
                <w:spacing w:val="-5"/>
                <w:sz w:val="20"/>
              </w:rPr>
              <w:t>5m</w:t>
            </w:r>
          </w:p>
        </w:tc>
        <w:tc>
          <w:tcPr>
            <w:tcW w:w="1275" w:type="dxa"/>
            <w:tcBorders>
              <w:left w:val="single" w:sz="4" w:space="0" w:color="000000"/>
              <w:right w:val="single" w:sz="4" w:space="0" w:color="000000"/>
            </w:tcBorders>
          </w:tcPr>
          <w:p w:rsidR="00972CE3" w:rsidRDefault="001F20D2">
            <w:pPr>
              <w:pStyle w:val="TableParagraph"/>
              <w:spacing w:line="198" w:lineRule="exact"/>
              <w:rPr>
                <w:sz w:val="20"/>
              </w:rPr>
            </w:pPr>
            <w:r>
              <w:rPr>
                <w:spacing w:val="-2"/>
                <w:sz w:val="20"/>
              </w:rPr>
              <w:t>125m²</w:t>
            </w:r>
          </w:p>
        </w:tc>
      </w:tr>
      <w:tr w:rsidR="00972CE3">
        <w:trPr>
          <w:trHeight w:val="225"/>
        </w:trPr>
        <w:tc>
          <w:tcPr>
            <w:tcW w:w="1455" w:type="dxa"/>
            <w:tcBorders>
              <w:left w:val="single" w:sz="4" w:space="0" w:color="000000"/>
              <w:right w:val="single" w:sz="4" w:space="0" w:color="000000"/>
            </w:tcBorders>
          </w:tcPr>
          <w:p w:rsidR="00972CE3" w:rsidRDefault="001F20D2">
            <w:pPr>
              <w:pStyle w:val="TableParagraph"/>
              <w:spacing w:line="205" w:lineRule="exact"/>
              <w:ind w:left="1"/>
              <w:rPr>
                <w:sz w:val="20"/>
              </w:rPr>
            </w:pPr>
            <w:r>
              <w:rPr>
                <w:sz w:val="20"/>
              </w:rPr>
              <w:t>ZER</w:t>
            </w:r>
            <w:r>
              <w:rPr>
                <w:spacing w:val="-6"/>
                <w:sz w:val="20"/>
              </w:rPr>
              <w:t xml:space="preserve"> </w:t>
            </w:r>
            <w:r>
              <w:rPr>
                <w:spacing w:val="-10"/>
                <w:sz w:val="20"/>
              </w:rPr>
              <w:t>1</w:t>
            </w:r>
          </w:p>
        </w:tc>
        <w:tc>
          <w:tcPr>
            <w:tcW w:w="1939" w:type="dxa"/>
            <w:tcBorders>
              <w:left w:val="single" w:sz="4" w:space="0" w:color="000000"/>
              <w:right w:val="single" w:sz="4" w:space="0" w:color="000000"/>
            </w:tcBorders>
          </w:tcPr>
          <w:p w:rsidR="00972CE3" w:rsidRDefault="001F20D2">
            <w:pPr>
              <w:pStyle w:val="TableParagraph"/>
              <w:spacing w:line="205" w:lineRule="exact"/>
              <w:ind w:left="8" w:right="3"/>
              <w:rPr>
                <w:sz w:val="20"/>
              </w:rPr>
            </w:pPr>
            <w:r>
              <w:rPr>
                <w:sz w:val="20"/>
              </w:rPr>
              <w:t>35m</w:t>
            </w:r>
            <w:r>
              <w:rPr>
                <w:spacing w:val="1"/>
                <w:sz w:val="20"/>
              </w:rPr>
              <w:t xml:space="preserve"> </w:t>
            </w:r>
            <w:r>
              <w:rPr>
                <w:sz w:val="20"/>
              </w:rPr>
              <w:t>/</w:t>
            </w:r>
            <w:r>
              <w:rPr>
                <w:spacing w:val="-4"/>
                <w:sz w:val="20"/>
              </w:rPr>
              <w:t xml:space="preserve"> </w:t>
            </w:r>
            <w:r>
              <w:rPr>
                <w:spacing w:val="-2"/>
                <w:sz w:val="20"/>
              </w:rPr>
              <w:t>12pav</w:t>
            </w:r>
          </w:p>
        </w:tc>
        <w:tc>
          <w:tcPr>
            <w:tcW w:w="1275" w:type="dxa"/>
            <w:tcBorders>
              <w:left w:val="single" w:sz="4" w:space="0" w:color="000000"/>
              <w:right w:val="single" w:sz="4" w:space="0" w:color="000000"/>
            </w:tcBorders>
          </w:tcPr>
          <w:p w:rsidR="00972CE3" w:rsidRDefault="001F20D2">
            <w:pPr>
              <w:pStyle w:val="TableParagraph"/>
              <w:spacing w:line="205" w:lineRule="exact"/>
              <w:ind w:right="5"/>
              <w:rPr>
                <w:sz w:val="20"/>
              </w:rPr>
            </w:pPr>
            <w:r>
              <w:rPr>
                <w:spacing w:val="-5"/>
                <w:sz w:val="20"/>
              </w:rPr>
              <w:t>60%</w:t>
            </w:r>
          </w:p>
        </w:tc>
        <w:tc>
          <w:tcPr>
            <w:tcW w:w="852" w:type="dxa"/>
            <w:tcBorders>
              <w:left w:val="single" w:sz="4" w:space="0" w:color="000000"/>
              <w:right w:val="single" w:sz="4" w:space="0" w:color="000000"/>
            </w:tcBorders>
          </w:tcPr>
          <w:p w:rsidR="00972CE3" w:rsidRDefault="001F20D2">
            <w:pPr>
              <w:pStyle w:val="TableParagraph"/>
              <w:spacing w:line="205" w:lineRule="exact"/>
              <w:ind w:right="3"/>
              <w:rPr>
                <w:sz w:val="20"/>
              </w:rPr>
            </w:pPr>
            <w:r>
              <w:rPr>
                <w:spacing w:val="-5"/>
                <w:sz w:val="20"/>
              </w:rPr>
              <w:t>12m</w:t>
            </w:r>
          </w:p>
        </w:tc>
        <w:tc>
          <w:tcPr>
            <w:tcW w:w="1275" w:type="dxa"/>
            <w:tcBorders>
              <w:left w:val="single" w:sz="4" w:space="0" w:color="000000"/>
              <w:right w:val="single" w:sz="4" w:space="0" w:color="000000"/>
            </w:tcBorders>
          </w:tcPr>
          <w:p w:rsidR="00972CE3" w:rsidRDefault="001F20D2">
            <w:pPr>
              <w:pStyle w:val="TableParagraph"/>
              <w:spacing w:line="205" w:lineRule="exact"/>
              <w:rPr>
                <w:sz w:val="20"/>
              </w:rPr>
            </w:pPr>
            <w:r>
              <w:rPr>
                <w:spacing w:val="-2"/>
                <w:sz w:val="20"/>
              </w:rPr>
              <w:t>360m²</w:t>
            </w:r>
          </w:p>
        </w:tc>
      </w:tr>
      <w:tr w:rsidR="00972CE3">
        <w:trPr>
          <w:trHeight w:val="224"/>
        </w:trPr>
        <w:tc>
          <w:tcPr>
            <w:tcW w:w="1455" w:type="dxa"/>
            <w:tcBorders>
              <w:left w:val="single" w:sz="4" w:space="0" w:color="000000"/>
              <w:right w:val="single" w:sz="4" w:space="0" w:color="000000"/>
            </w:tcBorders>
          </w:tcPr>
          <w:p w:rsidR="00972CE3" w:rsidRDefault="001F20D2">
            <w:pPr>
              <w:pStyle w:val="TableParagraph"/>
              <w:ind w:left="1"/>
              <w:rPr>
                <w:sz w:val="20"/>
              </w:rPr>
            </w:pPr>
            <w:r>
              <w:rPr>
                <w:sz w:val="20"/>
              </w:rPr>
              <w:t>ZER</w:t>
            </w:r>
            <w:r>
              <w:rPr>
                <w:spacing w:val="-6"/>
                <w:sz w:val="20"/>
              </w:rPr>
              <w:t xml:space="preserve"> </w:t>
            </w:r>
            <w:r>
              <w:rPr>
                <w:spacing w:val="-10"/>
                <w:sz w:val="20"/>
              </w:rPr>
              <w:t>2</w:t>
            </w:r>
          </w:p>
        </w:tc>
        <w:tc>
          <w:tcPr>
            <w:tcW w:w="1939" w:type="dxa"/>
            <w:tcBorders>
              <w:left w:val="single" w:sz="4" w:space="0" w:color="000000"/>
              <w:right w:val="single" w:sz="4" w:space="0" w:color="000000"/>
            </w:tcBorders>
          </w:tcPr>
          <w:p w:rsidR="00972CE3" w:rsidRDefault="001F20D2">
            <w:pPr>
              <w:pStyle w:val="TableParagraph"/>
              <w:ind w:left="8" w:right="1"/>
              <w:rPr>
                <w:sz w:val="20"/>
              </w:rPr>
            </w:pPr>
            <w:r>
              <w:rPr>
                <w:spacing w:val="-5"/>
                <w:sz w:val="20"/>
              </w:rPr>
              <w:t>20m</w:t>
            </w:r>
          </w:p>
        </w:tc>
        <w:tc>
          <w:tcPr>
            <w:tcW w:w="1275" w:type="dxa"/>
            <w:tcBorders>
              <w:left w:val="single" w:sz="4" w:space="0" w:color="000000"/>
              <w:right w:val="single" w:sz="4" w:space="0" w:color="000000"/>
            </w:tcBorders>
          </w:tcPr>
          <w:p w:rsidR="00972CE3" w:rsidRDefault="001F20D2">
            <w:pPr>
              <w:pStyle w:val="TableParagraph"/>
              <w:ind w:right="5"/>
              <w:rPr>
                <w:sz w:val="20"/>
              </w:rPr>
            </w:pPr>
            <w:r>
              <w:rPr>
                <w:spacing w:val="-5"/>
                <w:sz w:val="20"/>
              </w:rPr>
              <w:t>70%</w:t>
            </w:r>
          </w:p>
        </w:tc>
        <w:tc>
          <w:tcPr>
            <w:tcW w:w="852" w:type="dxa"/>
            <w:tcBorders>
              <w:left w:val="single" w:sz="4" w:space="0" w:color="000000"/>
              <w:right w:val="single" w:sz="4" w:space="0" w:color="000000"/>
            </w:tcBorders>
          </w:tcPr>
          <w:p w:rsidR="00972CE3" w:rsidRDefault="001F20D2">
            <w:pPr>
              <w:pStyle w:val="TableParagraph"/>
              <w:ind w:right="3"/>
              <w:rPr>
                <w:sz w:val="20"/>
              </w:rPr>
            </w:pPr>
            <w:r>
              <w:rPr>
                <w:spacing w:val="-5"/>
                <w:sz w:val="20"/>
              </w:rPr>
              <w:t>5m</w:t>
            </w:r>
          </w:p>
        </w:tc>
        <w:tc>
          <w:tcPr>
            <w:tcW w:w="1275" w:type="dxa"/>
            <w:tcBorders>
              <w:left w:val="single" w:sz="4" w:space="0" w:color="000000"/>
              <w:right w:val="single" w:sz="4" w:space="0" w:color="000000"/>
            </w:tcBorders>
          </w:tcPr>
          <w:p w:rsidR="00972CE3" w:rsidRDefault="001F20D2">
            <w:pPr>
              <w:pStyle w:val="TableParagraph"/>
              <w:rPr>
                <w:sz w:val="20"/>
              </w:rPr>
            </w:pPr>
            <w:r>
              <w:rPr>
                <w:spacing w:val="-2"/>
                <w:sz w:val="20"/>
              </w:rPr>
              <w:t>125m²</w:t>
            </w:r>
          </w:p>
        </w:tc>
      </w:tr>
      <w:tr w:rsidR="00972CE3">
        <w:trPr>
          <w:trHeight w:val="225"/>
        </w:trPr>
        <w:tc>
          <w:tcPr>
            <w:tcW w:w="1455" w:type="dxa"/>
            <w:tcBorders>
              <w:left w:val="single" w:sz="4" w:space="0" w:color="000000"/>
              <w:right w:val="single" w:sz="4" w:space="0" w:color="000000"/>
            </w:tcBorders>
          </w:tcPr>
          <w:p w:rsidR="00972CE3" w:rsidRDefault="001F20D2">
            <w:pPr>
              <w:pStyle w:val="TableParagraph"/>
              <w:spacing w:line="206" w:lineRule="exact"/>
              <w:ind w:left="1"/>
              <w:rPr>
                <w:sz w:val="20"/>
              </w:rPr>
            </w:pPr>
            <w:r>
              <w:rPr>
                <w:sz w:val="20"/>
              </w:rPr>
              <w:t>ZER</w:t>
            </w:r>
            <w:r>
              <w:rPr>
                <w:spacing w:val="-6"/>
                <w:sz w:val="20"/>
              </w:rPr>
              <w:t xml:space="preserve"> </w:t>
            </w:r>
            <w:r>
              <w:rPr>
                <w:spacing w:val="-10"/>
                <w:sz w:val="20"/>
              </w:rPr>
              <w:t>3</w:t>
            </w:r>
          </w:p>
        </w:tc>
        <w:tc>
          <w:tcPr>
            <w:tcW w:w="1939" w:type="dxa"/>
            <w:tcBorders>
              <w:left w:val="single" w:sz="4" w:space="0" w:color="000000"/>
              <w:right w:val="single" w:sz="4" w:space="0" w:color="000000"/>
            </w:tcBorders>
          </w:tcPr>
          <w:p w:rsidR="00972CE3" w:rsidRDefault="001F20D2">
            <w:pPr>
              <w:pStyle w:val="TableParagraph"/>
              <w:spacing w:line="206" w:lineRule="exact"/>
              <w:ind w:left="8" w:right="1"/>
              <w:rPr>
                <w:sz w:val="20"/>
              </w:rPr>
            </w:pPr>
            <w:r>
              <w:rPr>
                <w:spacing w:val="-5"/>
                <w:sz w:val="20"/>
              </w:rPr>
              <w:t>20m</w:t>
            </w:r>
          </w:p>
        </w:tc>
        <w:tc>
          <w:tcPr>
            <w:tcW w:w="1275" w:type="dxa"/>
            <w:tcBorders>
              <w:left w:val="single" w:sz="4" w:space="0" w:color="000000"/>
              <w:right w:val="single" w:sz="4" w:space="0" w:color="000000"/>
            </w:tcBorders>
          </w:tcPr>
          <w:p w:rsidR="00972CE3" w:rsidRDefault="001F20D2">
            <w:pPr>
              <w:pStyle w:val="TableParagraph"/>
              <w:spacing w:line="206" w:lineRule="exact"/>
              <w:ind w:right="5"/>
              <w:rPr>
                <w:sz w:val="20"/>
              </w:rPr>
            </w:pPr>
            <w:r>
              <w:rPr>
                <w:spacing w:val="-5"/>
                <w:sz w:val="20"/>
              </w:rPr>
              <w:t>60%</w:t>
            </w:r>
          </w:p>
        </w:tc>
        <w:tc>
          <w:tcPr>
            <w:tcW w:w="852" w:type="dxa"/>
            <w:tcBorders>
              <w:left w:val="single" w:sz="4" w:space="0" w:color="000000"/>
              <w:right w:val="single" w:sz="4" w:space="0" w:color="000000"/>
            </w:tcBorders>
          </w:tcPr>
          <w:p w:rsidR="00972CE3" w:rsidRDefault="001F20D2">
            <w:pPr>
              <w:pStyle w:val="TableParagraph"/>
              <w:spacing w:line="206" w:lineRule="exact"/>
              <w:ind w:right="3"/>
              <w:rPr>
                <w:sz w:val="20"/>
              </w:rPr>
            </w:pPr>
            <w:r>
              <w:rPr>
                <w:spacing w:val="-5"/>
                <w:sz w:val="20"/>
              </w:rPr>
              <w:t>20m</w:t>
            </w:r>
          </w:p>
        </w:tc>
        <w:tc>
          <w:tcPr>
            <w:tcW w:w="1275" w:type="dxa"/>
            <w:tcBorders>
              <w:left w:val="single" w:sz="4" w:space="0" w:color="000000"/>
              <w:right w:val="single" w:sz="4" w:space="0" w:color="000000"/>
            </w:tcBorders>
          </w:tcPr>
          <w:p w:rsidR="00972CE3" w:rsidRDefault="001F20D2">
            <w:pPr>
              <w:pStyle w:val="TableParagraph"/>
              <w:spacing w:line="206" w:lineRule="exact"/>
              <w:rPr>
                <w:sz w:val="20"/>
              </w:rPr>
            </w:pPr>
            <w:r>
              <w:rPr>
                <w:spacing w:val="-2"/>
                <w:sz w:val="20"/>
              </w:rPr>
              <w:t>800m²</w:t>
            </w:r>
          </w:p>
        </w:tc>
      </w:tr>
      <w:tr w:rsidR="00972CE3">
        <w:trPr>
          <w:trHeight w:val="225"/>
        </w:trPr>
        <w:tc>
          <w:tcPr>
            <w:tcW w:w="1455" w:type="dxa"/>
            <w:tcBorders>
              <w:left w:val="single" w:sz="4" w:space="0" w:color="000000"/>
              <w:right w:val="single" w:sz="4" w:space="0" w:color="000000"/>
            </w:tcBorders>
          </w:tcPr>
          <w:p w:rsidR="00972CE3" w:rsidRDefault="001F20D2">
            <w:pPr>
              <w:pStyle w:val="TableParagraph"/>
              <w:spacing w:line="206" w:lineRule="exact"/>
              <w:ind w:left="1" w:right="1"/>
              <w:rPr>
                <w:sz w:val="20"/>
              </w:rPr>
            </w:pPr>
            <w:r>
              <w:rPr>
                <w:spacing w:val="-5"/>
                <w:sz w:val="20"/>
              </w:rPr>
              <w:t>ZCS</w:t>
            </w:r>
          </w:p>
        </w:tc>
        <w:tc>
          <w:tcPr>
            <w:tcW w:w="1939" w:type="dxa"/>
            <w:tcBorders>
              <w:left w:val="single" w:sz="4" w:space="0" w:color="000000"/>
              <w:right w:val="single" w:sz="4" w:space="0" w:color="000000"/>
            </w:tcBorders>
          </w:tcPr>
          <w:p w:rsidR="00972CE3" w:rsidRDefault="001F20D2">
            <w:pPr>
              <w:pStyle w:val="TableParagraph"/>
              <w:spacing w:line="206" w:lineRule="exact"/>
              <w:ind w:left="8" w:right="3"/>
              <w:rPr>
                <w:sz w:val="20"/>
              </w:rPr>
            </w:pPr>
            <w:r>
              <w:rPr>
                <w:sz w:val="20"/>
              </w:rPr>
              <w:t>50m</w:t>
            </w:r>
            <w:r>
              <w:rPr>
                <w:spacing w:val="1"/>
                <w:sz w:val="20"/>
              </w:rPr>
              <w:t xml:space="preserve"> </w:t>
            </w:r>
            <w:r>
              <w:rPr>
                <w:sz w:val="20"/>
              </w:rPr>
              <w:t>/</w:t>
            </w:r>
            <w:r>
              <w:rPr>
                <w:spacing w:val="-4"/>
                <w:sz w:val="20"/>
              </w:rPr>
              <w:t xml:space="preserve"> </w:t>
            </w:r>
            <w:r>
              <w:rPr>
                <w:spacing w:val="-2"/>
                <w:sz w:val="20"/>
              </w:rPr>
              <w:t>15pav</w:t>
            </w:r>
          </w:p>
        </w:tc>
        <w:tc>
          <w:tcPr>
            <w:tcW w:w="1275" w:type="dxa"/>
            <w:tcBorders>
              <w:left w:val="single" w:sz="4" w:space="0" w:color="000000"/>
              <w:right w:val="single" w:sz="4" w:space="0" w:color="000000"/>
            </w:tcBorders>
          </w:tcPr>
          <w:p w:rsidR="00972CE3" w:rsidRDefault="001F20D2">
            <w:pPr>
              <w:pStyle w:val="TableParagraph"/>
              <w:spacing w:line="206" w:lineRule="exact"/>
              <w:ind w:right="5"/>
              <w:rPr>
                <w:sz w:val="20"/>
              </w:rPr>
            </w:pPr>
            <w:r>
              <w:rPr>
                <w:spacing w:val="-5"/>
                <w:sz w:val="20"/>
              </w:rPr>
              <w:t>60%</w:t>
            </w:r>
          </w:p>
        </w:tc>
        <w:tc>
          <w:tcPr>
            <w:tcW w:w="852" w:type="dxa"/>
            <w:tcBorders>
              <w:left w:val="single" w:sz="4" w:space="0" w:color="000000"/>
              <w:right w:val="single" w:sz="4" w:space="0" w:color="000000"/>
            </w:tcBorders>
          </w:tcPr>
          <w:p w:rsidR="00972CE3" w:rsidRDefault="001F20D2">
            <w:pPr>
              <w:pStyle w:val="TableParagraph"/>
              <w:spacing w:line="206" w:lineRule="exact"/>
              <w:ind w:right="3"/>
              <w:rPr>
                <w:sz w:val="20"/>
              </w:rPr>
            </w:pPr>
            <w:r>
              <w:rPr>
                <w:spacing w:val="-5"/>
                <w:sz w:val="20"/>
              </w:rPr>
              <w:t>20m</w:t>
            </w:r>
          </w:p>
        </w:tc>
        <w:tc>
          <w:tcPr>
            <w:tcW w:w="1275" w:type="dxa"/>
            <w:tcBorders>
              <w:left w:val="single" w:sz="4" w:space="0" w:color="000000"/>
              <w:right w:val="single" w:sz="4" w:space="0" w:color="000000"/>
            </w:tcBorders>
          </w:tcPr>
          <w:p w:rsidR="00972CE3" w:rsidRDefault="001F20D2">
            <w:pPr>
              <w:pStyle w:val="TableParagraph"/>
              <w:spacing w:line="206" w:lineRule="exact"/>
              <w:rPr>
                <w:sz w:val="20"/>
              </w:rPr>
            </w:pPr>
            <w:r>
              <w:rPr>
                <w:spacing w:val="-2"/>
                <w:sz w:val="20"/>
              </w:rPr>
              <w:t>800m²</w:t>
            </w:r>
          </w:p>
        </w:tc>
      </w:tr>
      <w:tr w:rsidR="00972CE3">
        <w:trPr>
          <w:trHeight w:val="224"/>
        </w:trPr>
        <w:tc>
          <w:tcPr>
            <w:tcW w:w="1455" w:type="dxa"/>
            <w:tcBorders>
              <w:left w:val="single" w:sz="4" w:space="0" w:color="000000"/>
              <w:right w:val="single" w:sz="4" w:space="0" w:color="000000"/>
            </w:tcBorders>
          </w:tcPr>
          <w:p w:rsidR="00972CE3" w:rsidRDefault="001F20D2">
            <w:pPr>
              <w:pStyle w:val="TableParagraph"/>
              <w:ind w:left="1" w:right="1"/>
              <w:rPr>
                <w:sz w:val="20"/>
              </w:rPr>
            </w:pPr>
            <w:r>
              <w:rPr>
                <w:spacing w:val="-5"/>
                <w:sz w:val="20"/>
              </w:rPr>
              <w:t>ZM3</w:t>
            </w:r>
          </w:p>
        </w:tc>
        <w:tc>
          <w:tcPr>
            <w:tcW w:w="1939" w:type="dxa"/>
            <w:tcBorders>
              <w:left w:val="single" w:sz="4" w:space="0" w:color="000000"/>
              <w:right w:val="single" w:sz="4" w:space="0" w:color="000000"/>
            </w:tcBorders>
          </w:tcPr>
          <w:p w:rsidR="00972CE3" w:rsidRDefault="001F20D2">
            <w:pPr>
              <w:pStyle w:val="TableParagraph"/>
              <w:ind w:left="8" w:right="1"/>
              <w:rPr>
                <w:sz w:val="20"/>
              </w:rPr>
            </w:pPr>
            <w:r>
              <w:rPr>
                <w:spacing w:val="-5"/>
                <w:sz w:val="20"/>
              </w:rPr>
              <w:t>20m</w:t>
            </w:r>
          </w:p>
        </w:tc>
        <w:tc>
          <w:tcPr>
            <w:tcW w:w="1275" w:type="dxa"/>
            <w:tcBorders>
              <w:left w:val="single" w:sz="4" w:space="0" w:color="000000"/>
              <w:right w:val="single" w:sz="4" w:space="0" w:color="000000"/>
            </w:tcBorders>
          </w:tcPr>
          <w:p w:rsidR="00972CE3" w:rsidRDefault="001F20D2">
            <w:pPr>
              <w:pStyle w:val="TableParagraph"/>
              <w:ind w:right="5"/>
              <w:rPr>
                <w:sz w:val="20"/>
              </w:rPr>
            </w:pPr>
            <w:r>
              <w:rPr>
                <w:spacing w:val="-5"/>
                <w:sz w:val="20"/>
              </w:rPr>
              <w:t>70%</w:t>
            </w:r>
          </w:p>
        </w:tc>
        <w:tc>
          <w:tcPr>
            <w:tcW w:w="852" w:type="dxa"/>
            <w:tcBorders>
              <w:left w:val="single" w:sz="4" w:space="0" w:color="000000"/>
              <w:right w:val="single" w:sz="4" w:space="0" w:color="000000"/>
            </w:tcBorders>
          </w:tcPr>
          <w:p w:rsidR="00972CE3" w:rsidRDefault="001F20D2">
            <w:pPr>
              <w:pStyle w:val="TableParagraph"/>
              <w:ind w:right="3"/>
              <w:rPr>
                <w:sz w:val="20"/>
              </w:rPr>
            </w:pPr>
            <w:r>
              <w:rPr>
                <w:spacing w:val="-5"/>
                <w:sz w:val="20"/>
              </w:rPr>
              <w:t>5m</w:t>
            </w:r>
          </w:p>
        </w:tc>
        <w:tc>
          <w:tcPr>
            <w:tcW w:w="1275" w:type="dxa"/>
            <w:tcBorders>
              <w:left w:val="single" w:sz="4" w:space="0" w:color="000000"/>
              <w:right w:val="single" w:sz="4" w:space="0" w:color="000000"/>
            </w:tcBorders>
          </w:tcPr>
          <w:p w:rsidR="00972CE3" w:rsidRDefault="001F20D2">
            <w:pPr>
              <w:pStyle w:val="TableParagraph"/>
              <w:rPr>
                <w:sz w:val="20"/>
              </w:rPr>
            </w:pPr>
            <w:r>
              <w:rPr>
                <w:spacing w:val="-2"/>
                <w:sz w:val="20"/>
              </w:rPr>
              <w:t>125m²</w:t>
            </w:r>
          </w:p>
        </w:tc>
      </w:tr>
      <w:tr w:rsidR="00972CE3">
        <w:trPr>
          <w:trHeight w:val="224"/>
        </w:trPr>
        <w:tc>
          <w:tcPr>
            <w:tcW w:w="1455" w:type="dxa"/>
            <w:tcBorders>
              <w:left w:val="single" w:sz="4" w:space="0" w:color="000000"/>
              <w:right w:val="single" w:sz="4" w:space="0" w:color="000000"/>
            </w:tcBorders>
          </w:tcPr>
          <w:p w:rsidR="00972CE3" w:rsidRDefault="001F20D2">
            <w:pPr>
              <w:pStyle w:val="TableParagraph"/>
              <w:ind w:left="1"/>
              <w:rPr>
                <w:sz w:val="20"/>
              </w:rPr>
            </w:pPr>
            <w:r>
              <w:rPr>
                <w:spacing w:val="-5"/>
                <w:sz w:val="20"/>
              </w:rPr>
              <w:t>ZR2</w:t>
            </w:r>
          </w:p>
        </w:tc>
        <w:tc>
          <w:tcPr>
            <w:tcW w:w="1939" w:type="dxa"/>
            <w:tcBorders>
              <w:left w:val="single" w:sz="4" w:space="0" w:color="000000"/>
              <w:right w:val="single" w:sz="4" w:space="0" w:color="000000"/>
            </w:tcBorders>
          </w:tcPr>
          <w:p w:rsidR="00972CE3" w:rsidRDefault="001F20D2">
            <w:pPr>
              <w:pStyle w:val="TableParagraph"/>
              <w:ind w:left="8" w:right="3"/>
              <w:rPr>
                <w:sz w:val="20"/>
              </w:rPr>
            </w:pPr>
            <w:r>
              <w:rPr>
                <w:sz w:val="20"/>
              </w:rPr>
              <w:t>50m</w:t>
            </w:r>
            <w:r>
              <w:rPr>
                <w:spacing w:val="1"/>
                <w:sz w:val="20"/>
              </w:rPr>
              <w:t xml:space="preserve"> </w:t>
            </w:r>
            <w:r>
              <w:rPr>
                <w:sz w:val="20"/>
              </w:rPr>
              <w:t>/</w:t>
            </w:r>
            <w:r>
              <w:rPr>
                <w:spacing w:val="-4"/>
                <w:sz w:val="20"/>
              </w:rPr>
              <w:t xml:space="preserve"> </w:t>
            </w:r>
            <w:r>
              <w:rPr>
                <w:spacing w:val="-2"/>
                <w:sz w:val="20"/>
              </w:rPr>
              <w:t>15pav</w:t>
            </w:r>
          </w:p>
        </w:tc>
        <w:tc>
          <w:tcPr>
            <w:tcW w:w="1275" w:type="dxa"/>
            <w:tcBorders>
              <w:left w:val="single" w:sz="4" w:space="0" w:color="000000"/>
              <w:right w:val="single" w:sz="4" w:space="0" w:color="000000"/>
            </w:tcBorders>
          </w:tcPr>
          <w:p w:rsidR="00972CE3" w:rsidRDefault="001F20D2">
            <w:pPr>
              <w:pStyle w:val="TableParagraph"/>
              <w:ind w:right="5"/>
              <w:rPr>
                <w:sz w:val="20"/>
              </w:rPr>
            </w:pPr>
            <w:r>
              <w:rPr>
                <w:spacing w:val="-5"/>
                <w:sz w:val="20"/>
              </w:rPr>
              <w:t>70%</w:t>
            </w:r>
          </w:p>
        </w:tc>
        <w:tc>
          <w:tcPr>
            <w:tcW w:w="852" w:type="dxa"/>
            <w:tcBorders>
              <w:left w:val="single" w:sz="4" w:space="0" w:color="000000"/>
              <w:right w:val="single" w:sz="4" w:space="0" w:color="000000"/>
            </w:tcBorders>
          </w:tcPr>
          <w:p w:rsidR="00972CE3" w:rsidRDefault="001F20D2">
            <w:pPr>
              <w:pStyle w:val="TableParagraph"/>
              <w:ind w:right="3"/>
              <w:rPr>
                <w:sz w:val="20"/>
              </w:rPr>
            </w:pPr>
            <w:r>
              <w:rPr>
                <w:spacing w:val="-5"/>
                <w:sz w:val="20"/>
              </w:rPr>
              <w:t>5m</w:t>
            </w:r>
          </w:p>
        </w:tc>
        <w:tc>
          <w:tcPr>
            <w:tcW w:w="1275" w:type="dxa"/>
            <w:tcBorders>
              <w:left w:val="single" w:sz="4" w:space="0" w:color="000000"/>
              <w:right w:val="single" w:sz="4" w:space="0" w:color="000000"/>
            </w:tcBorders>
          </w:tcPr>
          <w:p w:rsidR="00972CE3" w:rsidRDefault="001F20D2">
            <w:pPr>
              <w:pStyle w:val="TableParagraph"/>
              <w:rPr>
                <w:sz w:val="20"/>
              </w:rPr>
            </w:pPr>
            <w:r>
              <w:rPr>
                <w:spacing w:val="-2"/>
                <w:sz w:val="20"/>
              </w:rPr>
              <w:t>125m²</w:t>
            </w:r>
          </w:p>
        </w:tc>
      </w:tr>
      <w:tr w:rsidR="00972CE3">
        <w:trPr>
          <w:trHeight w:val="225"/>
        </w:trPr>
        <w:tc>
          <w:tcPr>
            <w:tcW w:w="1455" w:type="dxa"/>
            <w:tcBorders>
              <w:left w:val="single" w:sz="4" w:space="0" w:color="000000"/>
              <w:right w:val="single" w:sz="4" w:space="0" w:color="000000"/>
            </w:tcBorders>
          </w:tcPr>
          <w:p w:rsidR="00972CE3" w:rsidRDefault="001F20D2">
            <w:pPr>
              <w:pStyle w:val="TableParagraph"/>
              <w:spacing w:line="206" w:lineRule="exact"/>
              <w:ind w:left="1"/>
              <w:rPr>
                <w:sz w:val="20"/>
              </w:rPr>
            </w:pPr>
            <w:r>
              <w:rPr>
                <w:spacing w:val="-5"/>
                <w:sz w:val="20"/>
              </w:rPr>
              <w:t>ZR3</w:t>
            </w:r>
          </w:p>
        </w:tc>
        <w:tc>
          <w:tcPr>
            <w:tcW w:w="1939" w:type="dxa"/>
            <w:tcBorders>
              <w:left w:val="single" w:sz="4" w:space="0" w:color="000000"/>
              <w:right w:val="single" w:sz="4" w:space="0" w:color="000000"/>
            </w:tcBorders>
          </w:tcPr>
          <w:p w:rsidR="00972CE3" w:rsidRDefault="001F20D2">
            <w:pPr>
              <w:pStyle w:val="TableParagraph"/>
              <w:spacing w:line="206" w:lineRule="exact"/>
              <w:ind w:left="8" w:right="3"/>
              <w:rPr>
                <w:sz w:val="20"/>
              </w:rPr>
            </w:pPr>
            <w:r>
              <w:rPr>
                <w:sz w:val="20"/>
              </w:rPr>
              <w:t>40m</w:t>
            </w:r>
            <w:r>
              <w:rPr>
                <w:spacing w:val="1"/>
                <w:sz w:val="20"/>
              </w:rPr>
              <w:t xml:space="preserve"> </w:t>
            </w:r>
            <w:r>
              <w:rPr>
                <w:sz w:val="20"/>
              </w:rPr>
              <w:t>/</w:t>
            </w:r>
            <w:r>
              <w:rPr>
                <w:spacing w:val="-4"/>
                <w:sz w:val="20"/>
              </w:rPr>
              <w:t xml:space="preserve"> </w:t>
            </w:r>
            <w:r>
              <w:rPr>
                <w:spacing w:val="-2"/>
                <w:sz w:val="20"/>
              </w:rPr>
              <w:t>13pav</w:t>
            </w:r>
          </w:p>
        </w:tc>
        <w:tc>
          <w:tcPr>
            <w:tcW w:w="1275" w:type="dxa"/>
            <w:tcBorders>
              <w:left w:val="single" w:sz="4" w:space="0" w:color="000000"/>
              <w:right w:val="single" w:sz="4" w:space="0" w:color="000000"/>
            </w:tcBorders>
          </w:tcPr>
          <w:p w:rsidR="00972CE3" w:rsidRDefault="001F20D2">
            <w:pPr>
              <w:pStyle w:val="TableParagraph"/>
              <w:spacing w:line="206" w:lineRule="exact"/>
              <w:ind w:right="5"/>
              <w:rPr>
                <w:sz w:val="20"/>
              </w:rPr>
            </w:pPr>
            <w:r>
              <w:rPr>
                <w:spacing w:val="-5"/>
                <w:sz w:val="20"/>
              </w:rPr>
              <w:t>60%</w:t>
            </w:r>
          </w:p>
        </w:tc>
        <w:tc>
          <w:tcPr>
            <w:tcW w:w="852" w:type="dxa"/>
            <w:tcBorders>
              <w:left w:val="single" w:sz="4" w:space="0" w:color="000000"/>
              <w:right w:val="single" w:sz="4" w:space="0" w:color="000000"/>
            </w:tcBorders>
          </w:tcPr>
          <w:p w:rsidR="00972CE3" w:rsidRDefault="001F20D2">
            <w:pPr>
              <w:pStyle w:val="TableParagraph"/>
              <w:spacing w:line="206" w:lineRule="exact"/>
              <w:ind w:right="3"/>
              <w:rPr>
                <w:sz w:val="20"/>
              </w:rPr>
            </w:pPr>
            <w:r>
              <w:rPr>
                <w:spacing w:val="-5"/>
                <w:sz w:val="20"/>
              </w:rPr>
              <w:t>20m</w:t>
            </w:r>
          </w:p>
        </w:tc>
        <w:tc>
          <w:tcPr>
            <w:tcW w:w="1275" w:type="dxa"/>
            <w:tcBorders>
              <w:left w:val="single" w:sz="4" w:space="0" w:color="000000"/>
              <w:right w:val="single" w:sz="4" w:space="0" w:color="000000"/>
            </w:tcBorders>
          </w:tcPr>
          <w:p w:rsidR="00972CE3" w:rsidRDefault="001F20D2">
            <w:pPr>
              <w:pStyle w:val="TableParagraph"/>
              <w:spacing w:line="206" w:lineRule="exact"/>
              <w:rPr>
                <w:sz w:val="20"/>
              </w:rPr>
            </w:pPr>
            <w:r>
              <w:rPr>
                <w:spacing w:val="-2"/>
                <w:sz w:val="20"/>
              </w:rPr>
              <w:t>450m²</w:t>
            </w:r>
          </w:p>
        </w:tc>
      </w:tr>
      <w:tr w:rsidR="00972CE3">
        <w:trPr>
          <w:trHeight w:val="228"/>
        </w:trPr>
        <w:tc>
          <w:tcPr>
            <w:tcW w:w="1455" w:type="dxa"/>
            <w:tcBorders>
              <w:left w:val="single" w:sz="4" w:space="0" w:color="000000"/>
              <w:bottom w:val="single" w:sz="4" w:space="0" w:color="000000"/>
              <w:right w:val="single" w:sz="4" w:space="0" w:color="000000"/>
            </w:tcBorders>
          </w:tcPr>
          <w:p w:rsidR="00972CE3" w:rsidRDefault="001F20D2">
            <w:pPr>
              <w:pStyle w:val="TableParagraph"/>
              <w:spacing w:line="208" w:lineRule="exact"/>
              <w:ind w:left="1"/>
              <w:rPr>
                <w:sz w:val="20"/>
              </w:rPr>
            </w:pPr>
            <w:r>
              <w:rPr>
                <w:spacing w:val="-5"/>
                <w:sz w:val="20"/>
              </w:rPr>
              <w:t>ZR5</w:t>
            </w:r>
          </w:p>
        </w:tc>
        <w:tc>
          <w:tcPr>
            <w:tcW w:w="1939" w:type="dxa"/>
            <w:tcBorders>
              <w:left w:val="single" w:sz="4" w:space="0" w:color="000000"/>
              <w:bottom w:val="single" w:sz="4" w:space="0" w:color="000000"/>
              <w:right w:val="single" w:sz="4" w:space="0" w:color="000000"/>
            </w:tcBorders>
          </w:tcPr>
          <w:p w:rsidR="00972CE3" w:rsidRDefault="001F20D2">
            <w:pPr>
              <w:pStyle w:val="TableParagraph"/>
              <w:spacing w:line="208" w:lineRule="exact"/>
              <w:ind w:left="8"/>
              <w:rPr>
                <w:sz w:val="20"/>
              </w:rPr>
            </w:pPr>
            <w:r>
              <w:rPr>
                <w:sz w:val="20"/>
              </w:rPr>
              <w:t>20m</w:t>
            </w:r>
            <w:r>
              <w:rPr>
                <w:spacing w:val="1"/>
                <w:sz w:val="20"/>
              </w:rPr>
              <w:t xml:space="preserve"> </w:t>
            </w:r>
            <w:r>
              <w:rPr>
                <w:sz w:val="20"/>
              </w:rPr>
              <w:t>/</w:t>
            </w:r>
            <w:r>
              <w:rPr>
                <w:spacing w:val="-4"/>
                <w:sz w:val="20"/>
              </w:rPr>
              <w:t xml:space="preserve"> 7pav</w:t>
            </w:r>
          </w:p>
        </w:tc>
        <w:tc>
          <w:tcPr>
            <w:tcW w:w="1275" w:type="dxa"/>
            <w:tcBorders>
              <w:left w:val="single" w:sz="4" w:space="0" w:color="000000"/>
              <w:bottom w:val="single" w:sz="4" w:space="0" w:color="000000"/>
              <w:right w:val="single" w:sz="4" w:space="0" w:color="000000"/>
            </w:tcBorders>
          </w:tcPr>
          <w:p w:rsidR="00972CE3" w:rsidRDefault="001F20D2">
            <w:pPr>
              <w:pStyle w:val="TableParagraph"/>
              <w:spacing w:line="208" w:lineRule="exact"/>
              <w:ind w:right="5"/>
              <w:rPr>
                <w:sz w:val="20"/>
              </w:rPr>
            </w:pPr>
            <w:r>
              <w:rPr>
                <w:spacing w:val="-5"/>
                <w:sz w:val="20"/>
              </w:rPr>
              <w:t>70%</w:t>
            </w:r>
          </w:p>
        </w:tc>
        <w:tc>
          <w:tcPr>
            <w:tcW w:w="852" w:type="dxa"/>
            <w:tcBorders>
              <w:left w:val="single" w:sz="4" w:space="0" w:color="000000"/>
              <w:bottom w:val="single" w:sz="4" w:space="0" w:color="000000"/>
              <w:right w:val="single" w:sz="4" w:space="0" w:color="000000"/>
            </w:tcBorders>
          </w:tcPr>
          <w:p w:rsidR="00972CE3" w:rsidRDefault="001F20D2">
            <w:pPr>
              <w:pStyle w:val="TableParagraph"/>
              <w:spacing w:line="208" w:lineRule="exact"/>
              <w:rPr>
                <w:sz w:val="20"/>
              </w:rPr>
            </w:pPr>
            <w:r>
              <w:rPr>
                <w:spacing w:val="-10"/>
                <w:sz w:val="20"/>
              </w:rPr>
              <w:t>5</w:t>
            </w:r>
          </w:p>
        </w:tc>
        <w:tc>
          <w:tcPr>
            <w:tcW w:w="1275" w:type="dxa"/>
            <w:tcBorders>
              <w:left w:val="single" w:sz="4" w:space="0" w:color="000000"/>
              <w:bottom w:val="single" w:sz="4" w:space="0" w:color="000000"/>
              <w:right w:val="single" w:sz="4" w:space="0" w:color="000000"/>
            </w:tcBorders>
          </w:tcPr>
          <w:p w:rsidR="00972CE3" w:rsidRDefault="001F20D2">
            <w:pPr>
              <w:pStyle w:val="TableParagraph"/>
              <w:spacing w:line="208" w:lineRule="exact"/>
              <w:rPr>
                <w:sz w:val="20"/>
              </w:rPr>
            </w:pPr>
            <w:r>
              <w:rPr>
                <w:spacing w:val="-2"/>
                <w:sz w:val="20"/>
              </w:rPr>
              <w:t>125m²</w:t>
            </w:r>
          </w:p>
        </w:tc>
      </w:tr>
    </w:tbl>
    <w:p w:rsidR="00972CE3" w:rsidRDefault="001F20D2">
      <w:pPr>
        <w:ind w:left="15" w:right="17"/>
        <w:jc w:val="center"/>
        <w:rPr>
          <w:sz w:val="20"/>
        </w:rPr>
      </w:pPr>
      <w:r>
        <w:rPr>
          <w:rFonts w:ascii="Arial" w:hAnsi="Arial"/>
          <w:b/>
          <w:sz w:val="20"/>
        </w:rPr>
        <w:t>Fonte:</w:t>
      </w:r>
      <w:r>
        <w:rPr>
          <w:rFonts w:ascii="Arial" w:hAnsi="Arial"/>
          <w:b/>
          <w:spacing w:val="-8"/>
          <w:sz w:val="20"/>
        </w:rPr>
        <w:t xml:space="preserve"> </w:t>
      </w:r>
      <w:r>
        <w:rPr>
          <w:sz w:val="20"/>
        </w:rPr>
        <w:t>São</w:t>
      </w:r>
      <w:r>
        <w:rPr>
          <w:spacing w:val="-6"/>
          <w:sz w:val="20"/>
        </w:rPr>
        <w:t xml:space="preserve"> </w:t>
      </w:r>
      <w:r>
        <w:rPr>
          <w:sz w:val="20"/>
        </w:rPr>
        <w:t>Luís,</w:t>
      </w:r>
      <w:r>
        <w:rPr>
          <w:spacing w:val="-6"/>
          <w:sz w:val="20"/>
        </w:rPr>
        <w:t xml:space="preserve"> </w:t>
      </w:r>
      <w:r>
        <w:rPr>
          <w:spacing w:val="-4"/>
          <w:sz w:val="20"/>
        </w:rPr>
        <w:t>2025</w:t>
      </w:r>
    </w:p>
    <w:p w:rsidR="00972CE3" w:rsidRDefault="001F20D2">
      <w:pPr>
        <w:pStyle w:val="Corpodetexto"/>
        <w:spacing w:before="111" w:line="360" w:lineRule="auto"/>
        <w:ind w:left="143" w:right="135" w:firstLine="719"/>
        <w:jc w:val="both"/>
      </w:pPr>
      <w:r>
        <w:t>A aberração entre escala urbana preexistente e escala edilícia proposta, da qual não se conhecem estudos sociológicos, nem análises urbanas da vizinhança, coloca sérias incógnitas: quem vai investir capital em tais empreendimentos? Quem vai se interessar p</w:t>
      </w:r>
      <w:r>
        <w:t>or tais espaços de moradia ou trabalho? Haverá um fator oculto nesta equação? O atual desenho do Programa Minha Casa, Minha Vida, com faixas variadas de renda dos candidatos, viabilizará a pretendida modernização urbana em uma versão popular da sonhada ver</w:t>
      </w:r>
      <w:r>
        <w:t>ticalização para todos e cidade para poucos?</w:t>
      </w:r>
    </w:p>
    <w:p w:rsidR="00972CE3" w:rsidRDefault="00972CE3">
      <w:pPr>
        <w:pStyle w:val="Corpodetexto"/>
        <w:spacing w:before="138"/>
      </w:pPr>
    </w:p>
    <w:p w:rsidR="00972CE3" w:rsidRDefault="001F20D2">
      <w:pPr>
        <w:pStyle w:val="Heading1"/>
        <w:numPr>
          <w:ilvl w:val="0"/>
          <w:numId w:val="2"/>
        </w:numPr>
        <w:tabs>
          <w:tab w:val="left" w:pos="862"/>
        </w:tabs>
        <w:ind w:left="862" w:hanging="719"/>
      </w:pPr>
      <w:r>
        <w:rPr>
          <w:spacing w:val="-2"/>
        </w:rPr>
        <w:t>CONCLUSÃO</w:t>
      </w:r>
    </w:p>
    <w:p w:rsidR="00972CE3" w:rsidRDefault="001F20D2">
      <w:pPr>
        <w:pStyle w:val="Corpodetexto"/>
        <w:spacing w:before="140" w:line="360" w:lineRule="auto"/>
        <w:ind w:left="143" w:right="135" w:firstLine="707"/>
        <w:jc w:val="both"/>
      </w:pPr>
      <w:r>
        <w:t xml:space="preserve">Inábil em se submeter ao incessante ritmo da sociedade capitalista, a cidade tradicional se torna “ruína do progresso jogada aos pés do anjo da história” (Benjamim, 2012). Abandonada pelo mercado, se </w:t>
      </w:r>
      <w:r>
        <w:t>torna periferia urbana, isto é, ambiente onde o Estado, obediente à agenda do capital, se omite da gestão da infraestrutura e dos serviços públicos da região. Assim, párias urbanos em sua cidade, a população que ali vive, circula, trabalha e brinca consoli</w:t>
      </w:r>
      <w:r>
        <w:t>dou uma simbiose sócio-espacial com suas ambiências urbanas que, tal qual os bairros populares periféricos, constituem senzalas urbanizadas nas cidades brasileiras.</w:t>
      </w:r>
    </w:p>
    <w:p w:rsidR="00972CE3" w:rsidRDefault="001F20D2">
      <w:pPr>
        <w:pStyle w:val="Corpodetexto"/>
        <w:spacing w:before="1" w:line="360" w:lineRule="auto"/>
        <w:ind w:left="143" w:right="138" w:firstLine="707"/>
        <w:jc w:val="both"/>
      </w:pPr>
      <w:r>
        <w:t>Resiliente aos novos processos de produção do espaço do capital financeirizado, desde final</w:t>
      </w:r>
      <w:r>
        <w:t xml:space="preserve"> do século passado assiste-se a um enfrentamento em torno</w:t>
      </w:r>
      <w:r>
        <w:rPr>
          <w:spacing w:val="40"/>
        </w:rPr>
        <w:t xml:space="preserve"> </w:t>
      </w:r>
      <w:r>
        <w:t>dos</w:t>
      </w:r>
      <w:r>
        <w:rPr>
          <w:spacing w:val="40"/>
        </w:rPr>
        <w:t xml:space="preserve"> </w:t>
      </w:r>
      <w:r>
        <w:t>seus</w:t>
      </w:r>
      <w:r>
        <w:rPr>
          <w:spacing w:val="40"/>
        </w:rPr>
        <w:t xml:space="preserve"> </w:t>
      </w:r>
      <w:r>
        <w:t>modos</w:t>
      </w:r>
      <w:r>
        <w:rPr>
          <w:spacing w:val="40"/>
        </w:rPr>
        <w:t xml:space="preserve"> </w:t>
      </w:r>
      <w:r>
        <w:t>de</w:t>
      </w:r>
      <w:r>
        <w:rPr>
          <w:spacing w:val="40"/>
        </w:rPr>
        <w:t xml:space="preserve"> </w:t>
      </w:r>
      <w:r>
        <w:t>viver,</w:t>
      </w:r>
      <w:r>
        <w:rPr>
          <w:spacing w:val="40"/>
        </w:rPr>
        <w:t xml:space="preserve"> </w:t>
      </w:r>
      <w:r>
        <w:t>fazer</w:t>
      </w:r>
      <w:r>
        <w:rPr>
          <w:spacing w:val="40"/>
        </w:rPr>
        <w:t xml:space="preserve"> </w:t>
      </w:r>
      <w:r>
        <w:t>e</w:t>
      </w:r>
      <w:r>
        <w:rPr>
          <w:spacing w:val="40"/>
        </w:rPr>
        <w:t xml:space="preserve"> </w:t>
      </w:r>
      <w:r>
        <w:t>usufruir</w:t>
      </w:r>
      <w:r>
        <w:rPr>
          <w:spacing w:val="40"/>
        </w:rPr>
        <w:t xml:space="preserve"> </w:t>
      </w:r>
      <w:r>
        <w:t>o</w:t>
      </w:r>
      <w:r>
        <w:rPr>
          <w:spacing w:val="40"/>
        </w:rPr>
        <w:t xml:space="preserve"> </w:t>
      </w:r>
      <w:r>
        <w:t>espaço.</w:t>
      </w:r>
      <w:r>
        <w:rPr>
          <w:spacing w:val="40"/>
        </w:rPr>
        <w:t xml:space="preserve"> </w:t>
      </w:r>
      <w:r>
        <w:t>Entre</w:t>
      </w:r>
      <w:r>
        <w:rPr>
          <w:spacing w:val="40"/>
        </w:rPr>
        <w:t xml:space="preserve"> </w:t>
      </w:r>
      <w:r>
        <w:t>movimentos</w:t>
      </w:r>
      <w:r>
        <w:rPr>
          <w:spacing w:val="40"/>
        </w:rPr>
        <w:t xml:space="preserve"> </w:t>
      </w:r>
      <w:r>
        <w:t>de</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2720" behindDoc="1" locked="0" layoutInCell="1" allowOverlap="1">
            <wp:simplePos x="0" y="0"/>
            <wp:positionH relativeFrom="page">
              <wp:posOffset>0</wp:posOffset>
            </wp:positionH>
            <wp:positionV relativeFrom="page">
              <wp:posOffset>6982</wp:posOffset>
            </wp:positionV>
            <wp:extent cx="7562088" cy="1048327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2"/>
      </w:pPr>
    </w:p>
    <w:p w:rsidR="00972CE3" w:rsidRDefault="001F20D2">
      <w:pPr>
        <w:pStyle w:val="Corpodetexto"/>
        <w:spacing w:line="360" w:lineRule="auto"/>
        <w:ind w:left="143" w:right="135"/>
        <w:jc w:val="both"/>
      </w:pPr>
      <w:r>
        <w:t>resistência</w:t>
      </w:r>
      <w:r>
        <w:rPr>
          <w:spacing w:val="-2"/>
        </w:rPr>
        <w:t xml:space="preserve"> </w:t>
      </w:r>
      <w:r>
        <w:t>e ações</w:t>
      </w:r>
      <w:r>
        <w:rPr>
          <w:spacing w:val="-2"/>
        </w:rPr>
        <w:t xml:space="preserve"> </w:t>
      </w:r>
      <w:r>
        <w:t>ofensivas, as</w:t>
      </w:r>
      <w:r>
        <w:rPr>
          <w:spacing w:val="-2"/>
        </w:rPr>
        <w:t xml:space="preserve"> </w:t>
      </w:r>
      <w:r>
        <w:t>forças colonizadoras do</w:t>
      </w:r>
      <w:r>
        <w:rPr>
          <w:spacing w:val="-1"/>
        </w:rPr>
        <w:t xml:space="preserve"> </w:t>
      </w:r>
      <w:r>
        <w:t>grande capital</w:t>
      </w:r>
      <w:r>
        <w:rPr>
          <w:spacing w:val="-2"/>
        </w:rPr>
        <w:t xml:space="preserve"> </w:t>
      </w:r>
      <w:r>
        <w:t>e do</w:t>
      </w:r>
      <w:r>
        <w:rPr>
          <w:spacing w:val="-1"/>
        </w:rPr>
        <w:t xml:space="preserve"> </w:t>
      </w:r>
      <w:r>
        <w:t>Estado manipulam a modernidade como destino inevitável, “bem comum” a prometer o futuro a esse Fausto que, anacrônico, resiste a abdicar da própria alma.</w:t>
      </w:r>
    </w:p>
    <w:p w:rsidR="00972CE3" w:rsidRDefault="001F20D2">
      <w:pPr>
        <w:pStyle w:val="Corpodetexto"/>
        <w:spacing w:line="360" w:lineRule="auto"/>
        <w:ind w:left="143" w:right="134" w:firstLine="719"/>
        <w:jc w:val="both"/>
      </w:pPr>
      <w:r>
        <w:t>Diante de um novo “momento urbano” na capital maranhense, este texto se propôs examinar o movimento que, unido sujeitos do campo da técnica urbana e do capital imobiliário, visa instituir novas regras de reprodução do espaço favoráveis à imposição hegemôni</w:t>
      </w:r>
      <w:r>
        <w:t>ca de valores de troca sobre a sociabilidade ludovicense. Atingindo a região de urbanização secular de São Luís, o novo zoneamento urbano propõe submeter a cidade tradicional à lógica capitalista neoliberal, movimento iniciado em 2015 através da colonizaçã</w:t>
      </w:r>
      <w:r>
        <w:t>o do solo pelo Plano Diretor de 2023. Tendo</w:t>
      </w:r>
      <w:r>
        <w:rPr>
          <w:spacing w:val="40"/>
        </w:rPr>
        <w:t xml:space="preserve"> </w:t>
      </w:r>
      <w:r>
        <w:t>o Instituto da Cidade como laboratório que, desde os anos 1990, comanda os projetos urbanos em São Luís, o zoneamento adota táticas de “acupunturas</w:t>
      </w:r>
      <w:r>
        <w:rPr>
          <w:spacing w:val="40"/>
        </w:rPr>
        <w:t xml:space="preserve"> </w:t>
      </w:r>
      <w:r>
        <w:t>urbanas” para atrair investidores e desorganizar as economias de</w:t>
      </w:r>
      <w:r>
        <w:t xml:space="preserve"> pequena escala, contando para isso com o aval do Conselho da Cidade de São Luís, hegemonizado por interesses do mercado imobiliário local.</w:t>
      </w:r>
    </w:p>
    <w:p w:rsidR="00972CE3" w:rsidRDefault="00972CE3">
      <w:pPr>
        <w:pStyle w:val="Corpodetexto"/>
        <w:spacing w:before="135"/>
      </w:pPr>
    </w:p>
    <w:p w:rsidR="00972CE3" w:rsidRDefault="001F20D2">
      <w:pPr>
        <w:pStyle w:val="Heading1"/>
        <w:ind w:left="143"/>
      </w:pPr>
      <w:r>
        <w:rPr>
          <w:spacing w:val="-2"/>
        </w:rPr>
        <w:t>REFERÊNCIAS</w:t>
      </w:r>
    </w:p>
    <w:p w:rsidR="00972CE3" w:rsidRDefault="00972CE3">
      <w:pPr>
        <w:pStyle w:val="Corpodetexto"/>
        <w:rPr>
          <w:rFonts w:ascii="Arial"/>
          <w:b/>
        </w:rPr>
      </w:pPr>
    </w:p>
    <w:p w:rsidR="00972CE3" w:rsidRDefault="001F20D2">
      <w:pPr>
        <w:spacing w:line="448" w:lineRule="auto"/>
        <w:ind w:left="143"/>
        <w:rPr>
          <w:sz w:val="24"/>
        </w:rPr>
      </w:pPr>
      <w:r>
        <w:rPr>
          <w:sz w:val="24"/>
        </w:rPr>
        <w:t>ANDRÉS,</w:t>
      </w:r>
      <w:r>
        <w:rPr>
          <w:spacing w:val="-3"/>
          <w:sz w:val="24"/>
        </w:rPr>
        <w:t xml:space="preserve"> </w:t>
      </w:r>
      <w:r>
        <w:rPr>
          <w:sz w:val="24"/>
        </w:rPr>
        <w:t>L.</w:t>
      </w:r>
      <w:r>
        <w:rPr>
          <w:spacing w:val="-5"/>
          <w:sz w:val="24"/>
        </w:rPr>
        <w:t xml:space="preserve"> </w:t>
      </w:r>
      <w:r>
        <w:rPr>
          <w:sz w:val="24"/>
        </w:rPr>
        <w:t>P.</w:t>
      </w:r>
      <w:r>
        <w:rPr>
          <w:spacing w:val="-3"/>
          <w:sz w:val="24"/>
        </w:rPr>
        <w:t xml:space="preserve"> </w:t>
      </w:r>
      <w:r>
        <w:rPr>
          <w:sz w:val="24"/>
        </w:rPr>
        <w:t>C.</w:t>
      </w:r>
      <w:r>
        <w:rPr>
          <w:spacing w:val="-3"/>
          <w:sz w:val="24"/>
        </w:rPr>
        <w:t xml:space="preserve"> </w:t>
      </w:r>
      <w:r>
        <w:rPr>
          <w:sz w:val="24"/>
        </w:rPr>
        <w:t>C.</w:t>
      </w:r>
      <w:r>
        <w:rPr>
          <w:spacing w:val="-5"/>
          <w:sz w:val="24"/>
        </w:rPr>
        <w:t xml:space="preserve"> </w:t>
      </w:r>
      <w:r>
        <w:rPr>
          <w:rFonts w:ascii="Arial" w:hAnsi="Arial"/>
          <w:b/>
          <w:sz w:val="24"/>
        </w:rPr>
        <w:t>Centro</w:t>
      </w:r>
      <w:r>
        <w:rPr>
          <w:rFonts w:ascii="Arial" w:hAnsi="Arial"/>
          <w:b/>
          <w:spacing w:val="-3"/>
          <w:sz w:val="24"/>
        </w:rPr>
        <w:t xml:space="preserve"> </w:t>
      </w:r>
      <w:r>
        <w:rPr>
          <w:rFonts w:ascii="Arial" w:hAnsi="Arial"/>
          <w:b/>
          <w:sz w:val="24"/>
        </w:rPr>
        <w:t>Histórico</w:t>
      </w:r>
      <w:r>
        <w:rPr>
          <w:rFonts w:ascii="Arial" w:hAnsi="Arial"/>
          <w:b/>
          <w:spacing w:val="-3"/>
          <w:sz w:val="24"/>
        </w:rPr>
        <w:t xml:space="preserve"> </w:t>
      </w:r>
      <w:r>
        <w:rPr>
          <w:rFonts w:ascii="Arial" w:hAnsi="Arial"/>
          <w:b/>
          <w:sz w:val="24"/>
        </w:rPr>
        <w:t>de</w:t>
      </w:r>
      <w:r>
        <w:rPr>
          <w:rFonts w:ascii="Arial" w:hAnsi="Arial"/>
          <w:b/>
          <w:spacing w:val="-5"/>
          <w:sz w:val="24"/>
        </w:rPr>
        <w:t xml:space="preserve"> </w:t>
      </w:r>
      <w:r>
        <w:rPr>
          <w:rFonts w:ascii="Arial" w:hAnsi="Arial"/>
          <w:b/>
          <w:sz w:val="24"/>
        </w:rPr>
        <w:t>São</w:t>
      </w:r>
      <w:r>
        <w:rPr>
          <w:rFonts w:ascii="Arial" w:hAnsi="Arial"/>
          <w:b/>
          <w:spacing w:val="-3"/>
          <w:sz w:val="24"/>
        </w:rPr>
        <w:t xml:space="preserve"> </w:t>
      </w:r>
      <w:r>
        <w:rPr>
          <w:rFonts w:ascii="Arial" w:hAnsi="Arial"/>
          <w:b/>
          <w:sz w:val="24"/>
        </w:rPr>
        <w:t>Luís.</w:t>
      </w:r>
      <w:r>
        <w:rPr>
          <w:rFonts w:ascii="Arial" w:hAnsi="Arial"/>
          <w:b/>
          <w:spacing w:val="-3"/>
          <w:sz w:val="24"/>
        </w:rPr>
        <w:t xml:space="preserve"> </w:t>
      </w:r>
      <w:r>
        <w:rPr>
          <w:sz w:val="24"/>
        </w:rPr>
        <w:t>São</w:t>
      </w:r>
      <w:r>
        <w:rPr>
          <w:spacing w:val="-4"/>
          <w:sz w:val="24"/>
        </w:rPr>
        <w:t xml:space="preserve"> </w:t>
      </w:r>
      <w:r>
        <w:rPr>
          <w:sz w:val="24"/>
        </w:rPr>
        <w:t>Paulo:</w:t>
      </w:r>
      <w:r>
        <w:rPr>
          <w:spacing w:val="-2"/>
          <w:sz w:val="24"/>
        </w:rPr>
        <w:t xml:space="preserve"> </w:t>
      </w:r>
      <w:r>
        <w:rPr>
          <w:sz w:val="24"/>
        </w:rPr>
        <w:t>FGV,</w:t>
      </w:r>
      <w:r>
        <w:rPr>
          <w:spacing w:val="-3"/>
          <w:sz w:val="24"/>
        </w:rPr>
        <w:t xml:space="preserve"> </w:t>
      </w:r>
      <w:r>
        <w:rPr>
          <w:sz w:val="24"/>
        </w:rPr>
        <w:t xml:space="preserve">1998. AZEVEDO, A. </w:t>
      </w:r>
      <w:r>
        <w:rPr>
          <w:rFonts w:ascii="Arial" w:hAnsi="Arial"/>
          <w:b/>
          <w:sz w:val="24"/>
        </w:rPr>
        <w:t xml:space="preserve">O cortiço. </w:t>
      </w:r>
      <w:r>
        <w:rPr>
          <w:sz w:val="24"/>
        </w:rPr>
        <w:t>São Pau</w:t>
      </w:r>
      <w:r>
        <w:rPr>
          <w:sz w:val="24"/>
        </w:rPr>
        <w:t>lo: Ática, 2004.</w:t>
      </w:r>
    </w:p>
    <w:p w:rsidR="00972CE3" w:rsidRDefault="001F20D2">
      <w:pPr>
        <w:spacing w:before="1" w:line="448" w:lineRule="auto"/>
        <w:ind w:left="143"/>
        <w:rPr>
          <w:sz w:val="24"/>
        </w:rPr>
      </w:pPr>
      <w:r>
        <w:rPr>
          <w:sz w:val="24"/>
        </w:rPr>
        <w:t>BARBOSA,</w:t>
      </w:r>
      <w:r>
        <w:rPr>
          <w:spacing w:val="-2"/>
          <w:sz w:val="24"/>
        </w:rPr>
        <w:t xml:space="preserve"> </w:t>
      </w:r>
      <w:r>
        <w:rPr>
          <w:sz w:val="24"/>
        </w:rPr>
        <w:t>E.</w:t>
      </w:r>
      <w:r>
        <w:rPr>
          <w:spacing w:val="-4"/>
          <w:sz w:val="24"/>
        </w:rPr>
        <w:t xml:space="preserve"> </w:t>
      </w:r>
      <w:r>
        <w:rPr>
          <w:sz w:val="24"/>
        </w:rPr>
        <w:t>G.</w:t>
      </w:r>
      <w:r>
        <w:rPr>
          <w:spacing w:val="-2"/>
          <w:sz w:val="24"/>
        </w:rPr>
        <w:t xml:space="preserve"> </w:t>
      </w:r>
      <w:r>
        <w:rPr>
          <w:sz w:val="24"/>
        </w:rPr>
        <w:t xml:space="preserve">R. </w:t>
      </w:r>
      <w:r>
        <w:rPr>
          <w:rFonts w:ascii="Arial" w:hAnsi="Arial"/>
          <w:b/>
          <w:sz w:val="24"/>
        </w:rPr>
        <w:t>Leitura</w:t>
      </w:r>
      <w:r>
        <w:rPr>
          <w:rFonts w:ascii="Arial" w:hAnsi="Arial"/>
          <w:b/>
          <w:spacing w:val="-2"/>
          <w:sz w:val="24"/>
        </w:rPr>
        <w:t xml:space="preserve"> </w:t>
      </w:r>
      <w:r>
        <w:rPr>
          <w:rFonts w:ascii="Arial" w:hAnsi="Arial"/>
          <w:b/>
          <w:sz w:val="24"/>
        </w:rPr>
        <w:t>Urbana</w:t>
      </w:r>
      <w:r>
        <w:rPr>
          <w:rFonts w:ascii="Arial" w:hAnsi="Arial"/>
          <w:b/>
          <w:spacing w:val="-4"/>
          <w:sz w:val="24"/>
        </w:rPr>
        <w:t xml:space="preserve"> </w:t>
      </w:r>
      <w:r>
        <w:rPr>
          <w:rFonts w:ascii="Arial" w:hAnsi="Arial"/>
          <w:b/>
          <w:sz w:val="24"/>
        </w:rPr>
        <w:t>de</w:t>
      </w:r>
      <w:r>
        <w:rPr>
          <w:rFonts w:ascii="Arial" w:hAnsi="Arial"/>
          <w:b/>
          <w:spacing w:val="-1"/>
          <w:sz w:val="24"/>
        </w:rPr>
        <w:t xml:space="preserve"> </w:t>
      </w:r>
      <w:r>
        <w:rPr>
          <w:rFonts w:ascii="Arial" w:hAnsi="Arial"/>
          <w:b/>
          <w:sz w:val="24"/>
        </w:rPr>
        <w:t>São</w:t>
      </w:r>
      <w:r>
        <w:rPr>
          <w:rFonts w:ascii="Arial" w:hAnsi="Arial"/>
          <w:b/>
          <w:spacing w:val="-5"/>
          <w:sz w:val="24"/>
        </w:rPr>
        <w:t xml:space="preserve"> </w:t>
      </w:r>
      <w:r>
        <w:rPr>
          <w:rFonts w:ascii="Arial" w:hAnsi="Arial"/>
          <w:b/>
          <w:sz w:val="24"/>
        </w:rPr>
        <w:t xml:space="preserve">Luis </w:t>
      </w:r>
      <w:r>
        <w:rPr>
          <w:sz w:val="24"/>
        </w:rPr>
        <w:t>(parte</w:t>
      </w:r>
      <w:r>
        <w:rPr>
          <w:spacing w:val="-2"/>
          <w:sz w:val="24"/>
        </w:rPr>
        <w:t xml:space="preserve"> </w:t>
      </w:r>
      <w:r>
        <w:rPr>
          <w:sz w:val="24"/>
        </w:rPr>
        <w:t>II).</w:t>
      </w:r>
      <w:r>
        <w:rPr>
          <w:spacing w:val="-4"/>
          <w:sz w:val="24"/>
        </w:rPr>
        <w:t xml:space="preserve"> </w:t>
      </w:r>
      <w:r>
        <w:rPr>
          <w:sz w:val="24"/>
        </w:rPr>
        <w:t>São</w:t>
      </w:r>
      <w:r>
        <w:rPr>
          <w:spacing w:val="-4"/>
          <w:sz w:val="24"/>
        </w:rPr>
        <w:t xml:space="preserve"> </w:t>
      </w:r>
      <w:r>
        <w:rPr>
          <w:sz w:val="24"/>
        </w:rPr>
        <w:t>Luís:</w:t>
      </w:r>
      <w:r>
        <w:rPr>
          <w:spacing w:val="-2"/>
          <w:sz w:val="24"/>
        </w:rPr>
        <w:t xml:space="preserve"> </w:t>
      </w:r>
      <w:r>
        <w:rPr>
          <w:sz w:val="24"/>
        </w:rPr>
        <w:t>Incid,</w:t>
      </w:r>
      <w:r>
        <w:rPr>
          <w:spacing w:val="-2"/>
          <w:sz w:val="24"/>
        </w:rPr>
        <w:t xml:space="preserve"> </w:t>
      </w:r>
      <w:r>
        <w:rPr>
          <w:sz w:val="24"/>
        </w:rPr>
        <w:t xml:space="preserve">2014. BARROS, V. </w:t>
      </w:r>
      <w:r>
        <w:rPr>
          <w:rFonts w:ascii="Arial" w:hAnsi="Arial"/>
          <w:b/>
          <w:sz w:val="24"/>
        </w:rPr>
        <w:t xml:space="preserve">Imagens do moderno em São Luís. </w:t>
      </w:r>
      <w:r>
        <w:rPr>
          <w:sz w:val="24"/>
        </w:rPr>
        <w:t>São Luís: Studio 11, 2001.</w:t>
      </w:r>
    </w:p>
    <w:p w:rsidR="00972CE3" w:rsidRDefault="001F20D2">
      <w:pPr>
        <w:spacing w:line="448" w:lineRule="auto"/>
        <w:ind w:left="143" w:right="231"/>
        <w:rPr>
          <w:sz w:val="24"/>
        </w:rPr>
      </w:pPr>
      <w:r>
        <w:rPr>
          <w:sz w:val="24"/>
        </w:rPr>
        <w:t>BENÉVOLO,</w:t>
      </w:r>
      <w:r>
        <w:rPr>
          <w:spacing w:val="-6"/>
          <w:sz w:val="24"/>
        </w:rPr>
        <w:t xml:space="preserve"> </w:t>
      </w:r>
      <w:r>
        <w:rPr>
          <w:sz w:val="24"/>
        </w:rPr>
        <w:t>L.</w:t>
      </w:r>
      <w:r>
        <w:rPr>
          <w:spacing w:val="-2"/>
          <w:sz w:val="24"/>
        </w:rPr>
        <w:t xml:space="preserve"> </w:t>
      </w:r>
      <w:r>
        <w:rPr>
          <w:rFonts w:ascii="Arial" w:hAnsi="Arial"/>
          <w:b/>
          <w:sz w:val="24"/>
        </w:rPr>
        <w:t>História</w:t>
      </w:r>
      <w:r>
        <w:rPr>
          <w:rFonts w:ascii="Arial" w:hAnsi="Arial"/>
          <w:b/>
          <w:spacing w:val="-3"/>
          <w:sz w:val="24"/>
        </w:rPr>
        <w:t xml:space="preserve"> </w:t>
      </w:r>
      <w:r>
        <w:rPr>
          <w:rFonts w:ascii="Arial" w:hAnsi="Arial"/>
          <w:b/>
          <w:sz w:val="24"/>
        </w:rPr>
        <w:t>de</w:t>
      </w:r>
      <w:r>
        <w:rPr>
          <w:rFonts w:ascii="Arial" w:hAnsi="Arial"/>
          <w:b/>
          <w:spacing w:val="-5"/>
          <w:sz w:val="24"/>
        </w:rPr>
        <w:t xml:space="preserve"> </w:t>
      </w:r>
      <w:r>
        <w:rPr>
          <w:rFonts w:ascii="Arial" w:hAnsi="Arial"/>
          <w:b/>
          <w:sz w:val="24"/>
        </w:rPr>
        <w:t>la</w:t>
      </w:r>
      <w:r>
        <w:rPr>
          <w:rFonts w:ascii="Arial" w:hAnsi="Arial"/>
          <w:b/>
          <w:spacing w:val="-5"/>
          <w:sz w:val="24"/>
        </w:rPr>
        <w:t xml:space="preserve"> </w:t>
      </w:r>
      <w:r>
        <w:rPr>
          <w:rFonts w:ascii="Arial" w:hAnsi="Arial"/>
          <w:b/>
          <w:sz w:val="24"/>
        </w:rPr>
        <w:t>arquitectura</w:t>
      </w:r>
      <w:r>
        <w:rPr>
          <w:rFonts w:ascii="Arial" w:hAnsi="Arial"/>
          <w:b/>
          <w:spacing w:val="-5"/>
          <w:sz w:val="24"/>
        </w:rPr>
        <w:t xml:space="preserve"> </w:t>
      </w:r>
      <w:r>
        <w:rPr>
          <w:rFonts w:ascii="Arial" w:hAnsi="Arial"/>
          <w:b/>
          <w:sz w:val="24"/>
        </w:rPr>
        <w:t>moderna.</w:t>
      </w:r>
      <w:r>
        <w:rPr>
          <w:rFonts w:ascii="Arial" w:hAnsi="Arial"/>
          <w:b/>
          <w:spacing w:val="-3"/>
          <w:sz w:val="24"/>
        </w:rPr>
        <w:t xml:space="preserve"> </w:t>
      </w:r>
      <w:r>
        <w:rPr>
          <w:sz w:val="24"/>
        </w:rPr>
        <w:t>Barcelona:</w:t>
      </w:r>
      <w:r>
        <w:rPr>
          <w:spacing w:val="-6"/>
          <w:sz w:val="24"/>
        </w:rPr>
        <w:t xml:space="preserve"> </w:t>
      </w:r>
      <w:r>
        <w:rPr>
          <w:sz w:val="24"/>
        </w:rPr>
        <w:t>Gustavo</w:t>
      </w:r>
      <w:r>
        <w:rPr>
          <w:spacing w:val="-4"/>
          <w:sz w:val="24"/>
        </w:rPr>
        <w:t xml:space="preserve"> </w:t>
      </w:r>
      <w:r>
        <w:rPr>
          <w:sz w:val="24"/>
        </w:rPr>
        <w:t xml:space="preserve">Gili, </w:t>
      </w:r>
      <w:r>
        <w:rPr>
          <w:spacing w:val="-2"/>
          <w:sz w:val="24"/>
        </w:rPr>
        <w:t>1974.</w:t>
      </w:r>
    </w:p>
    <w:p w:rsidR="00972CE3" w:rsidRDefault="001F20D2">
      <w:pPr>
        <w:ind w:left="143"/>
        <w:rPr>
          <w:sz w:val="24"/>
        </w:rPr>
      </w:pPr>
      <w:r>
        <w:rPr>
          <w:sz w:val="24"/>
        </w:rPr>
        <w:t>BENJAMIM,</w:t>
      </w:r>
      <w:r>
        <w:rPr>
          <w:spacing w:val="-6"/>
          <w:sz w:val="24"/>
        </w:rPr>
        <w:t xml:space="preserve"> </w:t>
      </w:r>
      <w:r>
        <w:rPr>
          <w:sz w:val="24"/>
        </w:rPr>
        <w:t>W.</w:t>
      </w:r>
      <w:r>
        <w:rPr>
          <w:spacing w:val="-4"/>
          <w:sz w:val="24"/>
        </w:rPr>
        <w:t xml:space="preserve"> </w:t>
      </w:r>
      <w:r>
        <w:rPr>
          <w:rFonts w:ascii="Arial" w:hAnsi="Arial"/>
          <w:b/>
          <w:sz w:val="24"/>
        </w:rPr>
        <w:t>O</w:t>
      </w:r>
      <w:r>
        <w:rPr>
          <w:rFonts w:ascii="Arial" w:hAnsi="Arial"/>
          <w:b/>
          <w:spacing w:val="-4"/>
          <w:sz w:val="24"/>
        </w:rPr>
        <w:t xml:space="preserve"> </w:t>
      </w:r>
      <w:r>
        <w:rPr>
          <w:rFonts w:ascii="Arial" w:hAnsi="Arial"/>
          <w:b/>
          <w:sz w:val="24"/>
        </w:rPr>
        <w:t>anjo</w:t>
      </w:r>
      <w:r>
        <w:rPr>
          <w:rFonts w:ascii="Arial" w:hAnsi="Arial"/>
          <w:b/>
          <w:spacing w:val="-2"/>
          <w:sz w:val="24"/>
        </w:rPr>
        <w:t xml:space="preserve"> </w:t>
      </w:r>
      <w:r>
        <w:rPr>
          <w:rFonts w:ascii="Arial" w:hAnsi="Arial"/>
          <w:b/>
          <w:sz w:val="24"/>
        </w:rPr>
        <w:t>da</w:t>
      </w:r>
      <w:r>
        <w:rPr>
          <w:rFonts w:ascii="Arial" w:hAnsi="Arial"/>
          <w:b/>
          <w:spacing w:val="-1"/>
          <w:sz w:val="24"/>
        </w:rPr>
        <w:t xml:space="preserve"> </w:t>
      </w:r>
      <w:r>
        <w:rPr>
          <w:rFonts w:ascii="Arial" w:hAnsi="Arial"/>
          <w:b/>
          <w:sz w:val="24"/>
        </w:rPr>
        <w:t xml:space="preserve">história. </w:t>
      </w:r>
      <w:r>
        <w:rPr>
          <w:sz w:val="24"/>
        </w:rPr>
        <w:t>Belo</w:t>
      </w:r>
      <w:r>
        <w:rPr>
          <w:spacing w:val="-2"/>
          <w:sz w:val="24"/>
        </w:rPr>
        <w:t xml:space="preserve"> </w:t>
      </w:r>
      <w:r>
        <w:rPr>
          <w:sz w:val="24"/>
        </w:rPr>
        <w:t>Horizonte:</w:t>
      </w:r>
      <w:r>
        <w:rPr>
          <w:spacing w:val="-2"/>
          <w:sz w:val="24"/>
        </w:rPr>
        <w:t xml:space="preserve"> </w:t>
      </w:r>
      <w:r>
        <w:rPr>
          <w:sz w:val="24"/>
        </w:rPr>
        <w:t>Autêntica,</w:t>
      </w:r>
      <w:r>
        <w:rPr>
          <w:spacing w:val="-4"/>
          <w:sz w:val="24"/>
        </w:rPr>
        <w:t xml:space="preserve"> </w:t>
      </w:r>
      <w:r>
        <w:rPr>
          <w:spacing w:val="-2"/>
          <w:sz w:val="24"/>
        </w:rPr>
        <w:t>2012.</w:t>
      </w:r>
    </w:p>
    <w:p w:rsidR="00972CE3" w:rsidRDefault="001F20D2">
      <w:pPr>
        <w:pStyle w:val="Corpodetexto"/>
        <w:tabs>
          <w:tab w:val="left" w:pos="2421"/>
          <w:tab w:val="left" w:pos="3683"/>
          <w:tab w:val="left" w:pos="5171"/>
          <w:tab w:val="left" w:pos="6767"/>
          <w:tab w:val="left" w:pos="8882"/>
        </w:tabs>
        <w:spacing w:before="239"/>
        <w:ind w:left="143" w:right="137"/>
      </w:pPr>
      <w:r>
        <w:t>BOURDIEU,</w:t>
      </w:r>
      <w:r>
        <w:rPr>
          <w:spacing w:val="80"/>
        </w:rPr>
        <w:t xml:space="preserve"> </w:t>
      </w:r>
      <w:r>
        <w:t>P.</w:t>
      </w:r>
      <w:r>
        <w:rPr>
          <w:spacing w:val="80"/>
        </w:rPr>
        <w:t xml:space="preserve"> </w:t>
      </w:r>
      <w:r>
        <w:t>Espaço</w:t>
      </w:r>
      <w:r>
        <w:rPr>
          <w:spacing w:val="80"/>
        </w:rPr>
        <w:t xml:space="preserve"> </w:t>
      </w:r>
      <w:r>
        <w:t>físico,</w:t>
      </w:r>
      <w:r>
        <w:rPr>
          <w:spacing w:val="80"/>
        </w:rPr>
        <w:t xml:space="preserve"> </w:t>
      </w:r>
      <w:r>
        <w:t>espaço</w:t>
      </w:r>
      <w:r>
        <w:rPr>
          <w:spacing w:val="80"/>
        </w:rPr>
        <w:t xml:space="preserve"> </w:t>
      </w:r>
      <w:r>
        <w:t>social</w:t>
      </w:r>
      <w:r>
        <w:rPr>
          <w:spacing w:val="80"/>
        </w:rPr>
        <w:t xml:space="preserve"> </w:t>
      </w:r>
      <w:r>
        <w:t>e</w:t>
      </w:r>
      <w:r>
        <w:rPr>
          <w:spacing w:val="80"/>
        </w:rPr>
        <w:t xml:space="preserve"> </w:t>
      </w:r>
      <w:r>
        <w:t>espaço</w:t>
      </w:r>
      <w:r>
        <w:rPr>
          <w:spacing w:val="80"/>
        </w:rPr>
        <w:t xml:space="preserve"> </w:t>
      </w:r>
      <w:r>
        <w:t>apropriado.</w:t>
      </w:r>
      <w:r>
        <w:rPr>
          <w:spacing w:val="80"/>
          <w:w w:val="150"/>
        </w:rPr>
        <w:t xml:space="preserve"> </w:t>
      </w:r>
      <w:r>
        <w:rPr>
          <w:rFonts w:ascii="Arial" w:hAnsi="Arial"/>
          <w:b/>
        </w:rPr>
        <w:t>Estudos</w:t>
      </w:r>
      <w:r>
        <w:rPr>
          <w:rFonts w:ascii="Arial" w:hAnsi="Arial"/>
          <w:b/>
          <w:spacing w:val="40"/>
        </w:rPr>
        <w:t xml:space="preserve"> </w:t>
      </w:r>
      <w:r>
        <w:rPr>
          <w:rFonts w:ascii="Arial" w:hAnsi="Arial"/>
          <w:b/>
          <w:spacing w:val="-2"/>
        </w:rPr>
        <w:t>Avançados</w:t>
      </w:r>
      <w:r>
        <w:rPr>
          <w:rFonts w:ascii="Arial" w:hAnsi="Arial"/>
          <w:b/>
        </w:rPr>
        <w:tab/>
      </w:r>
      <w:r>
        <w:rPr>
          <w:spacing w:val="-5"/>
        </w:rPr>
        <w:t>27</w:t>
      </w:r>
      <w:r>
        <w:tab/>
      </w:r>
      <w:r>
        <w:rPr>
          <w:spacing w:val="-2"/>
        </w:rPr>
        <w:t>(79),</w:t>
      </w:r>
      <w:r>
        <w:tab/>
      </w:r>
      <w:r>
        <w:rPr>
          <w:spacing w:val="-2"/>
        </w:rPr>
        <w:t>2013.</w:t>
      </w:r>
      <w:r>
        <w:tab/>
      </w:r>
      <w:r>
        <w:rPr>
          <w:spacing w:val="-2"/>
        </w:rPr>
        <w:t>Disponível</w:t>
      </w:r>
      <w:r>
        <w:tab/>
      </w:r>
      <w:r>
        <w:rPr>
          <w:spacing w:val="-5"/>
        </w:rPr>
        <w:t>em</w:t>
      </w:r>
    </w:p>
    <w:p w:rsidR="00972CE3" w:rsidRDefault="00972CE3">
      <w:pPr>
        <w:pStyle w:val="Corpodetexto"/>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3232" behindDoc="1" locked="0" layoutInCell="1" allowOverlap="1">
            <wp:simplePos x="0" y="0"/>
            <wp:positionH relativeFrom="page">
              <wp:posOffset>0</wp:posOffset>
            </wp:positionH>
            <wp:positionV relativeFrom="page">
              <wp:posOffset>6982</wp:posOffset>
            </wp:positionV>
            <wp:extent cx="7562088" cy="1048327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0"/>
      </w:pPr>
    </w:p>
    <w:p w:rsidR="00972CE3" w:rsidRDefault="00972CE3">
      <w:pPr>
        <w:pStyle w:val="Corpodetexto"/>
        <w:ind w:left="143" w:right="136"/>
        <w:jc w:val="both"/>
      </w:pPr>
      <w:hyperlink r:id="rId18">
        <w:r w:rsidR="001F20D2">
          <w:rPr>
            <w:color w:val="0462C1"/>
            <w:u w:val="single" w:color="0462C1"/>
          </w:rPr>
          <w:t>https://www.scielo.br/j/ea/a/Bw9dSHXsM8mC6bg9X7NLDTH/?lang=pt</w:t>
        </w:r>
      </w:hyperlink>
      <w:r w:rsidR="001F20D2">
        <w:rPr>
          <w:color w:val="0462C1"/>
        </w:rPr>
        <w:t xml:space="preserve"> </w:t>
      </w:r>
      <w:r w:rsidR="001F20D2">
        <w:t>acesso em 02 set. 2025.</w:t>
      </w:r>
    </w:p>
    <w:p w:rsidR="00972CE3" w:rsidRDefault="001F20D2">
      <w:pPr>
        <w:spacing w:before="240"/>
        <w:ind w:left="143" w:right="135"/>
        <w:jc w:val="both"/>
        <w:rPr>
          <w:sz w:val="24"/>
        </w:rPr>
      </w:pPr>
      <w:r>
        <w:rPr>
          <w:sz w:val="24"/>
        </w:rPr>
        <w:t xml:space="preserve">BURNETT, F. L. </w:t>
      </w:r>
      <w:r>
        <w:rPr>
          <w:rFonts w:ascii="Arial" w:hAnsi="Arial"/>
          <w:b/>
          <w:sz w:val="24"/>
        </w:rPr>
        <w:t>A modernidade como ressignificação da ideia do urbano</w:t>
      </w:r>
      <w:r>
        <w:rPr>
          <w:sz w:val="24"/>
        </w:rPr>
        <w:t xml:space="preserve">: a destruição da cidade </w:t>
      </w:r>
      <w:r>
        <w:rPr>
          <w:sz w:val="24"/>
        </w:rPr>
        <w:t>tradicional em São Luís do Maranhão. in: Rodrigues, Z. M. R.; Feitosa, M. M. M. Singularidades do espaço urbano em São Luís. Teresina: Cancioneiro, 2022.</w:t>
      </w:r>
    </w:p>
    <w:p w:rsidR="00972CE3" w:rsidRDefault="001F20D2">
      <w:pPr>
        <w:pStyle w:val="Corpodetexto"/>
        <w:spacing w:before="241"/>
        <w:ind w:left="143" w:right="137"/>
        <w:jc w:val="both"/>
      </w:pPr>
      <w:r>
        <w:t xml:space="preserve">CRUZ. R. C. A. Políticas públicas de turismo no Brasil: território usado, território negligenciado. </w:t>
      </w:r>
      <w:r>
        <w:rPr>
          <w:rFonts w:ascii="Arial" w:hAnsi="Arial"/>
          <w:b/>
        </w:rPr>
        <w:t>Ge</w:t>
      </w:r>
      <w:r>
        <w:rPr>
          <w:rFonts w:ascii="Arial" w:hAnsi="Arial"/>
          <w:b/>
        </w:rPr>
        <w:t>osul</w:t>
      </w:r>
      <w:r>
        <w:t>, Florianópolis, v. 20, n. 40, p 27-43, jul./dez. 2005</w:t>
      </w:r>
      <w:r>
        <w:rPr>
          <w:rFonts w:ascii="Arial" w:hAnsi="Arial"/>
          <w:b/>
        </w:rPr>
        <w:t xml:space="preserve">. </w:t>
      </w:r>
      <w:r>
        <w:t xml:space="preserve">Disponível em </w:t>
      </w:r>
      <w:hyperlink r:id="rId19">
        <w:r>
          <w:rPr>
            <w:color w:val="0462C1"/>
            <w:u w:val="single" w:color="0462C1"/>
          </w:rPr>
          <w:t>https://periodicos.ufsc.br/index.php/geosul/article/download/13234/12254/40834</w:t>
        </w:r>
      </w:hyperlink>
      <w:r>
        <w:rPr>
          <w:color w:val="0462C1"/>
        </w:rPr>
        <w:t xml:space="preserve"> </w:t>
      </w:r>
      <w:r>
        <w:t xml:space="preserve">acesso </w:t>
      </w:r>
      <w:r>
        <w:t>em 08 set 2025.</w:t>
      </w:r>
    </w:p>
    <w:p w:rsidR="00972CE3" w:rsidRDefault="001F20D2">
      <w:pPr>
        <w:pStyle w:val="Corpodetexto"/>
        <w:spacing w:before="240"/>
        <w:ind w:left="143" w:right="136"/>
        <w:jc w:val="both"/>
      </w:pPr>
      <w:r>
        <w:t xml:space="preserve">CUSTÓDIO, J. A. C. “Stadtluft Macht Frei”: A “Libertação” das obrigações feudais. O ar da cidade liberta. </w:t>
      </w:r>
      <w:r>
        <w:rPr>
          <w:rFonts w:ascii="Arial" w:hAnsi="Arial"/>
          <w:b/>
        </w:rPr>
        <w:t xml:space="preserve">Anais </w:t>
      </w:r>
      <w:r>
        <w:t>XIV Jornada de Estudos Antigos e Medievais, Maringá- PR, 18 a 20/11/2015.</w:t>
      </w:r>
    </w:p>
    <w:p w:rsidR="00972CE3" w:rsidRDefault="001F20D2">
      <w:pPr>
        <w:pStyle w:val="Corpodetexto"/>
        <w:spacing w:before="240"/>
        <w:ind w:left="143" w:right="135"/>
        <w:jc w:val="both"/>
      </w:pPr>
      <w:r>
        <w:t xml:space="preserve">FEDERICI, S. </w:t>
      </w:r>
      <w:r>
        <w:rPr>
          <w:rFonts w:ascii="Arial" w:hAnsi="Arial"/>
          <w:b/>
        </w:rPr>
        <w:t>Calibã e a Bruxa</w:t>
      </w:r>
      <w:r>
        <w:t>: Mulheres, corpo e acumu</w:t>
      </w:r>
      <w:r>
        <w:t>lação primitiva. São</w:t>
      </w:r>
      <w:r>
        <w:rPr>
          <w:spacing w:val="40"/>
        </w:rPr>
        <w:t xml:space="preserve"> </w:t>
      </w:r>
      <w:r>
        <w:t>Paulo: Elefante, 2023.</w:t>
      </w:r>
    </w:p>
    <w:p w:rsidR="00972CE3" w:rsidRDefault="001F20D2">
      <w:pPr>
        <w:spacing w:before="240"/>
        <w:ind w:left="143"/>
        <w:rPr>
          <w:sz w:val="24"/>
        </w:rPr>
      </w:pPr>
      <w:r>
        <w:rPr>
          <w:sz w:val="24"/>
        </w:rPr>
        <w:t>HALL,</w:t>
      </w:r>
      <w:r>
        <w:rPr>
          <w:spacing w:val="-7"/>
          <w:sz w:val="24"/>
        </w:rPr>
        <w:t xml:space="preserve"> </w:t>
      </w:r>
      <w:r>
        <w:rPr>
          <w:sz w:val="24"/>
        </w:rPr>
        <w:t>P</w:t>
      </w:r>
      <w:r>
        <w:rPr>
          <w:rFonts w:ascii="Arial" w:hAnsi="Arial"/>
          <w:b/>
          <w:sz w:val="24"/>
        </w:rPr>
        <w:t>.</w:t>
      </w:r>
      <w:r>
        <w:rPr>
          <w:rFonts w:ascii="Arial" w:hAnsi="Arial"/>
          <w:b/>
          <w:spacing w:val="-2"/>
          <w:sz w:val="24"/>
        </w:rPr>
        <w:t xml:space="preserve"> </w:t>
      </w:r>
      <w:r>
        <w:rPr>
          <w:rFonts w:ascii="Arial" w:hAnsi="Arial"/>
          <w:b/>
          <w:sz w:val="24"/>
        </w:rPr>
        <w:t>Cidades</w:t>
      </w:r>
      <w:r>
        <w:rPr>
          <w:rFonts w:ascii="Arial" w:hAnsi="Arial"/>
          <w:b/>
          <w:spacing w:val="-2"/>
          <w:sz w:val="24"/>
        </w:rPr>
        <w:t xml:space="preserve"> </w:t>
      </w:r>
      <w:r>
        <w:rPr>
          <w:rFonts w:ascii="Arial" w:hAnsi="Arial"/>
          <w:b/>
          <w:sz w:val="24"/>
        </w:rPr>
        <w:t>do</w:t>
      </w:r>
      <w:r>
        <w:rPr>
          <w:rFonts w:ascii="Arial" w:hAnsi="Arial"/>
          <w:b/>
          <w:spacing w:val="-4"/>
          <w:sz w:val="24"/>
        </w:rPr>
        <w:t xml:space="preserve"> </w:t>
      </w:r>
      <w:r>
        <w:rPr>
          <w:rFonts w:ascii="Arial" w:hAnsi="Arial"/>
          <w:b/>
          <w:sz w:val="24"/>
        </w:rPr>
        <w:t>amanhã.</w:t>
      </w:r>
      <w:r>
        <w:rPr>
          <w:rFonts w:ascii="Arial" w:hAnsi="Arial"/>
          <w:b/>
          <w:spacing w:val="-3"/>
          <w:sz w:val="24"/>
        </w:rPr>
        <w:t xml:space="preserve"> </w:t>
      </w:r>
      <w:r>
        <w:rPr>
          <w:sz w:val="24"/>
        </w:rPr>
        <w:t>São</w:t>
      </w:r>
      <w:r>
        <w:rPr>
          <w:spacing w:val="-3"/>
          <w:sz w:val="24"/>
        </w:rPr>
        <w:t xml:space="preserve"> </w:t>
      </w:r>
      <w:r>
        <w:rPr>
          <w:sz w:val="24"/>
        </w:rPr>
        <w:t>Paulo:</w:t>
      </w:r>
      <w:r>
        <w:rPr>
          <w:spacing w:val="-4"/>
          <w:sz w:val="24"/>
        </w:rPr>
        <w:t xml:space="preserve"> </w:t>
      </w:r>
      <w:r>
        <w:rPr>
          <w:sz w:val="24"/>
        </w:rPr>
        <w:t>Perspectiva,</w:t>
      </w:r>
      <w:r>
        <w:rPr>
          <w:spacing w:val="-2"/>
          <w:sz w:val="24"/>
        </w:rPr>
        <w:t xml:space="preserve"> 2002.</w:t>
      </w:r>
    </w:p>
    <w:p w:rsidR="00972CE3" w:rsidRDefault="001F20D2">
      <w:pPr>
        <w:spacing w:before="240" w:line="448" w:lineRule="auto"/>
        <w:ind w:left="143" w:right="231"/>
        <w:rPr>
          <w:sz w:val="24"/>
        </w:rPr>
      </w:pPr>
      <w:r>
        <w:rPr>
          <w:sz w:val="24"/>
        </w:rPr>
        <w:t>HARVEY,</w:t>
      </w:r>
      <w:r>
        <w:rPr>
          <w:spacing w:val="-4"/>
          <w:sz w:val="24"/>
        </w:rPr>
        <w:t xml:space="preserve"> </w:t>
      </w:r>
      <w:r>
        <w:rPr>
          <w:sz w:val="24"/>
        </w:rPr>
        <w:t>D.</w:t>
      </w:r>
      <w:r>
        <w:rPr>
          <w:spacing w:val="-4"/>
          <w:sz w:val="24"/>
        </w:rPr>
        <w:t xml:space="preserve"> </w:t>
      </w:r>
      <w:r>
        <w:rPr>
          <w:rFonts w:ascii="Arial" w:hAnsi="Arial"/>
          <w:b/>
          <w:sz w:val="24"/>
        </w:rPr>
        <w:t>Paris,</w:t>
      </w:r>
      <w:r>
        <w:rPr>
          <w:rFonts w:ascii="Arial" w:hAnsi="Arial"/>
          <w:b/>
          <w:spacing w:val="-6"/>
          <w:sz w:val="24"/>
        </w:rPr>
        <w:t xml:space="preserve"> </w:t>
      </w:r>
      <w:r>
        <w:rPr>
          <w:rFonts w:ascii="Arial" w:hAnsi="Arial"/>
          <w:b/>
          <w:sz w:val="24"/>
        </w:rPr>
        <w:t>capital</w:t>
      </w:r>
      <w:r>
        <w:rPr>
          <w:rFonts w:ascii="Arial" w:hAnsi="Arial"/>
          <w:b/>
          <w:spacing w:val="-4"/>
          <w:sz w:val="24"/>
        </w:rPr>
        <w:t xml:space="preserve"> </w:t>
      </w:r>
      <w:r>
        <w:rPr>
          <w:rFonts w:ascii="Arial" w:hAnsi="Arial"/>
          <w:b/>
          <w:sz w:val="24"/>
        </w:rPr>
        <w:t>da</w:t>
      </w:r>
      <w:r>
        <w:rPr>
          <w:rFonts w:ascii="Arial" w:hAnsi="Arial"/>
          <w:b/>
          <w:spacing w:val="-3"/>
          <w:sz w:val="24"/>
        </w:rPr>
        <w:t xml:space="preserve"> </w:t>
      </w:r>
      <w:r>
        <w:rPr>
          <w:rFonts w:ascii="Arial" w:hAnsi="Arial"/>
          <w:b/>
          <w:sz w:val="24"/>
        </w:rPr>
        <w:t xml:space="preserve">modernidade. </w:t>
      </w:r>
      <w:r>
        <w:rPr>
          <w:sz w:val="24"/>
        </w:rPr>
        <w:t>São</w:t>
      </w:r>
      <w:r>
        <w:rPr>
          <w:spacing w:val="-6"/>
          <w:sz w:val="24"/>
        </w:rPr>
        <w:t xml:space="preserve"> </w:t>
      </w:r>
      <w:r>
        <w:rPr>
          <w:sz w:val="24"/>
        </w:rPr>
        <w:t>Paulo:</w:t>
      </w:r>
      <w:r>
        <w:rPr>
          <w:spacing w:val="-6"/>
          <w:sz w:val="24"/>
        </w:rPr>
        <w:t xml:space="preserve"> </w:t>
      </w:r>
      <w:r>
        <w:rPr>
          <w:sz w:val="24"/>
        </w:rPr>
        <w:t>Boitempo,</w:t>
      </w:r>
      <w:r>
        <w:rPr>
          <w:spacing w:val="-6"/>
          <w:sz w:val="24"/>
        </w:rPr>
        <w:t xml:space="preserve"> </w:t>
      </w:r>
      <w:r>
        <w:rPr>
          <w:sz w:val="24"/>
        </w:rPr>
        <w:t xml:space="preserve">2015. ITAPARY, J. </w:t>
      </w:r>
      <w:r>
        <w:rPr>
          <w:rFonts w:ascii="Arial" w:hAnsi="Arial"/>
          <w:b/>
          <w:sz w:val="24"/>
        </w:rPr>
        <w:t xml:space="preserve">A falência do ilusório. </w:t>
      </w:r>
      <w:r>
        <w:rPr>
          <w:sz w:val="24"/>
        </w:rPr>
        <w:t>São Luís: Alumar, 1995.</w:t>
      </w:r>
    </w:p>
    <w:p w:rsidR="00972CE3" w:rsidRDefault="001F20D2">
      <w:pPr>
        <w:ind w:left="143"/>
        <w:rPr>
          <w:sz w:val="24"/>
        </w:rPr>
      </w:pPr>
      <w:r>
        <w:rPr>
          <w:sz w:val="24"/>
        </w:rPr>
        <w:t>LERNER,</w:t>
      </w:r>
      <w:r>
        <w:rPr>
          <w:spacing w:val="-4"/>
          <w:sz w:val="24"/>
        </w:rPr>
        <w:t xml:space="preserve"> </w:t>
      </w:r>
      <w:r>
        <w:rPr>
          <w:sz w:val="24"/>
        </w:rPr>
        <w:t>J.</w:t>
      </w:r>
      <w:r>
        <w:rPr>
          <w:spacing w:val="1"/>
          <w:sz w:val="24"/>
        </w:rPr>
        <w:t xml:space="preserve"> </w:t>
      </w:r>
      <w:r>
        <w:rPr>
          <w:rFonts w:ascii="Arial"/>
          <w:b/>
          <w:sz w:val="24"/>
        </w:rPr>
        <w:t>Acupuntura</w:t>
      </w:r>
      <w:r>
        <w:rPr>
          <w:rFonts w:ascii="Arial"/>
          <w:b/>
          <w:spacing w:val="-3"/>
          <w:sz w:val="24"/>
        </w:rPr>
        <w:t xml:space="preserve"> </w:t>
      </w:r>
      <w:r>
        <w:rPr>
          <w:rFonts w:ascii="Arial"/>
          <w:b/>
          <w:sz w:val="24"/>
        </w:rPr>
        <w:t>urbana.</w:t>
      </w:r>
      <w:r>
        <w:rPr>
          <w:rFonts w:ascii="Arial"/>
          <w:b/>
          <w:spacing w:val="-3"/>
          <w:sz w:val="24"/>
        </w:rPr>
        <w:t xml:space="preserve"> </w:t>
      </w:r>
      <w:r>
        <w:rPr>
          <w:sz w:val="24"/>
        </w:rPr>
        <w:t>Rio</w:t>
      </w:r>
      <w:r>
        <w:rPr>
          <w:spacing w:val="-3"/>
          <w:sz w:val="24"/>
        </w:rPr>
        <w:t xml:space="preserve"> </w:t>
      </w:r>
      <w:r>
        <w:rPr>
          <w:sz w:val="24"/>
        </w:rPr>
        <w:t>de</w:t>
      </w:r>
      <w:r>
        <w:rPr>
          <w:spacing w:val="-3"/>
          <w:sz w:val="24"/>
        </w:rPr>
        <w:t xml:space="preserve"> </w:t>
      </w:r>
      <w:r>
        <w:rPr>
          <w:sz w:val="24"/>
        </w:rPr>
        <w:t>Janeiro:</w:t>
      </w:r>
      <w:r>
        <w:rPr>
          <w:spacing w:val="-3"/>
          <w:sz w:val="24"/>
        </w:rPr>
        <w:t xml:space="preserve"> </w:t>
      </w:r>
      <w:r>
        <w:rPr>
          <w:sz w:val="24"/>
        </w:rPr>
        <w:t>Record,</w:t>
      </w:r>
      <w:r>
        <w:rPr>
          <w:spacing w:val="-3"/>
          <w:sz w:val="24"/>
        </w:rPr>
        <w:t xml:space="preserve"> </w:t>
      </w:r>
      <w:r>
        <w:rPr>
          <w:spacing w:val="-4"/>
          <w:sz w:val="24"/>
        </w:rPr>
        <w:t>2003</w:t>
      </w:r>
    </w:p>
    <w:p w:rsidR="00972CE3" w:rsidRDefault="001F20D2">
      <w:pPr>
        <w:spacing w:before="240"/>
        <w:ind w:left="143"/>
        <w:rPr>
          <w:sz w:val="24"/>
        </w:rPr>
      </w:pPr>
      <w:r>
        <w:rPr>
          <w:sz w:val="24"/>
        </w:rPr>
        <w:t xml:space="preserve">LOPES, J. A. V. </w:t>
      </w:r>
      <w:r>
        <w:rPr>
          <w:rFonts w:ascii="Arial" w:hAnsi="Arial"/>
          <w:b/>
          <w:sz w:val="24"/>
        </w:rPr>
        <w:t>São</w:t>
      </w:r>
      <w:r>
        <w:rPr>
          <w:rFonts w:ascii="Arial" w:hAnsi="Arial"/>
          <w:b/>
          <w:spacing w:val="-1"/>
          <w:sz w:val="24"/>
        </w:rPr>
        <w:t xml:space="preserve"> </w:t>
      </w:r>
      <w:r>
        <w:rPr>
          <w:rFonts w:ascii="Arial" w:hAnsi="Arial"/>
          <w:b/>
          <w:sz w:val="24"/>
        </w:rPr>
        <w:t>Luís, capital moderna</w:t>
      </w:r>
      <w:r>
        <w:rPr>
          <w:rFonts w:ascii="Arial" w:hAnsi="Arial"/>
          <w:b/>
          <w:spacing w:val="-3"/>
          <w:sz w:val="24"/>
        </w:rPr>
        <w:t xml:space="preserve"> </w:t>
      </w:r>
      <w:r>
        <w:rPr>
          <w:rFonts w:ascii="Arial" w:hAnsi="Arial"/>
          <w:b/>
          <w:sz w:val="24"/>
        </w:rPr>
        <w:t>e cidade</w:t>
      </w:r>
      <w:r>
        <w:rPr>
          <w:rFonts w:ascii="Arial" w:hAnsi="Arial"/>
          <w:b/>
          <w:spacing w:val="-2"/>
          <w:sz w:val="24"/>
        </w:rPr>
        <w:t xml:space="preserve"> </w:t>
      </w:r>
      <w:r>
        <w:rPr>
          <w:rFonts w:ascii="Arial" w:hAnsi="Arial"/>
          <w:b/>
          <w:sz w:val="24"/>
        </w:rPr>
        <w:t xml:space="preserve">colonial. </w:t>
      </w:r>
      <w:r>
        <w:rPr>
          <w:sz w:val="24"/>
        </w:rPr>
        <w:t>São Luís: Fundação Municipal de Cultura, 2013.</w:t>
      </w:r>
    </w:p>
    <w:p w:rsidR="00972CE3" w:rsidRDefault="001F20D2">
      <w:pPr>
        <w:pStyle w:val="Corpodetexto"/>
        <w:tabs>
          <w:tab w:val="left" w:pos="1543"/>
          <w:tab w:val="left" w:pos="3381"/>
          <w:tab w:val="left" w:pos="4432"/>
          <w:tab w:val="left" w:pos="5658"/>
          <w:tab w:val="left" w:pos="6981"/>
          <w:tab w:val="left" w:pos="8816"/>
        </w:tabs>
        <w:spacing w:before="241"/>
        <w:ind w:left="143" w:right="137"/>
        <w:jc w:val="both"/>
      </w:pPr>
      <w:r>
        <w:rPr>
          <w:spacing w:val="-4"/>
        </w:rPr>
        <w:t>MAPA</w:t>
      </w:r>
      <w:r>
        <w:tab/>
      </w:r>
      <w:r>
        <w:rPr>
          <w:spacing w:val="-2"/>
        </w:rPr>
        <w:t>ANIMADO</w:t>
      </w:r>
      <w:r>
        <w:tab/>
      </w:r>
      <w:r>
        <w:rPr>
          <w:spacing w:val="-6"/>
        </w:rPr>
        <w:t>DE</w:t>
      </w:r>
      <w:r>
        <w:tab/>
      </w:r>
      <w:r>
        <w:rPr>
          <w:spacing w:val="-4"/>
        </w:rPr>
        <w:t>SÃO</w:t>
      </w:r>
      <w:r>
        <w:tab/>
      </w:r>
      <w:r>
        <w:rPr>
          <w:spacing w:val="-2"/>
        </w:rPr>
        <w:t>LUÍS.</w:t>
      </w:r>
      <w:r>
        <w:tab/>
      </w:r>
      <w:r>
        <w:rPr>
          <w:spacing w:val="-2"/>
        </w:rPr>
        <w:t>Disponível</w:t>
      </w:r>
      <w:r>
        <w:tab/>
      </w:r>
      <w:r>
        <w:rPr>
          <w:spacing w:val="-4"/>
        </w:rPr>
        <w:t xml:space="preserve">em: </w:t>
      </w:r>
      <w:hyperlink r:id="rId20">
        <w:r>
          <w:rPr>
            <w:color w:val="0462C1"/>
            <w:u w:val="single" w:color="0462C1"/>
          </w:rPr>
          <w:t>https://www.instagram.com/mapaanimadoslz?igsh=eTZrb2w1NHp1M2Ey</w:t>
        </w:r>
      </w:hyperlink>
      <w:r>
        <w:rPr>
          <w:color w:val="0462C1"/>
        </w:rPr>
        <w:t xml:space="preserve"> </w:t>
      </w:r>
      <w:r>
        <w:t>acesso em 03 set. 2025.</w:t>
      </w:r>
    </w:p>
    <w:p w:rsidR="00972CE3" w:rsidRDefault="001F20D2">
      <w:pPr>
        <w:spacing w:before="237"/>
        <w:ind w:left="143"/>
        <w:rPr>
          <w:sz w:val="24"/>
        </w:rPr>
      </w:pPr>
      <w:r>
        <w:rPr>
          <w:sz w:val="24"/>
        </w:rPr>
        <w:t>MARTINS,</w:t>
      </w:r>
      <w:r>
        <w:rPr>
          <w:spacing w:val="29"/>
          <w:sz w:val="24"/>
        </w:rPr>
        <w:t xml:space="preserve"> </w:t>
      </w:r>
      <w:r>
        <w:rPr>
          <w:sz w:val="24"/>
        </w:rPr>
        <w:t>J.</w:t>
      </w:r>
      <w:r>
        <w:rPr>
          <w:spacing w:val="28"/>
          <w:sz w:val="24"/>
        </w:rPr>
        <w:t xml:space="preserve"> </w:t>
      </w:r>
      <w:r>
        <w:rPr>
          <w:sz w:val="24"/>
        </w:rPr>
        <w:t>S.</w:t>
      </w:r>
      <w:r>
        <w:rPr>
          <w:spacing w:val="30"/>
          <w:sz w:val="24"/>
        </w:rPr>
        <w:t xml:space="preserve"> </w:t>
      </w:r>
      <w:r>
        <w:rPr>
          <w:rFonts w:ascii="Arial" w:hAnsi="Arial"/>
          <w:b/>
          <w:sz w:val="24"/>
        </w:rPr>
        <w:t>O</w:t>
      </w:r>
      <w:r>
        <w:rPr>
          <w:rFonts w:ascii="Arial" w:hAnsi="Arial"/>
          <w:b/>
          <w:spacing w:val="28"/>
          <w:sz w:val="24"/>
        </w:rPr>
        <w:t xml:space="preserve"> </w:t>
      </w:r>
      <w:r>
        <w:rPr>
          <w:rFonts w:ascii="Arial" w:hAnsi="Arial"/>
          <w:b/>
          <w:sz w:val="24"/>
        </w:rPr>
        <w:t>poder</w:t>
      </w:r>
      <w:r>
        <w:rPr>
          <w:rFonts w:ascii="Arial" w:hAnsi="Arial"/>
          <w:b/>
          <w:spacing w:val="28"/>
          <w:sz w:val="24"/>
        </w:rPr>
        <w:t xml:space="preserve"> </w:t>
      </w:r>
      <w:r>
        <w:rPr>
          <w:rFonts w:ascii="Arial" w:hAnsi="Arial"/>
          <w:b/>
          <w:sz w:val="24"/>
        </w:rPr>
        <w:t>do</w:t>
      </w:r>
      <w:r>
        <w:rPr>
          <w:rFonts w:ascii="Arial" w:hAnsi="Arial"/>
          <w:b/>
          <w:spacing w:val="28"/>
          <w:sz w:val="24"/>
        </w:rPr>
        <w:t xml:space="preserve"> </w:t>
      </w:r>
      <w:r>
        <w:rPr>
          <w:rFonts w:ascii="Arial" w:hAnsi="Arial"/>
          <w:b/>
          <w:sz w:val="24"/>
        </w:rPr>
        <w:t>atraso:</w:t>
      </w:r>
      <w:r>
        <w:rPr>
          <w:rFonts w:ascii="Arial" w:hAnsi="Arial"/>
          <w:b/>
          <w:spacing w:val="27"/>
          <w:sz w:val="24"/>
        </w:rPr>
        <w:t xml:space="preserve"> </w:t>
      </w:r>
      <w:r>
        <w:rPr>
          <w:rFonts w:ascii="Arial" w:hAnsi="Arial"/>
          <w:b/>
          <w:sz w:val="24"/>
        </w:rPr>
        <w:t>ensaios</w:t>
      </w:r>
      <w:r>
        <w:rPr>
          <w:rFonts w:ascii="Arial" w:hAnsi="Arial"/>
          <w:b/>
          <w:spacing w:val="29"/>
          <w:sz w:val="24"/>
        </w:rPr>
        <w:t xml:space="preserve"> </w:t>
      </w:r>
      <w:r>
        <w:rPr>
          <w:rFonts w:ascii="Arial" w:hAnsi="Arial"/>
          <w:b/>
          <w:sz w:val="24"/>
        </w:rPr>
        <w:t>sobre</w:t>
      </w:r>
      <w:r>
        <w:rPr>
          <w:rFonts w:ascii="Arial" w:hAnsi="Arial"/>
          <w:b/>
          <w:spacing w:val="28"/>
          <w:sz w:val="24"/>
        </w:rPr>
        <w:t xml:space="preserve"> </w:t>
      </w:r>
      <w:r>
        <w:rPr>
          <w:rFonts w:ascii="Arial" w:hAnsi="Arial"/>
          <w:b/>
          <w:sz w:val="24"/>
        </w:rPr>
        <w:t>a</w:t>
      </w:r>
      <w:r>
        <w:rPr>
          <w:rFonts w:ascii="Arial" w:hAnsi="Arial"/>
          <w:b/>
          <w:spacing w:val="29"/>
          <w:sz w:val="24"/>
        </w:rPr>
        <w:t xml:space="preserve"> </w:t>
      </w:r>
      <w:r>
        <w:rPr>
          <w:rFonts w:ascii="Arial" w:hAnsi="Arial"/>
          <w:b/>
          <w:sz w:val="24"/>
        </w:rPr>
        <w:t>história</w:t>
      </w:r>
      <w:r>
        <w:rPr>
          <w:rFonts w:ascii="Arial" w:hAnsi="Arial"/>
          <w:b/>
          <w:spacing w:val="29"/>
          <w:sz w:val="24"/>
        </w:rPr>
        <w:t xml:space="preserve"> </w:t>
      </w:r>
      <w:r>
        <w:rPr>
          <w:rFonts w:ascii="Arial" w:hAnsi="Arial"/>
          <w:b/>
          <w:sz w:val="24"/>
        </w:rPr>
        <w:t>lenta.</w:t>
      </w:r>
      <w:r>
        <w:rPr>
          <w:rFonts w:ascii="Arial" w:hAnsi="Arial"/>
          <w:b/>
          <w:spacing w:val="34"/>
          <w:sz w:val="24"/>
        </w:rPr>
        <w:t xml:space="preserve"> </w:t>
      </w:r>
      <w:r>
        <w:rPr>
          <w:sz w:val="24"/>
        </w:rPr>
        <w:t>São</w:t>
      </w:r>
      <w:r>
        <w:rPr>
          <w:spacing w:val="26"/>
          <w:sz w:val="24"/>
        </w:rPr>
        <w:t xml:space="preserve"> </w:t>
      </w:r>
      <w:r>
        <w:rPr>
          <w:sz w:val="24"/>
        </w:rPr>
        <w:t>Paulo: Hucitec, 1994.</w:t>
      </w:r>
    </w:p>
    <w:p w:rsidR="00972CE3" w:rsidRDefault="001F20D2">
      <w:pPr>
        <w:tabs>
          <w:tab w:val="left" w:pos="1744"/>
        </w:tabs>
        <w:spacing w:before="241"/>
        <w:ind w:left="143"/>
        <w:rPr>
          <w:sz w:val="24"/>
        </w:rPr>
      </w:pPr>
      <w:r>
        <w:rPr>
          <w:sz w:val="24"/>
          <w:u w:val="single"/>
        </w:rPr>
        <w:tab/>
      </w:r>
      <w:r>
        <w:rPr>
          <w:sz w:val="24"/>
        </w:rPr>
        <w:t>.</w:t>
      </w:r>
      <w:r>
        <w:rPr>
          <w:spacing w:val="-1"/>
          <w:sz w:val="24"/>
        </w:rPr>
        <w:t xml:space="preserve"> </w:t>
      </w:r>
      <w:r>
        <w:rPr>
          <w:rFonts w:ascii="Arial" w:hAnsi="Arial"/>
          <w:b/>
          <w:sz w:val="24"/>
        </w:rPr>
        <w:t>O</w:t>
      </w:r>
      <w:r>
        <w:rPr>
          <w:rFonts w:ascii="Arial" w:hAnsi="Arial"/>
          <w:b/>
          <w:spacing w:val="-5"/>
          <w:sz w:val="24"/>
        </w:rPr>
        <w:t xml:space="preserve"> </w:t>
      </w:r>
      <w:r>
        <w:rPr>
          <w:rFonts w:ascii="Arial" w:hAnsi="Arial"/>
          <w:b/>
          <w:sz w:val="24"/>
        </w:rPr>
        <w:t>cativeiro</w:t>
      </w:r>
      <w:r>
        <w:rPr>
          <w:rFonts w:ascii="Arial" w:hAnsi="Arial"/>
          <w:b/>
          <w:spacing w:val="-2"/>
          <w:sz w:val="24"/>
        </w:rPr>
        <w:t xml:space="preserve"> </w:t>
      </w:r>
      <w:r>
        <w:rPr>
          <w:rFonts w:ascii="Arial" w:hAnsi="Arial"/>
          <w:b/>
          <w:sz w:val="24"/>
        </w:rPr>
        <w:t>da</w:t>
      </w:r>
      <w:r>
        <w:rPr>
          <w:rFonts w:ascii="Arial" w:hAnsi="Arial"/>
          <w:b/>
          <w:spacing w:val="-2"/>
          <w:sz w:val="24"/>
        </w:rPr>
        <w:t xml:space="preserve"> </w:t>
      </w:r>
      <w:r>
        <w:rPr>
          <w:rFonts w:ascii="Arial" w:hAnsi="Arial"/>
          <w:b/>
          <w:sz w:val="24"/>
        </w:rPr>
        <w:t>terra.</w:t>
      </w:r>
      <w:r>
        <w:rPr>
          <w:rFonts w:ascii="Arial" w:hAnsi="Arial"/>
          <w:b/>
          <w:spacing w:val="-1"/>
          <w:sz w:val="24"/>
        </w:rPr>
        <w:t xml:space="preserve"> </w:t>
      </w:r>
      <w:r>
        <w:rPr>
          <w:sz w:val="24"/>
        </w:rPr>
        <w:t>São</w:t>
      </w:r>
      <w:r>
        <w:rPr>
          <w:spacing w:val="-2"/>
          <w:sz w:val="24"/>
        </w:rPr>
        <w:t xml:space="preserve"> </w:t>
      </w:r>
      <w:r>
        <w:rPr>
          <w:sz w:val="24"/>
        </w:rPr>
        <w:t>Paulo:</w:t>
      </w:r>
      <w:r>
        <w:rPr>
          <w:spacing w:val="-3"/>
          <w:sz w:val="24"/>
        </w:rPr>
        <w:t xml:space="preserve"> </w:t>
      </w:r>
      <w:r>
        <w:rPr>
          <w:sz w:val="24"/>
        </w:rPr>
        <w:t>Contexto,</w:t>
      </w:r>
      <w:r>
        <w:rPr>
          <w:spacing w:val="-5"/>
          <w:sz w:val="24"/>
        </w:rPr>
        <w:t xml:space="preserve"> </w:t>
      </w:r>
      <w:r>
        <w:rPr>
          <w:spacing w:val="-2"/>
          <w:sz w:val="24"/>
        </w:rPr>
        <w:t>2010.</w:t>
      </w:r>
    </w:p>
    <w:p w:rsidR="00972CE3" w:rsidRDefault="001F20D2">
      <w:pPr>
        <w:spacing w:before="240"/>
        <w:ind w:left="143"/>
        <w:rPr>
          <w:sz w:val="24"/>
        </w:rPr>
      </w:pPr>
      <w:r>
        <w:rPr>
          <w:sz w:val="24"/>
        </w:rPr>
        <w:t>MESQUITA,</w:t>
      </w:r>
      <w:r>
        <w:rPr>
          <w:spacing w:val="30"/>
          <w:sz w:val="24"/>
        </w:rPr>
        <w:t xml:space="preserve"> </w:t>
      </w:r>
      <w:r>
        <w:rPr>
          <w:sz w:val="24"/>
        </w:rPr>
        <w:t>R.</w:t>
      </w:r>
      <w:r>
        <w:rPr>
          <w:spacing w:val="29"/>
          <w:sz w:val="24"/>
        </w:rPr>
        <w:t xml:space="preserve"> </w:t>
      </w:r>
      <w:r>
        <w:rPr>
          <w:sz w:val="24"/>
        </w:rPr>
        <w:t>R.</w:t>
      </w:r>
      <w:r>
        <w:rPr>
          <w:spacing w:val="31"/>
          <w:sz w:val="24"/>
        </w:rPr>
        <w:t xml:space="preserve"> </w:t>
      </w:r>
      <w:r>
        <w:rPr>
          <w:rFonts w:ascii="Arial" w:hAnsi="Arial"/>
          <w:b/>
          <w:sz w:val="24"/>
        </w:rPr>
        <w:t>Plano</w:t>
      </w:r>
      <w:r>
        <w:rPr>
          <w:rFonts w:ascii="Arial" w:hAnsi="Arial"/>
          <w:b/>
          <w:spacing w:val="29"/>
          <w:sz w:val="24"/>
        </w:rPr>
        <w:t xml:space="preserve"> </w:t>
      </w:r>
      <w:r>
        <w:rPr>
          <w:rFonts w:ascii="Arial" w:hAnsi="Arial"/>
          <w:b/>
          <w:sz w:val="24"/>
        </w:rPr>
        <w:t>de</w:t>
      </w:r>
      <w:r>
        <w:rPr>
          <w:rFonts w:ascii="Arial" w:hAnsi="Arial"/>
          <w:b/>
          <w:spacing w:val="29"/>
          <w:sz w:val="24"/>
        </w:rPr>
        <w:t xml:space="preserve"> </w:t>
      </w:r>
      <w:r>
        <w:rPr>
          <w:rFonts w:ascii="Arial" w:hAnsi="Arial"/>
          <w:b/>
          <w:sz w:val="24"/>
        </w:rPr>
        <w:t>Expansão</w:t>
      </w:r>
      <w:r>
        <w:rPr>
          <w:rFonts w:ascii="Arial" w:hAnsi="Arial"/>
          <w:b/>
          <w:spacing w:val="29"/>
          <w:sz w:val="24"/>
        </w:rPr>
        <w:t xml:space="preserve"> </w:t>
      </w:r>
      <w:r>
        <w:rPr>
          <w:rFonts w:ascii="Arial" w:hAnsi="Arial"/>
          <w:b/>
          <w:sz w:val="24"/>
        </w:rPr>
        <w:t>da</w:t>
      </w:r>
      <w:r>
        <w:rPr>
          <w:rFonts w:ascii="Arial" w:hAnsi="Arial"/>
          <w:b/>
          <w:spacing w:val="29"/>
          <w:sz w:val="24"/>
        </w:rPr>
        <w:t xml:space="preserve"> </w:t>
      </w:r>
      <w:r>
        <w:rPr>
          <w:rFonts w:ascii="Arial" w:hAnsi="Arial"/>
          <w:b/>
          <w:sz w:val="24"/>
        </w:rPr>
        <w:t>Cidade</w:t>
      </w:r>
      <w:r>
        <w:rPr>
          <w:rFonts w:ascii="Arial" w:hAnsi="Arial"/>
          <w:b/>
          <w:spacing w:val="30"/>
          <w:sz w:val="24"/>
        </w:rPr>
        <w:t xml:space="preserve"> </w:t>
      </w:r>
      <w:r>
        <w:rPr>
          <w:rFonts w:ascii="Arial" w:hAnsi="Arial"/>
          <w:b/>
          <w:sz w:val="24"/>
        </w:rPr>
        <w:t>de</w:t>
      </w:r>
      <w:r>
        <w:rPr>
          <w:rFonts w:ascii="Arial" w:hAnsi="Arial"/>
          <w:b/>
          <w:spacing w:val="30"/>
          <w:sz w:val="24"/>
        </w:rPr>
        <w:t xml:space="preserve"> </w:t>
      </w:r>
      <w:r>
        <w:rPr>
          <w:rFonts w:ascii="Arial" w:hAnsi="Arial"/>
          <w:b/>
          <w:sz w:val="24"/>
        </w:rPr>
        <w:t>São</w:t>
      </w:r>
      <w:r>
        <w:rPr>
          <w:rFonts w:ascii="Arial" w:hAnsi="Arial"/>
          <w:b/>
          <w:spacing w:val="29"/>
          <w:sz w:val="24"/>
        </w:rPr>
        <w:t xml:space="preserve"> </w:t>
      </w:r>
      <w:r>
        <w:rPr>
          <w:rFonts w:ascii="Arial" w:hAnsi="Arial"/>
          <w:b/>
          <w:sz w:val="24"/>
        </w:rPr>
        <w:t>Luís.</w:t>
      </w:r>
      <w:r>
        <w:rPr>
          <w:rFonts w:ascii="Arial" w:hAnsi="Arial"/>
          <w:b/>
          <w:spacing w:val="32"/>
          <w:sz w:val="24"/>
        </w:rPr>
        <w:t xml:space="preserve"> </w:t>
      </w:r>
      <w:r>
        <w:rPr>
          <w:sz w:val="24"/>
        </w:rPr>
        <w:t>São</w:t>
      </w:r>
      <w:r>
        <w:rPr>
          <w:spacing w:val="30"/>
          <w:sz w:val="24"/>
        </w:rPr>
        <w:t xml:space="preserve"> </w:t>
      </w:r>
      <w:r>
        <w:rPr>
          <w:sz w:val="24"/>
        </w:rPr>
        <w:t>Luís:</w:t>
      </w:r>
      <w:r>
        <w:rPr>
          <w:spacing w:val="30"/>
          <w:sz w:val="24"/>
        </w:rPr>
        <w:t xml:space="preserve"> </w:t>
      </w:r>
      <w:r>
        <w:rPr>
          <w:sz w:val="24"/>
        </w:rPr>
        <w:t xml:space="preserve">1958, </w:t>
      </w:r>
      <w:r>
        <w:rPr>
          <w:spacing w:val="-2"/>
          <w:sz w:val="24"/>
        </w:rPr>
        <w:t>Mimeógrafo.</w:t>
      </w:r>
    </w:p>
    <w:p w:rsidR="00972CE3" w:rsidRDefault="00972CE3">
      <w:pPr>
        <w:rPr>
          <w:sz w:val="24"/>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3744" behindDoc="1" locked="0" layoutInCell="1" allowOverlap="1">
            <wp:simplePos x="0" y="0"/>
            <wp:positionH relativeFrom="page">
              <wp:posOffset>0</wp:posOffset>
            </wp:positionH>
            <wp:positionV relativeFrom="page">
              <wp:posOffset>6982</wp:posOffset>
            </wp:positionV>
            <wp:extent cx="7562088" cy="1048327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0"/>
      </w:pPr>
    </w:p>
    <w:p w:rsidR="00972CE3" w:rsidRDefault="001F20D2">
      <w:pPr>
        <w:ind w:left="143" w:right="137"/>
        <w:jc w:val="both"/>
        <w:rPr>
          <w:sz w:val="24"/>
        </w:rPr>
      </w:pPr>
      <w:r>
        <w:rPr>
          <w:sz w:val="24"/>
        </w:rPr>
        <w:t xml:space="preserve">MOTA, A. S.; MANTOVANI, J, D. </w:t>
      </w:r>
      <w:r>
        <w:rPr>
          <w:rFonts w:ascii="Arial" w:hAnsi="Arial"/>
          <w:b/>
          <w:sz w:val="24"/>
        </w:rPr>
        <w:t>São Luís do Maranhão no século XVIII</w:t>
      </w:r>
      <w:r>
        <w:rPr>
          <w:sz w:val="24"/>
        </w:rPr>
        <w:t>: a construção do espaço urbano sob a Lei das Sesmarias. São Luís: FUNC, 1998.</w:t>
      </w:r>
    </w:p>
    <w:p w:rsidR="00972CE3" w:rsidRDefault="001F20D2">
      <w:pPr>
        <w:pStyle w:val="Corpodetexto"/>
        <w:spacing w:before="240"/>
        <w:ind w:left="143" w:right="136"/>
        <w:jc w:val="both"/>
      </w:pPr>
      <w:r>
        <w:t xml:space="preserve">Nova lei libera construção de prédios com até 90 metros de altura, em São José de Ribamar. </w:t>
      </w:r>
      <w:r>
        <w:rPr>
          <w:rFonts w:ascii="Arial" w:hAnsi="Arial"/>
          <w:b/>
        </w:rPr>
        <w:t>O Imparcial</w:t>
      </w:r>
      <w:r>
        <w:t xml:space="preserve">, 09 ago. 2025. Disponível em </w:t>
      </w:r>
      <w:hyperlink r:id="rId21">
        <w:r>
          <w:rPr>
            <w:color w:val="0462C1"/>
            <w:spacing w:val="-2"/>
            <w:u w:val="single" w:color="0462C1"/>
          </w:rPr>
          <w:t>https://oimparcial.com.br/noticias/2025/08/nova-lei-libera-construcao-de-predios-</w:t>
        </w:r>
      </w:hyperlink>
    </w:p>
    <w:p w:rsidR="00972CE3" w:rsidRDefault="00972CE3">
      <w:pPr>
        <w:pStyle w:val="Corpodetexto"/>
        <w:spacing w:before="1"/>
        <w:ind w:left="143"/>
        <w:jc w:val="both"/>
      </w:pPr>
      <w:hyperlink r:id="rId22">
        <w:r w:rsidR="001F20D2">
          <w:rPr>
            <w:color w:val="0462C1"/>
            <w:spacing w:val="-2"/>
            <w:u w:val="single" w:color="0462C1"/>
          </w:rPr>
          <w:t>com-ate-90-metros-de-altura-em-sao-jose-de-ribamar/</w:t>
        </w:r>
      </w:hyperlink>
      <w:r w:rsidR="001F20D2">
        <w:rPr>
          <w:color w:val="0462C1"/>
          <w:spacing w:val="8"/>
        </w:rPr>
        <w:t xml:space="preserve"> </w:t>
      </w:r>
      <w:r w:rsidR="001F20D2">
        <w:rPr>
          <w:spacing w:val="-2"/>
        </w:rPr>
        <w:t>acesso</w:t>
      </w:r>
      <w:r w:rsidR="001F20D2">
        <w:rPr>
          <w:spacing w:val="10"/>
        </w:rPr>
        <w:t xml:space="preserve"> </w:t>
      </w:r>
      <w:r w:rsidR="001F20D2">
        <w:rPr>
          <w:spacing w:val="-2"/>
        </w:rPr>
        <w:t>em</w:t>
      </w:r>
      <w:r w:rsidR="001F20D2">
        <w:rPr>
          <w:spacing w:val="12"/>
        </w:rPr>
        <w:t xml:space="preserve"> </w:t>
      </w:r>
      <w:r w:rsidR="001F20D2">
        <w:rPr>
          <w:spacing w:val="-2"/>
        </w:rPr>
        <w:t>06</w:t>
      </w:r>
      <w:r w:rsidR="001F20D2">
        <w:rPr>
          <w:spacing w:val="8"/>
        </w:rPr>
        <w:t xml:space="preserve"> </w:t>
      </w:r>
      <w:r w:rsidR="001F20D2">
        <w:rPr>
          <w:spacing w:val="-2"/>
        </w:rPr>
        <w:t>set.</w:t>
      </w:r>
      <w:r w:rsidR="001F20D2">
        <w:rPr>
          <w:spacing w:val="8"/>
        </w:rPr>
        <w:t xml:space="preserve"> </w:t>
      </w:r>
      <w:r w:rsidR="001F20D2">
        <w:rPr>
          <w:spacing w:val="-2"/>
        </w:rPr>
        <w:t>2025.</w:t>
      </w:r>
    </w:p>
    <w:p w:rsidR="00972CE3" w:rsidRDefault="001F20D2">
      <w:pPr>
        <w:spacing w:before="240"/>
        <w:ind w:left="143" w:right="139"/>
        <w:jc w:val="both"/>
        <w:rPr>
          <w:sz w:val="24"/>
        </w:rPr>
      </w:pPr>
      <w:r>
        <w:rPr>
          <w:sz w:val="24"/>
        </w:rPr>
        <w:t xml:space="preserve">OLIVEIRA, F. </w:t>
      </w:r>
      <w:r>
        <w:rPr>
          <w:rFonts w:ascii="Arial" w:hAnsi="Arial"/>
          <w:b/>
          <w:sz w:val="24"/>
        </w:rPr>
        <w:t xml:space="preserve">Elegia por uma Re(li)gião. </w:t>
      </w:r>
      <w:r>
        <w:rPr>
          <w:sz w:val="24"/>
        </w:rPr>
        <w:t>Sudene, Nordeste, Planejamento e Conflito de Classes. Rio d</w:t>
      </w:r>
      <w:r>
        <w:rPr>
          <w:sz w:val="24"/>
        </w:rPr>
        <w:t>e Janeiro: Paz e Terra, 1981.</w:t>
      </w:r>
    </w:p>
    <w:p w:rsidR="00972CE3" w:rsidRDefault="001F20D2">
      <w:pPr>
        <w:spacing w:before="240"/>
        <w:ind w:left="143" w:right="134"/>
        <w:jc w:val="both"/>
        <w:rPr>
          <w:sz w:val="24"/>
        </w:rPr>
      </w:pPr>
      <w:r>
        <w:rPr>
          <w:sz w:val="24"/>
        </w:rPr>
        <w:t xml:space="preserve">PICCINATO, G. </w:t>
      </w:r>
      <w:r>
        <w:rPr>
          <w:rFonts w:ascii="Arial" w:hAnsi="Arial"/>
          <w:b/>
          <w:sz w:val="24"/>
        </w:rPr>
        <w:t xml:space="preserve">La construcción de la urbanística. </w:t>
      </w:r>
      <w:r>
        <w:rPr>
          <w:sz w:val="24"/>
        </w:rPr>
        <w:t xml:space="preserve">Barcelona: OIKOS – TAU, </w:t>
      </w:r>
      <w:r>
        <w:rPr>
          <w:spacing w:val="-2"/>
          <w:sz w:val="24"/>
        </w:rPr>
        <w:t>1993.</w:t>
      </w:r>
    </w:p>
    <w:p w:rsidR="00972CE3" w:rsidRDefault="001F20D2">
      <w:pPr>
        <w:pStyle w:val="Corpodetexto"/>
        <w:spacing w:before="240"/>
        <w:ind w:left="143" w:right="134"/>
        <w:jc w:val="both"/>
      </w:pPr>
      <w:r>
        <w:t xml:space="preserve">PINTO, R. M. </w:t>
      </w:r>
      <w:r>
        <w:rPr>
          <w:rFonts w:ascii="Arial" w:hAnsi="Arial"/>
          <w:b/>
        </w:rPr>
        <w:t xml:space="preserve">A produção rentista da habitação em São Luís: </w:t>
      </w:r>
      <w:r>
        <w:t>a moradia, o</w:t>
      </w:r>
      <w:r>
        <w:rPr>
          <w:spacing w:val="40"/>
        </w:rPr>
        <w:t xml:space="preserve"> </w:t>
      </w:r>
      <w:r>
        <w:t>espaço urbano e o capital imobiliário da República Velha ao Estado Novo. Di</w:t>
      </w:r>
      <w:r>
        <w:t>ssertação de mestrado, Programa de Pós-graduação em Desenvolvimento Socioespacial e Regional, Universidade Estadual do Maranhão, 2018.</w:t>
      </w:r>
    </w:p>
    <w:p w:rsidR="00972CE3" w:rsidRDefault="001F20D2">
      <w:pPr>
        <w:spacing w:before="240"/>
        <w:ind w:left="143" w:right="135"/>
        <w:jc w:val="both"/>
        <w:rPr>
          <w:sz w:val="24"/>
        </w:rPr>
      </w:pPr>
      <w:r>
        <w:rPr>
          <w:sz w:val="24"/>
        </w:rPr>
        <w:t xml:space="preserve">SANTOS, L. E. N. </w:t>
      </w:r>
      <w:r>
        <w:rPr>
          <w:rFonts w:ascii="Arial" w:hAnsi="Arial"/>
          <w:b/>
          <w:sz w:val="24"/>
        </w:rPr>
        <w:t>Urbanização e Planejamento Urbano na Periferia do Brasil</w:t>
      </w:r>
      <w:r>
        <w:rPr>
          <w:sz w:val="24"/>
        </w:rPr>
        <w:t>: A Revisão do Plano Diretor Participativo de Sã</w:t>
      </w:r>
      <w:r>
        <w:rPr>
          <w:sz w:val="24"/>
        </w:rPr>
        <w:t>o Luís, Maranhão (2014-2021). Tese de doutorado, Programa de Pós-Graduação em Geografia da Universidade Federal do Ceará, 2022</w:t>
      </w:r>
    </w:p>
    <w:p w:rsidR="00972CE3" w:rsidRDefault="001F20D2">
      <w:pPr>
        <w:pStyle w:val="Corpodetexto"/>
        <w:spacing w:before="240"/>
        <w:ind w:left="143" w:right="135"/>
        <w:jc w:val="both"/>
      </w:pPr>
      <w:r>
        <w:t xml:space="preserve">SANTOS, M. </w:t>
      </w:r>
      <w:r>
        <w:rPr>
          <w:rFonts w:ascii="Arial" w:hAnsi="Arial"/>
          <w:b/>
        </w:rPr>
        <w:t>A Natureza do Espaço</w:t>
      </w:r>
      <w:r>
        <w:t>: Técnica e Tempo, Razão e Emoção. São Paulo: Editora da Universidade de São Paulo, 2006</w:t>
      </w:r>
    </w:p>
    <w:p w:rsidR="00972CE3" w:rsidRDefault="001F20D2">
      <w:pPr>
        <w:spacing w:before="240"/>
        <w:ind w:left="143"/>
        <w:rPr>
          <w:sz w:val="24"/>
        </w:rPr>
      </w:pPr>
      <w:r>
        <w:rPr>
          <w:sz w:val="24"/>
        </w:rPr>
        <w:t>SERRA,</w:t>
      </w:r>
      <w:r>
        <w:rPr>
          <w:spacing w:val="-2"/>
          <w:sz w:val="24"/>
        </w:rPr>
        <w:t xml:space="preserve"> </w:t>
      </w:r>
      <w:r>
        <w:rPr>
          <w:sz w:val="24"/>
        </w:rPr>
        <w:t>G.</w:t>
      </w:r>
      <w:r>
        <w:rPr>
          <w:spacing w:val="-4"/>
          <w:sz w:val="24"/>
        </w:rPr>
        <w:t xml:space="preserve"> </w:t>
      </w:r>
      <w:r>
        <w:rPr>
          <w:rFonts w:ascii="Arial" w:hAnsi="Arial"/>
          <w:b/>
          <w:sz w:val="24"/>
        </w:rPr>
        <w:t>Urbanização</w:t>
      </w:r>
      <w:r>
        <w:rPr>
          <w:rFonts w:ascii="Arial" w:hAnsi="Arial"/>
          <w:b/>
          <w:spacing w:val="-3"/>
          <w:sz w:val="24"/>
        </w:rPr>
        <w:t xml:space="preserve"> </w:t>
      </w:r>
      <w:r>
        <w:rPr>
          <w:rFonts w:ascii="Arial" w:hAnsi="Arial"/>
          <w:b/>
          <w:sz w:val="24"/>
        </w:rPr>
        <w:t>e</w:t>
      </w:r>
      <w:r>
        <w:rPr>
          <w:rFonts w:ascii="Arial" w:hAnsi="Arial"/>
          <w:b/>
          <w:spacing w:val="-2"/>
          <w:sz w:val="24"/>
        </w:rPr>
        <w:t xml:space="preserve"> </w:t>
      </w:r>
      <w:r>
        <w:rPr>
          <w:rFonts w:ascii="Arial" w:hAnsi="Arial"/>
          <w:b/>
          <w:sz w:val="24"/>
        </w:rPr>
        <w:t>centralismo</w:t>
      </w:r>
      <w:r>
        <w:rPr>
          <w:rFonts w:ascii="Arial" w:hAnsi="Arial"/>
          <w:b/>
          <w:spacing w:val="-1"/>
          <w:sz w:val="24"/>
        </w:rPr>
        <w:t xml:space="preserve"> </w:t>
      </w:r>
      <w:r>
        <w:rPr>
          <w:rFonts w:ascii="Arial" w:hAnsi="Arial"/>
          <w:b/>
          <w:sz w:val="24"/>
        </w:rPr>
        <w:t>autoritário.</w:t>
      </w:r>
      <w:r>
        <w:rPr>
          <w:rFonts w:ascii="Arial" w:hAnsi="Arial"/>
          <w:b/>
          <w:spacing w:val="-1"/>
          <w:sz w:val="24"/>
        </w:rPr>
        <w:t xml:space="preserve"> </w:t>
      </w:r>
      <w:r>
        <w:rPr>
          <w:sz w:val="24"/>
        </w:rPr>
        <w:t>São</w:t>
      </w:r>
      <w:r>
        <w:rPr>
          <w:spacing w:val="-2"/>
          <w:sz w:val="24"/>
        </w:rPr>
        <w:t xml:space="preserve"> </w:t>
      </w:r>
      <w:r>
        <w:rPr>
          <w:sz w:val="24"/>
        </w:rPr>
        <w:t>Paulo:</w:t>
      </w:r>
      <w:r>
        <w:rPr>
          <w:spacing w:val="-2"/>
          <w:sz w:val="24"/>
        </w:rPr>
        <w:t xml:space="preserve"> </w:t>
      </w:r>
      <w:r>
        <w:rPr>
          <w:sz w:val="24"/>
        </w:rPr>
        <w:t>USP,</w:t>
      </w:r>
      <w:r>
        <w:rPr>
          <w:spacing w:val="-3"/>
          <w:sz w:val="24"/>
        </w:rPr>
        <w:t xml:space="preserve"> </w:t>
      </w:r>
      <w:r>
        <w:rPr>
          <w:spacing w:val="-2"/>
          <w:sz w:val="24"/>
        </w:rPr>
        <w:t>1991.</w:t>
      </w:r>
    </w:p>
    <w:p w:rsidR="00972CE3" w:rsidRDefault="001F20D2">
      <w:pPr>
        <w:pStyle w:val="Corpodetexto"/>
        <w:tabs>
          <w:tab w:val="left" w:pos="2275"/>
          <w:tab w:val="left" w:pos="3486"/>
          <w:tab w:val="left" w:pos="5271"/>
          <w:tab w:val="left" w:pos="6816"/>
          <w:tab w:val="left" w:pos="8880"/>
        </w:tabs>
        <w:spacing w:before="241"/>
        <w:ind w:left="143" w:right="140"/>
      </w:pPr>
      <w:r>
        <w:t>SMITH,</w:t>
      </w:r>
      <w:r>
        <w:rPr>
          <w:spacing w:val="-4"/>
        </w:rPr>
        <w:t xml:space="preserve"> </w:t>
      </w:r>
      <w:r>
        <w:t>Neil.</w:t>
      </w:r>
      <w:r>
        <w:rPr>
          <w:spacing w:val="-1"/>
        </w:rPr>
        <w:t xml:space="preserve"> </w:t>
      </w:r>
      <w:r>
        <w:rPr>
          <w:rFonts w:ascii="Arial" w:hAnsi="Arial"/>
          <w:b/>
        </w:rPr>
        <w:t>La</w:t>
      </w:r>
      <w:r>
        <w:rPr>
          <w:rFonts w:ascii="Arial" w:hAnsi="Arial"/>
          <w:b/>
          <w:spacing w:val="-3"/>
        </w:rPr>
        <w:t xml:space="preserve"> </w:t>
      </w:r>
      <w:r>
        <w:rPr>
          <w:rFonts w:ascii="Arial" w:hAnsi="Arial"/>
          <w:b/>
        </w:rPr>
        <w:t>nueva</w:t>
      </w:r>
      <w:r>
        <w:rPr>
          <w:rFonts w:ascii="Arial" w:hAnsi="Arial"/>
          <w:b/>
          <w:spacing w:val="-1"/>
        </w:rPr>
        <w:t xml:space="preserve"> </w:t>
      </w:r>
      <w:r>
        <w:rPr>
          <w:rFonts w:ascii="Arial" w:hAnsi="Arial"/>
          <w:b/>
        </w:rPr>
        <w:t>frontera</w:t>
      </w:r>
      <w:r>
        <w:rPr>
          <w:rFonts w:ascii="Arial" w:hAnsi="Arial"/>
          <w:b/>
          <w:spacing w:val="-1"/>
        </w:rPr>
        <w:t xml:space="preserve"> </w:t>
      </w:r>
      <w:r>
        <w:rPr>
          <w:rFonts w:ascii="Arial" w:hAnsi="Arial"/>
          <w:b/>
        </w:rPr>
        <w:t>urbana</w:t>
      </w:r>
      <w:r>
        <w:t>:</w:t>
      </w:r>
      <w:r>
        <w:rPr>
          <w:spacing w:val="-4"/>
        </w:rPr>
        <w:t xml:space="preserve"> </w:t>
      </w:r>
      <w:r>
        <w:t>ciudad</w:t>
      </w:r>
      <w:r>
        <w:rPr>
          <w:spacing w:val="-3"/>
        </w:rPr>
        <w:t xml:space="preserve"> </w:t>
      </w:r>
      <w:r>
        <w:t>revanchista</w:t>
      </w:r>
      <w:r>
        <w:rPr>
          <w:spacing w:val="-3"/>
        </w:rPr>
        <w:t xml:space="preserve"> </w:t>
      </w:r>
      <w:r>
        <w:t>e</w:t>
      </w:r>
      <w:r>
        <w:rPr>
          <w:spacing w:val="-3"/>
        </w:rPr>
        <w:t xml:space="preserve"> </w:t>
      </w:r>
      <w:r>
        <w:t>gentrificación.</w:t>
      </w:r>
      <w:r>
        <w:rPr>
          <w:spacing w:val="-1"/>
        </w:rPr>
        <w:t xml:space="preserve"> </w:t>
      </w:r>
      <w:r>
        <w:t xml:space="preserve">Madrid: </w:t>
      </w:r>
      <w:r>
        <w:rPr>
          <w:spacing w:val="-2"/>
        </w:rPr>
        <w:t>Traficantes</w:t>
      </w:r>
      <w:r>
        <w:tab/>
      </w:r>
      <w:r>
        <w:rPr>
          <w:spacing w:val="-6"/>
        </w:rPr>
        <w:t>de</w:t>
      </w:r>
      <w:r>
        <w:tab/>
      </w:r>
      <w:r>
        <w:rPr>
          <w:spacing w:val="-2"/>
        </w:rPr>
        <w:t>sueños,</w:t>
      </w:r>
      <w:r>
        <w:tab/>
      </w:r>
      <w:r>
        <w:rPr>
          <w:spacing w:val="-2"/>
        </w:rPr>
        <w:t>2012.</w:t>
      </w:r>
      <w:r>
        <w:tab/>
      </w:r>
      <w:r>
        <w:rPr>
          <w:spacing w:val="-2"/>
        </w:rPr>
        <w:t>Disponível</w:t>
      </w:r>
      <w:r>
        <w:tab/>
      </w:r>
      <w:r>
        <w:rPr>
          <w:spacing w:val="-6"/>
        </w:rPr>
        <w:t xml:space="preserve">em </w:t>
      </w:r>
      <w:hyperlink r:id="rId23">
        <w:r>
          <w:rPr>
            <w:color w:val="0462C1"/>
            <w:spacing w:val="-2"/>
            <w:u w:val="single" w:color="0462C1"/>
          </w:rPr>
          <w:t>https://traficantes.net/sites/default/files/pdfs/La%20nueva%20frontera%20urbana-</w:t>
        </w:r>
      </w:hyperlink>
      <w:r>
        <w:rPr>
          <w:color w:val="0462C1"/>
          <w:spacing w:val="-2"/>
        </w:rPr>
        <w:t xml:space="preserve"> </w:t>
      </w:r>
      <w:hyperlink r:id="rId24">
        <w:r>
          <w:rPr>
            <w:color w:val="0462C1"/>
            <w:spacing w:val="-2"/>
            <w:u w:val="single" w:color="0462C1"/>
          </w:rPr>
          <w:t>TdS.pdf</w:t>
        </w:r>
      </w:hyperlink>
    </w:p>
    <w:p w:rsidR="00972CE3" w:rsidRDefault="001F20D2">
      <w:pPr>
        <w:spacing w:before="238"/>
        <w:ind w:left="143" w:right="142"/>
        <w:jc w:val="both"/>
        <w:rPr>
          <w:sz w:val="24"/>
        </w:rPr>
      </w:pPr>
      <w:r>
        <w:rPr>
          <w:sz w:val="24"/>
        </w:rPr>
        <w:t xml:space="preserve">SOJA, E. </w:t>
      </w:r>
      <w:r>
        <w:rPr>
          <w:rFonts w:ascii="Arial" w:hAnsi="Arial"/>
          <w:b/>
          <w:sz w:val="24"/>
        </w:rPr>
        <w:t xml:space="preserve">Geografias pós-modernas: </w:t>
      </w:r>
      <w:r>
        <w:rPr>
          <w:sz w:val="24"/>
        </w:rPr>
        <w:t>a reafirmação do espaço na teoria social crítica. Rio de Janeiro: Zahar, 1993.</w:t>
      </w:r>
    </w:p>
    <w:p w:rsidR="00972CE3" w:rsidRDefault="001F20D2">
      <w:pPr>
        <w:spacing w:before="240"/>
        <w:ind w:left="143"/>
        <w:rPr>
          <w:sz w:val="24"/>
        </w:rPr>
      </w:pPr>
      <w:r>
        <w:rPr>
          <w:sz w:val="24"/>
        </w:rPr>
        <w:t>VILLAÇA,</w:t>
      </w:r>
      <w:r>
        <w:rPr>
          <w:spacing w:val="40"/>
          <w:sz w:val="24"/>
        </w:rPr>
        <w:t xml:space="preserve"> </w:t>
      </w:r>
      <w:r>
        <w:rPr>
          <w:sz w:val="24"/>
        </w:rPr>
        <w:t>F.</w:t>
      </w:r>
      <w:r>
        <w:rPr>
          <w:spacing w:val="40"/>
          <w:sz w:val="24"/>
        </w:rPr>
        <w:t xml:space="preserve"> </w:t>
      </w:r>
      <w:r>
        <w:rPr>
          <w:rFonts w:ascii="Arial" w:hAnsi="Arial"/>
          <w:b/>
          <w:sz w:val="24"/>
        </w:rPr>
        <w:t>O</w:t>
      </w:r>
      <w:r>
        <w:rPr>
          <w:rFonts w:ascii="Arial" w:hAnsi="Arial"/>
          <w:b/>
          <w:spacing w:val="40"/>
          <w:sz w:val="24"/>
        </w:rPr>
        <w:t xml:space="preserve"> </w:t>
      </w:r>
      <w:r>
        <w:rPr>
          <w:rFonts w:ascii="Arial" w:hAnsi="Arial"/>
          <w:b/>
          <w:sz w:val="24"/>
        </w:rPr>
        <w:t>que</w:t>
      </w:r>
      <w:r>
        <w:rPr>
          <w:rFonts w:ascii="Arial" w:hAnsi="Arial"/>
          <w:b/>
          <w:spacing w:val="40"/>
          <w:sz w:val="24"/>
        </w:rPr>
        <w:t xml:space="preserve"> </w:t>
      </w:r>
      <w:r>
        <w:rPr>
          <w:rFonts w:ascii="Arial" w:hAnsi="Arial"/>
          <w:b/>
          <w:sz w:val="24"/>
        </w:rPr>
        <w:t>todo</w:t>
      </w:r>
      <w:r>
        <w:rPr>
          <w:rFonts w:ascii="Arial" w:hAnsi="Arial"/>
          <w:b/>
          <w:spacing w:val="40"/>
          <w:sz w:val="24"/>
        </w:rPr>
        <w:t xml:space="preserve"> </w:t>
      </w:r>
      <w:r>
        <w:rPr>
          <w:rFonts w:ascii="Arial" w:hAnsi="Arial"/>
          <w:b/>
          <w:sz w:val="24"/>
        </w:rPr>
        <w:t>cidadão</w:t>
      </w:r>
      <w:r>
        <w:rPr>
          <w:rFonts w:ascii="Arial" w:hAnsi="Arial"/>
          <w:b/>
          <w:spacing w:val="40"/>
          <w:sz w:val="24"/>
        </w:rPr>
        <w:t xml:space="preserve"> </w:t>
      </w:r>
      <w:r>
        <w:rPr>
          <w:rFonts w:ascii="Arial" w:hAnsi="Arial"/>
          <w:b/>
          <w:sz w:val="24"/>
        </w:rPr>
        <w:t>p</w:t>
      </w:r>
      <w:r>
        <w:rPr>
          <w:rFonts w:ascii="Arial" w:hAnsi="Arial"/>
          <w:b/>
          <w:sz w:val="24"/>
        </w:rPr>
        <w:t>recisa</w:t>
      </w:r>
      <w:r>
        <w:rPr>
          <w:rFonts w:ascii="Arial" w:hAnsi="Arial"/>
          <w:b/>
          <w:spacing w:val="40"/>
          <w:sz w:val="24"/>
        </w:rPr>
        <w:t xml:space="preserve"> </w:t>
      </w:r>
      <w:r>
        <w:rPr>
          <w:rFonts w:ascii="Arial" w:hAnsi="Arial"/>
          <w:b/>
          <w:sz w:val="24"/>
        </w:rPr>
        <w:t>saber</w:t>
      </w:r>
      <w:r>
        <w:rPr>
          <w:rFonts w:ascii="Arial" w:hAnsi="Arial"/>
          <w:b/>
          <w:spacing w:val="40"/>
          <w:sz w:val="24"/>
        </w:rPr>
        <w:t xml:space="preserve"> </w:t>
      </w:r>
      <w:r>
        <w:rPr>
          <w:rFonts w:ascii="Arial" w:hAnsi="Arial"/>
          <w:b/>
          <w:sz w:val="24"/>
        </w:rPr>
        <w:t>sobre</w:t>
      </w:r>
      <w:r>
        <w:rPr>
          <w:rFonts w:ascii="Arial" w:hAnsi="Arial"/>
          <w:b/>
          <w:spacing w:val="40"/>
          <w:sz w:val="24"/>
        </w:rPr>
        <w:t xml:space="preserve"> </w:t>
      </w:r>
      <w:r>
        <w:rPr>
          <w:rFonts w:ascii="Arial" w:hAnsi="Arial"/>
          <w:b/>
          <w:sz w:val="24"/>
        </w:rPr>
        <w:t>habitação.</w:t>
      </w:r>
      <w:r>
        <w:rPr>
          <w:rFonts w:ascii="Arial" w:hAnsi="Arial"/>
          <w:b/>
          <w:spacing w:val="40"/>
          <w:sz w:val="24"/>
        </w:rPr>
        <w:t xml:space="preserve"> </w:t>
      </w:r>
      <w:r>
        <w:rPr>
          <w:sz w:val="24"/>
        </w:rPr>
        <w:t>São</w:t>
      </w:r>
      <w:r>
        <w:rPr>
          <w:spacing w:val="40"/>
          <w:sz w:val="24"/>
        </w:rPr>
        <w:t xml:space="preserve"> </w:t>
      </w:r>
      <w:r>
        <w:rPr>
          <w:sz w:val="24"/>
        </w:rPr>
        <w:t>Paulo: Global, 1986.</w:t>
      </w:r>
    </w:p>
    <w:p w:rsidR="00972CE3" w:rsidRDefault="001F20D2">
      <w:pPr>
        <w:tabs>
          <w:tab w:val="left" w:pos="1345"/>
        </w:tabs>
        <w:spacing w:before="240"/>
        <w:ind w:left="143"/>
        <w:rPr>
          <w:sz w:val="24"/>
        </w:rPr>
      </w:pPr>
      <w:r>
        <w:rPr>
          <w:sz w:val="24"/>
          <w:u w:val="single"/>
        </w:rPr>
        <w:tab/>
      </w:r>
      <w:r>
        <w:rPr>
          <w:sz w:val="24"/>
        </w:rPr>
        <w:t>.</w:t>
      </w:r>
      <w:r>
        <w:rPr>
          <w:spacing w:val="-1"/>
          <w:sz w:val="24"/>
        </w:rPr>
        <w:t xml:space="preserve"> </w:t>
      </w:r>
      <w:r>
        <w:rPr>
          <w:rFonts w:ascii="Arial" w:hAnsi="Arial"/>
          <w:b/>
          <w:sz w:val="24"/>
        </w:rPr>
        <w:t>Espaço</w:t>
      </w:r>
      <w:r>
        <w:rPr>
          <w:rFonts w:ascii="Arial" w:hAnsi="Arial"/>
          <w:b/>
          <w:spacing w:val="-4"/>
          <w:sz w:val="24"/>
        </w:rPr>
        <w:t xml:space="preserve"> </w:t>
      </w:r>
      <w:r>
        <w:rPr>
          <w:rFonts w:ascii="Arial" w:hAnsi="Arial"/>
          <w:b/>
          <w:sz w:val="24"/>
        </w:rPr>
        <w:t>intra-urbano</w:t>
      </w:r>
      <w:r>
        <w:rPr>
          <w:rFonts w:ascii="Arial" w:hAnsi="Arial"/>
          <w:b/>
          <w:spacing w:val="-1"/>
          <w:sz w:val="24"/>
        </w:rPr>
        <w:t xml:space="preserve"> </w:t>
      </w:r>
      <w:r>
        <w:rPr>
          <w:rFonts w:ascii="Arial" w:hAnsi="Arial"/>
          <w:b/>
          <w:sz w:val="24"/>
        </w:rPr>
        <w:t>no</w:t>
      </w:r>
      <w:r>
        <w:rPr>
          <w:rFonts w:ascii="Arial" w:hAnsi="Arial"/>
          <w:b/>
          <w:spacing w:val="-1"/>
          <w:sz w:val="24"/>
        </w:rPr>
        <w:t xml:space="preserve"> </w:t>
      </w:r>
      <w:r>
        <w:rPr>
          <w:rFonts w:ascii="Arial" w:hAnsi="Arial"/>
          <w:b/>
          <w:sz w:val="24"/>
        </w:rPr>
        <w:t>Brasil.</w:t>
      </w:r>
      <w:r>
        <w:rPr>
          <w:rFonts w:ascii="Arial" w:hAnsi="Arial"/>
          <w:b/>
          <w:spacing w:val="-1"/>
          <w:sz w:val="24"/>
        </w:rPr>
        <w:t xml:space="preserve"> </w:t>
      </w:r>
      <w:r>
        <w:rPr>
          <w:sz w:val="24"/>
        </w:rPr>
        <w:t>São</w:t>
      </w:r>
      <w:r>
        <w:rPr>
          <w:spacing w:val="-2"/>
          <w:sz w:val="24"/>
        </w:rPr>
        <w:t xml:space="preserve"> </w:t>
      </w:r>
      <w:r>
        <w:rPr>
          <w:sz w:val="24"/>
        </w:rPr>
        <w:t>Paulo:</w:t>
      </w:r>
      <w:r>
        <w:rPr>
          <w:spacing w:val="-1"/>
          <w:sz w:val="24"/>
        </w:rPr>
        <w:t xml:space="preserve"> </w:t>
      </w:r>
      <w:r>
        <w:rPr>
          <w:sz w:val="24"/>
        </w:rPr>
        <w:t>Nobel,</w:t>
      </w:r>
      <w:r>
        <w:rPr>
          <w:spacing w:val="-3"/>
          <w:sz w:val="24"/>
        </w:rPr>
        <w:t xml:space="preserve"> </w:t>
      </w:r>
      <w:r>
        <w:rPr>
          <w:spacing w:val="-2"/>
          <w:sz w:val="24"/>
        </w:rPr>
        <w:t>2001.</w:t>
      </w:r>
    </w:p>
    <w:p w:rsidR="00972CE3" w:rsidRDefault="00972CE3">
      <w:pPr>
        <w:rPr>
          <w:sz w:val="24"/>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4256" behindDoc="1" locked="0" layoutInCell="1" allowOverlap="1">
            <wp:simplePos x="0" y="0"/>
            <wp:positionH relativeFrom="page">
              <wp:posOffset>0</wp:posOffset>
            </wp:positionH>
            <wp:positionV relativeFrom="page">
              <wp:posOffset>6982</wp:posOffset>
            </wp:positionV>
            <wp:extent cx="7562088" cy="1048327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 cstate="print"/>
                    <a:stretch>
                      <a:fillRect/>
                    </a:stretch>
                  </pic:blipFill>
                  <pic:spPr>
                    <a:xfrm>
                      <a:off x="0" y="0"/>
                      <a:ext cx="7562088" cy="10483270"/>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100"/>
      </w:pPr>
    </w:p>
    <w:p w:rsidR="00972CE3" w:rsidRDefault="001F20D2">
      <w:pPr>
        <w:ind w:left="143" w:right="134"/>
        <w:jc w:val="both"/>
        <w:rPr>
          <w:sz w:val="24"/>
        </w:rPr>
      </w:pPr>
      <w:r>
        <w:rPr>
          <w:sz w:val="24"/>
        </w:rPr>
        <w:t xml:space="preserve">WALL, M. </w:t>
      </w:r>
      <w:r>
        <w:rPr>
          <w:rFonts w:ascii="Arial" w:hAnsi="Arial"/>
          <w:b/>
          <w:sz w:val="24"/>
        </w:rPr>
        <w:t xml:space="preserve">Morar no centro histórico de São Luís </w:t>
      </w:r>
      <w:r>
        <w:rPr>
          <w:sz w:val="24"/>
        </w:rPr>
        <w:t>In: PFLUGER, G.; SALGADO NETO,</w:t>
      </w:r>
      <w:r>
        <w:rPr>
          <w:spacing w:val="-2"/>
          <w:sz w:val="24"/>
        </w:rPr>
        <w:t xml:space="preserve"> </w:t>
      </w:r>
      <w:r>
        <w:rPr>
          <w:sz w:val="24"/>
        </w:rPr>
        <w:t>J.</w:t>
      </w:r>
      <w:r>
        <w:rPr>
          <w:spacing w:val="-2"/>
          <w:sz w:val="24"/>
        </w:rPr>
        <w:t xml:space="preserve"> </w:t>
      </w:r>
      <w:r>
        <w:rPr>
          <w:sz w:val="24"/>
        </w:rPr>
        <w:t>Aspectos</w:t>
      </w:r>
      <w:r>
        <w:rPr>
          <w:spacing w:val="-3"/>
          <w:sz w:val="24"/>
        </w:rPr>
        <w:t xml:space="preserve"> </w:t>
      </w:r>
      <w:r>
        <w:rPr>
          <w:sz w:val="24"/>
        </w:rPr>
        <w:t>Urbanos</w:t>
      </w:r>
      <w:r>
        <w:rPr>
          <w:spacing w:val="-1"/>
          <w:sz w:val="24"/>
        </w:rPr>
        <w:t xml:space="preserve"> </w:t>
      </w:r>
      <w:r>
        <w:rPr>
          <w:sz w:val="24"/>
        </w:rPr>
        <w:t>de</w:t>
      </w:r>
      <w:r>
        <w:rPr>
          <w:spacing w:val="-3"/>
          <w:sz w:val="24"/>
        </w:rPr>
        <w:t xml:space="preserve"> </w:t>
      </w:r>
      <w:r>
        <w:rPr>
          <w:sz w:val="24"/>
        </w:rPr>
        <w:t>São</w:t>
      </w:r>
      <w:r>
        <w:rPr>
          <w:spacing w:val="-3"/>
          <w:sz w:val="24"/>
        </w:rPr>
        <w:t xml:space="preserve"> </w:t>
      </w:r>
      <w:r>
        <w:rPr>
          <w:sz w:val="24"/>
        </w:rPr>
        <w:t>Luís:</w:t>
      </w:r>
      <w:r>
        <w:rPr>
          <w:spacing w:val="-3"/>
          <w:sz w:val="24"/>
        </w:rPr>
        <w:t xml:space="preserve"> </w:t>
      </w:r>
      <w:r>
        <w:rPr>
          <w:sz w:val="24"/>
        </w:rPr>
        <w:t>Uma abordagem</w:t>
      </w:r>
      <w:r>
        <w:rPr>
          <w:spacing w:val="-1"/>
          <w:sz w:val="24"/>
        </w:rPr>
        <w:t xml:space="preserve"> </w:t>
      </w:r>
      <w:r>
        <w:rPr>
          <w:sz w:val="24"/>
        </w:rPr>
        <w:t>multidisciplinar.</w:t>
      </w:r>
      <w:r>
        <w:rPr>
          <w:spacing w:val="-2"/>
          <w:sz w:val="24"/>
        </w:rPr>
        <w:t xml:space="preserve"> </w:t>
      </w:r>
      <w:r>
        <w:rPr>
          <w:sz w:val="24"/>
        </w:rPr>
        <w:t>São</w:t>
      </w:r>
      <w:r>
        <w:rPr>
          <w:spacing w:val="-3"/>
          <w:sz w:val="24"/>
        </w:rPr>
        <w:t xml:space="preserve"> </w:t>
      </w:r>
      <w:r>
        <w:rPr>
          <w:sz w:val="24"/>
        </w:rPr>
        <w:t>Luis: Eduema, 2012, p. 92-109.</w:t>
      </w:r>
    </w:p>
    <w:p w:rsidR="00972CE3" w:rsidRDefault="00972CE3">
      <w:pPr>
        <w:jc w:val="both"/>
        <w:rPr>
          <w:sz w:val="24"/>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5280" behindDoc="1" locked="0" layoutInCell="1" allowOverlap="1">
            <wp:simplePos x="0" y="0"/>
            <wp:positionH relativeFrom="page">
              <wp:posOffset>0</wp:posOffset>
            </wp:positionH>
            <wp:positionV relativeFrom="page">
              <wp:posOffset>6984</wp:posOffset>
            </wp:positionV>
            <wp:extent cx="7562088" cy="10483268"/>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3"/>
      </w:pPr>
    </w:p>
    <w:p w:rsidR="00972CE3" w:rsidRDefault="001F20D2">
      <w:pPr>
        <w:pStyle w:val="Heading2"/>
        <w:ind w:right="17"/>
        <w:jc w:val="center"/>
      </w:pPr>
      <w:r>
        <w:t>RACISMO</w:t>
      </w:r>
      <w:r>
        <w:rPr>
          <w:spacing w:val="2"/>
        </w:rPr>
        <w:t xml:space="preserve"> </w:t>
      </w:r>
      <w:r>
        <w:t>AMBIENTAL</w:t>
      </w:r>
      <w:r>
        <w:rPr>
          <w:spacing w:val="-1"/>
        </w:rPr>
        <w:t xml:space="preserve"> </w:t>
      </w:r>
      <w:r>
        <w:t>E</w:t>
      </w:r>
      <w:r>
        <w:rPr>
          <w:spacing w:val="-1"/>
        </w:rPr>
        <w:t xml:space="preserve"> </w:t>
      </w:r>
      <w:r>
        <w:t>NEGAÇÃO</w:t>
      </w:r>
      <w:r>
        <w:rPr>
          <w:spacing w:val="-2"/>
        </w:rPr>
        <w:t xml:space="preserve"> </w:t>
      </w:r>
      <w:r>
        <w:t>DE</w:t>
      </w:r>
      <w:r>
        <w:rPr>
          <w:spacing w:val="-5"/>
        </w:rPr>
        <w:t xml:space="preserve"> </w:t>
      </w:r>
      <w:r>
        <w:t>DIREITOS:</w:t>
      </w:r>
      <w:r>
        <w:rPr>
          <w:spacing w:val="1"/>
        </w:rPr>
        <w:t xml:space="preserve"> </w:t>
      </w:r>
      <w:r>
        <w:t>o</w:t>
      </w:r>
      <w:r>
        <w:rPr>
          <w:spacing w:val="-1"/>
        </w:rPr>
        <w:t xml:space="preserve"> </w:t>
      </w:r>
      <w:r>
        <w:t>caso</w:t>
      </w:r>
      <w:r>
        <w:rPr>
          <w:spacing w:val="-5"/>
        </w:rPr>
        <w:t xml:space="preserve"> </w:t>
      </w:r>
      <w:r>
        <w:t>da</w:t>
      </w:r>
      <w:r>
        <w:rPr>
          <w:spacing w:val="-2"/>
        </w:rPr>
        <w:t xml:space="preserve"> </w:t>
      </w:r>
      <w:r>
        <w:t>BR-135</w:t>
      </w:r>
      <w:r>
        <w:rPr>
          <w:spacing w:val="-2"/>
        </w:rPr>
        <w:t xml:space="preserve"> </w:t>
      </w:r>
      <w:r>
        <w:t>e</w:t>
      </w:r>
      <w:r>
        <w:rPr>
          <w:spacing w:val="-1"/>
        </w:rPr>
        <w:t xml:space="preserve"> </w:t>
      </w:r>
      <w:r>
        <w:rPr>
          <w:spacing w:val="-5"/>
        </w:rPr>
        <w:t>os</w:t>
      </w:r>
    </w:p>
    <w:p w:rsidR="00972CE3" w:rsidRDefault="001F20D2">
      <w:pPr>
        <w:spacing w:before="3"/>
        <w:ind w:left="3" w:right="8"/>
        <w:jc w:val="center"/>
        <w:rPr>
          <w:rFonts w:ascii="Arial" w:hAnsi="Arial"/>
          <w:b/>
          <w:sz w:val="24"/>
        </w:rPr>
      </w:pPr>
      <w:r>
        <w:rPr>
          <w:rFonts w:ascii="Arial" w:hAnsi="Arial"/>
          <w:b/>
          <w:sz w:val="24"/>
        </w:rPr>
        <w:t>quilombos</w:t>
      </w:r>
      <w:r>
        <w:rPr>
          <w:rFonts w:ascii="Arial" w:hAnsi="Arial"/>
          <w:b/>
          <w:spacing w:val="-5"/>
          <w:sz w:val="24"/>
        </w:rPr>
        <w:t xml:space="preserve"> </w:t>
      </w:r>
      <w:r>
        <w:rPr>
          <w:rFonts w:ascii="Arial" w:hAnsi="Arial"/>
          <w:b/>
          <w:sz w:val="24"/>
        </w:rPr>
        <w:t>do</w:t>
      </w:r>
      <w:r>
        <w:rPr>
          <w:rFonts w:ascii="Arial" w:hAnsi="Arial"/>
          <w:b/>
          <w:spacing w:val="1"/>
          <w:sz w:val="24"/>
        </w:rPr>
        <w:t xml:space="preserve"> </w:t>
      </w:r>
      <w:r>
        <w:rPr>
          <w:rFonts w:ascii="Arial" w:hAnsi="Arial"/>
          <w:b/>
          <w:spacing w:val="-2"/>
          <w:sz w:val="24"/>
        </w:rPr>
        <w:t>Maranhão</w:t>
      </w:r>
    </w:p>
    <w:p w:rsidR="00972CE3" w:rsidRDefault="001F20D2">
      <w:pPr>
        <w:pStyle w:val="Corpodetexto"/>
        <w:spacing w:before="3"/>
        <w:ind w:right="137"/>
        <w:jc w:val="right"/>
      </w:pPr>
      <w:r>
        <w:t>Yuri</w:t>
      </w:r>
      <w:r>
        <w:rPr>
          <w:spacing w:val="1"/>
        </w:rPr>
        <w:t xml:space="preserve"> </w:t>
      </w:r>
      <w:r>
        <w:rPr>
          <w:spacing w:val="-2"/>
        </w:rPr>
        <w:t>Costa</w:t>
      </w:r>
      <w:r>
        <w:rPr>
          <w:spacing w:val="-2"/>
          <w:vertAlign w:val="superscript"/>
        </w:rPr>
        <w:t>1</w:t>
      </w:r>
    </w:p>
    <w:p w:rsidR="00972CE3" w:rsidRDefault="001F20D2">
      <w:pPr>
        <w:spacing w:before="275"/>
        <w:ind w:left="2979" w:right="132"/>
        <w:jc w:val="both"/>
        <w:rPr>
          <w:sz w:val="20"/>
        </w:rPr>
      </w:pPr>
      <w:r>
        <w:rPr>
          <w:rFonts w:ascii="Arial" w:hAnsi="Arial"/>
          <w:b/>
          <w:sz w:val="20"/>
        </w:rPr>
        <w:t xml:space="preserve">Resumo: </w:t>
      </w:r>
      <w:r>
        <w:rPr>
          <w:sz w:val="20"/>
        </w:rPr>
        <w:t>O artigo examina como o sistema de Justiça</w:t>
      </w:r>
      <w:r>
        <w:rPr>
          <w:spacing w:val="-2"/>
          <w:sz w:val="20"/>
        </w:rPr>
        <w:t xml:space="preserve"> </w:t>
      </w:r>
      <w:r>
        <w:rPr>
          <w:sz w:val="20"/>
        </w:rPr>
        <w:t xml:space="preserve">brasileiro trata o direito à consulta prévia diante de violações aos territórios quilombolas. Discute as formas pelas quais o Judiciário enfraquece a proteção de grupos tradicionais, negligenciando princípios fundamentais desse direito. A análise parte de </w:t>
      </w:r>
      <w:r>
        <w:rPr>
          <w:sz w:val="20"/>
        </w:rPr>
        <w:t>um estudo de caso</w:t>
      </w:r>
      <w:r>
        <w:rPr>
          <w:spacing w:val="40"/>
          <w:sz w:val="20"/>
        </w:rPr>
        <w:t xml:space="preserve"> </w:t>
      </w:r>
      <w:r>
        <w:rPr>
          <w:sz w:val="20"/>
        </w:rPr>
        <w:t>que investiga os efeitos das obras de duplicação da rodovia federal BR-135, no Norte do Maranhão, sobre comunidades quilombolas nos últimos oito anos. As populações atingidas enfrentam hoje o avanço do empreendimento, legitimado por decis</w:t>
      </w:r>
      <w:r>
        <w:rPr>
          <w:sz w:val="20"/>
        </w:rPr>
        <w:t>ões judiciais que, embora apresentadas como garantias de proteção, acabam por deturpar o sentido da consulta prévia. O trabalho revela como medidas judiciais, longe de assegurar direitos, podem perpetuar a vulnerabilidade dessas comunidades, ao permitir qu</w:t>
      </w:r>
      <w:r>
        <w:rPr>
          <w:sz w:val="20"/>
        </w:rPr>
        <w:t>e obras prossigam sem o diálogo necessário, ignorando o caráter participativo e informativo que a consulta prévia deve assegurar aos povos tradicionais.</w:t>
      </w:r>
    </w:p>
    <w:p w:rsidR="00972CE3" w:rsidRDefault="00972CE3">
      <w:pPr>
        <w:pStyle w:val="Corpodetexto"/>
        <w:spacing w:before="2"/>
        <w:rPr>
          <w:sz w:val="20"/>
        </w:rPr>
      </w:pPr>
    </w:p>
    <w:p w:rsidR="00972CE3" w:rsidRDefault="001F20D2">
      <w:pPr>
        <w:spacing w:before="1"/>
        <w:ind w:left="2979"/>
        <w:jc w:val="both"/>
        <w:rPr>
          <w:sz w:val="20"/>
        </w:rPr>
      </w:pPr>
      <w:r>
        <w:rPr>
          <w:rFonts w:ascii="Arial" w:hAnsi="Arial"/>
          <w:b/>
          <w:sz w:val="20"/>
        </w:rPr>
        <w:t>Palavras-chave:</w:t>
      </w:r>
      <w:r>
        <w:rPr>
          <w:rFonts w:ascii="Arial" w:hAnsi="Arial"/>
          <w:b/>
          <w:spacing w:val="-12"/>
          <w:sz w:val="20"/>
        </w:rPr>
        <w:t xml:space="preserve"> </w:t>
      </w:r>
      <w:r>
        <w:rPr>
          <w:sz w:val="20"/>
        </w:rPr>
        <w:t>Quilombos.</w:t>
      </w:r>
      <w:r>
        <w:rPr>
          <w:spacing w:val="-10"/>
          <w:sz w:val="20"/>
        </w:rPr>
        <w:t xml:space="preserve"> </w:t>
      </w:r>
      <w:r>
        <w:rPr>
          <w:sz w:val="20"/>
        </w:rPr>
        <w:t>Consulta</w:t>
      </w:r>
      <w:r>
        <w:rPr>
          <w:spacing w:val="-12"/>
          <w:sz w:val="20"/>
        </w:rPr>
        <w:t xml:space="preserve"> </w:t>
      </w:r>
      <w:r>
        <w:rPr>
          <w:sz w:val="20"/>
        </w:rPr>
        <w:t>Prévia.</w:t>
      </w:r>
      <w:r>
        <w:rPr>
          <w:spacing w:val="-13"/>
          <w:sz w:val="20"/>
        </w:rPr>
        <w:t xml:space="preserve"> </w:t>
      </w:r>
      <w:r>
        <w:rPr>
          <w:sz w:val="20"/>
        </w:rPr>
        <w:t>Proteção</w:t>
      </w:r>
      <w:r>
        <w:rPr>
          <w:spacing w:val="-12"/>
          <w:sz w:val="20"/>
        </w:rPr>
        <w:t xml:space="preserve"> </w:t>
      </w:r>
      <w:r>
        <w:rPr>
          <w:spacing w:val="-2"/>
          <w:sz w:val="20"/>
        </w:rPr>
        <w:t>jurídica.</w:t>
      </w:r>
    </w:p>
    <w:p w:rsidR="00972CE3" w:rsidRDefault="00972CE3">
      <w:pPr>
        <w:pStyle w:val="Corpodetexto"/>
        <w:spacing w:before="183"/>
        <w:rPr>
          <w:sz w:val="20"/>
        </w:rPr>
      </w:pPr>
    </w:p>
    <w:p w:rsidR="00972CE3" w:rsidRDefault="001F20D2">
      <w:pPr>
        <w:ind w:left="2979" w:right="132"/>
        <w:jc w:val="both"/>
        <w:rPr>
          <w:sz w:val="20"/>
        </w:rPr>
      </w:pPr>
      <w:r>
        <w:rPr>
          <w:rFonts w:ascii="Arial" w:hAnsi="Arial"/>
          <w:b/>
          <w:sz w:val="20"/>
        </w:rPr>
        <w:t xml:space="preserve">Abstract: </w:t>
      </w:r>
      <w:r>
        <w:rPr>
          <w:sz w:val="20"/>
        </w:rPr>
        <w:t>The article examines how the</w:t>
      </w:r>
      <w:r>
        <w:rPr>
          <w:sz w:val="20"/>
        </w:rPr>
        <w:t xml:space="preserve"> Brazilian justice system handles the right to prior consultation in the context of violations against quilombola territories. It discusses the ways in which the Judiciary weakens the protection of traditional groups, neglecting fundamental principles of t</w:t>
      </w:r>
      <w:r>
        <w:rPr>
          <w:sz w:val="20"/>
        </w:rPr>
        <w:t>his right. The analysis is based on a case study investigating the effects of the federal highway BR-135 duplication works in northern Maranhão on quilombola communities over the past eight years. The affected populations currently face the progress of the</w:t>
      </w:r>
      <w:r>
        <w:rPr>
          <w:sz w:val="20"/>
        </w:rPr>
        <w:t xml:space="preserve"> project, legitimized by judicial decisions that, although presented as protective measures, end up distorting the meaning of prior consultation. The paper reveals how judicial measures, far from ensuring rights, can perpetuate these communities’ vulnerabi</w:t>
      </w:r>
      <w:r>
        <w:rPr>
          <w:sz w:val="20"/>
        </w:rPr>
        <w:t>lity by allowing works to proceed without the necessary dialogue, disregarding the participatory and informative nature that prior consultation must guarantee to traditional peoples.</w:t>
      </w:r>
    </w:p>
    <w:p w:rsidR="00972CE3" w:rsidRDefault="001F20D2">
      <w:pPr>
        <w:spacing w:before="228"/>
        <w:ind w:left="2979"/>
        <w:jc w:val="both"/>
        <w:rPr>
          <w:sz w:val="20"/>
        </w:rPr>
      </w:pPr>
      <w:r>
        <w:rPr>
          <w:rFonts w:ascii="Arial"/>
          <w:b/>
          <w:sz w:val="20"/>
        </w:rPr>
        <w:t>Keywords:</w:t>
      </w:r>
      <w:r>
        <w:rPr>
          <w:rFonts w:ascii="Arial"/>
          <w:b/>
          <w:spacing w:val="-11"/>
          <w:sz w:val="20"/>
        </w:rPr>
        <w:t xml:space="preserve"> </w:t>
      </w:r>
      <w:r>
        <w:rPr>
          <w:sz w:val="20"/>
        </w:rPr>
        <w:t>Quilombos.</w:t>
      </w:r>
      <w:r>
        <w:rPr>
          <w:spacing w:val="-6"/>
          <w:sz w:val="20"/>
        </w:rPr>
        <w:t xml:space="preserve"> </w:t>
      </w:r>
      <w:r>
        <w:rPr>
          <w:sz w:val="20"/>
        </w:rPr>
        <w:t>Prior</w:t>
      </w:r>
      <w:r>
        <w:rPr>
          <w:spacing w:val="-11"/>
          <w:sz w:val="20"/>
        </w:rPr>
        <w:t xml:space="preserve"> </w:t>
      </w:r>
      <w:r>
        <w:rPr>
          <w:sz w:val="20"/>
        </w:rPr>
        <w:t>Consultation.</w:t>
      </w:r>
      <w:r>
        <w:rPr>
          <w:spacing w:val="-10"/>
          <w:sz w:val="20"/>
        </w:rPr>
        <w:t xml:space="preserve"> </w:t>
      </w:r>
      <w:r>
        <w:rPr>
          <w:sz w:val="20"/>
        </w:rPr>
        <w:t>Legal</w:t>
      </w:r>
      <w:r>
        <w:rPr>
          <w:spacing w:val="-5"/>
          <w:sz w:val="20"/>
        </w:rPr>
        <w:t xml:space="preserve"> </w:t>
      </w:r>
      <w:r>
        <w:rPr>
          <w:spacing w:val="-2"/>
          <w:sz w:val="20"/>
        </w:rPr>
        <w:t>protection.</w:t>
      </w: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spacing w:before="196"/>
        <w:rPr>
          <w:sz w:val="20"/>
        </w:rPr>
      </w:pPr>
      <w:r w:rsidRPr="00972CE3">
        <w:rPr>
          <w:sz w:val="20"/>
        </w:rPr>
        <w:pict>
          <v:rect id="docshape29" o:spid="_x0000_s1030" style="position:absolute;margin-left:85pt;margin-top:22.5pt;width:144.05pt;height:.5pt;z-index:-15703552;mso-wrap-distance-left:0;mso-wrap-distance-right:0;mso-position-horizontal-relative:page" fillcolor="black" stroked="f">
            <w10:wrap type="topAndBottom" anchorx="page"/>
          </v:rect>
        </w:pict>
      </w:r>
    </w:p>
    <w:p w:rsidR="00972CE3" w:rsidRDefault="001F20D2">
      <w:pPr>
        <w:spacing w:before="96"/>
        <w:ind w:left="140"/>
        <w:rPr>
          <w:sz w:val="20"/>
        </w:rPr>
      </w:pPr>
      <w:r>
        <w:rPr>
          <w:sz w:val="20"/>
          <w:vertAlign w:val="superscript"/>
        </w:rPr>
        <w:t>1</w:t>
      </w:r>
      <w:r>
        <w:rPr>
          <w:spacing w:val="25"/>
          <w:sz w:val="20"/>
        </w:rPr>
        <w:t xml:space="preserve"> </w:t>
      </w:r>
      <w:r>
        <w:rPr>
          <w:sz w:val="20"/>
        </w:rPr>
        <w:t>Professor Adjunto da Universidade Estadual</w:t>
      </w:r>
      <w:r>
        <w:rPr>
          <w:spacing w:val="28"/>
          <w:sz w:val="20"/>
        </w:rPr>
        <w:t xml:space="preserve"> </w:t>
      </w:r>
      <w:r>
        <w:rPr>
          <w:sz w:val="20"/>
        </w:rPr>
        <w:t>do Maranhão.</w:t>
      </w:r>
      <w:r>
        <w:rPr>
          <w:spacing w:val="26"/>
          <w:sz w:val="20"/>
        </w:rPr>
        <w:t xml:space="preserve"> </w:t>
      </w:r>
      <w:r>
        <w:rPr>
          <w:sz w:val="20"/>
        </w:rPr>
        <w:t>Doutor</w:t>
      </w:r>
      <w:r>
        <w:rPr>
          <w:spacing w:val="25"/>
          <w:sz w:val="20"/>
        </w:rPr>
        <w:t xml:space="preserve"> </w:t>
      </w:r>
      <w:r>
        <w:rPr>
          <w:sz w:val="20"/>
        </w:rPr>
        <w:t>em</w:t>
      </w:r>
      <w:r>
        <w:rPr>
          <w:spacing w:val="25"/>
          <w:sz w:val="20"/>
        </w:rPr>
        <w:t xml:space="preserve"> </w:t>
      </w:r>
      <w:r>
        <w:rPr>
          <w:sz w:val="20"/>
        </w:rPr>
        <w:t>História (Unisinos).</w:t>
      </w:r>
      <w:r>
        <w:rPr>
          <w:spacing w:val="26"/>
          <w:sz w:val="20"/>
        </w:rPr>
        <w:t xml:space="preserve"> </w:t>
      </w:r>
      <w:r>
        <w:rPr>
          <w:sz w:val="20"/>
        </w:rPr>
        <w:t xml:space="preserve">E-mail: </w:t>
      </w:r>
      <w:hyperlink r:id="rId25">
        <w:r>
          <w:rPr>
            <w:spacing w:val="-2"/>
            <w:sz w:val="20"/>
          </w:rPr>
          <w:t>yuricosta800@gmail.com.</w:t>
        </w:r>
      </w:hyperlink>
    </w:p>
    <w:p w:rsidR="00972CE3" w:rsidRDefault="00972CE3">
      <w:pPr>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5792" behindDoc="1" locked="0" layoutInCell="1" allowOverlap="1">
            <wp:simplePos x="0" y="0"/>
            <wp:positionH relativeFrom="page">
              <wp:posOffset>0</wp:posOffset>
            </wp:positionH>
            <wp:positionV relativeFrom="page">
              <wp:posOffset>6984</wp:posOffset>
            </wp:positionV>
            <wp:extent cx="7562088" cy="1048326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230"/>
      </w:pPr>
    </w:p>
    <w:p w:rsidR="00972CE3" w:rsidRDefault="001F20D2">
      <w:pPr>
        <w:pStyle w:val="Heading1"/>
        <w:numPr>
          <w:ilvl w:val="0"/>
          <w:numId w:val="1"/>
        </w:numPr>
        <w:tabs>
          <w:tab w:val="left" w:pos="406"/>
        </w:tabs>
        <w:ind w:left="406" w:hanging="266"/>
      </w:pPr>
      <w:r>
        <w:rPr>
          <w:spacing w:val="-2"/>
        </w:rPr>
        <w:t>INTRODUÇÃO</w:t>
      </w:r>
    </w:p>
    <w:p w:rsidR="00972CE3" w:rsidRDefault="001F20D2">
      <w:pPr>
        <w:pStyle w:val="Corpodetexto"/>
        <w:spacing w:before="147" w:line="360" w:lineRule="auto"/>
        <w:ind w:left="140" w:right="147" w:firstLine="850"/>
        <w:jc w:val="both"/>
      </w:pPr>
      <w:r>
        <w:t>A defesa jurídica do território de Povos e comunidades tradicionais enfrenta desafios expressivos, sobretudo por confrontar o direito hegemônico em nosso sistema de Justiça, historicamente falho na proteção dessas coletividades.</w:t>
      </w:r>
    </w:p>
    <w:p w:rsidR="00972CE3" w:rsidRDefault="001F20D2">
      <w:pPr>
        <w:pStyle w:val="Corpodetexto"/>
        <w:spacing w:line="360" w:lineRule="auto"/>
        <w:ind w:left="140" w:right="139" w:firstLine="850"/>
        <w:jc w:val="both"/>
      </w:pPr>
      <w:r>
        <w:t>Trata-se de um campo jurídi</w:t>
      </w:r>
      <w:r>
        <w:t>co ainda vulnerável, marcado por normas resistentes a transformações e por um direito contra-hegemônico que busca contrariar tal estrutura. Destacam-se quatro obstáculos interligados: a ignorância ou desinteresse do sistema de Justiça pelos direitos desses</w:t>
      </w:r>
      <w:r>
        <w:t xml:space="preserve"> grupos; o racismo institucional, que opera por “filtros raciais” e</w:t>
      </w:r>
      <w:r>
        <w:rPr>
          <w:spacing w:val="-3"/>
        </w:rPr>
        <w:t xml:space="preserve"> </w:t>
      </w:r>
      <w:r>
        <w:t>mecanismos de desvio</w:t>
      </w:r>
      <w:r>
        <w:rPr>
          <w:spacing w:val="-3"/>
        </w:rPr>
        <w:t xml:space="preserve"> </w:t>
      </w:r>
      <w:r>
        <w:t>legal (Vaz, 2022, p. 102-103); a hegemonia da propriedade privada, que desconsidera formas</w:t>
      </w:r>
      <w:r>
        <w:rPr>
          <w:spacing w:val="40"/>
        </w:rPr>
        <w:t xml:space="preserve"> </w:t>
      </w:r>
      <w:r>
        <w:t>coletivas de territorialidade (Nunes, 2020, p. 97-98); e a desproporção de f</w:t>
      </w:r>
      <w:r>
        <w:t>orças, agravada quando o violador é o próprio Estado.</w:t>
      </w:r>
    </w:p>
    <w:p w:rsidR="00972CE3" w:rsidRDefault="001F20D2">
      <w:pPr>
        <w:pStyle w:val="Corpodetexto"/>
        <w:spacing w:line="360" w:lineRule="auto"/>
        <w:ind w:left="140" w:right="135" w:firstLine="850"/>
        <w:jc w:val="both"/>
      </w:pPr>
      <w:r>
        <w:t>Esses desafios convergem especialmente no direito à consulta prévia, previsto na Convenção 169 da OIT, objeto deste artigo, que investiga decisões judiciais sobre a duplicação da BR-135, por meio da aná</w:t>
      </w:r>
      <w:r>
        <w:t>lise de jurisprudência, na qual</w:t>
      </w:r>
      <w:r>
        <w:rPr>
          <w:spacing w:val="-2"/>
        </w:rPr>
        <w:t xml:space="preserve"> </w:t>
      </w:r>
      <w:r>
        <w:t>se</w:t>
      </w:r>
      <w:r>
        <w:rPr>
          <w:spacing w:val="-2"/>
        </w:rPr>
        <w:t xml:space="preserve"> </w:t>
      </w:r>
      <w:r>
        <w:t>concentra</w:t>
      </w:r>
      <w:r>
        <w:rPr>
          <w:spacing w:val="-6"/>
        </w:rPr>
        <w:t xml:space="preserve"> </w:t>
      </w:r>
      <w:r>
        <w:t>a</w:t>
      </w:r>
      <w:r>
        <w:rPr>
          <w:spacing w:val="-2"/>
        </w:rPr>
        <w:t xml:space="preserve"> </w:t>
      </w:r>
      <w:r>
        <w:t>metodologia</w:t>
      </w:r>
      <w:r>
        <w:rPr>
          <w:spacing w:val="-6"/>
        </w:rPr>
        <w:t xml:space="preserve"> </w:t>
      </w:r>
      <w:r>
        <w:t>da</w:t>
      </w:r>
      <w:r>
        <w:rPr>
          <w:spacing w:val="-6"/>
        </w:rPr>
        <w:t xml:space="preserve"> </w:t>
      </w:r>
      <w:r>
        <w:t>investigação</w:t>
      </w:r>
      <w:r>
        <w:rPr>
          <w:spacing w:val="-2"/>
        </w:rPr>
        <w:t xml:space="preserve"> </w:t>
      </w:r>
      <w:r>
        <w:t>(Palma;</w:t>
      </w:r>
      <w:r>
        <w:rPr>
          <w:spacing w:val="-2"/>
        </w:rPr>
        <w:t xml:space="preserve"> </w:t>
      </w:r>
      <w:r>
        <w:t>Feferbaum;</w:t>
      </w:r>
      <w:r>
        <w:rPr>
          <w:spacing w:val="-2"/>
        </w:rPr>
        <w:t xml:space="preserve"> </w:t>
      </w:r>
      <w:r>
        <w:t>Pinheiro,</w:t>
      </w:r>
      <w:r>
        <w:rPr>
          <w:spacing w:val="-7"/>
        </w:rPr>
        <w:t xml:space="preserve"> </w:t>
      </w:r>
      <w:r>
        <w:t>2019, p. 101-102; Henriques; Medeiros, 2017, p. 106-107).</w:t>
      </w:r>
    </w:p>
    <w:p w:rsidR="00972CE3" w:rsidRDefault="00972CE3">
      <w:pPr>
        <w:pStyle w:val="Corpodetexto"/>
        <w:spacing w:before="134"/>
      </w:pPr>
    </w:p>
    <w:p w:rsidR="00972CE3" w:rsidRDefault="001F20D2">
      <w:pPr>
        <w:pStyle w:val="Heading1"/>
        <w:numPr>
          <w:ilvl w:val="0"/>
          <w:numId w:val="1"/>
        </w:numPr>
        <w:tabs>
          <w:tab w:val="left" w:pos="406"/>
        </w:tabs>
        <w:spacing w:before="1" w:line="360" w:lineRule="auto"/>
        <w:ind w:left="140" w:right="310" w:firstLine="0"/>
      </w:pPr>
      <w:r>
        <w:t>CONSULTA</w:t>
      </w:r>
      <w:r>
        <w:rPr>
          <w:spacing w:val="-10"/>
        </w:rPr>
        <w:t xml:space="preserve"> </w:t>
      </w:r>
      <w:r>
        <w:t>PRÉVIA</w:t>
      </w:r>
      <w:r>
        <w:rPr>
          <w:spacing w:val="-9"/>
        </w:rPr>
        <w:t xml:space="preserve"> </w:t>
      </w:r>
      <w:r>
        <w:t>COMO</w:t>
      </w:r>
      <w:r>
        <w:rPr>
          <w:spacing w:val="-5"/>
        </w:rPr>
        <w:t xml:space="preserve"> </w:t>
      </w:r>
      <w:r>
        <w:t>DIREITO</w:t>
      </w:r>
      <w:r>
        <w:rPr>
          <w:spacing w:val="-5"/>
        </w:rPr>
        <w:t xml:space="preserve"> </w:t>
      </w:r>
      <w:r>
        <w:t>FUNDAMENTAL:</w:t>
      </w:r>
      <w:r>
        <w:rPr>
          <w:spacing w:val="-4"/>
        </w:rPr>
        <w:t xml:space="preserve"> </w:t>
      </w:r>
      <w:r>
        <w:t>MARCOS</w:t>
      </w:r>
      <w:r>
        <w:rPr>
          <w:spacing w:val="-7"/>
        </w:rPr>
        <w:t xml:space="preserve"> </w:t>
      </w:r>
      <w:r>
        <w:t>JURÍDICOS E LIMITES DA APLICAÇÃO</w:t>
      </w:r>
    </w:p>
    <w:p w:rsidR="00972CE3" w:rsidRDefault="001F20D2">
      <w:pPr>
        <w:pStyle w:val="Corpodetexto"/>
        <w:spacing w:before="2" w:line="360" w:lineRule="auto"/>
        <w:ind w:left="140" w:right="142" w:firstLine="850"/>
        <w:jc w:val="both"/>
      </w:pPr>
      <w:r>
        <w:t>A consulta prévia está prevista na Convenção n. 169 da OIT, assinada em 1989</w:t>
      </w:r>
      <w:r>
        <w:rPr>
          <w:spacing w:val="-3"/>
        </w:rPr>
        <w:t xml:space="preserve"> </w:t>
      </w:r>
      <w:r>
        <w:t>e</w:t>
      </w:r>
      <w:r>
        <w:rPr>
          <w:spacing w:val="-2"/>
        </w:rPr>
        <w:t xml:space="preserve"> </w:t>
      </w:r>
      <w:r>
        <w:t>ratificada</w:t>
      </w:r>
      <w:r>
        <w:rPr>
          <w:spacing w:val="-6"/>
        </w:rPr>
        <w:t xml:space="preserve"> </w:t>
      </w:r>
      <w:r>
        <w:t>no</w:t>
      </w:r>
      <w:r>
        <w:rPr>
          <w:spacing w:val="-3"/>
        </w:rPr>
        <w:t xml:space="preserve"> </w:t>
      </w:r>
      <w:r>
        <w:t>Brasil em</w:t>
      </w:r>
      <w:r>
        <w:rPr>
          <w:spacing w:val="-10"/>
        </w:rPr>
        <w:t xml:space="preserve"> </w:t>
      </w:r>
      <w:r>
        <w:t>2002,</w:t>
      </w:r>
      <w:r>
        <w:rPr>
          <w:spacing w:val="-3"/>
        </w:rPr>
        <w:t xml:space="preserve"> </w:t>
      </w:r>
      <w:r>
        <w:t>passando</w:t>
      </w:r>
      <w:r>
        <w:rPr>
          <w:spacing w:val="-3"/>
        </w:rPr>
        <w:t xml:space="preserve"> </w:t>
      </w:r>
      <w:r>
        <w:t>a</w:t>
      </w:r>
      <w:r>
        <w:rPr>
          <w:spacing w:val="-2"/>
        </w:rPr>
        <w:t xml:space="preserve"> </w:t>
      </w:r>
      <w:r>
        <w:t>integrar</w:t>
      </w:r>
      <w:r>
        <w:rPr>
          <w:spacing w:val="-2"/>
        </w:rPr>
        <w:t xml:space="preserve"> </w:t>
      </w:r>
      <w:r>
        <w:t>o</w:t>
      </w:r>
      <w:r>
        <w:rPr>
          <w:spacing w:val="-6"/>
        </w:rPr>
        <w:t xml:space="preserve"> </w:t>
      </w:r>
      <w:r>
        <w:t>ordenamento</w:t>
      </w:r>
      <w:r>
        <w:rPr>
          <w:spacing w:val="-2"/>
        </w:rPr>
        <w:t xml:space="preserve"> </w:t>
      </w:r>
      <w:r>
        <w:t>jurídico</w:t>
      </w:r>
      <w:r>
        <w:rPr>
          <w:spacing w:val="-3"/>
        </w:rPr>
        <w:t xml:space="preserve"> </w:t>
      </w:r>
      <w:r>
        <w:t>com caráter</w:t>
      </w:r>
      <w:r>
        <w:rPr>
          <w:spacing w:val="-3"/>
        </w:rPr>
        <w:t xml:space="preserve"> </w:t>
      </w:r>
      <w:r>
        <w:t>supralegal (Decreto</w:t>
      </w:r>
      <w:r>
        <w:rPr>
          <w:spacing w:val="-3"/>
        </w:rPr>
        <w:t xml:space="preserve"> </w:t>
      </w:r>
      <w:r>
        <w:t>n.</w:t>
      </w:r>
      <w:r>
        <w:rPr>
          <w:spacing w:val="-4"/>
        </w:rPr>
        <w:t xml:space="preserve"> </w:t>
      </w:r>
      <w:r>
        <w:t>5.051).</w:t>
      </w:r>
      <w:r>
        <w:rPr>
          <w:spacing w:val="-4"/>
        </w:rPr>
        <w:t xml:space="preserve"> </w:t>
      </w:r>
      <w:r>
        <w:t>Embora a</w:t>
      </w:r>
      <w:r>
        <w:rPr>
          <w:spacing w:val="-4"/>
        </w:rPr>
        <w:t xml:space="preserve"> </w:t>
      </w:r>
      <w:r>
        <w:t>norma mencione “povos</w:t>
      </w:r>
      <w:r>
        <w:rPr>
          <w:spacing w:val="-4"/>
        </w:rPr>
        <w:t xml:space="preserve"> </w:t>
      </w:r>
      <w:r>
        <w:t>indígenas e tribais”,</w:t>
      </w:r>
      <w:r>
        <w:rPr>
          <w:spacing w:val="-3"/>
        </w:rPr>
        <w:t xml:space="preserve"> </w:t>
      </w:r>
      <w:r>
        <w:t>há</w:t>
      </w:r>
      <w:r>
        <w:rPr>
          <w:spacing w:val="-2"/>
        </w:rPr>
        <w:t xml:space="preserve"> </w:t>
      </w:r>
      <w:r>
        <w:t>enten</w:t>
      </w:r>
      <w:r>
        <w:t>dimento consolidado</w:t>
      </w:r>
      <w:r>
        <w:rPr>
          <w:spacing w:val="-2"/>
        </w:rPr>
        <w:t xml:space="preserve"> </w:t>
      </w:r>
      <w:r>
        <w:t>de</w:t>
      </w:r>
      <w:r>
        <w:rPr>
          <w:spacing w:val="-2"/>
        </w:rPr>
        <w:t xml:space="preserve"> </w:t>
      </w:r>
      <w:r>
        <w:t>que</w:t>
      </w:r>
      <w:r>
        <w:rPr>
          <w:spacing w:val="-3"/>
        </w:rPr>
        <w:t xml:space="preserve"> </w:t>
      </w:r>
      <w:r>
        <w:t>protege</w:t>
      </w:r>
      <w:r>
        <w:rPr>
          <w:spacing w:val="-2"/>
        </w:rPr>
        <w:t xml:space="preserve"> </w:t>
      </w:r>
      <w:r>
        <w:t>todos</w:t>
      </w:r>
      <w:r>
        <w:rPr>
          <w:spacing w:val="-3"/>
        </w:rPr>
        <w:t xml:space="preserve"> </w:t>
      </w:r>
      <w:r>
        <w:t>os povos e</w:t>
      </w:r>
      <w:r>
        <w:rPr>
          <w:spacing w:val="-2"/>
        </w:rPr>
        <w:t xml:space="preserve"> </w:t>
      </w:r>
      <w:r>
        <w:t>comunidades reconhecidos ou autorreconhecidos como tradicionais, em respeito ao direito à autodeterminação previsto na mesma Convenção.</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6304" behindDoc="1" locked="0" layoutInCell="1" allowOverlap="1">
            <wp:simplePos x="0" y="0"/>
            <wp:positionH relativeFrom="page">
              <wp:posOffset>0</wp:posOffset>
            </wp:positionH>
            <wp:positionV relativeFrom="page">
              <wp:posOffset>6984</wp:posOffset>
            </wp:positionV>
            <wp:extent cx="7562088" cy="1048326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41" w:firstLine="850"/>
        <w:jc w:val="both"/>
      </w:pPr>
      <w:r>
        <w:t>A consulta prévia é fundamental para combater o</w:t>
      </w:r>
      <w:r>
        <w:t xml:space="preserve"> racismo, sobretudo o institucional, permitindo considerar as visões de mundo e os territórios desses</w:t>
      </w:r>
      <w:r>
        <w:rPr>
          <w:spacing w:val="40"/>
        </w:rPr>
        <w:t xml:space="preserve"> </w:t>
      </w:r>
      <w:r>
        <w:t>grupos (Serejo, 2022, p. 51-53). A Corte Interamericana de Direitos Humanos a consagrou como princípio geral do Direito Internacional, definindo atributos</w:t>
      </w:r>
      <w:r>
        <w:t xml:space="preserve"> essenciais, como ser prévia, livre, informada, de boa-fé e culturalmente adequada (Silva et al, 2023, p. 69-71).</w:t>
      </w:r>
    </w:p>
    <w:p w:rsidR="00972CE3" w:rsidRDefault="001F20D2">
      <w:pPr>
        <w:pStyle w:val="Corpodetexto"/>
        <w:spacing w:before="4" w:line="360" w:lineRule="auto"/>
        <w:ind w:left="140" w:right="143" w:firstLine="850"/>
        <w:jc w:val="both"/>
      </w:pPr>
      <w:r>
        <w:t>No Brasil, o STF nunca tratou a matéria em processos objetivos, apesar de reconhecer seu caráter constitucional, como exposto na ADI</w:t>
      </w:r>
      <w:r>
        <w:rPr>
          <w:spacing w:val="-5"/>
        </w:rPr>
        <w:t xml:space="preserve"> </w:t>
      </w:r>
      <w:r>
        <w:t>n.</w:t>
      </w:r>
      <w:r>
        <w:rPr>
          <w:spacing w:val="-5"/>
        </w:rPr>
        <w:t xml:space="preserve"> </w:t>
      </w:r>
      <w:r>
        <w:t>4.269</w:t>
      </w:r>
      <w:r>
        <w:rPr>
          <w:spacing w:val="-4"/>
        </w:rPr>
        <w:t xml:space="preserve"> </w:t>
      </w:r>
      <w:r>
        <w:t>(Brasil,</w:t>
      </w:r>
      <w:r>
        <w:rPr>
          <w:spacing w:val="-5"/>
        </w:rPr>
        <w:t xml:space="preserve"> </w:t>
      </w:r>
      <w:r>
        <w:t xml:space="preserve">2019a). O STJ, por sua vez, apresenta decisões variadas, muitas sem enfrentar o mérito, limitando a consulta ao licenciamento ambiental, o que reduz sua abrangência. Em instâncias inferiores, prevalecem interpretações fragmentadas, que restringem </w:t>
      </w:r>
      <w:r>
        <w:t>o direito ou o confundem com etapas procedimentais.</w:t>
      </w:r>
    </w:p>
    <w:p w:rsidR="00972CE3" w:rsidRDefault="001F20D2">
      <w:pPr>
        <w:pStyle w:val="Corpodetexto"/>
        <w:spacing w:line="360" w:lineRule="auto"/>
        <w:ind w:left="140" w:right="146" w:firstLine="850"/>
        <w:jc w:val="both"/>
      </w:pPr>
      <w:r>
        <w:t>Além disso, há uma lacuna normativa significativa sobre como operacionalizar a consulta prévia, o que gera insegurança jurídica tanto para as comunidades tradicionais quanto para os órgãos públicos e priv</w:t>
      </w:r>
      <w:r>
        <w:t>ados envolvidos em empreendimentos. A ausência de legislação específica detalhando procedimentos, prazos e responsabilidades contribui para interpretações divergentes nos tribunais e para práticas que, muitas vezes, esvaziam o conteúdo protetivo desse dire</w:t>
      </w:r>
      <w:r>
        <w:t>ito.</w:t>
      </w:r>
    </w:p>
    <w:p w:rsidR="00972CE3" w:rsidRDefault="001F20D2">
      <w:pPr>
        <w:pStyle w:val="Corpodetexto"/>
        <w:spacing w:before="1" w:line="360" w:lineRule="auto"/>
        <w:ind w:left="140" w:right="144" w:firstLine="850"/>
        <w:jc w:val="both"/>
      </w:pPr>
      <w:r>
        <w:t>Por isso, defender a consulta prévia exige compreendê-la não apenas como um requisito formal, mas como um instrumento efetivo de participação e autodeterminação. Trata-se de garantir que comunidades tradicionais sejam protagonistas nas decisões que impacta</w:t>
      </w:r>
      <w:r>
        <w:t>m seus territórios e modos de vida, superando a lógica meramente burocrática e evitando que direitos fundamentais sejam sacrificados em nome de interesses econômicos ou políticos.</w:t>
      </w:r>
    </w:p>
    <w:p w:rsidR="00972CE3" w:rsidRDefault="001F20D2">
      <w:pPr>
        <w:pStyle w:val="Corpodetexto"/>
        <w:spacing w:line="360" w:lineRule="auto"/>
        <w:ind w:left="140" w:right="148" w:firstLine="850"/>
        <w:jc w:val="both"/>
      </w:pPr>
      <w:r>
        <w:t>Reconhecer a consulta prévia como instituto incorporado ao direito brasileir</w:t>
      </w:r>
      <w:r>
        <w:t>o é essencial, pois se conecta a garantias constitucionais e à</w:t>
      </w:r>
      <w:r>
        <w:rPr>
          <w:spacing w:val="-2"/>
        </w:rPr>
        <w:t xml:space="preserve"> </w:t>
      </w:r>
      <w:r>
        <w:t>luta contra</w:t>
      </w:r>
      <w:r>
        <w:rPr>
          <w:spacing w:val="-2"/>
        </w:rPr>
        <w:t xml:space="preserve"> </w:t>
      </w:r>
      <w:r>
        <w:t>o racismo e o genocídio histórico, especialmente em obras que impactam territórios tradicionais.</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7328" behindDoc="1" locked="0" layoutInCell="1" allowOverlap="1">
            <wp:simplePos x="0" y="0"/>
            <wp:positionH relativeFrom="page">
              <wp:posOffset>0</wp:posOffset>
            </wp:positionH>
            <wp:positionV relativeFrom="page">
              <wp:posOffset>6984</wp:posOffset>
            </wp:positionV>
            <wp:extent cx="7562088" cy="10483268"/>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3"/>
      </w:pPr>
    </w:p>
    <w:p w:rsidR="00972CE3" w:rsidRDefault="001F20D2">
      <w:pPr>
        <w:pStyle w:val="Heading1"/>
        <w:numPr>
          <w:ilvl w:val="0"/>
          <w:numId w:val="1"/>
        </w:numPr>
        <w:tabs>
          <w:tab w:val="left" w:pos="406"/>
        </w:tabs>
        <w:spacing w:line="360" w:lineRule="auto"/>
        <w:ind w:left="140" w:right="258" w:firstLine="0"/>
      </w:pPr>
      <w:r>
        <w:t>OBRAS</w:t>
      </w:r>
      <w:r>
        <w:rPr>
          <w:spacing w:val="-7"/>
        </w:rPr>
        <w:t xml:space="preserve"> </w:t>
      </w:r>
      <w:r>
        <w:t>DE</w:t>
      </w:r>
      <w:r>
        <w:rPr>
          <w:spacing w:val="-2"/>
        </w:rPr>
        <w:t xml:space="preserve"> </w:t>
      </w:r>
      <w:r>
        <w:t>INFRAESTRUTURA</w:t>
      </w:r>
      <w:r>
        <w:rPr>
          <w:spacing w:val="-11"/>
        </w:rPr>
        <w:t xml:space="preserve"> </w:t>
      </w:r>
      <w:r>
        <w:t>E</w:t>
      </w:r>
      <w:r>
        <w:rPr>
          <w:spacing w:val="-7"/>
        </w:rPr>
        <w:t xml:space="preserve"> </w:t>
      </w:r>
      <w:r>
        <w:t>RACISMO</w:t>
      </w:r>
      <w:r>
        <w:rPr>
          <w:spacing w:val="-5"/>
        </w:rPr>
        <w:t xml:space="preserve"> </w:t>
      </w:r>
      <w:r>
        <w:t>TERRITORIAL:</w:t>
      </w:r>
      <w:r>
        <w:rPr>
          <w:spacing w:val="-4"/>
        </w:rPr>
        <w:t xml:space="preserve"> </w:t>
      </w:r>
      <w:r>
        <w:t>OS</w:t>
      </w:r>
      <w:r>
        <w:rPr>
          <w:spacing w:val="-7"/>
        </w:rPr>
        <w:t xml:space="preserve"> </w:t>
      </w:r>
      <w:r>
        <w:t>QUILOMBOS NO CAMINHO DA BR-135</w:t>
      </w:r>
    </w:p>
    <w:p w:rsidR="00972CE3" w:rsidRDefault="001F20D2">
      <w:pPr>
        <w:pStyle w:val="Corpodetexto"/>
        <w:spacing w:before="8" w:line="360" w:lineRule="auto"/>
        <w:ind w:left="140" w:right="137" w:firstLine="710"/>
        <w:jc w:val="both"/>
      </w:pPr>
      <w:r>
        <w:t>A rodovia federal BR-135 conecta São Luís do Maranhão a Belo Horizonte, sendo a única via rodoviária de acesso à capital maranhense e fundamental para integrar o Norte e o Sul do país. O trecho na ilha de São Luís já está dup</w:t>
      </w:r>
      <w:r>
        <w:t xml:space="preserve">licado há décadas, mas persiste o desafio de duplicar o segmento que se estende ao </w:t>
      </w:r>
      <w:r>
        <w:rPr>
          <w:spacing w:val="-2"/>
        </w:rPr>
        <w:t>continente.</w:t>
      </w:r>
      <w:r>
        <w:rPr>
          <w:spacing w:val="-2"/>
          <w:vertAlign w:val="superscript"/>
        </w:rPr>
        <w:t>2</w:t>
      </w:r>
    </w:p>
    <w:p w:rsidR="00972CE3" w:rsidRDefault="001F20D2">
      <w:pPr>
        <w:pStyle w:val="Corpodetexto"/>
        <w:spacing w:line="360" w:lineRule="auto"/>
        <w:ind w:left="140" w:right="136" w:firstLine="710"/>
        <w:jc w:val="both"/>
      </w:pPr>
      <w:r>
        <w:t>O</w:t>
      </w:r>
      <w:r>
        <w:rPr>
          <w:spacing w:val="-1"/>
        </w:rPr>
        <w:t xml:space="preserve"> </w:t>
      </w:r>
      <w:r>
        <w:t>projeto foi dividido</w:t>
      </w:r>
      <w:r>
        <w:rPr>
          <w:spacing w:val="-5"/>
        </w:rPr>
        <w:t xml:space="preserve"> </w:t>
      </w:r>
      <w:r>
        <w:t>em</w:t>
      </w:r>
      <w:r>
        <w:rPr>
          <w:spacing w:val="-9"/>
        </w:rPr>
        <w:t xml:space="preserve"> </w:t>
      </w:r>
      <w:r>
        <w:t>três</w:t>
      </w:r>
      <w:r>
        <w:rPr>
          <w:spacing w:val="-1"/>
        </w:rPr>
        <w:t xml:space="preserve"> </w:t>
      </w:r>
      <w:r>
        <w:t>etapas.</w:t>
      </w:r>
      <w:r>
        <w:rPr>
          <w:spacing w:val="-1"/>
        </w:rPr>
        <w:t xml:space="preserve"> </w:t>
      </w:r>
      <w:r>
        <w:t>A</w:t>
      </w:r>
      <w:r>
        <w:rPr>
          <w:spacing w:val="-3"/>
        </w:rPr>
        <w:t xml:space="preserve"> </w:t>
      </w:r>
      <w:r>
        <w:t>etapa</w:t>
      </w:r>
      <w:r>
        <w:rPr>
          <w:spacing w:val="-5"/>
        </w:rPr>
        <w:t xml:space="preserve"> </w:t>
      </w:r>
      <w:r>
        <w:t>1,</w:t>
      </w:r>
      <w:r>
        <w:rPr>
          <w:spacing w:val="-1"/>
        </w:rPr>
        <w:t xml:space="preserve"> </w:t>
      </w:r>
      <w:r>
        <w:t>entre</w:t>
      </w:r>
      <w:r>
        <w:rPr>
          <w:spacing w:val="-5"/>
        </w:rPr>
        <w:t xml:space="preserve"> </w:t>
      </w:r>
      <w:r>
        <w:t>Estiva</w:t>
      </w:r>
      <w:r>
        <w:rPr>
          <w:spacing w:val="-5"/>
        </w:rPr>
        <w:t xml:space="preserve"> </w:t>
      </w:r>
      <w:r>
        <w:t>e Bacabeira</w:t>
      </w:r>
      <w:r>
        <w:rPr>
          <w:spacing w:val="-1"/>
        </w:rPr>
        <w:t xml:space="preserve"> </w:t>
      </w:r>
      <w:r>
        <w:t>(26,3 km), ocorreu entre 2012 e 2018, sem estudos sobre impactos em territórios quilo</w:t>
      </w:r>
      <w:r>
        <w:t>mbolas. Já as etapas 2 e 3, que vão até Miranda do Norte, passam por áreas marcadas historicamente pela presença de quilombos, como Santa Rita, Itapecuru- Mirim, Anajatuba e Miranda do Norte.</w:t>
      </w:r>
    </w:p>
    <w:p w:rsidR="00972CE3" w:rsidRDefault="001F20D2">
      <w:pPr>
        <w:pStyle w:val="Corpodetexto"/>
        <w:spacing w:line="360" w:lineRule="auto"/>
        <w:ind w:left="140" w:right="147" w:firstLine="710"/>
        <w:jc w:val="both"/>
      </w:pPr>
      <w:r>
        <w:t xml:space="preserve">Desde 2017, comunidades quilombolas começaram a sentir impactos </w:t>
      </w:r>
      <w:r>
        <w:t>das obras, como maquinário pesado e desmatamentos. O quilombo Santa Rosa dos Pretos, em</w:t>
      </w:r>
      <w:r>
        <w:rPr>
          <w:spacing w:val="-5"/>
        </w:rPr>
        <w:t xml:space="preserve"> </w:t>
      </w:r>
      <w:r>
        <w:t>Itapecuru-Mirim, denunciou</w:t>
      </w:r>
      <w:r>
        <w:rPr>
          <w:spacing w:val="-2"/>
        </w:rPr>
        <w:t xml:space="preserve"> </w:t>
      </w:r>
      <w:r>
        <w:t>intervenções em</w:t>
      </w:r>
      <w:r>
        <w:rPr>
          <w:spacing w:val="-5"/>
        </w:rPr>
        <w:t xml:space="preserve"> </w:t>
      </w:r>
      <w:r>
        <w:t>seu território e a ameaça de desapropriação de 345 casas, levando DPU e MPF a intervir.</w:t>
      </w:r>
    </w:p>
    <w:p w:rsidR="00972CE3" w:rsidRDefault="001F20D2">
      <w:pPr>
        <w:pStyle w:val="Corpodetexto"/>
        <w:spacing w:line="360" w:lineRule="auto"/>
        <w:ind w:left="140" w:right="147" w:firstLine="710"/>
        <w:jc w:val="both"/>
      </w:pPr>
      <w:r>
        <w:t>Em</w:t>
      </w:r>
      <w:r>
        <w:rPr>
          <w:spacing w:val="-10"/>
        </w:rPr>
        <w:t xml:space="preserve"> </w:t>
      </w:r>
      <w:r>
        <w:t>2017,</w:t>
      </w:r>
      <w:r>
        <w:rPr>
          <w:spacing w:val="-2"/>
        </w:rPr>
        <w:t xml:space="preserve"> </w:t>
      </w:r>
      <w:r>
        <w:t>a</w:t>
      </w:r>
      <w:r>
        <w:rPr>
          <w:spacing w:val="-2"/>
        </w:rPr>
        <w:t xml:space="preserve"> </w:t>
      </w:r>
      <w:r>
        <w:t>SEMA</w:t>
      </w:r>
      <w:r>
        <w:rPr>
          <w:spacing w:val="-4"/>
        </w:rPr>
        <w:t xml:space="preserve"> </w:t>
      </w:r>
      <w:r>
        <w:t>emitiu</w:t>
      </w:r>
      <w:r>
        <w:rPr>
          <w:spacing w:val="-2"/>
        </w:rPr>
        <w:t xml:space="preserve"> </w:t>
      </w:r>
      <w:r>
        <w:t>licenças</w:t>
      </w:r>
      <w:r>
        <w:rPr>
          <w:spacing w:val="-2"/>
        </w:rPr>
        <w:t xml:space="preserve"> </w:t>
      </w:r>
      <w:r>
        <w:t>para</w:t>
      </w:r>
      <w:r>
        <w:rPr>
          <w:spacing w:val="-2"/>
        </w:rPr>
        <w:t xml:space="preserve"> </w:t>
      </w:r>
      <w:r>
        <w:t>as</w:t>
      </w:r>
      <w:r>
        <w:rPr>
          <w:spacing w:val="-7"/>
        </w:rPr>
        <w:t xml:space="preserve"> </w:t>
      </w:r>
      <w:r>
        <w:t>etapas</w:t>
      </w:r>
      <w:r>
        <w:rPr>
          <w:spacing w:val="-2"/>
        </w:rPr>
        <w:t xml:space="preserve"> </w:t>
      </w:r>
      <w:r>
        <w:t>2</w:t>
      </w:r>
      <w:r>
        <w:rPr>
          <w:spacing w:val="-1"/>
        </w:rPr>
        <w:t xml:space="preserve"> </w:t>
      </w:r>
      <w:r>
        <w:t>e</w:t>
      </w:r>
      <w:r>
        <w:rPr>
          <w:spacing w:val="-1"/>
        </w:rPr>
        <w:t xml:space="preserve"> </w:t>
      </w:r>
      <w:r>
        <w:t>3</w:t>
      </w:r>
      <w:r>
        <w:rPr>
          <w:spacing w:val="-6"/>
        </w:rPr>
        <w:t xml:space="preserve"> </w:t>
      </w:r>
      <w:r>
        <w:t>(Brasil,</w:t>
      </w:r>
      <w:r>
        <w:rPr>
          <w:spacing w:val="-2"/>
        </w:rPr>
        <w:t xml:space="preserve"> </w:t>
      </w:r>
      <w:r>
        <w:t>2019b,</w:t>
      </w:r>
      <w:r>
        <w:rPr>
          <w:spacing w:val="-2"/>
        </w:rPr>
        <w:t xml:space="preserve"> </w:t>
      </w:r>
      <w:r>
        <w:t>p.</w:t>
      </w:r>
      <w:r>
        <w:rPr>
          <w:spacing w:val="-7"/>
        </w:rPr>
        <w:t xml:space="preserve"> </w:t>
      </w:r>
      <w:r>
        <w:t>542), mas os estudos sobre comunidades quilombolas foram superficiais. DNIT e SEMA alegaram que as obras se limitariam à faixa de domínio de 70 metros, sem novos impactos significativos, reconhecendo não ter realizado con</w:t>
      </w:r>
      <w:r>
        <w:t>sulta prévia (Brasil, 2019b, p. 258).</w:t>
      </w:r>
      <w:r>
        <w:rPr>
          <w:vertAlign w:val="superscript"/>
        </w:rPr>
        <w:t>3</w:t>
      </w:r>
    </w:p>
    <w:p w:rsidR="00972CE3" w:rsidRDefault="00972CE3">
      <w:pPr>
        <w:pStyle w:val="Corpodetexto"/>
        <w:spacing w:line="360" w:lineRule="auto"/>
        <w:ind w:left="140" w:right="149" w:firstLine="710"/>
        <w:jc w:val="both"/>
      </w:pPr>
      <w:r w:rsidRPr="00972CE3">
        <w:pict>
          <v:rect id="docshape30" o:spid="_x0000_s1029" style="position:absolute;left:0;text-align:left;margin-left:85pt;margin-top:42.9pt;width:144.05pt;height:.5pt;z-index:-15701504;mso-wrap-distance-left:0;mso-wrap-distance-right:0;mso-position-horizontal-relative:page" fillcolor="black" stroked="f">
            <w10:wrap type="topAndBottom" anchorx="page"/>
          </v:rect>
        </w:pict>
      </w:r>
      <w:r w:rsidR="001F20D2">
        <w:t>Frente a isso, DPU e MPF recomendaram suspender novas licenças até que estudos</w:t>
      </w:r>
      <w:r w:rsidR="001F20D2">
        <w:rPr>
          <w:spacing w:val="80"/>
        </w:rPr>
        <w:t xml:space="preserve"> </w:t>
      </w:r>
      <w:r w:rsidR="001F20D2">
        <w:t>sobre</w:t>
      </w:r>
      <w:r w:rsidR="001F20D2">
        <w:rPr>
          <w:spacing w:val="80"/>
        </w:rPr>
        <w:t xml:space="preserve"> </w:t>
      </w:r>
      <w:r w:rsidR="001F20D2">
        <w:t>impactos</w:t>
      </w:r>
      <w:r w:rsidR="001F20D2">
        <w:rPr>
          <w:spacing w:val="80"/>
        </w:rPr>
        <w:t xml:space="preserve"> </w:t>
      </w:r>
      <w:r w:rsidR="001F20D2">
        <w:t>em</w:t>
      </w:r>
      <w:r w:rsidR="001F20D2">
        <w:rPr>
          <w:spacing w:val="80"/>
        </w:rPr>
        <w:t xml:space="preserve"> </w:t>
      </w:r>
      <w:r w:rsidR="001F20D2">
        <w:t>territórios</w:t>
      </w:r>
      <w:r w:rsidR="001F20D2">
        <w:rPr>
          <w:spacing w:val="80"/>
        </w:rPr>
        <w:t xml:space="preserve"> </w:t>
      </w:r>
      <w:r w:rsidR="001F20D2">
        <w:t>quilombolas</w:t>
      </w:r>
      <w:r w:rsidR="001F20D2">
        <w:rPr>
          <w:spacing w:val="80"/>
        </w:rPr>
        <w:t xml:space="preserve"> </w:t>
      </w:r>
      <w:r w:rsidR="001F20D2">
        <w:t>fossem</w:t>
      </w:r>
      <w:r w:rsidR="001F20D2">
        <w:rPr>
          <w:spacing w:val="80"/>
        </w:rPr>
        <w:t xml:space="preserve"> </w:t>
      </w:r>
      <w:r w:rsidR="001F20D2">
        <w:t>feitos,</w:t>
      </w:r>
      <w:r w:rsidR="001F20D2">
        <w:rPr>
          <w:spacing w:val="80"/>
        </w:rPr>
        <w:t xml:space="preserve"> </w:t>
      </w:r>
      <w:r w:rsidR="001F20D2">
        <w:t>mas</w:t>
      </w:r>
      <w:r w:rsidR="001F20D2">
        <w:rPr>
          <w:spacing w:val="80"/>
        </w:rPr>
        <w:t xml:space="preserve"> </w:t>
      </w:r>
      <w:r w:rsidR="001F20D2">
        <w:t>houve</w:t>
      </w:r>
    </w:p>
    <w:p w:rsidR="00972CE3" w:rsidRDefault="001F20D2">
      <w:pPr>
        <w:spacing w:before="96"/>
        <w:ind w:left="140" w:right="136"/>
        <w:jc w:val="both"/>
        <w:rPr>
          <w:sz w:val="20"/>
        </w:rPr>
      </w:pPr>
      <w:r>
        <w:rPr>
          <w:sz w:val="20"/>
          <w:vertAlign w:val="superscript"/>
        </w:rPr>
        <w:t>2</w:t>
      </w:r>
      <w:r>
        <w:rPr>
          <w:sz w:val="20"/>
        </w:rPr>
        <w:t xml:space="preserve"> A duplicação se insere dentro do chamado Corredor Logístico, que busca incrementar a ligação entre </w:t>
      </w:r>
      <w:r>
        <w:rPr>
          <w:color w:val="333333"/>
          <w:sz w:val="20"/>
        </w:rPr>
        <w:t>São Luís e Teresina, região considerada como uma das principais fronteiras agrícolas da atualidade.</w:t>
      </w:r>
      <w:r>
        <w:rPr>
          <w:color w:val="333333"/>
          <w:spacing w:val="-5"/>
          <w:sz w:val="20"/>
        </w:rPr>
        <w:t xml:space="preserve"> </w:t>
      </w:r>
      <w:r>
        <w:rPr>
          <w:color w:val="333333"/>
          <w:sz w:val="20"/>
        </w:rPr>
        <w:t>O</w:t>
      </w:r>
      <w:r>
        <w:rPr>
          <w:color w:val="333333"/>
          <w:spacing w:val="-5"/>
          <w:sz w:val="20"/>
        </w:rPr>
        <w:t xml:space="preserve"> </w:t>
      </w:r>
      <w:r>
        <w:rPr>
          <w:color w:val="333333"/>
          <w:sz w:val="20"/>
        </w:rPr>
        <w:t>projeto</w:t>
      </w:r>
      <w:r>
        <w:rPr>
          <w:color w:val="333333"/>
          <w:spacing w:val="-7"/>
          <w:sz w:val="20"/>
        </w:rPr>
        <w:t xml:space="preserve"> </w:t>
      </w:r>
      <w:r>
        <w:rPr>
          <w:color w:val="333333"/>
          <w:sz w:val="20"/>
        </w:rPr>
        <w:t>também se</w:t>
      </w:r>
      <w:r>
        <w:rPr>
          <w:color w:val="333333"/>
          <w:spacing w:val="-3"/>
          <w:sz w:val="20"/>
        </w:rPr>
        <w:t xml:space="preserve"> </w:t>
      </w:r>
      <w:r>
        <w:rPr>
          <w:color w:val="333333"/>
          <w:sz w:val="20"/>
        </w:rPr>
        <w:t>relaciona</w:t>
      </w:r>
      <w:r>
        <w:rPr>
          <w:color w:val="333333"/>
          <w:spacing w:val="-3"/>
          <w:sz w:val="20"/>
        </w:rPr>
        <w:t xml:space="preserve"> </w:t>
      </w:r>
      <w:r>
        <w:rPr>
          <w:color w:val="333333"/>
          <w:sz w:val="20"/>
        </w:rPr>
        <w:t>com</w:t>
      </w:r>
      <w:r>
        <w:rPr>
          <w:color w:val="333333"/>
          <w:spacing w:val="-2"/>
          <w:sz w:val="20"/>
        </w:rPr>
        <w:t xml:space="preserve"> </w:t>
      </w:r>
      <w:r>
        <w:rPr>
          <w:color w:val="333333"/>
          <w:sz w:val="20"/>
        </w:rPr>
        <w:t>a</w:t>
      </w:r>
      <w:r>
        <w:rPr>
          <w:color w:val="333333"/>
          <w:spacing w:val="-3"/>
          <w:sz w:val="20"/>
        </w:rPr>
        <w:t xml:space="preserve"> </w:t>
      </w:r>
      <w:r>
        <w:rPr>
          <w:color w:val="333333"/>
          <w:sz w:val="20"/>
        </w:rPr>
        <w:t>exploração</w:t>
      </w:r>
      <w:r>
        <w:rPr>
          <w:color w:val="333333"/>
          <w:spacing w:val="-3"/>
          <w:sz w:val="20"/>
        </w:rPr>
        <w:t xml:space="preserve"> </w:t>
      </w:r>
      <w:r>
        <w:rPr>
          <w:color w:val="333333"/>
          <w:sz w:val="20"/>
        </w:rPr>
        <w:t>do</w:t>
      </w:r>
      <w:r>
        <w:rPr>
          <w:color w:val="333333"/>
          <w:spacing w:val="-3"/>
          <w:sz w:val="20"/>
        </w:rPr>
        <w:t xml:space="preserve"> </w:t>
      </w:r>
      <w:r>
        <w:rPr>
          <w:color w:val="333333"/>
          <w:sz w:val="20"/>
        </w:rPr>
        <w:t>“Matop</w:t>
      </w:r>
      <w:r>
        <w:rPr>
          <w:color w:val="333333"/>
          <w:sz w:val="20"/>
        </w:rPr>
        <w:t>iba”, que</w:t>
      </w:r>
      <w:r>
        <w:rPr>
          <w:color w:val="333333"/>
          <w:spacing w:val="-3"/>
          <w:sz w:val="20"/>
        </w:rPr>
        <w:t xml:space="preserve"> </w:t>
      </w:r>
      <w:r>
        <w:rPr>
          <w:color w:val="333333"/>
          <w:sz w:val="20"/>
        </w:rPr>
        <w:t>compreende</w:t>
      </w:r>
      <w:r>
        <w:rPr>
          <w:color w:val="333333"/>
          <w:spacing w:val="-3"/>
          <w:sz w:val="20"/>
        </w:rPr>
        <w:t xml:space="preserve"> </w:t>
      </w:r>
      <w:r>
        <w:rPr>
          <w:color w:val="333333"/>
          <w:sz w:val="20"/>
        </w:rPr>
        <w:t>o</w:t>
      </w:r>
      <w:r>
        <w:rPr>
          <w:color w:val="333333"/>
          <w:spacing w:val="-3"/>
          <w:sz w:val="20"/>
        </w:rPr>
        <w:t xml:space="preserve"> </w:t>
      </w:r>
      <w:r>
        <w:rPr>
          <w:color w:val="333333"/>
          <w:sz w:val="20"/>
        </w:rPr>
        <w:t>bioma Cerrado dos estados do Maranhão, Tocantins, Piauí e Bahia e responde por grande parte da produção brasileira de grãos e fibras.</w:t>
      </w:r>
    </w:p>
    <w:p w:rsidR="00972CE3" w:rsidRDefault="001F20D2">
      <w:pPr>
        <w:spacing w:before="2"/>
        <w:ind w:left="140" w:right="140"/>
        <w:jc w:val="both"/>
        <w:rPr>
          <w:sz w:val="20"/>
        </w:rPr>
      </w:pPr>
      <w:r>
        <w:rPr>
          <w:sz w:val="20"/>
          <w:vertAlign w:val="superscript"/>
        </w:rPr>
        <w:t>3</w:t>
      </w:r>
      <w:r>
        <w:rPr>
          <w:sz w:val="20"/>
        </w:rPr>
        <w:t xml:space="preserve"> Apenas para se ter uma noção, o levantamento do DNIT e da SEMA declarou a existência de apenas 6 </w:t>
      </w:r>
      <w:r>
        <w:rPr>
          <w:sz w:val="20"/>
        </w:rPr>
        <w:t>quilombos nos trechos 2 e 3 de duplicação, sendo eles Oiteiro dos Nogueira, Pedreira, Santa Rosa dos Pretos, Vila Cariongo, Vila Fé em Deus e Santana. Além disso, a FCP não atou no licenciamento, declarando formalmente que nunca foi procurada para tal fina</w:t>
      </w:r>
      <w:r>
        <w:rPr>
          <w:sz w:val="20"/>
        </w:rPr>
        <w:t>lidade.</w:t>
      </w:r>
    </w:p>
    <w:p w:rsidR="00972CE3" w:rsidRDefault="00972CE3">
      <w:pPr>
        <w:jc w:val="both"/>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8352" behindDoc="1" locked="0" layoutInCell="1" allowOverlap="1">
            <wp:simplePos x="0" y="0"/>
            <wp:positionH relativeFrom="page">
              <wp:posOffset>0</wp:posOffset>
            </wp:positionH>
            <wp:positionV relativeFrom="page">
              <wp:posOffset>6984</wp:posOffset>
            </wp:positionV>
            <wp:extent cx="7562088" cy="10483268"/>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2" w:lineRule="auto"/>
        <w:ind w:left="140" w:right="147"/>
        <w:jc w:val="both"/>
      </w:pPr>
      <w:r>
        <w:t>resistência do DNIT. A FCP, em 2018, produziu levantamento geoespacial baseado num raio de 40 km, previsto na Portaria Interministerial n. 60/2015, recomendando medidas corretivas e elaboração do Estudo do Componente Quilombola</w:t>
      </w:r>
      <w:r>
        <w:t xml:space="preserve"> – ECQ.</w:t>
      </w:r>
    </w:p>
    <w:p w:rsidR="00972CE3" w:rsidRDefault="001F20D2">
      <w:pPr>
        <w:pStyle w:val="Corpodetexto"/>
        <w:spacing w:line="360" w:lineRule="auto"/>
        <w:ind w:left="140" w:right="133" w:firstLine="710"/>
        <w:jc w:val="both"/>
      </w:pPr>
      <w:r>
        <w:t>Surgiu então debate sobre quantos quilombos seriam considerados na área</w:t>
      </w:r>
      <w:r>
        <w:rPr>
          <w:spacing w:val="40"/>
        </w:rPr>
        <w:t xml:space="preserve"> </w:t>
      </w:r>
      <w:r>
        <w:t>de impacto. O DNIT queria limitar-se a comunidades com RTID publicado pelo INCRA, mas após resistência das comunidades e da DPU, admitiu considerar quilombos certificados pela FCP. Ainda assim, lideranças quilombolas, junto com a DPU,</w:t>
      </w:r>
      <w:r>
        <w:rPr>
          <w:spacing w:val="-14"/>
        </w:rPr>
        <w:t xml:space="preserve"> </w:t>
      </w:r>
      <w:r>
        <w:t>elaboraram estudos pr</w:t>
      </w:r>
      <w:r>
        <w:t>óprios, identificando 95 quilombos num raio de 40 km.</w:t>
      </w:r>
      <w:r>
        <w:rPr>
          <w:spacing w:val="-17"/>
        </w:rPr>
        <w:t xml:space="preserve"> </w:t>
      </w:r>
      <w:r>
        <w:rPr>
          <w:vertAlign w:val="superscript"/>
        </w:rPr>
        <w:t>4</w:t>
      </w:r>
      <w:r>
        <w:t xml:space="preserve"> Em abril de 2019, a FCP revisou seu posicionamento, reconhecendo ao menos 62 comunidades autodeclaradas quilombolas nessa área.</w:t>
      </w:r>
    </w:p>
    <w:p w:rsidR="00972CE3" w:rsidRDefault="001F20D2">
      <w:pPr>
        <w:pStyle w:val="Corpodetexto"/>
        <w:spacing w:line="360" w:lineRule="auto"/>
        <w:ind w:left="140" w:right="137" w:firstLine="710"/>
        <w:jc w:val="both"/>
      </w:pPr>
      <w:r>
        <w:t>Nessa fase da discussão, surgiu outro ponto sensível aos direitos</w:t>
      </w:r>
      <w:r>
        <w:rPr>
          <w:spacing w:val="40"/>
        </w:rPr>
        <w:t xml:space="preserve"> </w:t>
      </w:r>
      <w:r>
        <w:t>quilombolas. A FCP defendeu que, pela interpretação do art. 3º, §3º, da Portaria Interministerial n. 60/2015, seria possível reduzir de 40 km para 10 km o raio de influência das obras, contados do eixo da rodovia, o que excluiria de imediato 17 territórios</w:t>
      </w:r>
      <w:r>
        <w:t xml:space="preserve"> quilombolas do processo de consulta.</w:t>
      </w:r>
    </w:p>
    <w:p w:rsidR="00972CE3" w:rsidRDefault="001F20D2">
      <w:pPr>
        <w:pStyle w:val="Corpodetexto"/>
        <w:spacing w:line="360" w:lineRule="auto"/>
        <w:ind w:left="140" w:right="136" w:firstLine="710"/>
        <w:jc w:val="both"/>
      </w:pPr>
      <w:r>
        <w:t>Sem consenso, o DNIT insistiu em reconhecer como quilombos apenas aqueles com RTID publicado e negou realizar estudos ambientais adicionais. Já a DPU e as lideranças quilombolas rejeitaram a redução do raio para 10 km.</w:t>
      </w:r>
      <w:r>
        <w:t xml:space="preserve"> Em novembro de 2019, o MPF ajuizou ação civil pública (Processo n. 1024159- 16.2019.4.01.3700) requerendo estudos específicos sobre comunidades no raio de 40 km e condicionando licenças ambientais aos resultados das consultas (Brasil, </w:t>
      </w:r>
      <w:r>
        <w:rPr>
          <w:spacing w:val="-2"/>
        </w:rPr>
        <w:t>2019b).</w:t>
      </w:r>
    </w:p>
    <w:p w:rsidR="00972CE3" w:rsidRDefault="001F20D2">
      <w:pPr>
        <w:pStyle w:val="Corpodetexto"/>
        <w:spacing w:line="362" w:lineRule="auto"/>
        <w:ind w:left="140" w:right="146" w:firstLine="710"/>
        <w:jc w:val="both"/>
      </w:pPr>
      <w:r>
        <w:t>Contudo, o M</w:t>
      </w:r>
      <w:r>
        <w:t>PF não pediu paralisação das obras nem suspensão das licenças já expedidas, o que contrariou interesses quilombolas. A DPU, então, ingressou</w:t>
      </w:r>
      <w:r>
        <w:rPr>
          <w:spacing w:val="40"/>
        </w:rPr>
        <w:t xml:space="preserve"> </w:t>
      </w:r>
      <w:r>
        <w:t>na</w:t>
      </w:r>
      <w:r>
        <w:rPr>
          <w:spacing w:val="40"/>
        </w:rPr>
        <w:t xml:space="preserve"> </w:t>
      </w:r>
      <w:r>
        <w:t>ação</w:t>
      </w:r>
      <w:r>
        <w:rPr>
          <w:spacing w:val="40"/>
        </w:rPr>
        <w:t xml:space="preserve"> </w:t>
      </w:r>
      <w:r>
        <w:t>representando</w:t>
      </w:r>
      <w:r>
        <w:rPr>
          <w:spacing w:val="40"/>
        </w:rPr>
        <w:t xml:space="preserve"> </w:t>
      </w:r>
      <w:r>
        <w:t>as</w:t>
      </w:r>
      <w:r>
        <w:rPr>
          <w:spacing w:val="39"/>
        </w:rPr>
        <w:t xml:space="preserve"> </w:t>
      </w:r>
      <w:r>
        <w:t>comunidades</w:t>
      </w:r>
      <w:r>
        <w:rPr>
          <w:spacing w:val="40"/>
        </w:rPr>
        <w:t xml:space="preserve"> </w:t>
      </w:r>
      <w:r>
        <w:t>e,</w:t>
      </w:r>
      <w:r>
        <w:rPr>
          <w:spacing w:val="40"/>
        </w:rPr>
        <w:t xml:space="preserve"> </w:t>
      </w:r>
      <w:r>
        <w:t>diversas</w:t>
      </w:r>
      <w:r>
        <w:rPr>
          <w:spacing w:val="40"/>
        </w:rPr>
        <w:t xml:space="preserve"> </w:t>
      </w:r>
      <w:r>
        <w:t>vezes,</w:t>
      </w:r>
      <w:r>
        <w:rPr>
          <w:spacing w:val="40"/>
        </w:rPr>
        <w:t xml:space="preserve"> </w:t>
      </w:r>
      <w:r>
        <w:t>requereu</w:t>
      </w:r>
      <w:r>
        <w:rPr>
          <w:spacing w:val="40"/>
        </w:rPr>
        <w:t xml:space="preserve"> </w:t>
      </w:r>
      <w:r>
        <w:t>a</w:t>
      </w:r>
    </w:p>
    <w:p w:rsidR="00972CE3" w:rsidRDefault="00972CE3">
      <w:pPr>
        <w:pStyle w:val="Corpodetexto"/>
        <w:spacing w:before="6"/>
        <w:rPr>
          <w:sz w:val="7"/>
        </w:rPr>
      </w:pPr>
      <w:r w:rsidRPr="00972CE3">
        <w:rPr>
          <w:sz w:val="7"/>
        </w:rPr>
        <w:pict>
          <v:rect id="docshape31" o:spid="_x0000_s1028" style="position:absolute;margin-left:85pt;margin-top:5.55pt;width:144.05pt;height:.5pt;z-index:-15700480;mso-wrap-distance-left:0;mso-wrap-distance-right:0;mso-position-horizontal-relative:page" fillcolor="black" stroked="f">
            <w10:wrap type="topAndBottom" anchorx="page"/>
          </v:rect>
        </w:pict>
      </w:r>
    </w:p>
    <w:p w:rsidR="00972CE3" w:rsidRDefault="001F20D2">
      <w:pPr>
        <w:spacing w:before="95"/>
        <w:ind w:left="140" w:right="132"/>
        <w:jc w:val="both"/>
        <w:rPr>
          <w:sz w:val="20"/>
        </w:rPr>
      </w:pPr>
      <w:r>
        <w:rPr>
          <w:sz w:val="20"/>
          <w:vertAlign w:val="superscript"/>
        </w:rPr>
        <w:t>4</w:t>
      </w:r>
      <w:r>
        <w:rPr>
          <w:sz w:val="20"/>
        </w:rPr>
        <w:t xml:space="preserve"> O estudo foi realizado numa parceira entre a</w:t>
      </w:r>
      <w:r>
        <w:rPr>
          <w:sz w:val="20"/>
        </w:rPr>
        <w:t xml:space="preserve"> DPU, o Grupo de Estudos Desenvolvimento, Modernidade e Meio Ambiente da Universidade Federal do Maranhão – GEDMMA/UFMA, o Núcleo</w:t>
      </w:r>
      <w:r>
        <w:rPr>
          <w:spacing w:val="40"/>
          <w:sz w:val="20"/>
        </w:rPr>
        <w:t xml:space="preserve"> </w:t>
      </w:r>
      <w:r>
        <w:rPr>
          <w:sz w:val="20"/>
        </w:rPr>
        <w:t>de Pesquisa em Direito e Diversidade da Universidade Federal do Maranhão – NUPEDD/UFMA e o Núcleo de Estudos e Pesquisas em Qu</w:t>
      </w:r>
      <w:r>
        <w:rPr>
          <w:sz w:val="20"/>
        </w:rPr>
        <w:t xml:space="preserve">estões Agrárias da Universidade Estadual do Maranhão – </w:t>
      </w:r>
      <w:r>
        <w:rPr>
          <w:spacing w:val="-2"/>
          <w:sz w:val="20"/>
        </w:rPr>
        <w:t>NERA/UEMA.</w:t>
      </w:r>
    </w:p>
    <w:p w:rsidR="00972CE3" w:rsidRDefault="00972CE3">
      <w:pPr>
        <w:jc w:val="both"/>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9376" behindDoc="1" locked="0" layoutInCell="1" allowOverlap="1">
            <wp:simplePos x="0" y="0"/>
            <wp:positionH relativeFrom="page">
              <wp:posOffset>0</wp:posOffset>
            </wp:positionH>
            <wp:positionV relativeFrom="page">
              <wp:posOffset>6984</wp:posOffset>
            </wp:positionV>
            <wp:extent cx="7562088" cy="1048326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2" w:lineRule="auto"/>
        <w:ind w:left="140" w:right="147"/>
        <w:jc w:val="both"/>
      </w:pPr>
      <w:r>
        <w:t>paralisação das obras, sem êxito. Em janeiro de 2020, o juiz determinou ao DNIT a entrega do ECQ em 90 dias, mas negou suspender as obras, alegando que tal pedido não co</w:t>
      </w:r>
      <w:r>
        <w:t>nstava na ação do MPF.</w:t>
      </w:r>
    </w:p>
    <w:p w:rsidR="00972CE3" w:rsidRDefault="001F20D2">
      <w:pPr>
        <w:pStyle w:val="Corpodetexto"/>
        <w:spacing w:line="360" w:lineRule="auto"/>
        <w:ind w:left="140" w:right="139" w:firstLine="710"/>
        <w:jc w:val="both"/>
      </w:pPr>
      <w:r>
        <w:t>Em</w:t>
      </w:r>
      <w:r>
        <w:rPr>
          <w:spacing w:val="-9"/>
        </w:rPr>
        <w:t xml:space="preserve"> </w:t>
      </w:r>
      <w:r>
        <w:t>abril de</w:t>
      </w:r>
      <w:r>
        <w:rPr>
          <w:spacing w:val="-1"/>
        </w:rPr>
        <w:t xml:space="preserve"> </w:t>
      </w:r>
      <w:r>
        <w:t>2020,</w:t>
      </w:r>
      <w:r>
        <w:rPr>
          <w:spacing w:val="-1"/>
        </w:rPr>
        <w:t xml:space="preserve"> </w:t>
      </w:r>
      <w:r>
        <w:t>o</w:t>
      </w:r>
      <w:r>
        <w:rPr>
          <w:spacing w:val="-5"/>
        </w:rPr>
        <w:t xml:space="preserve"> </w:t>
      </w:r>
      <w:r>
        <w:t>MPF propôs</w:t>
      </w:r>
      <w:r>
        <w:rPr>
          <w:spacing w:val="-6"/>
        </w:rPr>
        <w:t xml:space="preserve"> </w:t>
      </w:r>
      <w:r>
        <w:t>acordo</w:t>
      </w:r>
      <w:r>
        <w:rPr>
          <w:spacing w:val="-1"/>
        </w:rPr>
        <w:t xml:space="preserve"> </w:t>
      </w:r>
      <w:r>
        <w:t>permitindo</w:t>
      </w:r>
      <w:r>
        <w:rPr>
          <w:spacing w:val="-5"/>
        </w:rPr>
        <w:t xml:space="preserve"> </w:t>
      </w:r>
      <w:r>
        <w:t>a duplicação</w:t>
      </w:r>
      <w:r>
        <w:rPr>
          <w:spacing w:val="-1"/>
        </w:rPr>
        <w:t xml:space="preserve"> </w:t>
      </w:r>
      <w:r>
        <w:t>nos</w:t>
      </w:r>
      <w:r>
        <w:rPr>
          <w:spacing w:val="-6"/>
        </w:rPr>
        <w:t xml:space="preserve"> </w:t>
      </w:r>
      <w:r>
        <w:t>18</w:t>
      </w:r>
      <w:r>
        <w:rPr>
          <w:spacing w:val="-1"/>
        </w:rPr>
        <w:t xml:space="preserve"> </w:t>
      </w:r>
      <w:r>
        <w:t>km</w:t>
      </w:r>
      <w:r>
        <w:rPr>
          <w:spacing w:val="-9"/>
        </w:rPr>
        <w:t xml:space="preserve"> </w:t>
      </w:r>
      <w:r>
        <w:t>da etapa 2, mesmo sem a consulta prévia, sob o argumento de conciliar obras e proteção aos quilombos. DNIT, SEMA e FCP aceitaram, mas a DPU foi contrária, considerando irreversível o avanço das obras e criticando a substituição da consulta prévia por reuni</w:t>
      </w:r>
      <w:r>
        <w:t>ões informativas, especialmente em meio à pandemia de Covid-19 (Brasil, 2019b).</w:t>
      </w:r>
    </w:p>
    <w:p w:rsidR="00972CE3" w:rsidRDefault="001F20D2">
      <w:pPr>
        <w:pStyle w:val="Corpodetexto"/>
        <w:spacing w:line="360" w:lineRule="auto"/>
        <w:ind w:left="140" w:right="144" w:firstLine="710"/>
        <w:jc w:val="both"/>
      </w:pPr>
      <w:r>
        <w:t>Pouco depois, em</w:t>
      </w:r>
      <w:r>
        <w:rPr>
          <w:spacing w:val="-2"/>
        </w:rPr>
        <w:t xml:space="preserve"> </w:t>
      </w:r>
      <w:r>
        <w:t xml:space="preserve">junho de 2020, o juiz retomou a lógica do acordo frustrado, decidindo que a exigência de estudo sobre o componente quilombola não impedia o prosseguimento das obras. Para as etapas seguintes, manteve condições supostamente protetivas, cujos detalhes serão </w:t>
      </w:r>
      <w:r>
        <w:t>abordados no próximo tópico.</w:t>
      </w:r>
    </w:p>
    <w:p w:rsidR="00972CE3" w:rsidRDefault="001F20D2">
      <w:pPr>
        <w:pStyle w:val="Corpodetexto"/>
        <w:spacing w:line="360" w:lineRule="auto"/>
        <w:ind w:left="140" w:right="150" w:firstLine="710"/>
        <w:jc w:val="both"/>
      </w:pPr>
      <w:r>
        <w:t>A situação levou a DPU a propor, em outubro de 2020, nova ação judicial (Processo n. 1049674.19.2020.4.01.3700), vinculada também à 8ª Vara Federal em São Luís (Brasil, 2020). Alegou que a primeira ação não garantia proteção re</w:t>
      </w:r>
      <w:r>
        <w:t>al às comunidades tradicionais. Na nova demanda, pleiteou a suspensão das obras até a realização da consulta prévia e a nulidade das licenças já concedidas.</w:t>
      </w:r>
      <w:r>
        <w:rPr>
          <w:vertAlign w:val="superscript"/>
        </w:rPr>
        <w:t>5</w:t>
      </w:r>
    </w:p>
    <w:p w:rsidR="00972CE3" w:rsidRDefault="001F20D2">
      <w:pPr>
        <w:pStyle w:val="Corpodetexto"/>
        <w:spacing w:line="360" w:lineRule="auto"/>
        <w:ind w:left="140" w:right="134" w:firstLine="710"/>
        <w:jc w:val="both"/>
      </w:pPr>
      <w:r>
        <w:t>Em maio de 2022, o juiz manifestou entendimento semelhante ao aplicado na etapa 2, autorizando tam</w:t>
      </w:r>
      <w:r>
        <w:t>bém</w:t>
      </w:r>
      <w:r>
        <w:rPr>
          <w:spacing w:val="-4"/>
        </w:rPr>
        <w:t xml:space="preserve"> </w:t>
      </w:r>
      <w:r>
        <w:t xml:space="preserve">o avanço da etapa 3 da duplicação, entre Santa Rita e Miranda do Norte, sob as mesmas condições anteriores. Assim, permanecem em vigor decisões que permitem a continuidade das obras da BR-135, impondo restrições que, contudo, não asseguram o direito à </w:t>
      </w:r>
      <w:r>
        <w:t>consulta prévia, gerando danos irreversíveis às comunidades quilombolas atingidas.</w:t>
      </w:r>
    </w:p>
    <w:p w:rsidR="00972CE3" w:rsidRDefault="00972CE3">
      <w:pPr>
        <w:pStyle w:val="Corpodetexto"/>
        <w:rPr>
          <w:sz w:val="20"/>
        </w:rPr>
      </w:pPr>
    </w:p>
    <w:p w:rsidR="00972CE3" w:rsidRDefault="00972CE3">
      <w:pPr>
        <w:pStyle w:val="Corpodetexto"/>
        <w:spacing w:before="48"/>
        <w:rPr>
          <w:sz w:val="20"/>
        </w:rPr>
      </w:pPr>
      <w:r w:rsidRPr="00972CE3">
        <w:rPr>
          <w:sz w:val="20"/>
        </w:rPr>
        <w:pict>
          <v:rect id="docshape32" o:spid="_x0000_s1027" style="position:absolute;margin-left:85pt;margin-top:15.15pt;width:144.05pt;height:.5pt;z-index:-15699456;mso-wrap-distance-left:0;mso-wrap-distance-right:0;mso-position-horizontal-relative:page" fillcolor="black" stroked="f">
            <w10:wrap type="topAndBottom" anchorx="page"/>
          </v:rect>
        </w:pict>
      </w:r>
    </w:p>
    <w:p w:rsidR="00972CE3" w:rsidRDefault="001F20D2">
      <w:pPr>
        <w:spacing w:before="95"/>
        <w:ind w:left="140" w:right="140"/>
        <w:jc w:val="both"/>
        <w:rPr>
          <w:sz w:val="20"/>
        </w:rPr>
      </w:pPr>
      <w:r>
        <w:rPr>
          <w:sz w:val="20"/>
          <w:vertAlign w:val="superscript"/>
        </w:rPr>
        <w:t>5</w:t>
      </w:r>
      <w:r>
        <w:rPr>
          <w:spacing w:val="-5"/>
          <w:sz w:val="20"/>
        </w:rPr>
        <w:t xml:space="preserve"> </w:t>
      </w:r>
      <w:r>
        <w:rPr>
          <w:sz w:val="20"/>
        </w:rPr>
        <w:t>A</w:t>
      </w:r>
      <w:r>
        <w:rPr>
          <w:spacing w:val="-10"/>
          <w:sz w:val="20"/>
        </w:rPr>
        <w:t xml:space="preserve"> </w:t>
      </w:r>
      <w:r>
        <w:rPr>
          <w:sz w:val="20"/>
        </w:rPr>
        <w:t>ação da DPU segue atualmente sua tramitação na</w:t>
      </w:r>
      <w:r>
        <w:rPr>
          <w:spacing w:val="-2"/>
          <w:sz w:val="20"/>
        </w:rPr>
        <w:t xml:space="preserve"> </w:t>
      </w:r>
      <w:r>
        <w:rPr>
          <w:sz w:val="20"/>
        </w:rPr>
        <w:t>Justiça Federal, mas</w:t>
      </w:r>
      <w:r>
        <w:rPr>
          <w:spacing w:val="-1"/>
          <w:sz w:val="20"/>
        </w:rPr>
        <w:t xml:space="preserve"> </w:t>
      </w:r>
      <w:r>
        <w:rPr>
          <w:sz w:val="20"/>
        </w:rPr>
        <w:t>ainda sem a produção de efeitos práticos, pois o juiz do caso negou liminarmente os pedidos aprese</w:t>
      </w:r>
      <w:r>
        <w:rPr>
          <w:sz w:val="20"/>
        </w:rPr>
        <w:t>ntados pela Defensoria. Todas as decisões que negaram a suspensão das obras, seja na ação do MPF seja na da DPU,</w:t>
      </w:r>
      <w:r>
        <w:rPr>
          <w:spacing w:val="40"/>
          <w:sz w:val="20"/>
        </w:rPr>
        <w:t xml:space="preserve"> </w:t>
      </w:r>
      <w:r>
        <w:rPr>
          <w:sz w:val="20"/>
        </w:rPr>
        <w:t>foram objeto de recurso judicial pela Defensoria Pública, porém, até o momento, não houve julgamento desses recursos.</w:t>
      </w:r>
    </w:p>
    <w:p w:rsidR="00972CE3" w:rsidRDefault="00972CE3">
      <w:pPr>
        <w:jc w:val="both"/>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49888" behindDoc="1" locked="0" layoutInCell="1" allowOverlap="1">
            <wp:simplePos x="0" y="0"/>
            <wp:positionH relativeFrom="page">
              <wp:posOffset>0</wp:posOffset>
            </wp:positionH>
            <wp:positionV relativeFrom="page">
              <wp:posOffset>6984</wp:posOffset>
            </wp:positionV>
            <wp:extent cx="7562088" cy="10483268"/>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3"/>
      </w:pPr>
    </w:p>
    <w:p w:rsidR="00972CE3" w:rsidRDefault="001F20D2">
      <w:pPr>
        <w:pStyle w:val="Heading1"/>
        <w:numPr>
          <w:ilvl w:val="0"/>
          <w:numId w:val="1"/>
        </w:numPr>
        <w:tabs>
          <w:tab w:val="left" w:pos="402"/>
        </w:tabs>
        <w:spacing w:line="360" w:lineRule="auto"/>
        <w:ind w:left="140" w:right="433" w:firstLine="0"/>
      </w:pPr>
      <w:r>
        <w:t>DECI</w:t>
      </w:r>
      <w:r>
        <w:t>SÕES</w:t>
      </w:r>
      <w:r>
        <w:rPr>
          <w:spacing w:val="-6"/>
        </w:rPr>
        <w:t xml:space="preserve"> </w:t>
      </w:r>
      <w:r>
        <w:t>JUDICIAIS</w:t>
      </w:r>
      <w:r>
        <w:rPr>
          <w:spacing w:val="-6"/>
        </w:rPr>
        <w:t xml:space="preserve"> </w:t>
      </w:r>
      <w:r>
        <w:t>E A</w:t>
      </w:r>
      <w:r>
        <w:rPr>
          <w:spacing w:val="-10"/>
        </w:rPr>
        <w:t xml:space="preserve"> </w:t>
      </w:r>
      <w:r>
        <w:t>SUBVERSÃO DA</w:t>
      </w:r>
      <w:r>
        <w:rPr>
          <w:spacing w:val="-10"/>
        </w:rPr>
        <w:t xml:space="preserve"> </w:t>
      </w:r>
      <w:r>
        <w:t>CONSULTA</w:t>
      </w:r>
      <w:r>
        <w:rPr>
          <w:spacing w:val="-10"/>
        </w:rPr>
        <w:t xml:space="preserve"> </w:t>
      </w:r>
      <w:r>
        <w:t>PRÉVIA:</w:t>
      </w:r>
      <w:r>
        <w:rPr>
          <w:spacing w:val="-3"/>
        </w:rPr>
        <w:t xml:space="preserve"> </w:t>
      </w:r>
      <w:r>
        <w:t xml:space="preserve">ANÁLISE </w:t>
      </w:r>
      <w:r>
        <w:rPr>
          <w:spacing w:val="-2"/>
        </w:rPr>
        <w:t>CRÍTICA</w:t>
      </w:r>
    </w:p>
    <w:p w:rsidR="00972CE3" w:rsidRDefault="001F20D2">
      <w:pPr>
        <w:pStyle w:val="Corpodetexto"/>
        <w:spacing w:before="8" w:line="360" w:lineRule="auto"/>
        <w:ind w:left="140" w:right="138" w:firstLine="710"/>
        <w:jc w:val="both"/>
      </w:pPr>
      <w:r>
        <w:t>Como destacado, hoje se encontram em vigor decisões judiciais que autorizaram o avanço das obras de duplicação da BR-135, proferidas, respectivamente, em junho de 2020 (etapa 2) e em maio de 2022 (etapa 3). Nelas houve</w:t>
      </w:r>
      <w:r>
        <w:rPr>
          <w:spacing w:val="-2"/>
        </w:rPr>
        <w:t xml:space="preserve"> </w:t>
      </w:r>
      <w:r>
        <w:t>o</w:t>
      </w:r>
      <w:r>
        <w:rPr>
          <w:spacing w:val="-1"/>
        </w:rPr>
        <w:t xml:space="preserve"> </w:t>
      </w:r>
      <w:r>
        <w:t>estabelecimento</w:t>
      </w:r>
      <w:r>
        <w:rPr>
          <w:spacing w:val="-1"/>
        </w:rPr>
        <w:t xml:space="preserve"> </w:t>
      </w:r>
      <w:r>
        <w:t>de</w:t>
      </w:r>
      <w:r>
        <w:rPr>
          <w:spacing w:val="-2"/>
        </w:rPr>
        <w:t xml:space="preserve"> </w:t>
      </w:r>
      <w:r>
        <w:t>limites</w:t>
      </w:r>
      <w:r>
        <w:rPr>
          <w:spacing w:val="-2"/>
        </w:rPr>
        <w:t xml:space="preserve"> </w:t>
      </w:r>
      <w:r>
        <w:t>para</w:t>
      </w:r>
      <w:r>
        <w:rPr>
          <w:spacing w:val="-2"/>
        </w:rPr>
        <w:t xml:space="preserve"> </w:t>
      </w:r>
      <w:r>
        <w:t>a</w:t>
      </w:r>
      <w:r>
        <w:rPr>
          <w:spacing w:val="-1"/>
        </w:rPr>
        <w:t xml:space="preserve"> </w:t>
      </w:r>
      <w:r>
        <w:t>continuidade</w:t>
      </w:r>
      <w:r>
        <w:rPr>
          <w:spacing w:val="-2"/>
        </w:rPr>
        <w:t xml:space="preserve"> </w:t>
      </w:r>
      <w:r>
        <w:t>das</w:t>
      </w:r>
      <w:r>
        <w:rPr>
          <w:spacing w:val="-2"/>
        </w:rPr>
        <w:t xml:space="preserve"> </w:t>
      </w:r>
      <w:r>
        <w:t>obras.</w:t>
      </w:r>
      <w:r>
        <w:rPr>
          <w:spacing w:val="-2"/>
        </w:rPr>
        <w:t xml:space="preserve"> </w:t>
      </w:r>
      <w:r>
        <w:t>As</w:t>
      </w:r>
      <w:r>
        <w:rPr>
          <w:spacing w:val="-2"/>
        </w:rPr>
        <w:t xml:space="preserve"> </w:t>
      </w:r>
      <w:r>
        <w:t>condições</w:t>
      </w:r>
      <w:r>
        <w:rPr>
          <w:spacing w:val="-2"/>
        </w:rPr>
        <w:t xml:space="preserve"> </w:t>
      </w:r>
      <w:r>
        <w:t xml:space="preserve">são idênticas nas duas decisões e por isso mesmo aplicáveis em ambos os trechos das </w:t>
      </w:r>
      <w:r>
        <w:rPr>
          <w:spacing w:val="-2"/>
        </w:rPr>
        <w:t>obras.</w:t>
      </w:r>
    </w:p>
    <w:p w:rsidR="00972CE3" w:rsidRDefault="001F20D2">
      <w:pPr>
        <w:pStyle w:val="Corpodetexto"/>
        <w:spacing w:line="275" w:lineRule="exact"/>
        <w:ind w:left="851"/>
      </w:pPr>
      <w:r>
        <w:t>São</w:t>
      </w:r>
      <w:r>
        <w:rPr>
          <w:spacing w:val="-3"/>
        </w:rPr>
        <w:t xml:space="preserve"> </w:t>
      </w:r>
      <w:r>
        <w:t>essas</w:t>
      </w:r>
      <w:r>
        <w:rPr>
          <w:spacing w:val="-3"/>
        </w:rPr>
        <w:t xml:space="preserve"> </w:t>
      </w:r>
      <w:r>
        <w:t>as</w:t>
      </w:r>
      <w:r>
        <w:rPr>
          <w:spacing w:val="-7"/>
        </w:rPr>
        <w:t xml:space="preserve"> </w:t>
      </w:r>
      <w:r>
        <w:t>limitações</w:t>
      </w:r>
      <w:r>
        <w:rPr>
          <w:spacing w:val="-2"/>
        </w:rPr>
        <w:t xml:space="preserve"> </w:t>
      </w:r>
      <w:r>
        <w:t>estabelecidas</w:t>
      </w:r>
      <w:r>
        <w:rPr>
          <w:spacing w:val="-3"/>
        </w:rPr>
        <w:t xml:space="preserve"> </w:t>
      </w:r>
      <w:r>
        <w:t>pelo</w:t>
      </w:r>
      <w:r>
        <w:rPr>
          <w:spacing w:val="-2"/>
        </w:rPr>
        <w:t xml:space="preserve"> </w:t>
      </w:r>
      <w:r>
        <w:rPr>
          <w:spacing w:val="-4"/>
        </w:rPr>
        <w:t>juiz:</w:t>
      </w:r>
    </w:p>
    <w:p w:rsidR="00972CE3" w:rsidRDefault="001F20D2">
      <w:pPr>
        <w:spacing w:before="140"/>
        <w:ind w:left="2407" w:right="137"/>
        <w:jc w:val="both"/>
        <w:rPr>
          <w:sz w:val="20"/>
        </w:rPr>
      </w:pPr>
      <w:r>
        <w:rPr>
          <w:sz w:val="20"/>
        </w:rPr>
        <w:t>Realização das intervenções estritamente na área apontada como diretamente afet</w:t>
      </w:r>
      <w:r>
        <w:rPr>
          <w:sz w:val="20"/>
        </w:rPr>
        <w:t>ada no licenciamento ambiental (70 metros, mais áreas acessórias), com o impedimento de interceptação</w:t>
      </w:r>
      <w:r>
        <w:rPr>
          <w:spacing w:val="-2"/>
          <w:sz w:val="20"/>
        </w:rPr>
        <w:t xml:space="preserve"> </w:t>
      </w:r>
      <w:r>
        <w:rPr>
          <w:sz w:val="20"/>
        </w:rPr>
        <w:t>física de áreas de uso de comunidades tradicionais (vedação de intervenção em eventuais áreas de moradia, produtivas, cursos d’água/igarapés que se estend</w:t>
      </w:r>
      <w:r>
        <w:rPr>
          <w:sz w:val="20"/>
        </w:rPr>
        <w:t>am para comunidades e/ou eventuais espaços sagrados) (BRASIL, 2019b).</w:t>
      </w:r>
    </w:p>
    <w:p w:rsidR="00972CE3" w:rsidRDefault="00972CE3">
      <w:pPr>
        <w:pStyle w:val="Corpodetexto"/>
        <w:rPr>
          <w:sz w:val="20"/>
        </w:rPr>
      </w:pPr>
    </w:p>
    <w:p w:rsidR="00972CE3" w:rsidRDefault="001F20D2">
      <w:pPr>
        <w:pStyle w:val="Corpodetexto"/>
        <w:spacing w:line="360" w:lineRule="auto"/>
        <w:ind w:left="140" w:right="141" w:firstLine="710"/>
        <w:jc w:val="both"/>
      </w:pPr>
      <w:r>
        <w:t>Muito embora os</w:t>
      </w:r>
      <w:r>
        <w:rPr>
          <w:spacing w:val="-3"/>
        </w:rPr>
        <w:t xml:space="preserve"> </w:t>
      </w:r>
      <w:r>
        <w:t>termos da decisão</w:t>
      </w:r>
      <w:r>
        <w:rPr>
          <w:spacing w:val="-2"/>
        </w:rPr>
        <w:t xml:space="preserve"> </w:t>
      </w:r>
      <w:r>
        <w:t>possam</w:t>
      </w:r>
      <w:r>
        <w:rPr>
          <w:spacing w:val="-6"/>
        </w:rPr>
        <w:t xml:space="preserve"> </w:t>
      </w:r>
      <w:r>
        <w:t>garantir</w:t>
      </w:r>
      <w:r>
        <w:rPr>
          <w:spacing w:val="-2"/>
        </w:rPr>
        <w:t xml:space="preserve"> </w:t>
      </w:r>
      <w:r>
        <w:t>a</w:t>
      </w:r>
      <w:r>
        <w:rPr>
          <w:spacing w:val="-3"/>
        </w:rPr>
        <w:t xml:space="preserve"> </w:t>
      </w:r>
      <w:r>
        <w:t>proteção dos territórios quilombolas ameaçados pela duplicação, não é isso o que ocorre. O paradigma de proteção apresentado pelo jui</w:t>
      </w:r>
      <w:r>
        <w:t>z, na verdade, afasta-se demasiadamente da garantia</w:t>
      </w:r>
      <w:r>
        <w:rPr>
          <w:spacing w:val="40"/>
        </w:rPr>
        <w:t xml:space="preserve"> </w:t>
      </w:r>
      <w:r>
        <w:t>à consulta prévia quilombola.</w:t>
      </w:r>
    </w:p>
    <w:p w:rsidR="00972CE3" w:rsidRDefault="001F20D2">
      <w:pPr>
        <w:pStyle w:val="Corpodetexto"/>
        <w:spacing w:line="360" w:lineRule="auto"/>
        <w:ind w:left="140" w:right="141" w:firstLine="710"/>
        <w:jc w:val="both"/>
      </w:pPr>
      <w:r>
        <w:t>Inicialmente, é preciso reafirmar o sentido da consulta prévia estabelecida</w:t>
      </w:r>
      <w:r>
        <w:rPr>
          <w:spacing w:val="40"/>
        </w:rPr>
        <w:t xml:space="preserve"> </w:t>
      </w:r>
      <w:r>
        <w:t>pela Convenção n. 169 da OIT e promulgada pelo Brasil por meio do Decreto n. 5.051/2004. Em linhas</w:t>
      </w:r>
      <w:r>
        <w:t xml:space="preserve"> gerais, o documento assegura o direito de propriedade e de posse sobre as terras ocupadas por Povos e comunidades tradicionais, prevendo que tais coletividades, sempre que potencialmente atingidas por empreendimentos públicos ou privados, devem ser consul</w:t>
      </w:r>
      <w:r>
        <w:t>tadas de maneira prévia e robusta.</w:t>
      </w:r>
    </w:p>
    <w:p w:rsidR="00972CE3" w:rsidRDefault="001F20D2">
      <w:pPr>
        <w:pStyle w:val="Corpodetexto"/>
        <w:spacing w:line="360" w:lineRule="auto"/>
        <w:ind w:left="140" w:right="148" w:firstLine="710"/>
        <w:jc w:val="both"/>
      </w:pPr>
      <w:r>
        <w:t>O art. 6º da Convenção descreve os cuidados que o Estado deve ter na implementação da consulta prévia. Serve como parâmetro para o respeito a tal garantia e ajuda na compreensão da proteção ali prevista:</w:t>
      </w:r>
    </w:p>
    <w:p w:rsidR="00972CE3" w:rsidRDefault="001F20D2">
      <w:pPr>
        <w:spacing w:before="4"/>
        <w:ind w:left="2407"/>
        <w:rPr>
          <w:sz w:val="20"/>
        </w:rPr>
      </w:pPr>
      <w:r>
        <w:rPr>
          <w:sz w:val="20"/>
        </w:rPr>
        <w:t>Artigo</w:t>
      </w:r>
      <w:r>
        <w:rPr>
          <w:spacing w:val="-3"/>
          <w:sz w:val="20"/>
        </w:rPr>
        <w:t xml:space="preserve"> </w:t>
      </w:r>
      <w:r>
        <w:rPr>
          <w:spacing w:val="-5"/>
          <w:sz w:val="20"/>
        </w:rPr>
        <w:t>6º</w:t>
      </w:r>
    </w:p>
    <w:p w:rsidR="00972CE3" w:rsidRDefault="001F20D2">
      <w:pPr>
        <w:pStyle w:val="PargrafodaLista"/>
        <w:numPr>
          <w:ilvl w:val="1"/>
          <w:numId w:val="1"/>
        </w:numPr>
        <w:tabs>
          <w:tab w:val="left" w:pos="2631"/>
        </w:tabs>
        <w:spacing w:before="1"/>
        <w:ind w:left="2631" w:hanging="224"/>
        <w:rPr>
          <w:sz w:val="20"/>
        </w:rPr>
      </w:pPr>
      <w:r>
        <w:rPr>
          <w:sz w:val="20"/>
        </w:rPr>
        <w:t>Ao</w:t>
      </w:r>
      <w:r>
        <w:rPr>
          <w:spacing w:val="-8"/>
          <w:sz w:val="20"/>
        </w:rPr>
        <w:t xml:space="preserve"> </w:t>
      </w:r>
      <w:r>
        <w:rPr>
          <w:sz w:val="20"/>
        </w:rPr>
        <w:t>apli</w:t>
      </w:r>
      <w:r>
        <w:rPr>
          <w:sz w:val="20"/>
        </w:rPr>
        <w:t>car</w:t>
      </w:r>
      <w:r>
        <w:rPr>
          <w:spacing w:val="-7"/>
          <w:sz w:val="20"/>
        </w:rPr>
        <w:t xml:space="preserve"> </w:t>
      </w:r>
      <w:r>
        <w:rPr>
          <w:sz w:val="20"/>
        </w:rPr>
        <w:t>as</w:t>
      </w:r>
      <w:r>
        <w:rPr>
          <w:spacing w:val="-8"/>
          <w:sz w:val="20"/>
        </w:rPr>
        <w:t xml:space="preserve"> </w:t>
      </w:r>
      <w:r>
        <w:rPr>
          <w:sz w:val="20"/>
        </w:rPr>
        <w:t>disposições</w:t>
      </w:r>
      <w:r>
        <w:rPr>
          <w:spacing w:val="-8"/>
          <w:sz w:val="20"/>
        </w:rPr>
        <w:t xml:space="preserve"> </w:t>
      </w:r>
      <w:r>
        <w:rPr>
          <w:sz w:val="20"/>
        </w:rPr>
        <w:t>da</w:t>
      </w:r>
      <w:r>
        <w:rPr>
          <w:spacing w:val="-5"/>
          <w:sz w:val="20"/>
        </w:rPr>
        <w:t xml:space="preserve"> </w:t>
      </w:r>
      <w:r>
        <w:rPr>
          <w:sz w:val="20"/>
        </w:rPr>
        <w:t>presente</w:t>
      </w:r>
      <w:r>
        <w:rPr>
          <w:spacing w:val="-5"/>
          <w:sz w:val="20"/>
        </w:rPr>
        <w:t xml:space="preserve"> </w:t>
      </w:r>
      <w:r>
        <w:rPr>
          <w:sz w:val="20"/>
        </w:rPr>
        <w:t>Convenção,</w:t>
      </w:r>
      <w:r>
        <w:rPr>
          <w:spacing w:val="-7"/>
          <w:sz w:val="20"/>
        </w:rPr>
        <w:t xml:space="preserve"> </w:t>
      </w:r>
      <w:r>
        <w:rPr>
          <w:sz w:val="20"/>
        </w:rPr>
        <w:t>os</w:t>
      </w:r>
      <w:r>
        <w:rPr>
          <w:spacing w:val="-8"/>
          <w:sz w:val="20"/>
        </w:rPr>
        <w:t xml:space="preserve"> </w:t>
      </w:r>
      <w:r>
        <w:rPr>
          <w:sz w:val="20"/>
        </w:rPr>
        <w:t>governos</w:t>
      </w:r>
      <w:r>
        <w:rPr>
          <w:spacing w:val="-7"/>
          <w:sz w:val="20"/>
        </w:rPr>
        <w:t xml:space="preserve"> </w:t>
      </w:r>
      <w:r>
        <w:rPr>
          <w:spacing w:val="-2"/>
          <w:sz w:val="20"/>
        </w:rPr>
        <w:t>deverão:</w:t>
      </w:r>
    </w:p>
    <w:p w:rsidR="00972CE3" w:rsidRDefault="001F20D2">
      <w:pPr>
        <w:pStyle w:val="PargrafodaLista"/>
        <w:numPr>
          <w:ilvl w:val="2"/>
          <w:numId w:val="1"/>
        </w:numPr>
        <w:tabs>
          <w:tab w:val="left" w:pos="2645"/>
        </w:tabs>
        <w:ind w:right="143" w:firstLine="0"/>
        <w:rPr>
          <w:sz w:val="20"/>
        </w:rPr>
      </w:pPr>
      <w:r>
        <w:rPr>
          <w:sz w:val="20"/>
        </w:rPr>
        <w:t>Consultar os</w:t>
      </w:r>
      <w:r>
        <w:rPr>
          <w:spacing w:val="-4"/>
          <w:sz w:val="20"/>
        </w:rPr>
        <w:t xml:space="preserve"> </w:t>
      </w:r>
      <w:r>
        <w:rPr>
          <w:sz w:val="20"/>
        </w:rPr>
        <w:t>povos</w:t>
      </w:r>
      <w:r>
        <w:rPr>
          <w:spacing w:val="-4"/>
          <w:sz w:val="20"/>
        </w:rPr>
        <w:t xml:space="preserve"> </w:t>
      </w:r>
      <w:r>
        <w:rPr>
          <w:sz w:val="20"/>
        </w:rPr>
        <w:t>interessados, mediante procedimentos</w:t>
      </w:r>
      <w:r>
        <w:rPr>
          <w:spacing w:val="-4"/>
          <w:sz w:val="20"/>
        </w:rPr>
        <w:t xml:space="preserve"> </w:t>
      </w:r>
      <w:r>
        <w:rPr>
          <w:sz w:val="20"/>
        </w:rPr>
        <w:t>apropriados</w:t>
      </w:r>
      <w:r>
        <w:rPr>
          <w:spacing w:val="-4"/>
          <w:sz w:val="20"/>
        </w:rPr>
        <w:t xml:space="preserve"> </w:t>
      </w:r>
      <w:r>
        <w:rPr>
          <w:sz w:val="20"/>
        </w:rPr>
        <w:t>e, particularmente, através de suas instituições representativas, cada vez que</w:t>
      </w:r>
    </w:p>
    <w:p w:rsidR="00972CE3" w:rsidRDefault="00972CE3">
      <w:pPr>
        <w:pStyle w:val="PargrafodaLista"/>
        <w:rPr>
          <w:sz w:val="20"/>
        </w:rPr>
        <w:sectPr w:rsidR="00972CE3">
          <w:pgSz w:w="11910" w:h="16840"/>
          <w:pgMar w:top="1920" w:right="992" w:bottom="280" w:left="1559" w:header="720" w:footer="720" w:gutter="0"/>
          <w:cols w:space="720"/>
        </w:sectPr>
      </w:pPr>
    </w:p>
    <w:p w:rsidR="00972CE3" w:rsidRDefault="001F20D2">
      <w:pPr>
        <w:pStyle w:val="Corpodetexto"/>
        <w:rPr>
          <w:sz w:val="20"/>
        </w:rPr>
      </w:pPr>
      <w:r>
        <w:rPr>
          <w:noProof/>
          <w:sz w:val="20"/>
          <w:lang w:val="pt-BR" w:eastAsia="pt-BR"/>
        </w:rPr>
        <w:lastRenderedPageBreak/>
        <w:drawing>
          <wp:anchor distT="0" distB="0" distL="0" distR="0" simplePos="0" relativeHeight="486950912" behindDoc="1" locked="0" layoutInCell="1" allowOverlap="1">
            <wp:simplePos x="0" y="0"/>
            <wp:positionH relativeFrom="page">
              <wp:posOffset>0</wp:posOffset>
            </wp:positionH>
            <wp:positionV relativeFrom="page">
              <wp:posOffset>6984</wp:posOffset>
            </wp:positionV>
            <wp:extent cx="7562088" cy="10483268"/>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rPr>
          <w:sz w:val="20"/>
        </w:rPr>
      </w:pPr>
    </w:p>
    <w:p w:rsidR="00972CE3" w:rsidRDefault="00972CE3">
      <w:pPr>
        <w:pStyle w:val="Corpodetexto"/>
        <w:spacing w:before="148"/>
        <w:rPr>
          <w:sz w:val="20"/>
        </w:rPr>
      </w:pPr>
    </w:p>
    <w:p w:rsidR="00972CE3" w:rsidRDefault="001F20D2">
      <w:pPr>
        <w:ind w:left="2407" w:right="134"/>
        <w:jc w:val="both"/>
        <w:rPr>
          <w:sz w:val="20"/>
        </w:rPr>
      </w:pPr>
      <w:r>
        <w:rPr>
          <w:sz w:val="20"/>
        </w:rPr>
        <w:t>sejam previstas</w:t>
      </w:r>
      <w:r>
        <w:rPr>
          <w:spacing w:val="-9"/>
          <w:sz w:val="20"/>
        </w:rPr>
        <w:t xml:space="preserve"> </w:t>
      </w:r>
      <w:r>
        <w:rPr>
          <w:sz w:val="20"/>
        </w:rPr>
        <w:t>medidas</w:t>
      </w:r>
      <w:r>
        <w:rPr>
          <w:spacing w:val="-4"/>
          <w:sz w:val="20"/>
        </w:rPr>
        <w:t xml:space="preserve"> </w:t>
      </w:r>
      <w:r>
        <w:rPr>
          <w:sz w:val="20"/>
        </w:rPr>
        <w:t>legislativas</w:t>
      </w:r>
      <w:r>
        <w:rPr>
          <w:spacing w:val="-4"/>
          <w:sz w:val="20"/>
        </w:rPr>
        <w:t xml:space="preserve"> </w:t>
      </w:r>
      <w:r>
        <w:rPr>
          <w:sz w:val="20"/>
        </w:rPr>
        <w:t>ou</w:t>
      </w:r>
      <w:r>
        <w:rPr>
          <w:spacing w:val="-1"/>
          <w:sz w:val="20"/>
        </w:rPr>
        <w:t xml:space="preserve"> </w:t>
      </w:r>
      <w:r>
        <w:rPr>
          <w:sz w:val="20"/>
        </w:rPr>
        <w:t>administrativas</w:t>
      </w:r>
      <w:r>
        <w:rPr>
          <w:spacing w:val="-4"/>
          <w:sz w:val="20"/>
        </w:rPr>
        <w:t xml:space="preserve"> </w:t>
      </w:r>
      <w:r>
        <w:rPr>
          <w:sz w:val="20"/>
        </w:rPr>
        <w:t>suscetíveis</w:t>
      </w:r>
      <w:r>
        <w:rPr>
          <w:spacing w:val="-4"/>
          <w:sz w:val="20"/>
        </w:rPr>
        <w:t xml:space="preserve"> </w:t>
      </w:r>
      <w:r>
        <w:rPr>
          <w:sz w:val="20"/>
        </w:rPr>
        <w:t>de</w:t>
      </w:r>
      <w:r>
        <w:rPr>
          <w:spacing w:val="-1"/>
          <w:sz w:val="20"/>
        </w:rPr>
        <w:t xml:space="preserve"> </w:t>
      </w:r>
      <w:r>
        <w:rPr>
          <w:sz w:val="20"/>
        </w:rPr>
        <w:t>afetá- los diretamente;</w:t>
      </w:r>
    </w:p>
    <w:p w:rsidR="00972CE3" w:rsidRDefault="001F20D2">
      <w:pPr>
        <w:pStyle w:val="PargrafodaLista"/>
        <w:numPr>
          <w:ilvl w:val="2"/>
          <w:numId w:val="1"/>
        </w:numPr>
        <w:tabs>
          <w:tab w:val="left" w:pos="2664"/>
        </w:tabs>
        <w:spacing w:before="1"/>
        <w:ind w:right="135" w:firstLine="0"/>
        <w:jc w:val="both"/>
        <w:rPr>
          <w:sz w:val="20"/>
        </w:rPr>
      </w:pPr>
      <w:r>
        <w:rPr>
          <w:sz w:val="20"/>
        </w:rPr>
        <w:t xml:space="preserve">Estabelecer os meios através dos quais os povos interessados possam participar livremente, pelo menos na mesma medida que outros setores da população e em todos os níveis, na adoção de </w:t>
      </w:r>
      <w:r>
        <w:rPr>
          <w:sz w:val="20"/>
        </w:rPr>
        <w:t>decisões em instituições efetivas ou organismos administrativos e de outra natureza responsáveis pelas políticas e programas que lhes sejam concernentes;</w:t>
      </w:r>
    </w:p>
    <w:p w:rsidR="00972CE3" w:rsidRDefault="001F20D2">
      <w:pPr>
        <w:pStyle w:val="PargrafodaLista"/>
        <w:numPr>
          <w:ilvl w:val="2"/>
          <w:numId w:val="1"/>
        </w:numPr>
        <w:tabs>
          <w:tab w:val="left" w:pos="2666"/>
        </w:tabs>
        <w:ind w:right="146" w:firstLine="0"/>
        <w:jc w:val="both"/>
        <w:rPr>
          <w:sz w:val="20"/>
        </w:rPr>
      </w:pPr>
      <w:r>
        <w:rPr>
          <w:sz w:val="20"/>
        </w:rPr>
        <w:t>Estabelecer os meios para o pleno desenvolvimento das instituições e iniciativas dos povos e, nos caso</w:t>
      </w:r>
      <w:r>
        <w:rPr>
          <w:sz w:val="20"/>
        </w:rPr>
        <w:t>s apropriados, fornecer os recursos necessários para esse fim.</w:t>
      </w:r>
    </w:p>
    <w:p w:rsidR="00972CE3" w:rsidRDefault="001F20D2">
      <w:pPr>
        <w:pStyle w:val="PargrafodaLista"/>
        <w:numPr>
          <w:ilvl w:val="1"/>
          <w:numId w:val="1"/>
        </w:numPr>
        <w:tabs>
          <w:tab w:val="left" w:pos="2694"/>
        </w:tabs>
        <w:ind w:left="2407" w:right="138" w:firstLine="0"/>
        <w:jc w:val="both"/>
        <w:rPr>
          <w:sz w:val="20"/>
        </w:rPr>
      </w:pPr>
      <w:r>
        <w:rPr>
          <w:sz w:val="20"/>
        </w:rPr>
        <w:t>As consultas realizadas na aplicação desta Convenção deverão ser efetuadas com boa fé e de maneira apropriada às circunstâncias, com o objetivo de se chegar a um acordo e conseguir o consentime</w:t>
      </w:r>
      <w:r>
        <w:rPr>
          <w:sz w:val="20"/>
        </w:rPr>
        <w:t>nto acerca das medidas propostas.</w:t>
      </w:r>
    </w:p>
    <w:p w:rsidR="00972CE3" w:rsidRDefault="001F20D2">
      <w:pPr>
        <w:pStyle w:val="Corpodetexto"/>
        <w:spacing w:before="228" w:line="360" w:lineRule="auto"/>
        <w:ind w:left="140" w:right="142" w:firstLine="710"/>
        <w:jc w:val="both"/>
      </w:pPr>
      <w:r>
        <w:t>Além</w:t>
      </w:r>
      <w:r>
        <w:rPr>
          <w:spacing w:val="-5"/>
        </w:rPr>
        <w:t xml:space="preserve"> </w:t>
      </w:r>
      <w:r>
        <w:t>disso, o Artigo 7º da mesma norma assegura aos Povos e comunidades tradicionais o direito de escolher prioridades diante de empreendimentos,</w:t>
      </w:r>
      <w:r>
        <w:rPr>
          <w:spacing w:val="40"/>
        </w:rPr>
        <w:t xml:space="preserve"> </w:t>
      </w:r>
      <w:r>
        <w:t>protegendo suas vidas, crenças e bem-estar espiritual, inclusive mediante co</w:t>
      </w:r>
      <w:r>
        <w:t>ntrole do próprio desenvolvimento econômico, social e cultural.</w:t>
      </w:r>
      <w:r>
        <w:rPr>
          <w:vertAlign w:val="superscript"/>
        </w:rPr>
        <w:t>6</w:t>
      </w:r>
    </w:p>
    <w:p w:rsidR="00972CE3" w:rsidRDefault="001F20D2">
      <w:pPr>
        <w:pStyle w:val="Corpodetexto"/>
        <w:spacing w:line="360" w:lineRule="auto"/>
        <w:ind w:left="140" w:right="145" w:firstLine="710"/>
        <w:jc w:val="both"/>
      </w:pPr>
      <w:r>
        <w:t>Contudo, as decisões judiciais analisadas refletem a visão hegemônica do sistema jurídico, que prioriza a intervenção estatal nas obras e marginaliza a participação efetiva dos grupos tradici</w:t>
      </w:r>
      <w:r>
        <w:t>onais, violando frontalmente a Convenção n. 169 da OIT (Serejo, 2022, p. 34-35). Essa postura rompe o direito à consulta prévia por meio de estratégias que, embora apresentadas como medidas protetivas, acabam expondo as comunidades quilombolas a maior vuln</w:t>
      </w:r>
      <w:r>
        <w:t>erabilidade.</w:t>
      </w:r>
    </w:p>
    <w:p w:rsidR="00972CE3" w:rsidRDefault="001F20D2">
      <w:pPr>
        <w:pStyle w:val="Corpodetexto"/>
        <w:spacing w:line="360" w:lineRule="auto"/>
        <w:ind w:left="140" w:right="134" w:firstLine="710"/>
        <w:jc w:val="both"/>
      </w:pPr>
      <w:r>
        <w:t>A crítica central às decisões reside no fato de proibirem apenas a “interceptação</w:t>
      </w:r>
      <w:r>
        <w:rPr>
          <w:spacing w:val="-2"/>
        </w:rPr>
        <w:t xml:space="preserve"> </w:t>
      </w:r>
      <w:r>
        <w:t>física”</w:t>
      </w:r>
      <w:r>
        <w:rPr>
          <w:spacing w:val="-1"/>
        </w:rPr>
        <w:t xml:space="preserve"> </w:t>
      </w:r>
      <w:r>
        <w:t>de</w:t>
      </w:r>
      <w:r>
        <w:rPr>
          <w:spacing w:val="-2"/>
        </w:rPr>
        <w:t xml:space="preserve"> </w:t>
      </w:r>
      <w:r>
        <w:t>áreas</w:t>
      </w:r>
      <w:r>
        <w:rPr>
          <w:spacing w:val="-2"/>
        </w:rPr>
        <w:t xml:space="preserve"> </w:t>
      </w:r>
      <w:r>
        <w:t>de</w:t>
      </w:r>
      <w:r>
        <w:rPr>
          <w:spacing w:val="-2"/>
        </w:rPr>
        <w:t xml:space="preserve"> </w:t>
      </w:r>
      <w:r>
        <w:t>uso,</w:t>
      </w:r>
      <w:r>
        <w:rPr>
          <w:spacing w:val="-2"/>
        </w:rPr>
        <w:t xml:space="preserve"> </w:t>
      </w:r>
      <w:r>
        <w:t>conceito</w:t>
      </w:r>
      <w:r>
        <w:rPr>
          <w:spacing w:val="-2"/>
        </w:rPr>
        <w:t xml:space="preserve"> </w:t>
      </w:r>
      <w:r>
        <w:t>incompatível com</w:t>
      </w:r>
      <w:r>
        <w:rPr>
          <w:spacing w:val="-9"/>
        </w:rPr>
        <w:t xml:space="preserve"> </w:t>
      </w:r>
      <w:r>
        <w:t>a</w:t>
      </w:r>
      <w:r>
        <w:rPr>
          <w:spacing w:val="-1"/>
        </w:rPr>
        <w:t xml:space="preserve"> </w:t>
      </w:r>
      <w:r>
        <w:t>complexidade</w:t>
      </w:r>
      <w:r>
        <w:rPr>
          <w:spacing w:val="-2"/>
        </w:rPr>
        <w:t xml:space="preserve"> </w:t>
      </w:r>
      <w:r>
        <w:t>do território quilombola. Sem consulta prévia, não há como identificar adequadamente essas áreas, pois só as próprias comunidades podem</w:t>
      </w:r>
      <w:r>
        <w:rPr>
          <w:spacing w:val="-1"/>
        </w:rPr>
        <w:t xml:space="preserve"> </w:t>
      </w:r>
      <w:r>
        <w:t>definir o uso de seus espaços e os impactos que sofrem.</w:t>
      </w:r>
    </w:p>
    <w:p w:rsidR="00972CE3" w:rsidRDefault="00972CE3">
      <w:pPr>
        <w:pStyle w:val="Corpodetexto"/>
        <w:spacing w:before="6"/>
        <w:rPr>
          <w:sz w:val="8"/>
        </w:rPr>
      </w:pPr>
      <w:r w:rsidRPr="00972CE3">
        <w:rPr>
          <w:sz w:val="8"/>
        </w:rPr>
        <w:pict>
          <v:rect id="docshape33" o:spid="_x0000_s1026" style="position:absolute;margin-left:85pt;margin-top:6.15pt;width:144.05pt;height:.5pt;z-index:-15697920;mso-wrap-distance-left:0;mso-wrap-distance-right:0;mso-position-horizontal-relative:page" fillcolor="black" stroked="f">
            <w10:wrap type="topAndBottom" anchorx="page"/>
          </v:rect>
        </w:pict>
      </w:r>
    </w:p>
    <w:p w:rsidR="00972CE3" w:rsidRDefault="001F20D2">
      <w:pPr>
        <w:spacing w:before="95"/>
        <w:ind w:left="140" w:right="136"/>
        <w:jc w:val="both"/>
        <w:rPr>
          <w:sz w:val="20"/>
        </w:rPr>
      </w:pPr>
      <w:r>
        <w:rPr>
          <w:sz w:val="20"/>
          <w:vertAlign w:val="superscript"/>
        </w:rPr>
        <w:t>6</w:t>
      </w:r>
      <w:r>
        <w:rPr>
          <w:sz w:val="20"/>
        </w:rPr>
        <w:t xml:space="preserve"> No caso brasileiro, a consulta prévia dialoga bem com outras normas.</w:t>
      </w:r>
      <w:r>
        <w:rPr>
          <w:spacing w:val="-4"/>
          <w:sz w:val="20"/>
        </w:rPr>
        <w:t xml:space="preserve"> </w:t>
      </w:r>
      <w:r>
        <w:rPr>
          <w:sz w:val="20"/>
        </w:rPr>
        <w:t>A</w:t>
      </w:r>
      <w:r>
        <w:rPr>
          <w:spacing w:val="-6"/>
          <w:sz w:val="20"/>
        </w:rPr>
        <w:t xml:space="preserve"> </w:t>
      </w:r>
      <w:r>
        <w:rPr>
          <w:sz w:val="20"/>
        </w:rPr>
        <w:t>própria Constituição possui disposições</w:t>
      </w:r>
      <w:r>
        <w:rPr>
          <w:spacing w:val="-4"/>
          <w:sz w:val="20"/>
        </w:rPr>
        <w:t xml:space="preserve"> </w:t>
      </w:r>
      <w:r>
        <w:rPr>
          <w:sz w:val="20"/>
        </w:rPr>
        <w:t>que, de</w:t>
      </w:r>
      <w:r>
        <w:rPr>
          <w:spacing w:val="-1"/>
          <w:sz w:val="20"/>
        </w:rPr>
        <w:t xml:space="preserve"> </w:t>
      </w:r>
      <w:r>
        <w:rPr>
          <w:sz w:val="20"/>
        </w:rPr>
        <w:t>forma</w:t>
      </w:r>
      <w:r>
        <w:rPr>
          <w:spacing w:val="-1"/>
          <w:sz w:val="20"/>
        </w:rPr>
        <w:t xml:space="preserve"> </w:t>
      </w:r>
      <w:r>
        <w:rPr>
          <w:sz w:val="20"/>
        </w:rPr>
        <w:t>direta</w:t>
      </w:r>
      <w:r>
        <w:rPr>
          <w:spacing w:val="-1"/>
          <w:sz w:val="20"/>
        </w:rPr>
        <w:t xml:space="preserve"> </w:t>
      </w:r>
      <w:r>
        <w:rPr>
          <w:sz w:val="20"/>
        </w:rPr>
        <w:t>ou</w:t>
      </w:r>
      <w:r>
        <w:rPr>
          <w:spacing w:val="-1"/>
          <w:sz w:val="20"/>
        </w:rPr>
        <w:t xml:space="preserve"> </w:t>
      </w:r>
      <w:r>
        <w:rPr>
          <w:sz w:val="20"/>
        </w:rPr>
        <w:t>reflexamente, garantem a</w:t>
      </w:r>
      <w:r>
        <w:rPr>
          <w:spacing w:val="-1"/>
          <w:sz w:val="20"/>
        </w:rPr>
        <w:t xml:space="preserve"> </w:t>
      </w:r>
      <w:r>
        <w:rPr>
          <w:sz w:val="20"/>
        </w:rPr>
        <w:t>consulta, a</w:t>
      </w:r>
      <w:r>
        <w:rPr>
          <w:spacing w:val="-1"/>
          <w:sz w:val="20"/>
        </w:rPr>
        <w:t xml:space="preserve"> </w:t>
      </w:r>
      <w:r>
        <w:rPr>
          <w:sz w:val="20"/>
        </w:rPr>
        <w:t>exemplo</w:t>
      </w:r>
      <w:r>
        <w:rPr>
          <w:spacing w:val="-1"/>
          <w:sz w:val="20"/>
        </w:rPr>
        <w:t xml:space="preserve"> </w:t>
      </w:r>
      <w:r>
        <w:rPr>
          <w:sz w:val="20"/>
        </w:rPr>
        <w:t>de</w:t>
      </w:r>
      <w:r>
        <w:rPr>
          <w:spacing w:val="-1"/>
          <w:sz w:val="20"/>
        </w:rPr>
        <w:t xml:space="preserve"> </w:t>
      </w:r>
      <w:r>
        <w:rPr>
          <w:sz w:val="20"/>
        </w:rPr>
        <w:t>seus artigos</w:t>
      </w:r>
      <w:r>
        <w:rPr>
          <w:spacing w:val="-4"/>
          <w:sz w:val="20"/>
        </w:rPr>
        <w:t xml:space="preserve"> </w:t>
      </w:r>
      <w:r>
        <w:rPr>
          <w:sz w:val="20"/>
        </w:rPr>
        <w:t>4º, 216, 225 e 231, além do art. 68 do</w:t>
      </w:r>
      <w:r>
        <w:rPr>
          <w:spacing w:val="-2"/>
          <w:sz w:val="20"/>
        </w:rPr>
        <w:t xml:space="preserve"> </w:t>
      </w:r>
      <w:r>
        <w:rPr>
          <w:sz w:val="20"/>
        </w:rPr>
        <w:t xml:space="preserve">Ato das Disposições </w:t>
      </w:r>
      <w:r>
        <w:rPr>
          <w:sz w:val="20"/>
        </w:rPr>
        <w:t>Constitucionais Transitórias, que protege as terras tradicionalmente ocupadas por quilombos. De forma igualmente relevante, o Decreto n. 6.040/2007, que instituiu a Política Nacional de Desenvolvimento Sustentável dos Povos e Comunidades Tradicionais, apre</w:t>
      </w:r>
      <w:r>
        <w:rPr>
          <w:sz w:val="20"/>
        </w:rPr>
        <w:t xml:space="preserve">senta como um dos princípios da política “a promoção dos meios necessários para a efetiva participação dos Povos e Comunidades Tradicionais nas instâncias de controle social e nos processos decisórios relacionados aos seus direitos e interesses” (art. 1º, </w:t>
      </w:r>
      <w:r>
        <w:rPr>
          <w:sz w:val="20"/>
        </w:rPr>
        <w:t>X).</w:t>
      </w:r>
    </w:p>
    <w:p w:rsidR="00972CE3" w:rsidRDefault="00972CE3">
      <w:pPr>
        <w:jc w:val="both"/>
        <w:rPr>
          <w:sz w:val="20"/>
        </w:rPr>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51424" behindDoc="1" locked="0" layoutInCell="1" allowOverlap="1">
            <wp:simplePos x="0" y="0"/>
            <wp:positionH relativeFrom="page">
              <wp:posOffset>0</wp:posOffset>
            </wp:positionH>
            <wp:positionV relativeFrom="page">
              <wp:posOffset>6984</wp:posOffset>
            </wp:positionV>
            <wp:extent cx="7562088" cy="10483268"/>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44" w:firstLine="710"/>
        <w:jc w:val="both"/>
      </w:pPr>
      <w:r>
        <w:t>Além disso, o magistrado impôs conceitos genéricos como “moradia”, “produção” ou “espaços sagrados” sem ouvir os quilombolas, aplicando parâmetros incompatíveis com</w:t>
      </w:r>
      <w:r>
        <w:rPr>
          <w:spacing w:val="-5"/>
        </w:rPr>
        <w:t xml:space="preserve"> </w:t>
      </w:r>
      <w:r>
        <w:t>a territorialidade tradicional. Tal perspectiva revela um</w:t>
      </w:r>
      <w:r>
        <w:rPr>
          <w:spacing w:val="-5"/>
        </w:rPr>
        <w:t xml:space="preserve"> </w:t>
      </w:r>
      <w:r>
        <w:t>paradigm</w:t>
      </w:r>
      <w:r>
        <w:t>a jurídico desalinhado com a proteção efetiva das comunidades.</w:t>
      </w:r>
    </w:p>
    <w:p w:rsidR="00972CE3" w:rsidRDefault="001F20D2">
      <w:pPr>
        <w:pStyle w:val="Corpodetexto"/>
        <w:spacing w:before="1" w:line="360" w:lineRule="auto"/>
        <w:ind w:left="140" w:right="139" w:firstLine="710"/>
        <w:jc w:val="both"/>
      </w:pPr>
      <w:r>
        <w:t>Ciente dessas falhas, a DPU solicitou, em julho de 2022, estudos técnicos especializados (Brustolin et al, 2023). Entre agosto de 2022 e fevereiro de 2023, a UFMA realizou pesquisa de campo, cu</w:t>
      </w:r>
      <w:r>
        <w:t>jos resultados, entregues em abril de 2023, incluem mapas, imagens e revisão bibliográfica (Brustolin et al, 2023).</w:t>
      </w:r>
    </w:p>
    <w:p w:rsidR="00972CE3" w:rsidRDefault="001F20D2">
      <w:pPr>
        <w:pStyle w:val="Corpodetexto"/>
        <w:spacing w:line="360" w:lineRule="auto"/>
        <w:ind w:left="140" w:right="135" w:firstLine="710"/>
        <w:jc w:val="both"/>
      </w:pPr>
      <w:r>
        <w:t xml:space="preserve">O trabalho, elaborado pelo GEDMMA/UFMA e pelo PPGCSA/UEMA, foi anexado pela DPU aos autos da ação proposta pelo MPF, tornando-se peça-chave </w:t>
      </w:r>
      <w:r>
        <w:t xml:space="preserve">na defesa dos quilombos atingidos. Em síntese, o estudo constatou a ausência de documentos indispensáveis para avaliar a viabilidade das obras sobre terras quilombolas, como os estudos ambientais e o ECQ, confirmando a falta de consulta </w:t>
      </w:r>
      <w:r>
        <w:rPr>
          <w:spacing w:val="-2"/>
        </w:rPr>
        <w:t>prévia.</w:t>
      </w:r>
    </w:p>
    <w:p w:rsidR="00972CE3" w:rsidRDefault="001F20D2">
      <w:pPr>
        <w:pStyle w:val="Corpodetexto"/>
        <w:spacing w:before="3"/>
        <w:ind w:left="851"/>
      </w:pPr>
      <w:r>
        <w:rPr>
          <w:spacing w:val="-2"/>
        </w:rPr>
        <w:t>Ademais,</w:t>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1F20D2">
      <w:pPr>
        <w:ind w:left="2407" w:right="138"/>
        <w:jc w:val="both"/>
        <w:rPr>
          <w:sz w:val="20"/>
        </w:rPr>
      </w:pPr>
      <w:r>
        <w:rPr>
          <w:sz w:val="20"/>
        </w:rPr>
        <w:t>não [houve a] realização da consulta prévia, livre, informada e</w:t>
      </w:r>
      <w:r>
        <w:rPr>
          <w:spacing w:val="40"/>
          <w:sz w:val="20"/>
        </w:rPr>
        <w:t xml:space="preserve"> </w:t>
      </w:r>
      <w:r>
        <w:rPr>
          <w:sz w:val="20"/>
        </w:rPr>
        <w:t>de boa-fé, junto às comunidades; bem como, de outros instrumentos de diálogo e estudos que permitiriam aprofundar os entendimentos necessários, prejudicando uma compreensão mais apurada da situação em questão, colocando em risco as</w:t>
      </w:r>
      <w:r>
        <w:rPr>
          <w:spacing w:val="-2"/>
          <w:sz w:val="20"/>
        </w:rPr>
        <w:t xml:space="preserve"> </w:t>
      </w:r>
      <w:r>
        <w:rPr>
          <w:sz w:val="20"/>
        </w:rPr>
        <w:t>territorialidades ali existentes, como enunciado pelas representações quilombolas em distintas</w:t>
      </w:r>
      <w:r>
        <w:rPr>
          <w:spacing w:val="-1"/>
          <w:sz w:val="20"/>
        </w:rPr>
        <w:t xml:space="preserve"> </w:t>
      </w:r>
      <w:r>
        <w:rPr>
          <w:sz w:val="20"/>
        </w:rPr>
        <w:t xml:space="preserve">instâncias (Brustolin et al, 2023, p. </w:t>
      </w:r>
      <w:r>
        <w:rPr>
          <w:spacing w:val="-4"/>
          <w:sz w:val="20"/>
        </w:rPr>
        <w:t>2).</w:t>
      </w:r>
    </w:p>
    <w:p w:rsidR="00972CE3" w:rsidRDefault="00972CE3">
      <w:pPr>
        <w:pStyle w:val="Corpodetexto"/>
        <w:rPr>
          <w:sz w:val="20"/>
        </w:rPr>
      </w:pPr>
    </w:p>
    <w:p w:rsidR="00972CE3" w:rsidRDefault="001F20D2">
      <w:pPr>
        <w:pStyle w:val="Corpodetexto"/>
        <w:spacing w:line="360" w:lineRule="auto"/>
        <w:ind w:left="241" w:right="146" w:firstLine="710"/>
        <w:jc w:val="both"/>
      </w:pPr>
      <w:r>
        <w:t xml:space="preserve">Ainda que não substitua um procedimento pleno de consulta prévia, a pesquisa realizada pelo GEDMMA/UFMA e PPGCSA/UEMA </w:t>
      </w:r>
      <w:r>
        <w:t>oferece importantes subsídios para compreender a complexidade envolvida na proteção dos territórios quilombolas ameaçados pela duplicação da BR-135.</w:t>
      </w:r>
    </w:p>
    <w:p w:rsidR="00972CE3" w:rsidRDefault="001F20D2">
      <w:pPr>
        <w:pStyle w:val="Corpodetexto"/>
        <w:spacing w:before="1" w:line="360" w:lineRule="auto"/>
        <w:ind w:left="241" w:right="150" w:firstLine="710"/>
        <w:jc w:val="both"/>
      </w:pPr>
      <w:r>
        <w:t>O estudo destaca a existência de uma “territorialidade extensa” na área potencialmente</w:t>
      </w:r>
      <w:r>
        <w:rPr>
          <w:spacing w:val="80"/>
        </w:rPr>
        <w:t xml:space="preserve"> </w:t>
      </w:r>
      <w:r>
        <w:t>afetada,</w:t>
      </w:r>
      <w:r>
        <w:rPr>
          <w:spacing w:val="80"/>
        </w:rPr>
        <w:t xml:space="preserve"> </w:t>
      </w:r>
      <w:r>
        <w:t>caracteriza</w:t>
      </w:r>
      <w:r>
        <w:t>da</w:t>
      </w:r>
      <w:r>
        <w:rPr>
          <w:spacing w:val="80"/>
        </w:rPr>
        <w:t xml:space="preserve"> </w:t>
      </w:r>
      <w:r>
        <w:t>por</w:t>
      </w:r>
      <w:r>
        <w:rPr>
          <w:spacing w:val="80"/>
        </w:rPr>
        <w:t xml:space="preserve"> </w:t>
      </w:r>
      <w:r>
        <w:t>usos</w:t>
      </w:r>
      <w:r>
        <w:rPr>
          <w:spacing w:val="80"/>
        </w:rPr>
        <w:t xml:space="preserve"> </w:t>
      </w:r>
      <w:r>
        <w:t>específicos</w:t>
      </w:r>
      <w:r>
        <w:rPr>
          <w:spacing w:val="80"/>
        </w:rPr>
        <w:t xml:space="preserve"> </w:t>
      </w:r>
      <w:r>
        <w:t>da</w:t>
      </w:r>
      <w:r>
        <w:rPr>
          <w:spacing w:val="80"/>
        </w:rPr>
        <w:t xml:space="preserve"> </w:t>
      </w:r>
      <w:r>
        <w:t>terra</w:t>
      </w:r>
      <w:r>
        <w:rPr>
          <w:spacing w:val="80"/>
        </w:rPr>
        <w:t xml:space="preserve"> </w:t>
      </w:r>
      <w:r>
        <w:t>e</w:t>
      </w:r>
      <w:r>
        <w:rPr>
          <w:spacing w:val="80"/>
        </w:rPr>
        <w:t xml:space="preserve"> </w:t>
      </w:r>
      <w:r>
        <w:t>fortes</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51936" behindDoc="1" locked="0" layoutInCell="1" allowOverlap="1">
            <wp:simplePos x="0" y="0"/>
            <wp:positionH relativeFrom="page">
              <wp:posOffset>0</wp:posOffset>
            </wp:positionH>
            <wp:positionV relativeFrom="page">
              <wp:posOffset>6984</wp:posOffset>
            </wp:positionV>
            <wp:extent cx="7562088" cy="10483268"/>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241" w:right="139"/>
        <w:jc w:val="both"/>
      </w:pPr>
      <w:r>
        <w:t>vínculos entre territórios negros. Negros e negras foram trazidos ao Vale do Rio Itapecuru, sobretudo a partir do século XVIII, para trabalhar nos engenhos e nas plantações de cana e algodão (M</w:t>
      </w:r>
      <w:r>
        <w:t>ota, 2007). No século XIX, intensificaram-se as ocupações, e a desagregação do sistema escravista levou à formação de</w:t>
      </w:r>
      <w:r>
        <w:rPr>
          <w:spacing w:val="40"/>
        </w:rPr>
        <w:t xml:space="preserve"> </w:t>
      </w:r>
      <w:r>
        <w:t>quilombos e à consolidação de territorialidades próprias na região (Almeida, 2008,</w:t>
      </w:r>
      <w:r>
        <w:rPr>
          <w:spacing w:val="40"/>
        </w:rPr>
        <w:t xml:space="preserve"> </w:t>
      </w:r>
      <w:r>
        <w:t>p. 29).</w:t>
      </w:r>
    </w:p>
    <w:p w:rsidR="00972CE3" w:rsidRDefault="001F20D2">
      <w:pPr>
        <w:pStyle w:val="Corpodetexto"/>
        <w:spacing w:before="4" w:line="360" w:lineRule="auto"/>
        <w:ind w:left="241" w:right="138" w:firstLine="710"/>
        <w:jc w:val="both"/>
      </w:pPr>
      <w:r>
        <w:t>Já no século XX, especialmente após a década de</w:t>
      </w:r>
      <w:r>
        <w:t xml:space="preserve"> 1940, o avanço de fazendas e grandes empreendimentos reduziu drasticamente os espaços de circulação, cultivo e pesca das comunidades, confinando-as em áreas cada vez mais limitadas.</w:t>
      </w:r>
    </w:p>
    <w:p w:rsidR="00972CE3" w:rsidRDefault="001F20D2">
      <w:pPr>
        <w:pStyle w:val="Corpodetexto"/>
        <w:spacing w:line="360" w:lineRule="auto"/>
        <w:ind w:left="241" w:right="148" w:firstLine="710"/>
        <w:jc w:val="both"/>
      </w:pPr>
      <w:r>
        <w:t>O estudo aponta que, nas últimas duas décadas, a pressão sobre esses terr</w:t>
      </w:r>
      <w:r>
        <w:t>itórios se intensificou, agravando ainda mais a situação dos quilombos em que</w:t>
      </w:r>
    </w:p>
    <w:p w:rsidR="00972CE3" w:rsidRDefault="001F20D2">
      <w:pPr>
        <w:spacing w:before="2"/>
        <w:ind w:left="2407" w:right="133"/>
        <w:jc w:val="both"/>
        <w:rPr>
          <w:sz w:val="20"/>
        </w:rPr>
      </w:pPr>
      <w:r>
        <w:rPr>
          <w:sz w:val="20"/>
        </w:rPr>
        <w:t>as memórias [dos quilombolas] remontam a existência dessa territorialidade e as ameaças relacionadas às perdas territoriais, à diminuição das terras e aos conflitos decorrentes de empreendimentos na região, como a</w:t>
      </w:r>
      <w:r>
        <w:rPr>
          <w:spacing w:val="40"/>
          <w:sz w:val="20"/>
        </w:rPr>
        <w:t xml:space="preserve"> </w:t>
      </w:r>
      <w:r>
        <w:rPr>
          <w:sz w:val="20"/>
        </w:rPr>
        <w:t>construção da BR-135, a chegada das fazend</w:t>
      </w:r>
      <w:r>
        <w:rPr>
          <w:sz w:val="20"/>
        </w:rPr>
        <w:t>as e das demais estruturas logísticas que cortam os territórios negros (Brustolin et al, 2023, p. 9).</w:t>
      </w:r>
    </w:p>
    <w:p w:rsidR="00972CE3" w:rsidRDefault="001F20D2">
      <w:pPr>
        <w:pStyle w:val="Corpodetexto"/>
        <w:spacing w:before="229" w:line="360" w:lineRule="auto"/>
        <w:ind w:left="140" w:right="137" w:firstLine="710"/>
        <w:jc w:val="both"/>
      </w:pPr>
      <w:r>
        <w:t xml:space="preserve">Se isso por um lado não significou uma ruptura sentimental com o extenso território que ocupavam, que permanece no imaginário das famílias ali residentes </w:t>
      </w:r>
      <w:r>
        <w:t>(Lucchesi, 2008, p. 112), por outro lado trouxe severas limitações.</w:t>
      </w:r>
    </w:p>
    <w:p w:rsidR="00972CE3" w:rsidRDefault="001F20D2">
      <w:pPr>
        <w:pStyle w:val="Corpodetexto"/>
        <w:spacing w:line="360" w:lineRule="auto"/>
        <w:ind w:left="140" w:right="136" w:firstLine="710"/>
        <w:jc w:val="both"/>
      </w:pPr>
      <w:r>
        <w:t>Uma</w:t>
      </w:r>
      <w:r>
        <w:rPr>
          <w:spacing w:val="-3"/>
        </w:rPr>
        <w:t xml:space="preserve"> </w:t>
      </w:r>
      <w:r>
        <w:t>dessas</w:t>
      </w:r>
      <w:r>
        <w:rPr>
          <w:spacing w:val="-1"/>
        </w:rPr>
        <w:t xml:space="preserve"> </w:t>
      </w:r>
      <w:r>
        <w:t>restrições</w:t>
      </w:r>
      <w:r>
        <w:rPr>
          <w:spacing w:val="-3"/>
        </w:rPr>
        <w:t xml:space="preserve"> </w:t>
      </w:r>
      <w:r>
        <w:t>diz</w:t>
      </w:r>
      <w:r>
        <w:rPr>
          <w:spacing w:val="-3"/>
        </w:rPr>
        <w:t xml:space="preserve"> </w:t>
      </w:r>
      <w:r>
        <w:t>respeito</w:t>
      </w:r>
      <w:r>
        <w:rPr>
          <w:spacing w:val="-2"/>
        </w:rPr>
        <w:t xml:space="preserve"> </w:t>
      </w:r>
      <w:r>
        <w:t>ao</w:t>
      </w:r>
      <w:r>
        <w:rPr>
          <w:spacing w:val="-7"/>
        </w:rPr>
        <w:t xml:space="preserve"> </w:t>
      </w:r>
      <w:r>
        <w:t>acesso</w:t>
      </w:r>
      <w:r>
        <w:rPr>
          <w:spacing w:val="-7"/>
        </w:rPr>
        <w:t xml:space="preserve"> </w:t>
      </w:r>
      <w:r>
        <w:t>às</w:t>
      </w:r>
      <w:r>
        <w:rPr>
          <w:spacing w:val="-3"/>
        </w:rPr>
        <w:t xml:space="preserve"> </w:t>
      </w:r>
      <w:r>
        <w:t>águas.</w:t>
      </w:r>
      <w:r>
        <w:rPr>
          <w:spacing w:val="-3"/>
        </w:rPr>
        <w:t xml:space="preserve"> </w:t>
      </w:r>
      <w:r>
        <w:t>Os</w:t>
      </w:r>
      <w:r>
        <w:rPr>
          <w:spacing w:val="-7"/>
        </w:rPr>
        <w:t xml:space="preserve"> </w:t>
      </w:r>
      <w:r>
        <w:t>empreendimentos construídos na região têm interrompido o fluxo dos igarapés e causado profundas transformações nas vidas das famíl</w:t>
      </w:r>
      <w:r>
        <w:t>ias, nos campos naturais e no rio Itapecuru. Há evidente prejuízo às nascentes e impacto na atividade pesqueira.</w:t>
      </w:r>
    </w:p>
    <w:p w:rsidR="00972CE3" w:rsidRDefault="001F20D2">
      <w:pPr>
        <w:spacing w:before="1"/>
        <w:ind w:left="2407" w:right="139"/>
        <w:jc w:val="both"/>
        <w:rPr>
          <w:sz w:val="20"/>
        </w:rPr>
      </w:pPr>
      <w:r>
        <w:rPr>
          <w:sz w:val="20"/>
        </w:rPr>
        <w:t>Muitos bueiros e/ou canais para passagem da água existentes se</w:t>
      </w:r>
      <w:r>
        <w:rPr>
          <w:spacing w:val="40"/>
          <w:sz w:val="20"/>
        </w:rPr>
        <w:t xml:space="preserve"> </w:t>
      </w:r>
      <w:r>
        <w:rPr>
          <w:sz w:val="20"/>
        </w:rPr>
        <w:t>encontram entupidos com matéria orgânica e vegetação, ou estão construídos acima</w:t>
      </w:r>
      <w:r>
        <w:rPr>
          <w:sz w:val="20"/>
        </w:rPr>
        <w:t xml:space="preserve"> do nível da água, deixando a mesma represada, impedindo a circulação da massa hídrica</w:t>
      </w:r>
      <w:r>
        <w:rPr>
          <w:rFonts w:ascii="Arial" w:hAnsi="Arial"/>
          <w:b/>
          <w:sz w:val="20"/>
        </w:rPr>
        <w:t xml:space="preserve">. </w:t>
      </w:r>
      <w:r>
        <w:rPr>
          <w:sz w:val="20"/>
        </w:rPr>
        <w:t>Dessa forma, a passagem dos peixes fica comprometida (Brustolin et al, 2023, p. 18).</w:t>
      </w:r>
    </w:p>
    <w:p w:rsidR="00972CE3" w:rsidRDefault="001F20D2">
      <w:pPr>
        <w:pStyle w:val="Corpodetexto"/>
        <w:spacing w:before="229" w:line="360" w:lineRule="auto"/>
        <w:ind w:left="140" w:right="139" w:firstLine="710"/>
        <w:jc w:val="both"/>
      </w:pPr>
      <w:r>
        <w:t>Segundo Alves-Brito e David (2024, p. 269), em estudo que levou em consideração</w:t>
      </w:r>
      <w:r>
        <w:rPr>
          <w:spacing w:val="11"/>
        </w:rPr>
        <w:t xml:space="preserve"> </w:t>
      </w:r>
      <w:r>
        <w:t>o</w:t>
      </w:r>
      <w:r>
        <w:rPr>
          <w:spacing w:val="3"/>
        </w:rPr>
        <w:t xml:space="preserve"> </w:t>
      </w:r>
      <w:r>
        <w:t>licenciamento</w:t>
      </w:r>
      <w:r>
        <w:rPr>
          <w:spacing w:val="11"/>
        </w:rPr>
        <w:t xml:space="preserve"> </w:t>
      </w:r>
      <w:r>
        <w:t>ambiental</w:t>
      </w:r>
      <w:r>
        <w:rPr>
          <w:spacing w:val="10"/>
        </w:rPr>
        <w:t xml:space="preserve"> </w:t>
      </w:r>
      <w:r>
        <w:t>de</w:t>
      </w:r>
      <w:r>
        <w:rPr>
          <w:spacing w:val="7"/>
        </w:rPr>
        <w:t xml:space="preserve"> </w:t>
      </w:r>
      <w:r>
        <w:t>ampliação</w:t>
      </w:r>
      <w:r>
        <w:rPr>
          <w:spacing w:val="7"/>
        </w:rPr>
        <w:t xml:space="preserve"> </w:t>
      </w:r>
      <w:r>
        <w:t>da</w:t>
      </w:r>
      <w:r>
        <w:rPr>
          <w:spacing w:val="11"/>
        </w:rPr>
        <w:t xml:space="preserve"> </w:t>
      </w:r>
      <w:r>
        <w:t>BR-386,</w:t>
      </w:r>
      <w:r>
        <w:rPr>
          <w:spacing w:val="7"/>
        </w:rPr>
        <w:t xml:space="preserve"> </w:t>
      </w:r>
      <w:r>
        <w:t>no</w:t>
      </w:r>
      <w:r>
        <w:rPr>
          <w:spacing w:val="6"/>
        </w:rPr>
        <w:t xml:space="preserve"> </w:t>
      </w:r>
      <w:r>
        <w:t>interior</w:t>
      </w:r>
      <w:r>
        <w:rPr>
          <w:spacing w:val="13"/>
        </w:rPr>
        <w:t xml:space="preserve"> </w:t>
      </w:r>
      <w:r>
        <w:t>do</w:t>
      </w:r>
      <w:r>
        <w:rPr>
          <w:spacing w:val="11"/>
        </w:rPr>
        <w:t xml:space="preserve"> </w:t>
      </w:r>
      <w:r>
        <w:rPr>
          <w:spacing w:val="-5"/>
        </w:rPr>
        <w:t>Rio</w:t>
      </w:r>
    </w:p>
    <w:p w:rsidR="00972CE3" w:rsidRDefault="00972CE3">
      <w:pPr>
        <w:pStyle w:val="Corpodetexto"/>
        <w:spacing w:line="360"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52448" behindDoc="1" locked="0" layoutInCell="1" allowOverlap="1">
            <wp:simplePos x="0" y="0"/>
            <wp:positionH relativeFrom="page">
              <wp:posOffset>0</wp:posOffset>
            </wp:positionH>
            <wp:positionV relativeFrom="page">
              <wp:posOffset>6984</wp:posOffset>
            </wp:positionV>
            <wp:extent cx="7562088" cy="10483268"/>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3"/>
        <w:jc w:val="both"/>
      </w:pPr>
      <w:r>
        <w:t>Grande</w:t>
      </w:r>
      <w:r>
        <w:rPr>
          <w:spacing w:val="-1"/>
        </w:rPr>
        <w:t xml:space="preserve"> </w:t>
      </w:r>
      <w:r>
        <w:t>do</w:t>
      </w:r>
      <w:r>
        <w:rPr>
          <w:spacing w:val="-1"/>
        </w:rPr>
        <w:t xml:space="preserve"> </w:t>
      </w:r>
      <w:r>
        <w:t>Sul, o</w:t>
      </w:r>
      <w:r>
        <w:rPr>
          <w:spacing w:val="-1"/>
        </w:rPr>
        <w:t xml:space="preserve"> </w:t>
      </w:r>
      <w:r>
        <w:t>avanço</w:t>
      </w:r>
      <w:r>
        <w:rPr>
          <w:spacing w:val="-2"/>
        </w:rPr>
        <w:t xml:space="preserve"> </w:t>
      </w:r>
      <w:r>
        <w:t>de</w:t>
      </w:r>
      <w:r>
        <w:rPr>
          <w:spacing w:val="-2"/>
        </w:rPr>
        <w:t xml:space="preserve"> </w:t>
      </w:r>
      <w:r>
        <w:t>rodovias</w:t>
      </w:r>
      <w:r>
        <w:rPr>
          <w:spacing w:val="-2"/>
        </w:rPr>
        <w:t xml:space="preserve"> </w:t>
      </w:r>
      <w:r>
        <w:t>sobre</w:t>
      </w:r>
      <w:r>
        <w:rPr>
          <w:spacing w:val="-2"/>
        </w:rPr>
        <w:t xml:space="preserve"> </w:t>
      </w:r>
      <w:r>
        <w:t>territórios tradicionalmente ocupados</w:t>
      </w:r>
      <w:r>
        <w:rPr>
          <w:spacing w:val="-2"/>
        </w:rPr>
        <w:t xml:space="preserve"> </w:t>
      </w:r>
      <w:r>
        <w:t>por quilombos caracteriza racismo ambiental. Tal modalidade de racismo, para os mesmos a</w:t>
      </w:r>
      <w:r>
        <w:t>utores, consiste no “conjunto de fatores que, desproporcionalmente, tensionam</w:t>
      </w:r>
      <w:r>
        <w:rPr>
          <w:spacing w:val="-4"/>
        </w:rPr>
        <w:t xml:space="preserve"> </w:t>
      </w:r>
      <w:r>
        <w:t>existencialmente as comunidades negras, colocando-as em graves riscos de saúde por meio de políticas e práticas que as forçam a viver em condições desfavoráveis (Alves-Brito; Dav</w:t>
      </w:r>
      <w:r>
        <w:t>id, 2024, p. 269). Pode-se também entender o</w:t>
      </w:r>
      <w:r>
        <w:rPr>
          <w:spacing w:val="40"/>
        </w:rPr>
        <w:t xml:space="preserve"> </w:t>
      </w:r>
      <w:r>
        <w:t>avanço violento sobre os quilombos como processo de necropolítica, na forma como tal expressão vem sendo utilizada nos debates sobre colonialidade e racismo estrutural (Mbembe, 2017; Quijano, 2005; Carneiro, 201</w:t>
      </w:r>
      <w:r>
        <w:t>8).</w:t>
      </w:r>
    </w:p>
    <w:p w:rsidR="00972CE3" w:rsidRDefault="001F20D2">
      <w:pPr>
        <w:pStyle w:val="Corpodetexto"/>
        <w:spacing w:line="360" w:lineRule="auto"/>
        <w:ind w:left="140" w:right="135" w:firstLine="710"/>
        <w:jc w:val="both"/>
      </w:pPr>
      <w:r>
        <w:t>O estudo dos pesquisadores da UFMA e UEMA apresentou respostas mais objetivas às perguntas elaboradas pela Defensoria Pública da União. Nesse sentido, contribuiu decisivamente para a formulação de argumentos que, na defesa dos interesses de comunidades qui</w:t>
      </w:r>
      <w:r>
        <w:t>lombolas, fossem de encontro às decisões concedidas pela 8ª Vara da Justiça Federal em São Luís, que, como visto, deram permissão para continuidade das obras de duplicação da</w:t>
      </w:r>
      <w:r>
        <w:rPr>
          <w:spacing w:val="-12"/>
        </w:rPr>
        <w:t xml:space="preserve"> </w:t>
      </w:r>
      <w:r>
        <w:t>BR-135.</w:t>
      </w:r>
    </w:p>
    <w:p w:rsidR="00972CE3" w:rsidRDefault="001F20D2">
      <w:pPr>
        <w:pStyle w:val="Corpodetexto"/>
        <w:spacing w:before="4" w:line="360" w:lineRule="auto"/>
        <w:ind w:left="140" w:right="136" w:firstLine="710"/>
        <w:jc w:val="both"/>
      </w:pPr>
      <w:r>
        <w:rPr>
          <w:spacing w:val="-8"/>
        </w:rPr>
        <w:t>Para</w:t>
      </w:r>
      <w:r>
        <w:rPr>
          <w:spacing w:val="-9"/>
        </w:rPr>
        <w:t xml:space="preserve"> </w:t>
      </w:r>
      <w:r>
        <w:rPr>
          <w:spacing w:val="-8"/>
        </w:rPr>
        <w:t>os</w:t>
      </w:r>
      <w:r>
        <w:rPr>
          <w:spacing w:val="-9"/>
        </w:rPr>
        <w:t xml:space="preserve"> </w:t>
      </w:r>
      <w:r>
        <w:rPr>
          <w:spacing w:val="-8"/>
        </w:rPr>
        <w:t>pesquisadores das</w:t>
      </w:r>
      <w:r>
        <w:rPr>
          <w:spacing w:val="-9"/>
        </w:rPr>
        <w:t xml:space="preserve"> </w:t>
      </w:r>
      <w:r>
        <w:rPr>
          <w:spacing w:val="-8"/>
        </w:rPr>
        <w:t>Universidades,</w:t>
      </w:r>
      <w:r>
        <w:rPr>
          <w:spacing w:val="-9"/>
        </w:rPr>
        <w:t xml:space="preserve"> </w:t>
      </w:r>
      <w:r>
        <w:rPr>
          <w:spacing w:val="-8"/>
        </w:rPr>
        <w:t>as</w:t>
      </w:r>
      <w:r>
        <w:rPr>
          <w:spacing w:val="-9"/>
        </w:rPr>
        <w:t xml:space="preserve"> </w:t>
      </w:r>
      <w:r>
        <w:rPr>
          <w:spacing w:val="-8"/>
        </w:rPr>
        <w:t>decisões ignoram</w:t>
      </w:r>
      <w:r>
        <w:rPr>
          <w:spacing w:val="-9"/>
        </w:rPr>
        <w:t xml:space="preserve"> </w:t>
      </w:r>
      <w:r>
        <w:rPr>
          <w:spacing w:val="-8"/>
        </w:rPr>
        <w:t>por</w:t>
      </w:r>
      <w:r>
        <w:rPr>
          <w:spacing w:val="-9"/>
        </w:rPr>
        <w:t xml:space="preserve"> </w:t>
      </w:r>
      <w:r>
        <w:rPr>
          <w:spacing w:val="-8"/>
        </w:rPr>
        <w:t>completo</w:t>
      </w:r>
      <w:r>
        <w:rPr>
          <w:spacing w:val="-8"/>
        </w:rPr>
        <w:t xml:space="preserve"> o</w:t>
      </w:r>
      <w:r>
        <w:rPr>
          <w:spacing w:val="12"/>
        </w:rPr>
        <w:t xml:space="preserve"> </w:t>
      </w:r>
      <w:r>
        <w:rPr>
          <w:spacing w:val="-8"/>
        </w:rPr>
        <w:t xml:space="preserve">que </w:t>
      </w:r>
      <w:r>
        <w:t>elas mesmas denominam de “formas tradicionais de uso e ocupação do espaço”, bem como a religiosidade de matriz africana. Assim fazem, dentre outras razões, ao imporem um paradigma de supervalorização da propriedade privada sobre as territorialidades dos qu</w:t>
      </w:r>
      <w:r>
        <w:t>ilombos.</w:t>
      </w:r>
    </w:p>
    <w:p w:rsidR="00972CE3" w:rsidRDefault="001F20D2">
      <w:pPr>
        <w:spacing w:before="3"/>
        <w:ind w:left="2407" w:right="133"/>
        <w:jc w:val="both"/>
        <w:rPr>
          <w:sz w:val="20"/>
        </w:rPr>
      </w:pPr>
      <w:r>
        <w:rPr>
          <w:sz w:val="20"/>
        </w:rPr>
        <w:t>Não se trata [o</w:t>
      </w:r>
      <w:r>
        <w:rPr>
          <w:spacing w:val="-3"/>
          <w:sz w:val="20"/>
        </w:rPr>
        <w:t xml:space="preserve"> </w:t>
      </w:r>
      <w:r>
        <w:rPr>
          <w:sz w:val="20"/>
        </w:rPr>
        <w:t>território quilombola] de unidades</w:t>
      </w:r>
      <w:r>
        <w:rPr>
          <w:spacing w:val="-2"/>
          <w:sz w:val="20"/>
        </w:rPr>
        <w:t xml:space="preserve"> </w:t>
      </w:r>
      <w:r>
        <w:rPr>
          <w:sz w:val="20"/>
        </w:rPr>
        <w:t xml:space="preserve">parcelares, que podem ser apreendidas como propriedades particulares de uma família, rigidamente delimitadas. Um espaço territorial, como exemplificamos, ao mencionar o Festejo do Divino Espírito </w:t>
      </w:r>
      <w:r>
        <w:rPr>
          <w:sz w:val="20"/>
        </w:rPr>
        <w:t>Santo, pode ser local sagrado porque é local de passagem da procissão do Divino Espírito Santo. Ao mesmo tempo, esse local pode se constituir como passagem segura para as crianças que</w:t>
      </w:r>
      <w:r>
        <w:rPr>
          <w:spacing w:val="80"/>
          <w:sz w:val="20"/>
        </w:rPr>
        <w:t xml:space="preserve"> </w:t>
      </w:r>
      <w:r>
        <w:rPr>
          <w:sz w:val="20"/>
        </w:rPr>
        <w:t>moram naquele lado da rodovia irem para a</w:t>
      </w:r>
      <w:r>
        <w:rPr>
          <w:spacing w:val="-2"/>
          <w:sz w:val="20"/>
        </w:rPr>
        <w:t xml:space="preserve"> </w:t>
      </w:r>
      <w:r>
        <w:rPr>
          <w:sz w:val="20"/>
        </w:rPr>
        <w:t>Escola (Brustolin et al, 2023,</w:t>
      </w:r>
      <w:r>
        <w:rPr>
          <w:sz w:val="20"/>
        </w:rPr>
        <w:t xml:space="preserve"> p. </w:t>
      </w:r>
      <w:r>
        <w:rPr>
          <w:spacing w:val="-4"/>
          <w:sz w:val="20"/>
        </w:rPr>
        <w:t>35).</w:t>
      </w:r>
    </w:p>
    <w:p w:rsidR="00972CE3" w:rsidRDefault="001F20D2">
      <w:pPr>
        <w:pStyle w:val="Corpodetexto"/>
        <w:spacing w:before="226" w:line="362" w:lineRule="auto"/>
        <w:ind w:left="140" w:right="135" w:firstLine="710"/>
        <w:jc w:val="both"/>
      </w:pPr>
      <w:r>
        <w:t>Além disso, ao lançarem condições para o avanço das obras, supostamente como proteção aos quilombos, mas despidas de qualquer escuta das comunidades ou</w:t>
      </w:r>
      <w:r>
        <w:rPr>
          <w:spacing w:val="37"/>
        </w:rPr>
        <w:t xml:space="preserve"> </w:t>
      </w:r>
      <w:r>
        <w:t>de</w:t>
      </w:r>
      <w:r>
        <w:rPr>
          <w:spacing w:val="37"/>
        </w:rPr>
        <w:t xml:space="preserve"> </w:t>
      </w:r>
      <w:r>
        <w:t>critérios</w:t>
      </w:r>
      <w:r>
        <w:rPr>
          <w:spacing w:val="37"/>
        </w:rPr>
        <w:t xml:space="preserve"> </w:t>
      </w:r>
      <w:r>
        <w:t>minimamente</w:t>
      </w:r>
      <w:r>
        <w:rPr>
          <w:spacing w:val="38"/>
        </w:rPr>
        <w:t xml:space="preserve"> </w:t>
      </w:r>
      <w:r>
        <w:t>verificáveis,</w:t>
      </w:r>
      <w:r>
        <w:rPr>
          <w:spacing w:val="37"/>
        </w:rPr>
        <w:t xml:space="preserve"> </w:t>
      </w:r>
      <w:r>
        <w:t>as</w:t>
      </w:r>
      <w:r>
        <w:rPr>
          <w:spacing w:val="32"/>
        </w:rPr>
        <w:t xml:space="preserve"> </w:t>
      </w:r>
      <w:r>
        <w:t>decisões</w:t>
      </w:r>
      <w:r>
        <w:rPr>
          <w:spacing w:val="37"/>
        </w:rPr>
        <w:t xml:space="preserve"> </w:t>
      </w:r>
      <w:r>
        <w:t>possibilitaram</w:t>
      </w:r>
      <w:r>
        <w:rPr>
          <w:spacing w:val="29"/>
        </w:rPr>
        <w:t xml:space="preserve"> </w:t>
      </w:r>
      <w:r>
        <w:t>que</w:t>
      </w:r>
      <w:r>
        <w:rPr>
          <w:spacing w:val="37"/>
        </w:rPr>
        <w:t xml:space="preserve"> </w:t>
      </w:r>
      <w:r>
        <w:t>o</w:t>
      </w:r>
      <w:r>
        <w:rPr>
          <w:spacing w:val="37"/>
        </w:rPr>
        <w:t xml:space="preserve"> </w:t>
      </w:r>
      <w:r>
        <w:t>próprio</w:t>
      </w:r>
    </w:p>
    <w:p w:rsidR="00972CE3" w:rsidRDefault="00972CE3">
      <w:pPr>
        <w:pStyle w:val="Corpodetexto"/>
        <w:spacing w:line="362" w:lineRule="au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52960" behindDoc="1" locked="0" layoutInCell="1" allowOverlap="1">
            <wp:simplePos x="0" y="0"/>
            <wp:positionH relativeFrom="page">
              <wp:posOffset>0</wp:posOffset>
            </wp:positionH>
            <wp:positionV relativeFrom="page">
              <wp:posOffset>6984</wp:posOffset>
            </wp:positionV>
            <wp:extent cx="7562088" cy="10483268"/>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0" w:lineRule="auto"/>
        <w:ind w:left="140" w:right="136"/>
        <w:jc w:val="both"/>
      </w:pPr>
      <w:r>
        <w:t>órgão executor das obras realize a identificação e a delimitação dos locais supostamente protegidos pelas decisões.</w:t>
      </w:r>
    </w:p>
    <w:p w:rsidR="00972CE3" w:rsidRDefault="001F20D2">
      <w:pPr>
        <w:pStyle w:val="Corpodetexto"/>
        <w:spacing w:before="3" w:line="360" w:lineRule="auto"/>
        <w:ind w:left="140" w:right="141" w:firstLine="710"/>
        <w:jc w:val="both"/>
      </w:pPr>
      <w:r>
        <w:rPr>
          <w:spacing w:val="-4"/>
        </w:rPr>
        <w:t>É</w:t>
      </w:r>
      <w:r>
        <w:rPr>
          <w:spacing w:val="-13"/>
        </w:rPr>
        <w:t xml:space="preserve"> </w:t>
      </w:r>
      <w:r>
        <w:rPr>
          <w:spacing w:val="-4"/>
        </w:rPr>
        <w:t>exatamente</w:t>
      </w:r>
      <w:r>
        <w:rPr>
          <w:spacing w:val="-13"/>
        </w:rPr>
        <w:t xml:space="preserve"> </w:t>
      </w:r>
      <w:r>
        <w:rPr>
          <w:spacing w:val="-4"/>
        </w:rPr>
        <w:t>essa</w:t>
      </w:r>
      <w:r>
        <w:rPr>
          <w:spacing w:val="-12"/>
        </w:rPr>
        <w:t xml:space="preserve"> </w:t>
      </w:r>
      <w:r>
        <w:rPr>
          <w:spacing w:val="-4"/>
        </w:rPr>
        <w:t>a</w:t>
      </w:r>
      <w:r>
        <w:rPr>
          <w:spacing w:val="-13"/>
        </w:rPr>
        <w:t xml:space="preserve"> </w:t>
      </w:r>
      <w:r>
        <w:rPr>
          <w:spacing w:val="-4"/>
        </w:rPr>
        <w:t>conclusão</w:t>
      </w:r>
      <w:r>
        <w:rPr>
          <w:spacing w:val="-13"/>
        </w:rPr>
        <w:t xml:space="preserve"> </w:t>
      </w:r>
      <w:r>
        <w:rPr>
          <w:spacing w:val="-4"/>
        </w:rPr>
        <w:t>do</w:t>
      </w:r>
      <w:r>
        <w:rPr>
          <w:spacing w:val="-13"/>
        </w:rPr>
        <w:t xml:space="preserve"> </w:t>
      </w:r>
      <w:r>
        <w:rPr>
          <w:spacing w:val="-4"/>
        </w:rPr>
        <w:t>estudo,</w:t>
      </w:r>
      <w:r>
        <w:rPr>
          <w:spacing w:val="-12"/>
        </w:rPr>
        <w:t xml:space="preserve"> </w:t>
      </w:r>
      <w:r>
        <w:rPr>
          <w:spacing w:val="-4"/>
        </w:rPr>
        <w:t>que</w:t>
      </w:r>
      <w:r>
        <w:rPr>
          <w:spacing w:val="-13"/>
        </w:rPr>
        <w:t xml:space="preserve"> </w:t>
      </w:r>
      <w:r>
        <w:rPr>
          <w:spacing w:val="-4"/>
        </w:rPr>
        <w:t>ressalta</w:t>
      </w:r>
      <w:r>
        <w:rPr>
          <w:spacing w:val="-13"/>
        </w:rPr>
        <w:t xml:space="preserve"> </w:t>
      </w:r>
      <w:r>
        <w:rPr>
          <w:spacing w:val="-4"/>
        </w:rPr>
        <w:t>a</w:t>
      </w:r>
      <w:r>
        <w:rPr>
          <w:spacing w:val="-12"/>
        </w:rPr>
        <w:t xml:space="preserve"> </w:t>
      </w:r>
      <w:r>
        <w:rPr>
          <w:spacing w:val="-4"/>
        </w:rPr>
        <w:t>afronta</w:t>
      </w:r>
      <w:r>
        <w:rPr>
          <w:spacing w:val="-13"/>
        </w:rPr>
        <w:t xml:space="preserve"> </w:t>
      </w:r>
      <w:r>
        <w:rPr>
          <w:spacing w:val="-4"/>
        </w:rPr>
        <w:t>das</w:t>
      </w:r>
      <w:r>
        <w:rPr>
          <w:spacing w:val="-13"/>
        </w:rPr>
        <w:t xml:space="preserve"> </w:t>
      </w:r>
      <w:r>
        <w:rPr>
          <w:spacing w:val="-4"/>
        </w:rPr>
        <w:t>decisões</w:t>
      </w:r>
      <w:r>
        <w:rPr>
          <w:spacing w:val="-12"/>
        </w:rPr>
        <w:t xml:space="preserve"> </w:t>
      </w:r>
      <w:r>
        <w:rPr>
          <w:spacing w:val="-4"/>
        </w:rPr>
        <w:t xml:space="preserve">ao </w:t>
      </w:r>
      <w:r>
        <w:t>direito</w:t>
      </w:r>
      <w:r>
        <w:rPr>
          <w:spacing w:val="-18"/>
        </w:rPr>
        <w:t xml:space="preserve"> </w:t>
      </w:r>
      <w:r>
        <w:t>a</w:t>
      </w:r>
      <w:r>
        <w:rPr>
          <w:spacing w:val="-18"/>
        </w:rPr>
        <w:t xml:space="preserve"> </w:t>
      </w:r>
      <w:r>
        <w:t>consulta</w:t>
      </w:r>
      <w:r>
        <w:rPr>
          <w:spacing w:val="-18"/>
        </w:rPr>
        <w:t xml:space="preserve"> </w:t>
      </w:r>
      <w:r>
        <w:t>prévia:</w:t>
      </w:r>
    </w:p>
    <w:p w:rsidR="00972CE3" w:rsidRDefault="001F20D2">
      <w:pPr>
        <w:spacing w:before="2"/>
        <w:ind w:left="2407" w:right="136"/>
        <w:jc w:val="both"/>
        <w:rPr>
          <w:sz w:val="20"/>
        </w:rPr>
      </w:pPr>
      <w:r>
        <w:rPr>
          <w:sz w:val="20"/>
        </w:rPr>
        <w:t>Os</w:t>
      </w:r>
      <w:r>
        <w:rPr>
          <w:spacing w:val="-3"/>
          <w:sz w:val="20"/>
        </w:rPr>
        <w:t xml:space="preserve"> </w:t>
      </w:r>
      <w:r>
        <w:rPr>
          <w:sz w:val="20"/>
        </w:rPr>
        <w:t>instrumentos</w:t>
      </w:r>
      <w:r>
        <w:rPr>
          <w:spacing w:val="-2"/>
          <w:sz w:val="20"/>
        </w:rPr>
        <w:t xml:space="preserve"> </w:t>
      </w:r>
      <w:r>
        <w:rPr>
          <w:sz w:val="20"/>
        </w:rPr>
        <w:t>legais</w:t>
      </w:r>
      <w:r>
        <w:rPr>
          <w:spacing w:val="-3"/>
          <w:sz w:val="20"/>
        </w:rPr>
        <w:t xml:space="preserve"> </w:t>
      </w:r>
      <w:r>
        <w:rPr>
          <w:sz w:val="20"/>
        </w:rPr>
        <w:t>que condicionam os</w:t>
      </w:r>
      <w:r>
        <w:rPr>
          <w:spacing w:val="-3"/>
          <w:sz w:val="20"/>
        </w:rPr>
        <w:t xml:space="preserve"> </w:t>
      </w:r>
      <w:r>
        <w:rPr>
          <w:sz w:val="20"/>
        </w:rPr>
        <w:t>órgãos/empresas</w:t>
      </w:r>
      <w:r>
        <w:rPr>
          <w:spacing w:val="-2"/>
          <w:sz w:val="20"/>
        </w:rPr>
        <w:t xml:space="preserve"> </w:t>
      </w:r>
      <w:r>
        <w:rPr>
          <w:sz w:val="20"/>
        </w:rPr>
        <w:t>executores</w:t>
      </w:r>
      <w:r>
        <w:rPr>
          <w:spacing w:val="-3"/>
          <w:sz w:val="20"/>
        </w:rPr>
        <w:t xml:space="preserve"> </w:t>
      </w:r>
      <w:r>
        <w:rPr>
          <w:sz w:val="20"/>
        </w:rPr>
        <w:t xml:space="preserve">de obras à escuta e realização de estudos são imprescindíveis na garantia dos direitos territoriais de povos e comunidades tradicionais para evitar ações arbitrárias e precisam ser assegurados. Ao flexibilizar </w:t>
      </w:r>
      <w:r>
        <w:rPr>
          <w:sz w:val="20"/>
        </w:rPr>
        <w:t>sua utilização, permitindo que sejam realizadasem um momento posterior, se corre o risco de conceder ao órgão executor a possibilidadede decidir sobre o que é e o que não é sagrado, por exemplo, a partir de referências culturais dos executores</w:t>
      </w:r>
      <w:r>
        <w:rPr>
          <w:spacing w:val="-1"/>
          <w:sz w:val="20"/>
        </w:rPr>
        <w:t xml:space="preserve"> </w:t>
      </w:r>
      <w:r>
        <w:rPr>
          <w:sz w:val="20"/>
        </w:rPr>
        <w:t>das</w:t>
      </w:r>
      <w:r>
        <w:rPr>
          <w:spacing w:val="-5"/>
          <w:sz w:val="20"/>
        </w:rPr>
        <w:t xml:space="preserve"> </w:t>
      </w:r>
      <w:r>
        <w:rPr>
          <w:sz w:val="20"/>
        </w:rPr>
        <w:t>obras</w:t>
      </w:r>
      <w:r>
        <w:rPr>
          <w:spacing w:val="-5"/>
          <w:sz w:val="20"/>
        </w:rPr>
        <w:t xml:space="preserve"> </w:t>
      </w:r>
      <w:r>
        <w:rPr>
          <w:sz w:val="20"/>
        </w:rPr>
        <w:t>e</w:t>
      </w:r>
      <w:r>
        <w:rPr>
          <w:spacing w:val="-3"/>
          <w:sz w:val="20"/>
        </w:rPr>
        <w:t xml:space="preserve"> </w:t>
      </w:r>
      <w:r>
        <w:rPr>
          <w:sz w:val="20"/>
        </w:rPr>
        <w:t>não</w:t>
      </w:r>
      <w:r>
        <w:rPr>
          <w:spacing w:val="-7"/>
          <w:sz w:val="20"/>
        </w:rPr>
        <w:t xml:space="preserve"> </w:t>
      </w:r>
      <w:r>
        <w:rPr>
          <w:sz w:val="20"/>
        </w:rPr>
        <w:t>dos</w:t>
      </w:r>
      <w:r>
        <w:rPr>
          <w:spacing w:val="-5"/>
          <w:sz w:val="20"/>
        </w:rPr>
        <w:t xml:space="preserve"> </w:t>
      </w:r>
      <w:r>
        <w:rPr>
          <w:sz w:val="20"/>
        </w:rPr>
        <w:t>quilombolas, ou</w:t>
      </w:r>
      <w:r>
        <w:rPr>
          <w:spacing w:val="-7"/>
          <w:sz w:val="20"/>
        </w:rPr>
        <w:t xml:space="preserve"> </w:t>
      </w:r>
      <w:r>
        <w:rPr>
          <w:sz w:val="20"/>
        </w:rPr>
        <w:t>seja,</w:t>
      </w:r>
      <w:r>
        <w:rPr>
          <w:spacing w:val="-8"/>
          <w:sz w:val="20"/>
        </w:rPr>
        <w:t xml:space="preserve"> </w:t>
      </w:r>
      <w:r>
        <w:rPr>
          <w:sz w:val="20"/>
        </w:rPr>
        <w:t>de</w:t>
      </w:r>
      <w:r>
        <w:rPr>
          <w:spacing w:val="-7"/>
          <w:sz w:val="20"/>
        </w:rPr>
        <w:t xml:space="preserve"> </w:t>
      </w:r>
      <w:r>
        <w:rPr>
          <w:sz w:val="20"/>
        </w:rPr>
        <w:t>forma</w:t>
      </w:r>
      <w:r>
        <w:rPr>
          <w:spacing w:val="-7"/>
          <w:sz w:val="20"/>
        </w:rPr>
        <w:t xml:space="preserve"> </w:t>
      </w:r>
      <w:r>
        <w:rPr>
          <w:sz w:val="20"/>
        </w:rPr>
        <w:t>etnocêntrica. Portanto, uma árvore, um ponto, um fundamento do Tambor de Mina, que não seja edificado como uma Igreja, pode ser desconsiderado enquanto sagrado, visto como um lugar “vazio” de territorialidade negra (B</w:t>
      </w:r>
      <w:r>
        <w:rPr>
          <w:sz w:val="20"/>
        </w:rPr>
        <w:t>rustolin et</w:t>
      </w:r>
      <w:r>
        <w:rPr>
          <w:spacing w:val="40"/>
          <w:sz w:val="20"/>
        </w:rPr>
        <w:t xml:space="preserve"> </w:t>
      </w:r>
      <w:r>
        <w:rPr>
          <w:sz w:val="20"/>
        </w:rPr>
        <w:t>al, 2023, p. 36).</w:t>
      </w:r>
    </w:p>
    <w:p w:rsidR="00972CE3" w:rsidRDefault="001F20D2">
      <w:pPr>
        <w:pStyle w:val="Corpodetexto"/>
        <w:spacing w:before="227" w:line="360" w:lineRule="auto"/>
        <w:ind w:left="140" w:right="133" w:firstLine="710"/>
        <w:jc w:val="both"/>
      </w:pPr>
      <w:r>
        <w:t>O posicionamento do Judiciário igualmente desconsidera que existe um histórico de violações sobre os direitos territoriais das comunidades atravessadas pela BR-135, já violentamente atingidas por linhões de energia, estradas d</w:t>
      </w:r>
      <w:r>
        <w:t xml:space="preserve">e ferro, rodovias, fazendas e projetos de habitação popular (Brustolin; Santos, 2022, p. 10- </w:t>
      </w:r>
      <w:r>
        <w:rPr>
          <w:spacing w:val="-4"/>
        </w:rPr>
        <w:t>11).</w:t>
      </w:r>
    </w:p>
    <w:p w:rsidR="00972CE3" w:rsidRDefault="001F20D2">
      <w:pPr>
        <w:pStyle w:val="Corpodetexto"/>
        <w:spacing w:line="360" w:lineRule="auto"/>
        <w:ind w:left="140" w:right="131" w:firstLine="710"/>
        <w:jc w:val="both"/>
      </w:pPr>
      <w:r>
        <w:t>Como conclusão, a manifestação técnica da UFMA e UEMA destaca não ser possível mensurar os critérios estabelecidos pelo juiz de proteção aos quilombos sem a r</w:t>
      </w:r>
      <w:r>
        <w:t>ealização de estudos que envolvam as comunidades atingidas. Tais estudos devem considerar as dimensões culturais, éticas e os saberes tradicionais que dão base à territorialidade dos quilombos. Deve, além disso, “evidenciar e mapear as dimensões sagradas [</w:t>
      </w:r>
      <w:r>
        <w:t>e] as formas produtivas e as relações com a natureza que permitiram</w:t>
      </w:r>
      <w:r>
        <w:rPr>
          <w:spacing w:val="-2"/>
        </w:rPr>
        <w:t xml:space="preserve"> </w:t>
      </w:r>
      <w:r>
        <w:t>esses grupos</w:t>
      </w:r>
      <w:r>
        <w:rPr>
          <w:spacing w:val="-4"/>
        </w:rPr>
        <w:t xml:space="preserve"> </w:t>
      </w:r>
      <w:r>
        <w:t>viverem</w:t>
      </w:r>
      <w:r>
        <w:rPr>
          <w:spacing w:val="-4"/>
        </w:rPr>
        <w:t xml:space="preserve"> </w:t>
      </w:r>
      <w:r>
        <w:t>em</w:t>
      </w:r>
      <w:r>
        <w:rPr>
          <w:spacing w:val="-4"/>
        </w:rPr>
        <w:t xml:space="preserve"> </w:t>
      </w:r>
      <w:r>
        <w:t>relativa</w:t>
      </w:r>
      <w:r>
        <w:rPr>
          <w:spacing w:val="-11"/>
        </w:rPr>
        <w:t xml:space="preserve"> </w:t>
      </w:r>
      <w:r>
        <w:t>autonomia” (Brustolin et</w:t>
      </w:r>
      <w:r>
        <w:rPr>
          <w:spacing w:val="-1"/>
        </w:rPr>
        <w:t xml:space="preserve"> </w:t>
      </w:r>
      <w:r>
        <w:t>al, 2023,</w:t>
      </w:r>
      <w:r>
        <w:rPr>
          <w:spacing w:val="-1"/>
        </w:rPr>
        <w:t xml:space="preserve"> </w:t>
      </w:r>
      <w:r>
        <w:t xml:space="preserve">p. 35- </w:t>
      </w:r>
      <w:r>
        <w:rPr>
          <w:spacing w:val="-4"/>
        </w:rPr>
        <w:t>36).</w:t>
      </w:r>
    </w:p>
    <w:p w:rsidR="00972CE3" w:rsidRDefault="00972CE3">
      <w:pPr>
        <w:pStyle w:val="Corpodetexto"/>
        <w:spacing w:before="133"/>
      </w:pPr>
    </w:p>
    <w:p w:rsidR="00972CE3" w:rsidRDefault="001F20D2">
      <w:pPr>
        <w:pStyle w:val="Heading1"/>
        <w:numPr>
          <w:ilvl w:val="0"/>
          <w:numId w:val="1"/>
        </w:numPr>
        <w:tabs>
          <w:tab w:val="left" w:pos="406"/>
        </w:tabs>
        <w:ind w:left="406" w:hanging="266"/>
      </w:pPr>
      <w:r>
        <w:rPr>
          <w:spacing w:val="-2"/>
        </w:rPr>
        <w:t>CONCLUSÃO</w:t>
      </w:r>
    </w:p>
    <w:p w:rsidR="00972CE3" w:rsidRDefault="001F20D2">
      <w:pPr>
        <w:pStyle w:val="Corpodetexto"/>
        <w:spacing w:before="146" w:line="360" w:lineRule="auto"/>
        <w:ind w:left="140" w:firstLine="850"/>
      </w:pPr>
      <w:r>
        <w:t>O caso da duplicação da BR-135 no Maranhão revela os</w:t>
      </w:r>
      <w:r>
        <w:rPr>
          <w:spacing w:val="-3"/>
        </w:rPr>
        <w:t xml:space="preserve"> </w:t>
      </w:r>
      <w:r>
        <w:t>limites da proteção jurídica</w:t>
      </w:r>
      <w:r>
        <w:rPr>
          <w:spacing w:val="27"/>
        </w:rPr>
        <w:t xml:space="preserve"> </w:t>
      </w:r>
      <w:r>
        <w:t>a</w:t>
      </w:r>
      <w:r>
        <w:rPr>
          <w:spacing w:val="27"/>
        </w:rPr>
        <w:t xml:space="preserve"> </w:t>
      </w:r>
      <w:r>
        <w:t>Povos</w:t>
      </w:r>
      <w:r>
        <w:rPr>
          <w:spacing w:val="27"/>
        </w:rPr>
        <w:t xml:space="preserve"> </w:t>
      </w:r>
      <w:r>
        <w:t>e</w:t>
      </w:r>
      <w:r>
        <w:rPr>
          <w:spacing w:val="27"/>
        </w:rPr>
        <w:t xml:space="preserve"> </w:t>
      </w:r>
      <w:r>
        <w:t>comun</w:t>
      </w:r>
      <w:r>
        <w:t>idades</w:t>
      </w:r>
      <w:r>
        <w:rPr>
          <w:spacing w:val="27"/>
        </w:rPr>
        <w:t xml:space="preserve"> </w:t>
      </w:r>
      <w:r>
        <w:t>tradicionais,</w:t>
      </w:r>
      <w:r>
        <w:rPr>
          <w:spacing w:val="22"/>
        </w:rPr>
        <w:t xml:space="preserve"> </w:t>
      </w:r>
      <w:r>
        <w:t>dominada</w:t>
      </w:r>
      <w:r>
        <w:rPr>
          <w:spacing w:val="27"/>
        </w:rPr>
        <w:t xml:space="preserve"> </w:t>
      </w:r>
      <w:r>
        <w:t>por</w:t>
      </w:r>
      <w:r>
        <w:rPr>
          <w:spacing w:val="28"/>
        </w:rPr>
        <w:t xml:space="preserve"> </w:t>
      </w:r>
      <w:r>
        <w:t>um</w:t>
      </w:r>
      <w:r>
        <w:rPr>
          <w:spacing w:val="19"/>
        </w:rPr>
        <w:t xml:space="preserve"> </w:t>
      </w:r>
      <w:r>
        <w:t>direito</w:t>
      </w:r>
      <w:r>
        <w:rPr>
          <w:spacing w:val="24"/>
        </w:rPr>
        <w:t xml:space="preserve"> </w:t>
      </w:r>
      <w:r>
        <w:rPr>
          <w:spacing w:val="-2"/>
        </w:rPr>
        <w:t>hegemônico</w:t>
      </w:r>
    </w:p>
    <w:p w:rsidR="00972CE3" w:rsidRDefault="00972CE3">
      <w:pPr>
        <w:pStyle w:val="Corpodetexto"/>
        <w:spacing w:line="360" w:lineRule="auto"/>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53472" behindDoc="1" locked="0" layoutInCell="1" allowOverlap="1">
            <wp:simplePos x="0" y="0"/>
            <wp:positionH relativeFrom="page">
              <wp:posOffset>0</wp:posOffset>
            </wp:positionH>
            <wp:positionV relativeFrom="page">
              <wp:posOffset>6984</wp:posOffset>
            </wp:positionV>
            <wp:extent cx="7562088" cy="10483268"/>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362" w:lineRule="auto"/>
        <w:ind w:left="140" w:right="148"/>
        <w:jc w:val="both"/>
      </w:pPr>
      <w:r>
        <w:t xml:space="preserve">que ignora suas formas de organização e visão de mundo. Mesmo quando pretende proteger, o Judiciário impõe o paradigma da propriedade privada e uma lógica </w:t>
      </w:r>
      <w:r>
        <w:rPr>
          <w:spacing w:val="-2"/>
        </w:rPr>
        <w:t>etnocêntrica.</w:t>
      </w:r>
    </w:p>
    <w:p w:rsidR="00972CE3" w:rsidRDefault="001F20D2">
      <w:pPr>
        <w:pStyle w:val="Corpodetexto"/>
        <w:spacing w:line="360" w:lineRule="auto"/>
        <w:ind w:left="140" w:right="138" w:firstLine="850"/>
        <w:jc w:val="both"/>
      </w:pPr>
      <w:r>
        <w:t>Isso se evidencia nas duas ações judiciais sobre a BR-135, na 8ª Vara Federal em São Luís: uma do MPF em 2019 (Brasil, 2019b) e outra da DPU em</w:t>
      </w:r>
      <w:r>
        <w:rPr>
          <w:spacing w:val="40"/>
        </w:rPr>
        <w:t xml:space="preserve"> </w:t>
      </w:r>
      <w:r>
        <w:t>2020 (Brasil, 2020). A DPU pediu a paralisação das obras, mas o juiz recusou analisar,</w:t>
      </w:r>
      <w:r>
        <w:rPr>
          <w:spacing w:val="-2"/>
        </w:rPr>
        <w:t xml:space="preserve"> </w:t>
      </w:r>
      <w:r>
        <w:t>alegando</w:t>
      </w:r>
      <w:r>
        <w:rPr>
          <w:spacing w:val="-2"/>
        </w:rPr>
        <w:t xml:space="preserve"> </w:t>
      </w:r>
      <w:r>
        <w:t>tratar-se</w:t>
      </w:r>
      <w:r>
        <w:rPr>
          <w:spacing w:val="-2"/>
        </w:rPr>
        <w:t xml:space="preserve"> </w:t>
      </w:r>
      <w:r>
        <w:t>de</w:t>
      </w:r>
      <w:r>
        <w:rPr>
          <w:spacing w:val="-2"/>
        </w:rPr>
        <w:t xml:space="preserve"> </w:t>
      </w:r>
      <w:r>
        <w:t>“de</w:t>
      </w:r>
      <w:r>
        <w:t>sdobramento</w:t>
      </w:r>
      <w:r>
        <w:rPr>
          <w:spacing w:val="-1"/>
        </w:rPr>
        <w:t xml:space="preserve"> </w:t>
      </w:r>
      <w:r>
        <w:t>lógico”</w:t>
      </w:r>
      <w:r>
        <w:rPr>
          <w:spacing w:val="-1"/>
        </w:rPr>
        <w:t xml:space="preserve"> </w:t>
      </w:r>
      <w:r>
        <w:t>da</w:t>
      </w:r>
      <w:r>
        <w:rPr>
          <w:spacing w:val="-2"/>
        </w:rPr>
        <w:t xml:space="preserve"> </w:t>
      </w:r>
      <w:r>
        <w:t>ação</w:t>
      </w:r>
      <w:r>
        <w:rPr>
          <w:spacing w:val="-2"/>
        </w:rPr>
        <w:t xml:space="preserve"> </w:t>
      </w:r>
      <w:r>
        <w:t>anterior,</w:t>
      </w:r>
      <w:r>
        <w:rPr>
          <w:spacing w:val="-2"/>
        </w:rPr>
        <w:t xml:space="preserve"> </w:t>
      </w:r>
      <w:r>
        <w:t>o</w:t>
      </w:r>
      <w:r>
        <w:rPr>
          <w:spacing w:val="-2"/>
        </w:rPr>
        <w:t xml:space="preserve"> </w:t>
      </w:r>
      <w:r>
        <w:t>que</w:t>
      </w:r>
      <w:r>
        <w:rPr>
          <w:spacing w:val="-2"/>
        </w:rPr>
        <w:t xml:space="preserve"> </w:t>
      </w:r>
      <w:r>
        <w:t>gerou contradição (Brasil, 2019b).</w:t>
      </w:r>
    </w:p>
    <w:p w:rsidR="00972CE3" w:rsidRDefault="001F20D2">
      <w:pPr>
        <w:pStyle w:val="Corpodetexto"/>
        <w:spacing w:line="360" w:lineRule="auto"/>
        <w:ind w:left="140" w:right="144" w:firstLine="850"/>
        <w:jc w:val="both"/>
      </w:pPr>
      <w:r>
        <w:t xml:space="preserve">Na prática, o Judiciário bloqueou o direito de petição das comunidades. As decisões permitem o avanço das obras sem consulta prévia efetiva, deixando os quilombos vulneráveis e </w:t>
      </w:r>
      <w:r>
        <w:t>ignorando seus territórios e modos de vida. É urgente reafirmar a proteção aos direitos quilombolas.</w:t>
      </w:r>
    </w:p>
    <w:p w:rsidR="00972CE3" w:rsidRDefault="00972CE3">
      <w:pPr>
        <w:pStyle w:val="Corpodetexto"/>
        <w:spacing w:before="193"/>
      </w:pPr>
    </w:p>
    <w:p w:rsidR="00972CE3" w:rsidRDefault="001F20D2">
      <w:pPr>
        <w:pStyle w:val="Heading1"/>
        <w:ind w:left="14" w:right="17"/>
        <w:jc w:val="center"/>
      </w:pPr>
      <w:r>
        <w:rPr>
          <w:spacing w:val="-2"/>
        </w:rPr>
        <w:t>REFERÊNCIAS</w:t>
      </w:r>
    </w:p>
    <w:p w:rsidR="00972CE3" w:rsidRDefault="001F20D2">
      <w:pPr>
        <w:spacing w:before="243" w:line="242" w:lineRule="auto"/>
        <w:ind w:left="140" w:right="135"/>
        <w:jc w:val="both"/>
        <w:rPr>
          <w:sz w:val="24"/>
        </w:rPr>
      </w:pPr>
      <w:r>
        <w:rPr>
          <w:sz w:val="24"/>
        </w:rPr>
        <w:t xml:space="preserve">ALMEIDA, Alfredo Wagner Berno de. </w:t>
      </w:r>
      <w:r>
        <w:rPr>
          <w:rFonts w:ascii="Arial" w:hAnsi="Arial"/>
          <w:b/>
          <w:sz w:val="24"/>
        </w:rPr>
        <w:t>Terras de quilombos, terras indígenas, “babaçuais</w:t>
      </w:r>
      <w:r>
        <w:rPr>
          <w:rFonts w:ascii="Arial" w:hAnsi="Arial"/>
          <w:b/>
          <w:spacing w:val="-17"/>
          <w:sz w:val="24"/>
        </w:rPr>
        <w:t xml:space="preserve"> </w:t>
      </w:r>
      <w:r>
        <w:rPr>
          <w:rFonts w:ascii="Arial" w:hAnsi="Arial"/>
          <w:b/>
          <w:sz w:val="24"/>
        </w:rPr>
        <w:t>livres”, “castanhais do povo”, faxinais e fundos de pastos</w:t>
      </w:r>
      <w:r>
        <w:rPr>
          <w:sz w:val="24"/>
        </w:rPr>
        <w:t>: terras tradicionalmente ocupadas. Manaus: PGSC; UFAM, 2008.</w:t>
      </w:r>
    </w:p>
    <w:p w:rsidR="00972CE3" w:rsidRDefault="001F20D2">
      <w:pPr>
        <w:pStyle w:val="Corpodetexto"/>
        <w:spacing w:before="234"/>
        <w:ind w:left="140" w:right="136"/>
        <w:jc w:val="both"/>
      </w:pPr>
      <w:r>
        <w:t>ALVES-BRITO,</w:t>
      </w:r>
      <w:r>
        <w:rPr>
          <w:spacing w:val="-2"/>
        </w:rPr>
        <w:t xml:space="preserve"> </w:t>
      </w:r>
      <w:r>
        <w:t>Alan;</w:t>
      </w:r>
      <w:r>
        <w:rPr>
          <w:spacing w:val="-2"/>
        </w:rPr>
        <w:t xml:space="preserve"> </w:t>
      </w:r>
      <w:r>
        <w:t>DAVID,</w:t>
      </w:r>
      <w:r>
        <w:rPr>
          <w:spacing w:val="-2"/>
        </w:rPr>
        <w:t xml:space="preserve"> </w:t>
      </w:r>
      <w:r>
        <w:t>Cláudia.</w:t>
      </w:r>
      <w:r>
        <w:rPr>
          <w:spacing w:val="-2"/>
        </w:rPr>
        <w:t xml:space="preserve"> </w:t>
      </w:r>
      <w:r>
        <w:t>Sobre</w:t>
      </w:r>
      <w:r>
        <w:rPr>
          <w:spacing w:val="-6"/>
        </w:rPr>
        <w:t xml:space="preserve"> </w:t>
      </w:r>
      <w:r>
        <w:t>o</w:t>
      </w:r>
      <w:r>
        <w:rPr>
          <w:spacing w:val="-2"/>
        </w:rPr>
        <w:t xml:space="preserve"> </w:t>
      </w:r>
      <w:r>
        <w:t>direito</w:t>
      </w:r>
      <w:r>
        <w:rPr>
          <w:spacing w:val="-1"/>
        </w:rPr>
        <w:t xml:space="preserve"> </w:t>
      </w:r>
      <w:r>
        <w:t>de</w:t>
      </w:r>
      <w:r>
        <w:rPr>
          <w:spacing w:val="-2"/>
        </w:rPr>
        <w:t xml:space="preserve"> </w:t>
      </w:r>
      <w:r>
        <w:t>(re)existir</w:t>
      </w:r>
      <w:r>
        <w:rPr>
          <w:spacing w:val="-1"/>
        </w:rPr>
        <w:t xml:space="preserve"> </w:t>
      </w:r>
      <w:r>
        <w:t>e</w:t>
      </w:r>
      <w:r>
        <w:rPr>
          <w:spacing w:val="-1"/>
        </w:rPr>
        <w:t xml:space="preserve"> </w:t>
      </w:r>
      <w:r>
        <w:t>ser</w:t>
      </w:r>
      <w:r>
        <w:rPr>
          <w:spacing w:val="-1"/>
        </w:rPr>
        <w:t xml:space="preserve"> </w:t>
      </w:r>
      <w:r>
        <w:t>kilombola:</w:t>
      </w:r>
      <w:r>
        <w:rPr>
          <w:spacing w:val="-2"/>
        </w:rPr>
        <w:t xml:space="preserve"> </w:t>
      </w:r>
      <w:r>
        <w:t>o caso do</w:t>
      </w:r>
      <w:r>
        <w:rPr>
          <w:spacing w:val="-2"/>
        </w:rPr>
        <w:t xml:space="preserve"> </w:t>
      </w:r>
      <w:r>
        <w:t>licenciamento da BR 386 no</w:t>
      </w:r>
      <w:r>
        <w:rPr>
          <w:spacing w:val="-2"/>
        </w:rPr>
        <w:t xml:space="preserve"> </w:t>
      </w:r>
      <w:r>
        <w:t>Rio Grande do</w:t>
      </w:r>
      <w:r>
        <w:rPr>
          <w:spacing w:val="-2"/>
        </w:rPr>
        <w:t xml:space="preserve"> </w:t>
      </w:r>
      <w:r>
        <w:t xml:space="preserve">Sul. </w:t>
      </w:r>
      <w:r>
        <w:rPr>
          <w:rFonts w:ascii="Arial" w:hAnsi="Arial"/>
          <w:b/>
        </w:rPr>
        <w:t>Revista</w:t>
      </w:r>
      <w:r>
        <w:rPr>
          <w:rFonts w:ascii="Arial" w:hAnsi="Arial"/>
          <w:b/>
          <w:spacing w:val="-2"/>
        </w:rPr>
        <w:t xml:space="preserve"> </w:t>
      </w:r>
      <w:r>
        <w:rPr>
          <w:rFonts w:ascii="Arial" w:hAnsi="Arial"/>
          <w:b/>
        </w:rPr>
        <w:t>da</w:t>
      </w:r>
      <w:r>
        <w:rPr>
          <w:rFonts w:ascii="Arial" w:hAnsi="Arial"/>
          <w:b/>
          <w:spacing w:val="-2"/>
        </w:rPr>
        <w:t xml:space="preserve"> </w:t>
      </w:r>
      <w:r>
        <w:rPr>
          <w:rFonts w:ascii="Arial" w:hAnsi="Arial"/>
          <w:b/>
        </w:rPr>
        <w:t>ABPN</w:t>
      </w:r>
      <w:r>
        <w:t>. v. 15, n. 43, p. 266-287, Jan.-Fev. 2024.</w:t>
      </w:r>
    </w:p>
    <w:p w:rsidR="00972CE3" w:rsidRDefault="001F20D2">
      <w:pPr>
        <w:pStyle w:val="Corpodetexto"/>
        <w:spacing w:before="238" w:line="242" w:lineRule="auto"/>
        <w:ind w:left="140" w:right="137"/>
        <w:jc w:val="both"/>
      </w:pPr>
      <w:r>
        <w:t xml:space="preserve">BRASIL. </w:t>
      </w:r>
      <w:r>
        <w:rPr>
          <w:rFonts w:ascii="Arial" w:hAnsi="Arial"/>
          <w:b/>
        </w:rPr>
        <w:t xml:space="preserve">Decreto n. 6.040 </w:t>
      </w:r>
      <w:r>
        <w:t>de 7 de fevereiro de 2007. Institui a Política Nacional de Desenvolvimento Sustentável dos Povos e Comunidades Tradicionais. Brasília,</w:t>
      </w:r>
      <w:r>
        <w:rPr>
          <w:spacing w:val="40"/>
        </w:rPr>
        <w:t xml:space="preserve"> </w:t>
      </w:r>
      <w:r>
        <w:rPr>
          <w:spacing w:val="-2"/>
        </w:rPr>
        <w:t>2007.</w:t>
      </w:r>
    </w:p>
    <w:p w:rsidR="00972CE3" w:rsidRDefault="001F20D2">
      <w:pPr>
        <w:pStyle w:val="Corpodetexto"/>
        <w:tabs>
          <w:tab w:val="left" w:pos="945"/>
        </w:tabs>
        <w:spacing w:before="230" w:line="242" w:lineRule="auto"/>
        <w:ind w:left="140" w:right="141"/>
        <w:jc w:val="both"/>
      </w:pPr>
      <w:r>
        <w:rPr>
          <w:u w:val="single"/>
        </w:rPr>
        <w:tab/>
      </w:r>
      <w:r>
        <w:t xml:space="preserve">. </w:t>
      </w:r>
      <w:r>
        <w:rPr>
          <w:rFonts w:ascii="Arial" w:hAnsi="Arial"/>
          <w:b/>
        </w:rPr>
        <w:t>Supremo Tribunal Federal</w:t>
      </w:r>
      <w:r>
        <w:t>. Tribunal Pleno. A</w:t>
      </w:r>
      <w:r>
        <w:t>ção Direta de Inconstitucionalidade (ADI) n. 4.269. Relator: Ministro Edson Fachin. Publicado em</w:t>
      </w:r>
      <w:r>
        <w:rPr>
          <w:spacing w:val="40"/>
        </w:rPr>
        <w:t xml:space="preserve"> </w:t>
      </w:r>
      <w:r>
        <w:t>1º fev. 2019a.</w:t>
      </w:r>
    </w:p>
    <w:p w:rsidR="00972CE3" w:rsidRDefault="001F20D2">
      <w:pPr>
        <w:pStyle w:val="Corpodetexto"/>
        <w:tabs>
          <w:tab w:val="left" w:pos="945"/>
        </w:tabs>
        <w:spacing w:before="234"/>
        <w:ind w:left="140" w:right="136"/>
        <w:jc w:val="both"/>
      </w:pPr>
      <w:r>
        <w:rPr>
          <w:u w:val="single"/>
        </w:rPr>
        <w:tab/>
      </w:r>
      <w:r>
        <w:t xml:space="preserve">. </w:t>
      </w:r>
      <w:r>
        <w:rPr>
          <w:rFonts w:ascii="Arial" w:hAnsi="Arial"/>
          <w:b/>
        </w:rPr>
        <w:t xml:space="preserve">Tribunal Regional Federal da 1ª Região </w:t>
      </w:r>
      <w:r>
        <w:t>(8ª Vara Federal da Seção Judiciária do Maranhão). Ação Civil Pública. Processo n. 1024159- 16.2019.4.</w:t>
      </w:r>
      <w:r>
        <w:t>01.3700. Duplicação da BR-135 e impacto em comunidades quilombolas. Autor:</w:t>
      </w:r>
      <w:r>
        <w:rPr>
          <w:spacing w:val="34"/>
        </w:rPr>
        <w:t xml:space="preserve"> </w:t>
      </w:r>
      <w:r>
        <w:t>Ministério</w:t>
      </w:r>
      <w:r>
        <w:rPr>
          <w:spacing w:val="34"/>
        </w:rPr>
        <w:t xml:space="preserve"> </w:t>
      </w:r>
      <w:r>
        <w:t>Público</w:t>
      </w:r>
      <w:r>
        <w:rPr>
          <w:spacing w:val="34"/>
        </w:rPr>
        <w:t xml:space="preserve"> </w:t>
      </w:r>
      <w:r>
        <w:t>Federal.</w:t>
      </w:r>
      <w:r>
        <w:rPr>
          <w:spacing w:val="29"/>
        </w:rPr>
        <w:t xml:space="preserve"> </w:t>
      </w:r>
      <w:r>
        <w:t>Réus:</w:t>
      </w:r>
      <w:r>
        <w:rPr>
          <w:spacing w:val="34"/>
        </w:rPr>
        <w:t xml:space="preserve"> </w:t>
      </w:r>
      <w:r>
        <w:t>Departamento</w:t>
      </w:r>
      <w:r>
        <w:rPr>
          <w:spacing w:val="35"/>
        </w:rPr>
        <w:t xml:space="preserve"> </w:t>
      </w:r>
      <w:r>
        <w:t>Nacional</w:t>
      </w:r>
      <w:r>
        <w:rPr>
          <w:spacing w:val="38"/>
        </w:rPr>
        <w:t xml:space="preserve"> </w:t>
      </w:r>
      <w:r>
        <w:t>de</w:t>
      </w:r>
      <w:r>
        <w:rPr>
          <w:spacing w:val="34"/>
        </w:rPr>
        <w:t xml:space="preserve"> </w:t>
      </w:r>
      <w:r>
        <w:t>Infraestruturas</w:t>
      </w:r>
    </w:p>
    <w:p w:rsidR="00972CE3" w:rsidRDefault="00972CE3">
      <w:pPr>
        <w:pStyle w:val="Corpodetex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53984" behindDoc="1" locked="0" layoutInCell="1" allowOverlap="1">
            <wp:simplePos x="0" y="0"/>
            <wp:positionH relativeFrom="page">
              <wp:posOffset>0</wp:posOffset>
            </wp:positionH>
            <wp:positionV relativeFrom="page">
              <wp:posOffset>6984</wp:posOffset>
            </wp:positionV>
            <wp:extent cx="7562088" cy="1048326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spacing w:line="242" w:lineRule="auto"/>
        <w:ind w:left="140" w:right="150"/>
        <w:jc w:val="both"/>
      </w:pPr>
      <w:r>
        <w:t>de Transportes, Fundação Cultural Palmares e Secretaria de Estado do Meio Ambiente do Maranhão, São Luís, 2019b.</w:t>
      </w:r>
    </w:p>
    <w:p w:rsidR="00972CE3" w:rsidRDefault="001F20D2">
      <w:pPr>
        <w:pStyle w:val="Corpodetexto"/>
        <w:tabs>
          <w:tab w:val="left" w:pos="945"/>
        </w:tabs>
        <w:spacing w:before="230" w:line="242" w:lineRule="auto"/>
        <w:ind w:left="140" w:right="138"/>
        <w:jc w:val="both"/>
      </w:pPr>
      <w:r>
        <w:rPr>
          <w:u w:val="single"/>
        </w:rPr>
        <w:tab/>
      </w:r>
      <w:r>
        <w:t xml:space="preserve">. </w:t>
      </w:r>
      <w:r>
        <w:rPr>
          <w:rFonts w:ascii="Arial" w:hAnsi="Arial"/>
          <w:b/>
        </w:rPr>
        <w:t xml:space="preserve">Tribunal Regional Federal da 1ª Região </w:t>
      </w:r>
      <w:r>
        <w:t>(8ª Vara Federal da Seção Judiciária do Maranhão). Ação Civil Pública. Processo n. 1049674.19.2020.4.</w:t>
      </w:r>
      <w:r>
        <w:t>01.3700. Duplicação da BR-135 e impacto em comunidades quilombolas. Autor: Defensoria Pública da União. Réus: Réus: Departamento Nacional de Infraestruturas de Transportes, Fundação Cultural Palmares e</w:t>
      </w:r>
      <w:r>
        <w:rPr>
          <w:spacing w:val="40"/>
        </w:rPr>
        <w:t xml:space="preserve"> </w:t>
      </w:r>
      <w:r>
        <w:t>Secretaria de Estado do Meio Ambiente do Maranhão, São</w:t>
      </w:r>
      <w:r>
        <w:t xml:space="preserve"> Luís, 2020.</w:t>
      </w:r>
    </w:p>
    <w:p w:rsidR="00972CE3" w:rsidRDefault="001F20D2">
      <w:pPr>
        <w:pStyle w:val="Corpodetexto"/>
        <w:spacing w:before="229"/>
        <w:ind w:left="140" w:right="136"/>
        <w:jc w:val="both"/>
      </w:pPr>
      <w:r>
        <w:t>BRUSTOLIN, Cíndia; SANTOS, Dayanne. O comum e o público no avanço de fronteiras</w:t>
      </w:r>
      <w:r>
        <w:rPr>
          <w:spacing w:val="40"/>
        </w:rPr>
        <w:t xml:space="preserve"> </w:t>
      </w:r>
      <w:r>
        <w:t>territoriais: controvérsias entre territorialidade quilombola e estruturas logísticas no</w:t>
      </w:r>
      <w:r>
        <w:rPr>
          <w:spacing w:val="33"/>
        </w:rPr>
        <w:t xml:space="preserve"> </w:t>
      </w:r>
      <w:r>
        <w:t xml:space="preserve">Maranhão. </w:t>
      </w:r>
      <w:r>
        <w:rPr>
          <w:rFonts w:ascii="Arial" w:hAnsi="Arial"/>
          <w:b/>
        </w:rPr>
        <w:t>Revista Agricultura e Sociedade</w:t>
      </w:r>
      <w:r>
        <w:t>. Rio de Janeiro, v. 30, n. 1, p.</w:t>
      </w:r>
      <w:r>
        <w:t xml:space="preserve"> 1-32, Jan./Jun. 2022.</w:t>
      </w:r>
    </w:p>
    <w:p w:rsidR="00972CE3" w:rsidRDefault="001F20D2">
      <w:pPr>
        <w:spacing w:before="236" w:line="242" w:lineRule="auto"/>
        <w:ind w:left="140" w:right="149"/>
        <w:jc w:val="both"/>
        <w:rPr>
          <w:sz w:val="24"/>
        </w:rPr>
      </w:pPr>
      <w:r>
        <w:rPr>
          <w:sz w:val="24"/>
        </w:rPr>
        <w:t xml:space="preserve">BRUSTOLIN, Cíndia et al. </w:t>
      </w:r>
      <w:r>
        <w:rPr>
          <w:rFonts w:ascii="Arial" w:hAnsi="Arial"/>
          <w:b/>
          <w:sz w:val="24"/>
        </w:rPr>
        <w:t>Resposta aos quesitos realizados pela Defensoria Pública da União</w:t>
      </w:r>
      <w:r>
        <w:rPr>
          <w:sz w:val="24"/>
        </w:rPr>
        <w:t>. GEDMMA/UFMA; PPGCSPA/UEMA, [s. n.], São Luís, 2023.</w:t>
      </w:r>
    </w:p>
    <w:p w:rsidR="00972CE3" w:rsidRDefault="001F20D2">
      <w:pPr>
        <w:spacing w:before="234"/>
        <w:ind w:left="140"/>
        <w:jc w:val="both"/>
        <w:rPr>
          <w:sz w:val="24"/>
        </w:rPr>
      </w:pPr>
      <w:r>
        <w:rPr>
          <w:sz w:val="24"/>
        </w:rPr>
        <w:t>CARNEIRO,</w:t>
      </w:r>
      <w:r>
        <w:rPr>
          <w:spacing w:val="-5"/>
          <w:sz w:val="24"/>
        </w:rPr>
        <w:t xml:space="preserve"> </w:t>
      </w:r>
      <w:r>
        <w:rPr>
          <w:sz w:val="24"/>
        </w:rPr>
        <w:t>Sueli.</w:t>
      </w:r>
      <w:r>
        <w:rPr>
          <w:spacing w:val="-1"/>
          <w:sz w:val="24"/>
        </w:rPr>
        <w:t xml:space="preserve"> </w:t>
      </w:r>
      <w:r>
        <w:rPr>
          <w:rFonts w:ascii="Arial"/>
          <w:b/>
          <w:sz w:val="24"/>
        </w:rPr>
        <w:t>Escritos</w:t>
      </w:r>
      <w:r>
        <w:rPr>
          <w:rFonts w:ascii="Arial"/>
          <w:b/>
          <w:spacing w:val="-8"/>
          <w:sz w:val="24"/>
        </w:rPr>
        <w:t xml:space="preserve"> </w:t>
      </w:r>
      <w:r>
        <w:rPr>
          <w:rFonts w:ascii="Arial"/>
          <w:b/>
          <w:sz w:val="24"/>
        </w:rPr>
        <w:t>de</w:t>
      </w:r>
      <w:r>
        <w:rPr>
          <w:rFonts w:ascii="Arial"/>
          <w:b/>
          <w:spacing w:val="-4"/>
          <w:sz w:val="24"/>
        </w:rPr>
        <w:t xml:space="preserve"> </w:t>
      </w:r>
      <w:r>
        <w:rPr>
          <w:rFonts w:ascii="Arial"/>
          <w:b/>
          <w:sz w:val="24"/>
        </w:rPr>
        <w:t>uma</w:t>
      </w:r>
      <w:r>
        <w:rPr>
          <w:rFonts w:ascii="Arial"/>
          <w:b/>
          <w:spacing w:val="-4"/>
          <w:sz w:val="24"/>
        </w:rPr>
        <w:t xml:space="preserve"> </w:t>
      </w:r>
      <w:r>
        <w:rPr>
          <w:rFonts w:ascii="Arial"/>
          <w:b/>
          <w:sz w:val="24"/>
        </w:rPr>
        <w:t>vida</w:t>
      </w:r>
      <w:r>
        <w:rPr>
          <w:sz w:val="24"/>
        </w:rPr>
        <w:t>.</w:t>
      </w:r>
      <w:r>
        <w:rPr>
          <w:spacing w:val="-4"/>
          <w:sz w:val="24"/>
        </w:rPr>
        <w:t xml:space="preserve"> </w:t>
      </w:r>
      <w:r>
        <w:rPr>
          <w:sz w:val="24"/>
        </w:rPr>
        <w:t>Belo</w:t>
      </w:r>
      <w:r>
        <w:rPr>
          <w:spacing w:val="-5"/>
          <w:sz w:val="24"/>
        </w:rPr>
        <w:t xml:space="preserve"> </w:t>
      </w:r>
      <w:r>
        <w:rPr>
          <w:sz w:val="24"/>
        </w:rPr>
        <w:t>Horizonte:</w:t>
      </w:r>
      <w:r>
        <w:rPr>
          <w:spacing w:val="-8"/>
          <w:sz w:val="24"/>
        </w:rPr>
        <w:t xml:space="preserve"> </w:t>
      </w:r>
      <w:r>
        <w:rPr>
          <w:sz w:val="24"/>
        </w:rPr>
        <w:t>Letramento,</w:t>
      </w:r>
      <w:r>
        <w:rPr>
          <w:spacing w:val="-4"/>
          <w:sz w:val="24"/>
        </w:rPr>
        <w:t xml:space="preserve"> </w:t>
      </w:r>
      <w:r>
        <w:rPr>
          <w:spacing w:val="-2"/>
          <w:sz w:val="24"/>
        </w:rPr>
        <w:t>2018.</w:t>
      </w:r>
    </w:p>
    <w:p w:rsidR="00972CE3" w:rsidRDefault="001F20D2">
      <w:pPr>
        <w:spacing w:before="245" w:line="237" w:lineRule="auto"/>
        <w:ind w:left="140" w:right="145"/>
        <w:jc w:val="both"/>
        <w:rPr>
          <w:sz w:val="24"/>
        </w:rPr>
      </w:pPr>
      <w:r>
        <w:rPr>
          <w:sz w:val="24"/>
        </w:rPr>
        <w:t xml:space="preserve">HENRIQUES, Antônio; MEDEIROS, João Bosco. </w:t>
      </w:r>
      <w:r>
        <w:rPr>
          <w:rFonts w:ascii="Arial" w:hAnsi="Arial"/>
          <w:b/>
          <w:sz w:val="24"/>
        </w:rPr>
        <w:t>Metodologia científica na pesquisa jurídica</w:t>
      </w:r>
      <w:r>
        <w:rPr>
          <w:sz w:val="24"/>
        </w:rPr>
        <w:t>. 9. ed. São Paulo: Atlas, 2017.</w:t>
      </w:r>
    </w:p>
    <w:p w:rsidR="00972CE3" w:rsidRDefault="001F20D2">
      <w:pPr>
        <w:spacing w:before="246" w:line="237" w:lineRule="auto"/>
        <w:ind w:left="140" w:right="138"/>
        <w:jc w:val="both"/>
        <w:rPr>
          <w:sz w:val="24"/>
        </w:rPr>
      </w:pPr>
      <w:r>
        <w:rPr>
          <w:sz w:val="24"/>
        </w:rPr>
        <w:t xml:space="preserve">LUCCHESI, Fernanda. </w:t>
      </w:r>
      <w:r>
        <w:rPr>
          <w:rFonts w:ascii="Arial" w:hAnsi="Arial"/>
          <w:b/>
          <w:sz w:val="24"/>
        </w:rPr>
        <w:t>Relatório antropológico de identificação do território quilombola de Santa Rosa/MA</w:t>
      </w:r>
      <w:r>
        <w:rPr>
          <w:sz w:val="24"/>
        </w:rPr>
        <w:t>. Brasília: INCRA, 2008.</w:t>
      </w:r>
    </w:p>
    <w:p w:rsidR="00972CE3" w:rsidRDefault="001F20D2">
      <w:pPr>
        <w:spacing w:before="243" w:line="242" w:lineRule="auto"/>
        <w:ind w:left="140" w:right="148"/>
        <w:jc w:val="both"/>
        <w:rPr>
          <w:sz w:val="24"/>
        </w:rPr>
      </w:pPr>
      <w:r>
        <w:rPr>
          <w:sz w:val="24"/>
        </w:rPr>
        <w:t>NUNES, Jean</w:t>
      </w:r>
      <w:r>
        <w:rPr>
          <w:sz w:val="24"/>
        </w:rPr>
        <w:t xml:space="preserve">. </w:t>
      </w:r>
      <w:r>
        <w:rPr>
          <w:rFonts w:ascii="Arial" w:hAnsi="Arial"/>
          <w:b/>
          <w:sz w:val="24"/>
        </w:rPr>
        <w:t>Caminhos para democratização do direito</w:t>
      </w:r>
      <w:r>
        <w:rPr>
          <w:sz w:val="24"/>
        </w:rPr>
        <w:t xml:space="preserve">. Salvador: Juspodivm, </w:t>
      </w:r>
      <w:r>
        <w:rPr>
          <w:spacing w:val="-2"/>
          <w:sz w:val="24"/>
        </w:rPr>
        <w:t>2020.</w:t>
      </w:r>
    </w:p>
    <w:p w:rsidR="00972CE3" w:rsidRDefault="001F20D2">
      <w:pPr>
        <w:spacing w:before="236"/>
        <w:ind w:left="140"/>
        <w:jc w:val="both"/>
        <w:rPr>
          <w:sz w:val="24"/>
        </w:rPr>
      </w:pPr>
      <w:r>
        <w:rPr>
          <w:sz w:val="24"/>
        </w:rPr>
        <w:t>MBEMBE,</w:t>
      </w:r>
      <w:r>
        <w:rPr>
          <w:spacing w:val="-4"/>
          <w:sz w:val="24"/>
        </w:rPr>
        <w:t xml:space="preserve"> </w:t>
      </w:r>
      <w:r>
        <w:rPr>
          <w:sz w:val="24"/>
        </w:rPr>
        <w:t>Achille.</w:t>
      </w:r>
      <w:r>
        <w:rPr>
          <w:spacing w:val="-6"/>
          <w:sz w:val="24"/>
        </w:rPr>
        <w:t xml:space="preserve"> </w:t>
      </w:r>
      <w:r>
        <w:rPr>
          <w:rFonts w:ascii="Arial" w:hAnsi="Arial"/>
          <w:b/>
          <w:sz w:val="24"/>
        </w:rPr>
        <w:t>Crítica</w:t>
      </w:r>
      <w:r>
        <w:rPr>
          <w:rFonts w:ascii="Arial" w:hAnsi="Arial"/>
          <w:b/>
          <w:spacing w:val="-4"/>
          <w:sz w:val="24"/>
        </w:rPr>
        <w:t xml:space="preserve"> </w:t>
      </w:r>
      <w:r>
        <w:rPr>
          <w:rFonts w:ascii="Arial" w:hAnsi="Arial"/>
          <w:b/>
          <w:sz w:val="24"/>
        </w:rPr>
        <w:t>da</w:t>
      </w:r>
      <w:r>
        <w:rPr>
          <w:rFonts w:ascii="Arial" w:hAnsi="Arial"/>
          <w:b/>
          <w:spacing w:val="-4"/>
          <w:sz w:val="24"/>
        </w:rPr>
        <w:t xml:space="preserve"> </w:t>
      </w:r>
      <w:r>
        <w:rPr>
          <w:rFonts w:ascii="Arial" w:hAnsi="Arial"/>
          <w:b/>
          <w:sz w:val="24"/>
        </w:rPr>
        <w:t>razão</w:t>
      </w:r>
      <w:r>
        <w:rPr>
          <w:rFonts w:ascii="Arial" w:hAnsi="Arial"/>
          <w:b/>
          <w:spacing w:val="-3"/>
          <w:sz w:val="24"/>
        </w:rPr>
        <w:t xml:space="preserve"> </w:t>
      </w:r>
      <w:r>
        <w:rPr>
          <w:rFonts w:ascii="Arial" w:hAnsi="Arial"/>
          <w:b/>
          <w:sz w:val="24"/>
        </w:rPr>
        <w:t>negra</w:t>
      </w:r>
      <w:r>
        <w:rPr>
          <w:sz w:val="24"/>
        </w:rPr>
        <w:t>.</w:t>
      </w:r>
      <w:r>
        <w:rPr>
          <w:spacing w:val="-4"/>
          <w:sz w:val="24"/>
        </w:rPr>
        <w:t xml:space="preserve"> </w:t>
      </w:r>
      <w:r>
        <w:rPr>
          <w:sz w:val="24"/>
        </w:rPr>
        <w:t>São</w:t>
      </w:r>
      <w:r>
        <w:rPr>
          <w:spacing w:val="-2"/>
          <w:sz w:val="24"/>
        </w:rPr>
        <w:t xml:space="preserve"> </w:t>
      </w:r>
      <w:r>
        <w:rPr>
          <w:sz w:val="24"/>
        </w:rPr>
        <w:t>Paulo:</w:t>
      </w:r>
      <w:r>
        <w:rPr>
          <w:spacing w:val="-3"/>
          <w:sz w:val="24"/>
        </w:rPr>
        <w:t xml:space="preserve"> </w:t>
      </w:r>
      <w:r>
        <w:rPr>
          <w:sz w:val="24"/>
        </w:rPr>
        <w:t>N1</w:t>
      </w:r>
      <w:r>
        <w:rPr>
          <w:spacing w:val="-4"/>
          <w:sz w:val="24"/>
        </w:rPr>
        <w:t xml:space="preserve"> </w:t>
      </w:r>
      <w:r>
        <w:rPr>
          <w:sz w:val="24"/>
        </w:rPr>
        <w:t>Edições,</w:t>
      </w:r>
      <w:r>
        <w:rPr>
          <w:spacing w:val="-8"/>
          <w:sz w:val="24"/>
        </w:rPr>
        <w:t xml:space="preserve"> </w:t>
      </w:r>
      <w:r>
        <w:rPr>
          <w:spacing w:val="-2"/>
          <w:sz w:val="24"/>
        </w:rPr>
        <w:t>2018.</w:t>
      </w:r>
    </w:p>
    <w:p w:rsidR="00972CE3" w:rsidRDefault="001F20D2">
      <w:pPr>
        <w:spacing w:before="237" w:line="242" w:lineRule="auto"/>
        <w:ind w:left="140" w:right="143"/>
        <w:jc w:val="both"/>
        <w:rPr>
          <w:sz w:val="24"/>
        </w:rPr>
      </w:pPr>
      <w:r>
        <w:rPr>
          <w:sz w:val="24"/>
        </w:rPr>
        <w:t xml:space="preserve">MOTA, Antonia da Silva. </w:t>
      </w:r>
      <w:r>
        <w:rPr>
          <w:rFonts w:ascii="Arial" w:hAnsi="Arial"/>
          <w:b/>
          <w:sz w:val="24"/>
        </w:rPr>
        <w:t>A dinâmica colonial portuguesa e as redes de poder local na Capitania do Maranhão</w:t>
      </w:r>
      <w:r>
        <w:rPr>
          <w:sz w:val="24"/>
        </w:rPr>
        <w:t>. 2007. Tese (Doutorado em História). Programa</w:t>
      </w:r>
      <w:r>
        <w:rPr>
          <w:spacing w:val="40"/>
          <w:sz w:val="24"/>
        </w:rPr>
        <w:t xml:space="preserve"> </w:t>
      </w:r>
      <w:r>
        <w:rPr>
          <w:sz w:val="24"/>
        </w:rPr>
        <w:t>de Pós-Graduação em</w:t>
      </w:r>
      <w:r>
        <w:rPr>
          <w:spacing w:val="-5"/>
          <w:sz w:val="24"/>
        </w:rPr>
        <w:t xml:space="preserve"> </w:t>
      </w:r>
      <w:r>
        <w:rPr>
          <w:sz w:val="24"/>
        </w:rPr>
        <w:t>História, Universidade Federal de Pernambuco, Recife, 2007.</w:t>
      </w:r>
    </w:p>
    <w:p w:rsidR="00972CE3" w:rsidRDefault="001F20D2">
      <w:pPr>
        <w:spacing w:before="234" w:line="275" w:lineRule="exact"/>
        <w:ind w:left="140"/>
        <w:jc w:val="both"/>
        <w:rPr>
          <w:rFonts w:ascii="Arial" w:hAnsi="Arial"/>
          <w:b/>
          <w:sz w:val="24"/>
        </w:rPr>
      </w:pPr>
      <w:r>
        <w:rPr>
          <w:sz w:val="24"/>
        </w:rPr>
        <w:t>ORGANIZAÇÃO</w:t>
      </w:r>
      <w:r>
        <w:rPr>
          <w:spacing w:val="47"/>
          <w:w w:val="150"/>
          <w:sz w:val="24"/>
        </w:rPr>
        <w:t xml:space="preserve"> </w:t>
      </w:r>
      <w:r>
        <w:rPr>
          <w:sz w:val="24"/>
        </w:rPr>
        <w:t>INTERNACIONAL</w:t>
      </w:r>
      <w:r>
        <w:rPr>
          <w:spacing w:val="47"/>
          <w:w w:val="150"/>
          <w:sz w:val="24"/>
        </w:rPr>
        <w:t xml:space="preserve"> </w:t>
      </w:r>
      <w:r>
        <w:rPr>
          <w:sz w:val="24"/>
        </w:rPr>
        <w:t>DO</w:t>
      </w:r>
      <w:r>
        <w:rPr>
          <w:spacing w:val="47"/>
          <w:w w:val="150"/>
          <w:sz w:val="24"/>
        </w:rPr>
        <w:t xml:space="preserve"> </w:t>
      </w:r>
      <w:r>
        <w:rPr>
          <w:sz w:val="24"/>
        </w:rPr>
        <w:t>TRABALHO.</w:t>
      </w:r>
      <w:r>
        <w:rPr>
          <w:spacing w:val="52"/>
          <w:w w:val="150"/>
          <w:sz w:val="24"/>
        </w:rPr>
        <w:t xml:space="preserve"> </w:t>
      </w:r>
      <w:r>
        <w:rPr>
          <w:rFonts w:ascii="Arial" w:hAnsi="Arial"/>
          <w:b/>
          <w:sz w:val="24"/>
        </w:rPr>
        <w:t>Convenção</w:t>
      </w:r>
      <w:r>
        <w:rPr>
          <w:rFonts w:ascii="Arial" w:hAnsi="Arial"/>
          <w:b/>
          <w:spacing w:val="48"/>
          <w:w w:val="150"/>
          <w:sz w:val="24"/>
        </w:rPr>
        <w:t xml:space="preserve"> </w:t>
      </w:r>
      <w:r>
        <w:rPr>
          <w:rFonts w:ascii="Arial" w:hAnsi="Arial"/>
          <w:b/>
          <w:sz w:val="24"/>
        </w:rPr>
        <w:t>n.</w:t>
      </w:r>
      <w:r>
        <w:rPr>
          <w:rFonts w:ascii="Arial" w:hAnsi="Arial"/>
          <w:b/>
          <w:spacing w:val="47"/>
          <w:w w:val="150"/>
          <w:sz w:val="24"/>
        </w:rPr>
        <w:t xml:space="preserve"> </w:t>
      </w:r>
      <w:r>
        <w:rPr>
          <w:rFonts w:ascii="Arial" w:hAnsi="Arial"/>
          <w:b/>
          <w:sz w:val="24"/>
        </w:rPr>
        <w:t>169</w:t>
      </w:r>
      <w:r>
        <w:rPr>
          <w:rFonts w:ascii="Arial" w:hAnsi="Arial"/>
          <w:b/>
          <w:spacing w:val="47"/>
          <w:w w:val="150"/>
          <w:sz w:val="24"/>
        </w:rPr>
        <w:t xml:space="preserve"> </w:t>
      </w:r>
      <w:r>
        <w:rPr>
          <w:rFonts w:ascii="Arial" w:hAnsi="Arial"/>
          <w:b/>
          <w:spacing w:val="-2"/>
          <w:sz w:val="24"/>
        </w:rPr>
        <w:t>sobre</w:t>
      </w:r>
    </w:p>
    <w:p w:rsidR="00972CE3" w:rsidRDefault="001F20D2">
      <w:pPr>
        <w:pStyle w:val="Heading2"/>
        <w:spacing w:line="242" w:lineRule="auto"/>
        <w:ind w:left="140" w:right="151"/>
        <w:jc w:val="both"/>
        <w:rPr>
          <w:rFonts w:ascii="Arial MT" w:hAnsi="Arial MT"/>
          <w:b w:val="0"/>
        </w:rPr>
      </w:pPr>
      <w:r>
        <w:t>povos indígenas e Tribais e Resolução referente à ação da Organização Internacional do Trabalho</w:t>
      </w:r>
      <w:r>
        <w:rPr>
          <w:rFonts w:ascii="Arial MT" w:hAnsi="Arial MT"/>
          <w:b w:val="0"/>
        </w:rPr>
        <w:t>. Brasília: OIT, 2011.</w:t>
      </w:r>
    </w:p>
    <w:p w:rsidR="00972CE3" w:rsidRDefault="001F20D2">
      <w:pPr>
        <w:pStyle w:val="Corpodetexto"/>
        <w:spacing w:before="239"/>
        <w:ind w:left="140" w:right="137"/>
        <w:jc w:val="both"/>
      </w:pPr>
      <w:r>
        <w:t>PALMA, Juliana Bonacorsi de; FEFERBAUM, Marina; PINHEIRO, Victor Marcel.</w:t>
      </w:r>
      <w:r>
        <w:rPr>
          <w:spacing w:val="40"/>
        </w:rPr>
        <w:t xml:space="preserve"> </w:t>
      </w:r>
      <w:r>
        <w:t>Meu trabalho precisa de jurisprudência? Como posso utilizá-la? In</w:t>
      </w:r>
      <w:r>
        <w:t>. QUEIROZ,</w:t>
      </w:r>
      <w:r>
        <w:rPr>
          <w:spacing w:val="40"/>
        </w:rPr>
        <w:t xml:space="preserve"> </w:t>
      </w:r>
      <w:r>
        <w:t xml:space="preserve">Rafael Mafei Rabelo; FEFERBAUM, Marina (orgs.). </w:t>
      </w:r>
      <w:r>
        <w:rPr>
          <w:rFonts w:ascii="Arial" w:hAnsi="Arial"/>
          <w:b/>
        </w:rPr>
        <w:t>Metodologia da pesquisa em direito</w:t>
      </w:r>
      <w:r>
        <w:t>:</w:t>
      </w:r>
      <w:r>
        <w:rPr>
          <w:spacing w:val="40"/>
        </w:rPr>
        <w:t xml:space="preserve"> </w:t>
      </w:r>
      <w:r>
        <w:t>técnicas</w:t>
      </w:r>
      <w:r>
        <w:rPr>
          <w:spacing w:val="40"/>
        </w:rPr>
        <w:t xml:space="preserve"> </w:t>
      </w:r>
      <w:r>
        <w:t>e</w:t>
      </w:r>
      <w:r>
        <w:rPr>
          <w:spacing w:val="40"/>
        </w:rPr>
        <w:t xml:space="preserve"> </w:t>
      </w:r>
      <w:r>
        <w:t>abordagens</w:t>
      </w:r>
      <w:r>
        <w:rPr>
          <w:spacing w:val="64"/>
        </w:rPr>
        <w:t xml:space="preserve"> </w:t>
      </w:r>
      <w:r>
        <w:t>para</w:t>
      </w:r>
      <w:r>
        <w:rPr>
          <w:spacing w:val="40"/>
        </w:rPr>
        <w:t xml:space="preserve"> </w:t>
      </w:r>
      <w:r>
        <w:t>elaboração</w:t>
      </w:r>
      <w:r>
        <w:rPr>
          <w:spacing w:val="65"/>
        </w:rPr>
        <w:t xml:space="preserve"> </w:t>
      </w:r>
      <w:r>
        <w:t>de</w:t>
      </w:r>
      <w:r>
        <w:rPr>
          <w:spacing w:val="40"/>
        </w:rPr>
        <w:t xml:space="preserve"> </w:t>
      </w:r>
      <w:r>
        <w:t>monografias,</w:t>
      </w:r>
      <w:r>
        <w:rPr>
          <w:spacing w:val="40"/>
        </w:rPr>
        <w:t xml:space="preserve"> </w:t>
      </w:r>
      <w:r>
        <w:t>dissertações</w:t>
      </w:r>
      <w:r>
        <w:rPr>
          <w:spacing w:val="64"/>
        </w:rPr>
        <w:t xml:space="preserve"> </w:t>
      </w:r>
      <w:r>
        <w:t>e</w:t>
      </w:r>
    </w:p>
    <w:p w:rsidR="00972CE3" w:rsidRDefault="00972CE3">
      <w:pPr>
        <w:pStyle w:val="Corpodetexto"/>
        <w:jc w:val="both"/>
        <w:sectPr w:rsidR="00972CE3">
          <w:pgSz w:w="11910" w:h="16840"/>
          <w:pgMar w:top="1920" w:right="992" w:bottom="280" w:left="1559" w:header="720" w:footer="720" w:gutter="0"/>
          <w:cols w:space="720"/>
        </w:sectPr>
      </w:pPr>
    </w:p>
    <w:p w:rsidR="00972CE3" w:rsidRDefault="001F20D2">
      <w:pPr>
        <w:pStyle w:val="Corpodetexto"/>
      </w:pPr>
      <w:r>
        <w:rPr>
          <w:noProof/>
          <w:lang w:val="pt-BR" w:eastAsia="pt-BR"/>
        </w:rPr>
        <w:lastRenderedPageBreak/>
        <w:drawing>
          <wp:anchor distT="0" distB="0" distL="0" distR="0" simplePos="0" relativeHeight="486954496" behindDoc="1" locked="0" layoutInCell="1" allowOverlap="1">
            <wp:simplePos x="0" y="0"/>
            <wp:positionH relativeFrom="page">
              <wp:posOffset>0</wp:posOffset>
            </wp:positionH>
            <wp:positionV relativeFrom="page">
              <wp:posOffset>6984</wp:posOffset>
            </wp:positionV>
            <wp:extent cx="7562088" cy="10483268"/>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 cstate="print"/>
                    <a:stretch>
                      <a:fillRect/>
                    </a:stretch>
                  </pic:blipFill>
                  <pic:spPr>
                    <a:xfrm>
                      <a:off x="0" y="0"/>
                      <a:ext cx="7562088" cy="10483268"/>
                    </a:xfrm>
                    <a:prstGeom prst="rect">
                      <a:avLst/>
                    </a:prstGeom>
                  </pic:spPr>
                </pic:pic>
              </a:graphicData>
            </a:graphic>
          </wp:anchor>
        </w:drawing>
      </w: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pPr>
    </w:p>
    <w:p w:rsidR="00972CE3" w:rsidRDefault="00972CE3">
      <w:pPr>
        <w:pStyle w:val="Corpodetexto"/>
        <w:spacing w:before="98"/>
      </w:pPr>
    </w:p>
    <w:p w:rsidR="00972CE3" w:rsidRDefault="001F20D2">
      <w:pPr>
        <w:pStyle w:val="Corpodetexto"/>
        <w:ind w:left="140"/>
        <w:jc w:val="both"/>
      </w:pPr>
      <w:r>
        <w:t>teses.</w:t>
      </w:r>
      <w:r>
        <w:rPr>
          <w:spacing w:val="-4"/>
        </w:rPr>
        <w:t xml:space="preserve"> </w:t>
      </w:r>
      <w:r>
        <w:t>2.</w:t>
      </w:r>
      <w:r>
        <w:rPr>
          <w:spacing w:val="-3"/>
        </w:rPr>
        <w:t xml:space="preserve"> </w:t>
      </w:r>
      <w:r>
        <w:t>ed.</w:t>
      </w:r>
      <w:r>
        <w:rPr>
          <w:spacing w:val="-3"/>
        </w:rPr>
        <w:t xml:space="preserve"> </w:t>
      </w:r>
      <w:r>
        <w:t>São</w:t>
      </w:r>
      <w:r>
        <w:rPr>
          <w:spacing w:val="-3"/>
        </w:rPr>
        <w:t xml:space="preserve"> </w:t>
      </w:r>
      <w:r>
        <w:t>Paulo:</w:t>
      </w:r>
      <w:r>
        <w:rPr>
          <w:spacing w:val="-3"/>
        </w:rPr>
        <w:t xml:space="preserve"> </w:t>
      </w:r>
      <w:r>
        <w:t>Saraiva,</w:t>
      </w:r>
      <w:r>
        <w:rPr>
          <w:spacing w:val="-3"/>
        </w:rPr>
        <w:t xml:space="preserve"> </w:t>
      </w:r>
      <w:r>
        <w:t>2019,</w:t>
      </w:r>
      <w:r>
        <w:rPr>
          <w:spacing w:val="-4"/>
        </w:rPr>
        <w:t xml:space="preserve"> </w:t>
      </w:r>
      <w:r>
        <w:t>p.</w:t>
      </w:r>
      <w:r>
        <w:rPr>
          <w:spacing w:val="-7"/>
        </w:rPr>
        <w:t xml:space="preserve"> </w:t>
      </w:r>
      <w:r>
        <w:t>99-</w:t>
      </w:r>
      <w:r>
        <w:rPr>
          <w:spacing w:val="-4"/>
        </w:rPr>
        <w:t>128.</w:t>
      </w:r>
    </w:p>
    <w:p w:rsidR="00972CE3" w:rsidRDefault="001F20D2">
      <w:pPr>
        <w:pStyle w:val="Corpodetexto"/>
        <w:spacing w:before="243"/>
        <w:ind w:left="140" w:right="130"/>
        <w:jc w:val="both"/>
      </w:pPr>
      <w:r>
        <w:t xml:space="preserve">QUIJANO, Aníbal. Colonialidade do poder, eurocentrismo e América Latina. </w:t>
      </w:r>
      <w:r>
        <w:rPr>
          <w:rFonts w:ascii="Arial" w:hAnsi="Arial"/>
          <w:i/>
        </w:rPr>
        <w:t xml:space="preserve">In: </w:t>
      </w:r>
      <w:r>
        <w:t xml:space="preserve">LANDER, E. (Org.) </w:t>
      </w:r>
      <w:r>
        <w:rPr>
          <w:rFonts w:ascii="Arial" w:hAnsi="Arial"/>
          <w:b/>
        </w:rPr>
        <w:t>A colonialidade do saber</w:t>
      </w:r>
      <w:r>
        <w:t>: eurocentrismo e ciências sociais. Perspectivas</w:t>
      </w:r>
      <w:r>
        <w:rPr>
          <w:spacing w:val="-8"/>
        </w:rPr>
        <w:t xml:space="preserve"> </w:t>
      </w:r>
      <w:r>
        <w:t>latino-americanas.</w:t>
      </w:r>
      <w:r>
        <w:rPr>
          <w:spacing w:val="-3"/>
        </w:rPr>
        <w:t xml:space="preserve"> </w:t>
      </w:r>
      <w:r>
        <w:t>Buenos</w:t>
      </w:r>
      <w:r>
        <w:rPr>
          <w:spacing w:val="-3"/>
        </w:rPr>
        <w:t xml:space="preserve"> </w:t>
      </w:r>
      <w:r>
        <w:t>Aires:</w:t>
      </w:r>
      <w:r>
        <w:rPr>
          <w:spacing w:val="-3"/>
        </w:rPr>
        <w:t xml:space="preserve"> </w:t>
      </w:r>
      <w:r>
        <w:t>Consejo</w:t>
      </w:r>
      <w:r>
        <w:rPr>
          <w:spacing w:val="-3"/>
        </w:rPr>
        <w:t xml:space="preserve"> </w:t>
      </w:r>
      <w:r>
        <w:t>Latinoamericano</w:t>
      </w:r>
      <w:r>
        <w:rPr>
          <w:spacing w:val="-3"/>
        </w:rPr>
        <w:t xml:space="preserve"> </w:t>
      </w:r>
      <w:r>
        <w:t>de</w:t>
      </w:r>
      <w:r>
        <w:rPr>
          <w:spacing w:val="-3"/>
        </w:rPr>
        <w:t xml:space="preserve"> </w:t>
      </w:r>
      <w:r>
        <w:t xml:space="preserve">Ciencias Sociales, 2005, p. </w:t>
      </w:r>
      <w:r>
        <w:t>117-142.</w:t>
      </w:r>
    </w:p>
    <w:p w:rsidR="00972CE3" w:rsidRDefault="001F20D2">
      <w:pPr>
        <w:spacing w:before="235" w:line="242" w:lineRule="auto"/>
        <w:ind w:left="140" w:right="141"/>
        <w:jc w:val="both"/>
        <w:rPr>
          <w:sz w:val="24"/>
        </w:rPr>
      </w:pPr>
      <w:r>
        <w:rPr>
          <w:sz w:val="24"/>
        </w:rPr>
        <w:t xml:space="preserve">SEREJO, Danilo. </w:t>
      </w:r>
      <w:r>
        <w:rPr>
          <w:rFonts w:ascii="Arial" w:hAnsi="Arial"/>
          <w:b/>
          <w:sz w:val="24"/>
        </w:rPr>
        <w:t>A Convenção n. 169 da OIT e a questão quilombola</w:t>
      </w:r>
      <w:r>
        <w:rPr>
          <w:sz w:val="24"/>
        </w:rPr>
        <w:t>: elementos para o debate. Rio de Janeiro: Justiça Global, 2022. – (Coleção caminhos).</w:t>
      </w:r>
    </w:p>
    <w:p w:rsidR="00972CE3" w:rsidRDefault="001F20D2">
      <w:pPr>
        <w:spacing w:before="235"/>
        <w:ind w:left="140" w:right="137"/>
        <w:jc w:val="both"/>
        <w:rPr>
          <w:sz w:val="24"/>
        </w:rPr>
      </w:pPr>
      <w:r>
        <w:rPr>
          <w:sz w:val="24"/>
        </w:rPr>
        <w:t xml:space="preserve">SILVA, Joércio Pires da. </w:t>
      </w:r>
      <w:r>
        <w:rPr>
          <w:rFonts w:ascii="Arial" w:hAnsi="Arial"/>
          <w:b/>
          <w:sz w:val="24"/>
        </w:rPr>
        <w:t>O</w:t>
      </w:r>
      <w:r>
        <w:rPr>
          <w:rFonts w:ascii="Arial" w:hAnsi="Arial"/>
          <w:b/>
          <w:spacing w:val="-8"/>
          <w:sz w:val="24"/>
        </w:rPr>
        <w:t xml:space="preserve"> </w:t>
      </w:r>
      <w:r>
        <w:rPr>
          <w:rFonts w:ascii="Arial" w:hAnsi="Arial"/>
          <w:b/>
          <w:sz w:val="24"/>
        </w:rPr>
        <w:t>Tambor</w:t>
      </w:r>
      <w:r>
        <w:rPr>
          <w:rFonts w:ascii="Arial" w:hAnsi="Arial"/>
          <w:b/>
          <w:spacing w:val="-1"/>
          <w:sz w:val="24"/>
        </w:rPr>
        <w:t xml:space="preserve"> </w:t>
      </w:r>
      <w:r>
        <w:rPr>
          <w:rFonts w:ascii="Arial" w:hAnsi="Arial"/>
          <w:b/>
          <w:sz w:val="24"/>
        </w:rPr>
        <w:t>como herança dos pretos</w:t>
      </w:r>
      <w:r>
        <w:rPr>
          <w:rFonts w:ascii="Arial" w:hAnsi="Arial"/>
          <w:i/>
          <w:sz w:val="24"/>
        </w:rPr>
        <w:t xml:space="preserve">: </w:t>
      </w:r>
      <w:r>
        <w:rPr>
          <w:rFonts w:ascii="Arial" w:hAnsi="Arial"/>
          <w:b/>
          <w:sz w:val="24"/>
        </w:rPr>
        <w:t>uma análise sobre o território quilombola de Santa Rosa dos Pretos</w:t>
      </w:r>
      <w:r>
        <w:rPr>
          <w:sz w:val="24"/>
        </w:rPr>
        <w:t>. 2019. Dissertação (mestrado). Programa de pós-graduação em Cartografia Social e Política da Amazônia, Universidade Estadual do Maranhão, São Luís, 2019.</w:t>
      </w:r>
    </w:p>
    <w:p w:rsidR="00972CE3" w:rsidRDefault="001F20D2">
      <w:pPr>
        <w:spacing w:before="240" w:line="242" w:lineRule="auto"/>
        <w:ind w:left="140" w:right="145"/>
        <w:jc w:val="both"/>
        <w:rPr>
          <w:sz w:val="24"/>
        </w:rPr>
      </w:pPr>
      <w:r>
        <w:rPr>
          <w:sz w:val="24"/>
        </w:rPr>
        <w:t xml:space="preserve">SILVA, Liana Amin Lima da et al. </w:t>
      </w:r>
      <w:r>
        <w:rPr>
          <w:rFonts w:ascii="Arial" w:hAnsi="Arial"/>
          <w:b/>
          <w:sz w:val="24"/>
        </w:rPr>
        <w:t>Tr</w:t>
      </w:r>
      <w:r>
        <w:rPr>
          <w:rFonts w:ascii="Arial" w:hAnsi="Arial"/>
          <w:b/>
          <w:sz w:val="24"/>
        </w:rPr>
        <w:t>ibunais brasileiros e o direito à consulta prévia, livre e informada</w:t>
      </w:r>
      <w:r>
        <w:rPr>
          <w:sz w:val="24"/>
        </w:rPr>
        <w:t>. São Paulo: Instituto Socioambiental; Centro de Pesquisa e Extensão em Direito Socioambiental, 2023.</w:t>
      </w:r>
    </w:p>
    <w:p w:rsidR="00972CE3" w:rsidRDefault="001F20D2">
      <w:pPr>
        <w:spacing w:before="230" w:line="247" w:lineRule="auto"/>
        <w:ind w:left="140" w:right="141"/>
        <w:jc w:val="both"/>
        <w:rPr>
          <w:sz w:val="24"/>
        </w:rPr>
      </w:pPr>
      <w:r>
        <w:rPr>
          <w:sz w:val="24"/>
        </w:rPr>
        <w:t xml:space="preserve">STAKE, R. </w:t>
      </w:r>
      <w:r>
        <w:rPr>
          <w:rFonts w:ascii="Arial" w:hAnsi="Arial"/>
          <w:b/>
          <w:sz w:val="24"/>
        </w:rPr>
        <w:t>A arte da investigação com estudos de caso</w:t>
      </w:r>
      <w:r>
        <w:rPr>
          <w:sz w:val="24"/>
        </w:rPr>
        <w:t>. 2. ed. Lisboa: Fundação Calouste</w:t>
      </w:r>
      <w:r>
        <w:rPr>
          <w:sz w:val="24"/>
        </w:rPr>
        <w:t xml:space="preserve"> Gulbenkian, 2009.</w:t>
      </w:r>
    </w:p>
    <w:p w:rsidR="00972CE3" w:rsidRDefault="001F20D2">
      <w:pPr>
        <w:pStyle w:val="Corpodetexto"/>
        <w:spacing w:before="224" w:line="247" w:lineRule="auto"/>
        <w:ind w:left="140" w:right="136"/>
        <w:jc w:val="both"/>
      </w:pPr>
      <w:r>
        <w:t xml:space="preserve">VAZ, Lívia Sant’Anna. </w:t>
      </w:r>
      <w:r>
        <w:rPr>
          <w:rFonts w:ascii="Arial" w:hAnsi="Arial"/>
          <w:b/>
        </w:rPr>
        <w:t>Cotas raciais</w:t>
      </w:r>
      <w:r>
        <w:t>. São Paulo: Jandaíra, 2022 – (Coleção Feminismos Plurais).</w:t>
      </w:r>
    </w:p>
    <w:sectPr w:rsidR="00972CE3" w:rsidSect="00972CE3">
      <w:pgSz w:w="11910" w:h="16840"/>
      <w:pgMar w:top="1920" w:right="992" w:bottom="280" w:left="1559"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441D"/>
    <w:multiLevelType w:val="multilevel"/>
    <w:tmpl w:val="04324F96"/>
    <w:lvl w:ilvl="0">
      <w:start w:val="3"/>
      <w:numFmt w:val="decimal"/>
      <w:lvlText w:val="%1"/>
      <w:lvlJc w:val="left"/>
      <w:pPr>
        <w:ind w:left="347" w:hanging="204"/>
        <w:jc w:val="left"/>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548" w:hanging="406"/>
        <w:jc w:val="left"/>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519" w:hanging="406"/>
      </w:pPr>
      <w:rPr>
        <w:rFonts w:hint="default"/>
        <w:lang w:val="pt-PT" w:eastAsia="en-US" w:bidi="ar-SA"/>
      </w:rPr>
    </w:lvl>
    <w:lvl w:ilvl="3">
      <w:numFmt w:val="bullet"/>
      <w:lvlText w:val="•"/>
      <w:lvlJc w:val="left"/>
      <w:pPr>
        <w:ind w:left="2499" w:hanging="406"/>
      </w:pPr>
      <w:rPr>
        <w:rFonts w:hint="default"/>
        <w:lang w:val="pt-PT" w:eastAsia="en-US" w:bidi="ar-SA"/>
      </w:rPr>
    </w:lvl>
    <w:lvl w:ilvl="4">
      <w:numFmt w:val="bullet"/>
      <w:lvlText w:val="•"/>
      <w:lvlJc w:val="left"/>
      <w:pPr>
        <w:ind w:left="3479" w:hanging="406"/>
      </w:pPr>
      <w:rPr>
        <w:rFonts w:hint="default"/>
        <w:lang w:val="pt-PT" w:eastAsia="en-US" w:bidi="ar-SA"/>
      </w:rPr>
    </w:lvl>
    <w:lvl w:ilvl="5">
      <w:numFmt w:val="bullet"/>
      <w:lvlText w:val="•"/>
      <w:lvlJc w:val="left"/>
      <w:pPr>
        <w:ind w:left="4459" w:hanging="406"/>
      </w:pPr>
      <w:rPr>
        <w:rFonts w:hint="default"/>
        <w:lang w:val="pt-PT" w:eastAsia="en-US" w:bidi="ar-SA"/>
      </w:rPr>
    </w:lvl>
    <w:lvl w:ilvl="6">
      <w:numFmt w:val="bullet"/>
      <w:lvlText w:val="•"/>
      <w:lvlJc w:val="left"/>
      <w:pPr>
        <w:ind w:left="5438" w:hanging="406"/>
      </w:pPr>
      <w:rPr>
        <w:rFonts w:hint="default"/>
        <w:lang w:val="pt-PT" w:eastAsia="en-US" w:bidi="ar-SA"/>
      </w:rPr>
    </w:lvl>
    <w:lvl w:ilvl="7">
      <w:numFmt w:val="bullet"/>
      <w:lvlText w:val="•"/>
      <w:lvlJc w:val="left"/>
      <w:pPr>
        <w:ind w:left="6418" w:hanging="406"/>
      </w:pPr>
      <w:rPr>
        <w:rFonts w:hint="default"/>
        <w:lang w:val="pt-PT" w:eastAsia="en-US" w:bidi="ar-SA"/>
      </w:rPr>
    </w:lvl>
    <w:lvl w:ilvl="8">
      <w:numFmt w:val="bullet"/>
      <w:lvlText w:val="•"/>
      <w:lvlJc w:val="left"/>
      <w:pPr>
        <w:ind w:left="7398" w:hanging="406"/>
      </w:pPr>
      <w:rPr>
        <w:rFonts w:hint="default"/>
        <w:lang w:val="pt-PT" w:eastAsia="en-US" w:bidi="ar-SA"/>
      </w:rPr>
    </w:lvl>
  </w:abstractNum>
  <w:abstractNum w:abstractNumId="1">
    <w:nsid w:val="0BB7161F"/>
    <w:multiLevelType w:val="hybridMultilevel"/>
    <w:tmpl w:val="6FB63A86"/>
    <w:lvl w:ilvl="0" w:tplc="91527A64">
      <w:start w:val="1"/>
      <w:numFmt w:val="decimal"/>
      <w:lvlText w:val="%1."/>
      <w:lvlJc w:val="left"/>
      <w:pPr>
        <w:ind w:left="409" w:hanging="269"/>
        <w:jc w:val="left"/>
      </w:pPr>
      <w:rPr>
        <w:rFonts w:ascii="Arial" w:eastAsia="Arial" w:hAnsi="Arial" w:cs="Arial" w:hint="default"/>
        <w:b/>
        <w:bCs/>
        <w:i w:val="0"/>
        <w:iCs w:val="0"/>
        <w:spacing w:val="0"/>
        <w:w w:val="100"/>
        <w:sz w:val="24"/>
        <w:szCs w:val="24"/>
        <w:lang w:val="pt-PT" w:eastAsia="en-US" w:bidi="ar-SA"/>
      </w:rPr>
    </w:lvl>
    <w:lvl w:ilvl="1" w:tplc="C1DEF646">
      <w:start w:val="1"/>
      <w:numFmt w:val="decimal"/>
      <w:lvlText w:val="%2."/>
      <w:lvlJc w:val="left"/>
      <w:pPr>
        <w:ind w:left="2632" w:hanging="226"/>
        <w:jc w:val="left"/>
      </w:pPr>
      <w:rPr>
        <w:rFonts w:ascii="Arial MT" w:eastAsia="Arial MT" w:hAnsi="Arial MT" w:cs="Arial MT" w:hint="default"/>
        <w:b w:val="0"/>
        <w:bCs w:val="0"/>
        <w:i w:val="0"/>
        <w:iCs w:val="0"/>
        <w:spacing w:val="-2"/>
        <w:w w:val="100"/>
        <w:sz w:val="20"/>
        <w:szCs w:val="20"/>
        <w:lang w:val="pt-PT" w:eastAsia="en-US" w:bidi="ar-SA"/>
      </w:rPr>
    </w:lvl>
    <w:lvl w:ilvl="2" w:tplc="72221826">
      <w:start w:val="1"/>
      <w:numFmt w:val="lowerLetter"/>
      <w:lvlText w:val="%3)"/>
      <w:lvlJc w:val="left"/>
      <w:pPr>
        <w:ind w:left="2407" w:hanging="240"/>
        <w:jc w:val="left"/>
      </w:pPr>
      <w:rPr>
        <w:rFonts w:ascii="Arial MT" w:eastAsia="Arial MT" w:hAnsi="Arial MT" w:cs="Arial MT" w:hint="default"/>
        <w:b w:val="0"/>
        <w:bCs w:val="0"/>
        <w:i w:val="0"/>
        <w:iCs w:val="0"/>
        <w:spacing w:val="-2"/>
        <w:w w:val="100"/>
        <w:sz w:val="20"/>
        <w:szCs w:val="20"/>
        <w:lang w:val="pt-PT" w:eastAsia="en-US" w:bidi="ar-SA"/>
      </w:rPr>
    </w:lvl>
    <w:lvl w:ilvl="3" w:tplc="B5400E2A">
      <w:numFmt w:val="bullet"/>
      <w:lvlText w:val="•"/>
      <w:lvlJc w:val="left"/>
      <w:pPr>
        <w:ind w:left="3479" w:hanging="240"/>
      </w:pPr>
      <w:rPr>
        <w:rFonts w:hint="default"/>
        <w:lang w:val="pt-PT" w:eastAsia="en-US" w:bidi="ar-SA"/>
      </w:rPr>
    </w:lvl>
    <w:lvl w:ilvl="4" w:tplc="A6324EA6">
      <w:numFmt w:val="bullet"/>
      <w:lvlText w:val="•"/>
      <w:lvlJc w:val="left"/>
      <w:pPr>
        <w:ind w:left="4319" w:hanging="240"/>
      </w:pPr>
      <w:rPr>
        <w:rFonts w:hint="default"/>
        <w:lang w:val="pt-PT" w:eastAsia="en-US" w:bidi="ar-SA"/>
      </w:rPr>
    </w:lvl>
    <w:lvl w:ilvl="5" w:tplc="ADF4DF92">
      <w:numFmt w:val="bullet"/>
      <w:lvlText w:val="•"/>
      <w:lvlJc w:val="left"/>
      <w:pPr>
        <w:ind w:left="5159" w:hanging="240"/>
      </w:pPr>
      <w:rPr>
        <w:rFonts w:hint="default"/>
        <w:lang w:val="pt-PT" w:eastAsia="en-US" w:bidi="ar-SA"/>
      </w:rPr>
    </w:lvl>
    <w:lvl w:ilvl="6" w:tplc="897854CC">
      <w:numFmt w:val="bullet"/>
      <w:lvlText w:val="•"/>
      <w:lvlJc w:val="left"/>
      <w:pPr>
        <w:ind w:left="5998" w:hanging="240"/>
      </w:pPr>
      <w:rPr>
        <w:rFonts w:hint="default"/>
        <w:lang w:val="pt-PT" w:eastAsia="en-US" w:bidi="ar-SA"/>
      </w:rPr>
    </w:lvl>
    <w:lvl w:ilvl="7" w:tplc="A75E4006">
      <w:numFmt w:val="bullet"/>
      <w:lvlText w:val="•"/>
      <w:lvlJc w:val="left"/>
      <w:pPr>
        <w:ind w:left="6838" w:hanging="240"/>
      </w:pPr>
      <w:rPr>
        <w:rFonts w:hint="default"/>
        <w:lang w:val="pt-PT" w:eastAsia="en-US" w:bidi="ar-SA"/>
      </w:rPr>
    </w:lvl>
    <w:lvl w:ilvl="8" w:tplc="9102A538">
      <w:numFmt w:val="bullet"/>
      <w:lvlText w:val="•"/>
      <w:lvlJc w:val="left"/>
      <w:pPr>
        <w:ind w:left="7678" w:hanging="240"/>
      </w:pPr>
      <w:rPr>
        <w:rFonts w:hint="default"/>
        <w:lang w:val="pt-PT" w:eastAsia="en-US" w:bidi="ar-SA"/>
      </w:rPr>
    </w:lvl>
  </w:abstractNum>
  <w:abstractNum w:abstractNumId="2">
    <w:nsid w:val="5A941BD8"/>
    <w:multiLevelType w:val="multilevel"/>
    <w:tmpl w:val="B2528C44"/>
    <w:lvl w:ilvl="0">
      <w:start w:val="1"/>
      <w:numFmt w:val="decimal"/>
      <w:lvlText w:val="%1"/>
      <w:lvlJc w:val="left"/>
      <w:pPr>
        <w:ind w:left="424" w:hanging="284"/>
        <w:jc w:val="left"/>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140" w:hanging="419"/>
        <w:jc w:val="left"/>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413" w:hanging="419"/>
      </w:pPr>
      <w:rPr>
        <w:rFonts w:hint="default"/>
        <w:lang w:val="pt-PT" w:eastAsia="en-US" w:bidi="ar-SA"/>
      </w:rPr>
    </w:lvl>
    <w:lvl w:ilvl="3">
      <w:numFmt w:val="bullet"/>
      <w:lvlText w:val="•"/>
      <w:lvlJc w:val="left"/>
      <w:pPr>
        <w:ind w:left="2406" w:hanging="419"/>
      </w:pPr>
      <w:rPr>
        <w:rFonts w:hint="default"/>
        <w:lang w:val="pt-PT" w:eastAsia="en-US" w:bidi="ar-SA"/>
      </w:rPr>
    </w:lvl>
    <w:lvl w:ilvl="4">
      <w:numFmt w:val="bullet"/>
      <w:lvlText w:val="•"/>
      <w:lvlJc w:val="left"/>
      <w:pPr>
        <w:ind w:left="3399" w:hanging="419"/>
      </w:pPr>
      <w:rPr>
        <w:rFonts w:hint="default"/>
        <w:lang w:val="pt-PT" w:eastAsia="en-US" w:bidi="ar-SA"/>
      </w:rPr>
    </w:lvl>
    <w:lvl w:ilvl="5">
      <w:numFmt w:val="bullet"/>
      <w:lvlText w:val="•"/>
      <w:lvlJc w:val="left"/>
      <w:pPr>
        <w:ind w:left="4392" w:hanging="419"/>
      </w:pPr>
      <w:rPr>
        <w:rFonts w:hint="default"/>
        <w:lang w:val="pt-PT" w:eastAsia="en-US" w:bidi="ar-SA"/>
      </w:rPr>
    </w:lvl>
    <w:lvl w:ilvl="6">
      <w:numFmt w:val="bullet"/>
      <w:lvlText w:val="•"/>
      <w:lvlJc w:val="left"/>
      <w:pPr>
        <w:ind w:left="5385" w:hanging="419"/>
      </w:pPr>
      <w:rPr>
        <w:rFonts w:hint="default"/>
        <w:lang w:val="pt-PT" w:eastAsia="en-US" w:bidi="ar-SA"/>
      </w:rPr>
    </w:lvl>
    <w:lvl w:ilvl="7">
      <w:numFmt w:val="bullet"/>
      <w:lvlText w:val="•"/>
      <w:lvlJc w:val="left"/>
      <w:pPr>
        <w:ind w:left="6378" w:hanging="419"/>
      </w:pPr>
      <w:rPr>
        <w:rFonts w:hint="default"/>
        <w:lang w:val="pt-PT" w:eastAsia="en-US" w:bidi="ar-SA"/>
      </w:rPr>
    </w:lvl>
    <w:lvl w:ilvl="8">
      <w:numFmt w:val="bullet"/>
      <w:lvlText w:val="•"/>
      <w:lvlJc w:val="left"/>
      <w:pPr>
        <w:ind w:left="7371" w:hanging="419"/>
      </w:pPr>
      <w:rPr>
        <w:rFonts w:hint="default"/>
        <w:lang w:val="pt-PT" w:eastAsia="en-US" w:bidi="ar-S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hyphenationZone w:val="425"/>
  <w:drawingGridHorizontalSpacing w:val="110"/>
  <w:displayHorizontalDrawingGridEvery w:val="2"/>
  <w:characterSpacingControl w:val="doNotCompress"/>
  <w:compat>
    <w:ulTrailSpace/>
    <w:shapeLayoutLikeWW8/>
  </w:compat>
  <w:rsids>
    <w:rsidRoot w:val="00972CE3"/>
    <w:rsid w:val="001F20D2"/>
    <w:rsid w:val="00972CE3"/>
    <w:rsid w:val="00EF21A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72CE3"/>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972CE3"/>
    <w:tblPr>
      <w:tblInd w:w="0" w:type="dxa"/>
      <w:tblCellMar>
        <w:top w:w="0" w:type="dxa"/>
        <w:left w:w="0" w:type="dxa"/>
        <w:bottom w:w="0" w:type="dxa"/>
        <w:right w:w="0" w:type="dxa"/>
      </w:tblCellMar>
    </w:tblPr>
  </w:style>
  <w:style w:type="paragraph" w:styleId="Corpodetexto">
    <w:name w:val="Body Text"/>
    <w:basedOn w:val="Normal"/>
    <w:uiPriority w:val="1"/>
    <w:qFormat/>
    <w:rsid w:val="00972CE3"/>
    <w:rPr>
      <w:sz w:val="24"/>
      <w:szCs w:val="24"/>
    </w:rPr>
  </w:style>
  <w:style w:type="paragraph" w:customStyle="1" w:styleId="Heading1">
    <w:name w:val="Heading 1"/>
    <w:basedOn w:val="Normal"/>
    <w:uiPriority w:val="1"/>
    <w:qFormat/>
    <w:rsid w:val="00972CE3"/>
    <w:pPr>
      <w:ind w:left="140"/>
      <w:outlineLvl w:val="1"/>
    </w:pPr>
    <w:rPr>
      <w:rFonts w:ascii="Arial" w:eastAsia="Arial" w:hAnsi="Arial" w:cs="Arial"/>
      <w:b/>
      <w:bCs/>
      <w:sz w:val="24"/>
      <w:szCs w:val="24"/>
    </w:rPr>
  </w:style>
  <w:style w:type="paragraph" w:customStyle="1" w:styleId="Heading2">
    <w:name w:val="Heading 2"/>
    <w:basedOn w:val="Normal"/>
    <w:uiPriority w:val="1"/>
    <w:qFormat/>
    <w:rsid w:val="00972CE3"/>
    <w:pPr>
      <w:ind w:left="17"/>
      <w:outlineLvl w:val="2"/>
    </w:pPr>
    <w:rPr>
      <w:rFonts w:ascii="Arial" w:eastAsia="Arial" w:hAnsi="Arial" w:cs="Arial"/>
      <w:b/>
      <w:bCs/>
      <w:sz w:val="24"/>
      <w:szCs w:val="24"/>
    </w:rPr>
  </w:style>
  <w:style w:type="paragraph" w:styleId="PargrafodaLista">
    <w:name w:val="List Paragraph"/>
    <w:basedOn w:val="Normal"/>
    <w:uiPriority w:val="1"/>
    <w:qFormat/>
    <w:rsid w:val="00972CE3"/>
    <w:pPr>
      <w:ind w:left="140"/>
    </w:pPr>
  </w:style>
  <w:style w:type="paragraph" w:customStyle="1" w:styleId="TableParagraph">
    <w:name w:val="Table Paragraph"/>
    <w:basedOn w:val="Normal"/>
    <w:uiPriority w:val="1"/>
    <w:qFormat/>
    <w:rsid w:val="00972CE3"/>
    <w:pPr>
      <w:spacing w:line="204" w:lineRule="exact"/>
      <w:ind w:left="7"/>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scielo.br/j/ea/a/Bw9dSHXsM8mC6bg9X7NLDTH/?lang=p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oimparcial.com.br/noticias/2025/08/nova-lei-libera-construcao-de-predios-com-ate-90-metros-de-altura-em-sao-jose-de-ribamar/"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yuricosta800@gmail.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instagram.com/mapaanimadoslz?igsh=eTZrb2w1NHp1M2E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traficantes.net/sites/default/files/pdfs/La%20nueva%20frontera%20urbana-TdS.pdf"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traficantes.net/sites/default/files/pdfs/La%20nueva%20frontera%20urbana-TdS.pdf" TargetMode="External"/><Relationship Id="rId10" Type="http://schemas.openxmlformats.org/officeDocument/2006/relationships/image" Target="media/image5.jpeg"/><Relationship Id="rId19" Type="http://schemas.openxmlformats.org/officeDocument/2006/relationships/hyperlink" Target="https://periodicos.ufsc.br/index.php/geosul/article/download/13234/12254/40834" TargetMode="External"/><Relationship Id="rId4" Type="http://schemas.openxmlformats.org/officeDocument/2006/relationships/webSettings" Target="webSettings.xml"/><Relationship Id="rId9" Type="http://schemas.openxmlformats.org/officeDocument/2006/relationships/hyperlink" Target="https://repositorio.ufpe.br/handle/123456789/18436" TargetMode="External"/><Relationship Id="rId14" Type="http://schemas.openxmlformats.org/officeDocument/2006/relationships/image" Target="media/image9.jpeg"/><Relationship Id="rId22" Type="http://schemas.openxmlformats.org/officeDocument/2006/relationships/hyperlink" Target="https://oimparcial.com.br/noticias/2025/08/nova-lei-libera-construcao-de-predios-com-ate-90-metros-de-altura-em-sao-jose-de-ribama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15223</Words>
  <Characters>82206</Characters>
  <Application>Microsoft Office Word</Application>
  <DocSecurity>0</DocSecurity>
  <Lines>685</Lines>
  <Paragraphs>194</Paragraphs>
  <ScaleCrop>false</ScaleCrop>
  <Company/>
  <LinksUpToDate>false</LinksUpToDate>
  <CharactersWithSpaces>97235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Eduardo Neves dos Santos</dc:creator>
  <cp:lastModifiedBy>Luiz Eduardo Neves dos Santos</cp:lastModifiedBy>
  <cp:revision>2</cp:revision>
  <dcterms:created xsi:type="dcterms:W3CDTF">2025-09-19T23:23:00Z</dcterms:created>
  <dcterms:modified xsi:type="dcterms:W3CDTF">2025-09-19T23:23:00Z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LastSaved">
    <vt:filetime>2025-09-19T00:00:00Z</vt:filetime>
  </property>
  <property fmtid="{D5CDD505-2E9C-101B-9397-08002B2CF9AE}" pid="4" name="Producer">
    <vt:lpwstr>iLovePDF</vt:lpwstr>
  </property>
</Properties>
</file>