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D15" w:rsidRDefault="00792F97">
      <w:pPr>
        <w:spacing w:line="360" w:lineRule="auto"/>
        <w:jc w:val="center"/>
        <w:rPr>
          <w:sz w:val="24"/>
          <w:szCs w:val="24"/>
        </w:rPr>
      </w:pPr>
      <w:proofErr w:type="gramStart"/>
      <w:r>
        <w:rPr>
          <w:b/>
          <w:sz w:val="24"/>
          <w:szCs w:val="24"/>
        </w:rPr>
        <w:t>VIDAS À</w:t>
      </w:r>
      <w:proofErr w:type="gramEnd"/>
      <w:r>
        <w:rPr>
          <w:b/>
          <w:sz w:val="24"/>
          <w:szCs w:val="24"/>
        </w:rPr>
        <w:t xml:space="preserve"> MARGEM: </w:t>
      </w:r>
      <w:r>
        <w:rPr>
          <w:sz w:val="24"/>
          <w:szCs w:val="24"/>
        </w:rPr>
        <w:t>HIV/Aids e a violação do direito à saúde nas penitenciárias brasileiras</w:t>
      </w:r>
    </w:p>
    <w:p w:rsidR="006E455E" w:rsidRDefault="006E455E" w:rsidP="00462251">
      <w:pPr>
        <w:spacing w:line="360" w:lineRule="auto"/>
        <w:jc w:val="right"/>
        <w:rPr>
          <w:sz w:val="24"/>
          <w:szCs w:val="24"/>
        </w:rPr>
      </w:pPr>
      <w:r>
        <w:rPr>
          <w:sz w:val="24"/>
          <w:szCs w:val="24"/>
        </w:rPr>
        <w:t xml:space="preserve">Rafaela </w:t>
      </w:r>
      <w:proofErr w:type="spellStart"/>
      <w:r>
        <w:rPr>
          <w:sz w:val="24"/>
          <w:szCs w:val="24"/>
        </w:rPr>
        <w:t>Bogea</w:t>
      </w:r>
      <w:proofErr w:type="spellEnd"/>
      <w:r>
        <w:rPr>
          <w:sz w:val="24"/>
          <w:szCs w:val="24"/>
        </w:rPr>
        <w:t xml:space="preserve"> Santos Oliveira</w:t>
      </w:r>
      <w:r>
        <w:rPr>
          <w:rStyle w:val="Refdenotaderodap"/>
          <w:sz w:val="24"/>
          <w:szCs w:val="24"/>
        </w:rPr>
        <w:footnoteReference w:id="1"/>
      </w:r>
    </w:p>
    <w:p w:rsidR="00643D15" w:rsidRPr="006E455E" w:rsidRDefault="006E455E" w:rsidP="00462251">
      <w:pPr>
        <w:spacing w:line="360" w:lineRule="auto"/>
        <w:jc w:val="right"/>
        <w:rPr>
          <w:sz w:val="24"/>
          <w:szCs w:val="24"/>
        </w:rPr>
      </w:pPr>
      <w:proofErr w:type="spellStart"/>
      <w:r w:rsidRPr="006E455E">
        <w:rPr>
          <w:sz w:val="24"/>
          <w:szCs w:val="24"/>
        </w:rPr>
        <w:t>Rayssa</w:t>
      </w:r>
      <w:proofErr w:type="spellEnd"/>
      <w:r w:rsidRPr="006E455E">
        <w:rPr>
          <w:sz w:val="24"/>
          <w:szCs w:val="24"/>
        </w:rPr>
        <w:t xml:space="preserve"> </w:t>
      </w:r>
      <w:proofErr w:type="spellStart"/>
      <w:r w:rsidRPr="006E455E">
        <w:rPr>
          <w:sz w:val="24"/>
          <w:szCs w:val="24"/>
        </w:rPr>
        <w:t>Mikaelle</w:t>
      </w:r>
      <w:proofErr w:type="spellEnd"/>
      <w:r w:rsidRPr="006E455E">
        <w:rPr>
          <w:sz w:val="24"/>
          <w:szCs w:val="24"/>
        </w:rPr>
        <w:t xml:space="preserve"> Lima dos Santos</w:t>
      </w:r>
      <w:r>
        <w:rPr>
          <w:rStyle w:val="Refdenotaderodap"/>
          <w:sz w:val="24"/>
          <w:szCs w:val="24"/>
        </w:rPr>
        <w:footnoteReference w:id="2"/>
      </w:r>
    </w:p>
    <w:p w:rsidR="006E455E" w:rsidRPr="006E455E" w:rsidRDefault="006E455E" w:rsidP="00462251">
      <w:pPr>
        <w:spacing w:line="360" w:lineRule="auto"/>
        <w:jc w:val="right"/>
        <w:rPr>
          <w:sz w:val="24"/>
          <w:szCs w:val="24"/>
        </w:rPr>
      </w:pPr>
      <w:proofErr w:type="spellStart"/>
      <w:r w:rsidRPr="006E455E">
        <w:rPr>
          <w:sz w:val="24"/>
          <w:szCs w:val="24"/>
        </w:rPr>
        <w:t>Antonio</w:t>
      </w:r>
      <w:proofErr w:type="spellEnd"/>
      <w:r w:rsidRPr="006E455E">
        <w:rPr>
          <w:sz w:val="24"/>
          <w:szCs w:val="24"/>
        </w:rPr>
        <w:t xml:space="preserve"> </w:t>
      </w:r>
      <w:proofErr w:type="spellStart"/>
      <w:r w:rsidRPr="006E455E">
        <w:rPr>
          <w:sz w:val="24"/>
          <w:szCs w:val="24"/>
        </w:rPr>
        <w:t>Coêlho</w:t>
      </w:r>
      <w:proofErr w:type="spellEnd"/>
      <w:r w:rsidRPr="006E455E">
        <w:rPr>
          <w:sz w:val="24"/>
          <w:szCs w:val="24"/>
        </w:rPr>
        <w:t xml:space="preserve"> Soares Junior</w:t>
      </w:r>
      <w:r>
        <w:rPr>
          <w:rStyle w:val="Refdenotaderodap"/>
          <w:sz w:val="24"/>
          <w:szCs w:val="24"/>
        </w:rPr>
        <w:footnoteReference w:id="3"/>
      </w:r>
    </w:p>
    <w:p w:rsidR="00643D15" w:rsidRDefault="00643D15">
      <w:pPr>
        <w:spacing w:line="240" w:lineRule="auto"/>
        <w:ind w:left="2835"/>
        <w:jc w:val="both"/>
        <w:rPr>
          <w:sz w:val="20"/>
          <w:szCs w:val="20"/>
        </w:rPr>
      </w:pPr>
    </w:p>
    <w:p w:rsidR="00643D15" w:rsidRDefault="00643D15">
      <w:pPr>
        <w:spacing w:line="240" w:lineRule="auto"/>
        <w:ind w:left="2835"/>
        <w:jc w:val="both"/>
        <w:rPr>
          <w:sz w:val="20"/>
          <w:szCs w:val="20"/>
        </w:rPr>
      </w:pPr>
    </w:p>
    <w:p w:rsidR="00643D15" w:rsidRDefault="00792F97">
      <w:pPr>
        <w:spacing w:line="240" w:lineRule="auto"/>
        <w:ind w:left="2835"/>
        <w:jc w:val="both"/>
        <w:rPr>
          <w:sz w:val="20"/>
          <w:szCs w:val="20"/>
        </w:rPr>
      </w:pPr>
      <w:r>
        <w:rPr>
          <w:b/>
          <w:sz w:val="20"/>
          <w:szCs w:val="20"/>
        </w:rPr>
        <w:t>Resumo</w:t>
      </w:r>
    </w:p>
    <w:p w:rsidR="00643D15" w:rsidRDefault="00792F97">
      <w:pPr>
        <w:spacing w:line="240" w:lineRule="auto"/>
        <w:ind w:left="2835"/>
        <w:jc w:val="both"/>
        <w:rPr>
          <w:sz w:val="20"/>
          <w:szCs w:val="20"/>
        </w:rPr>
      </w:pPr>
      <w:r>
        <w:rPr>
          <w:sz w:val="20"/>
          <w:szCs w:val="20"/>
        </w:rPr>
        <w:t xml:space="preserve">O presente artigo investiga a mortalidade silenciosa de pessoas com HIV/Aids no sistema prisional brasileiro, revelando como o cárcere funciona como espaço de aprofundamento das vulnerabilidades e das violações de direitos fundamentais. Ao analisar a legislação, os dados epidemiológicos e o histórico das políticas públicas, evidencia-se que a negligência estatal no cuidado à saúde intramuros não é acidental, mas expressão de uma </w:t>
      </w:r>
      <w:proofErr w:type="spellStart"/>
      <w:r>
        <w:rPr>
          <w:sz w:val="20"/>
          <w:szCs w:val="20"/>
        </w:rPr>
        <w:t>necropolítica</w:t>
      </w:r>
      <w:proofErr w:type="spellEnd"/>
      <w:r>
        <w:rPr>
          <w:sz w:val="20"/>
          <w:szCs w:val="20"/>
        </w:rPr>
        <w:t xml:space="preserve"> que decide quais vidas merecem proteção. Marcado pelo racismo estrutural e pela seletividade penal, o sistema penitenciário reproduz práticas que naturalizam o adoecimento e a morte, reforçando estigmas e exclusões. Assim, conclui-se que enfrentar esse holocausto silencioso exige políticas efetivas, centradas na dignidade humana, para romper com o ciclo de abandono que define a realidade prisional no Brasil.</w:t>
      </w:r>
    </w:p>
    <w:p w:rsidR="00643D15" w:rsidRDefault="00792F97">
      <w:pPr>
        <w:spacing w:line="240" w:lineRule="auto"/>
        <w:ind w:left="2835"/>
        <w:jc w:val="both"/>
        <w:rPr>
          <w:sz w:val="20"/>
          <w:szCs w:val="20"/>
        </w:rPr>
      </w:pPr>
      <w:r>
        <w:rPr>
          <w:b/>
          <w:sz w:val="20"/>
          <w:szCs w:val="20"/>
        </w:rPr>
        <w:t>Palavras-chave</w:t>
      </w:r>
      <w:r>
        <w:rPr>
          <w:sz w:val="20"/>
          <w:szCs w:val="20"/>
        </w:rPr>
        <w:t xml:space="preserve">: HIV/Aids; sistema prisional; </w:t>
      </w:r>
      <w:proofErr w:type="spellStart"/>
      <w:r>
        <w:rPr>
          <w:sz w:val="20"/>
          <w:szCs w:val="20"/>
        </w:rPr>
        <w:t>necropolítica</w:t>
      </w:r>
      <w:proofErr w:type="spellEnd"/>
      <w:r>
        <w:rPr>
          <w:sz w:val="20"/>
          <w:szCs w:val="20"/>
        </w:rPr>
        <w:t>.</w:t>
      </w:r>
    </w:p>
    <w:p w:rsidR="00643D15" w:rsidRDefault="00643D15">
      <w:pPr>
        <w:spacing w:line="240" w:lineRule="auto"/>
        <w:ind w:left="2835"/>
        <w:jc w:val="both"/>
        <w:rPr>
          <w:sz w:val="20"/>
          <w:szCs w:val="20"/>
        </w:rPr>
      </w:pPr>
    </w:p>
    <w:p w:rsidR="00643D15" w:rsidRDefault="00792F97">
      <w:pPr>
        <w:spacing w:line="240" w:lineRule="auto"/>
        <w:ind w:left="2835"/>
        <w:jc w:val="both"/>
        <w:rPr>
          <w:sz w:val="20"/>
          <w:szCs w:val="20"/>
        </w:rPr>
      </w:pPr>
      <w:r>
        <w:rPr>
          <w:b/>
          <w:sz w:val="20"/>
          <w:szCs w:val="20"/>
        </w:rPr>
        <w:t>Abstract</w:t>
      </w:r>
    </w:p>
    <w:p w:rsidR="00643D15" w:rsidRDefault="00792F97">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investigates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silent</w:t>
      </w:r>
      <w:proofErr w:type="spellEnd"/>
      <w:r>
        <w:rPr>
          <w:sz w:val="20"/>
          <w:szCs w:val="20"/>
        </w:rPr>
        <w:t xml:space="preserve"> </w:t>
      </w:r>
      <w:proofErr w:type="spellStart"/>
      <w:r>
        <w:rPr>
          <w:sz w:val="20"/>
          <w:szCs w:val="20"/>
        </w:rPr>
        <w:t>mortality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people</w:t>
      </w:r>
      <w:proofErr w:type="spellEnd"/>
      <w:r>
        <w:rPr>
          <w:sz w:val="20"/>
          <w:szCs w:val="20"/>
        </w:rPr>
        <w:t xml:space="preserve"> </w:t>
      </w:r>
      <w:proofErr w:type="spellStart"/>
      <w:r>
        <w:rPr>
          <w:sz w:val="20"/>
          <w:szCs w:val="20"/>
        </w:rPr>
        <w:t>with</w:t>
      </w:r>
      <w:proofErr w:type="spellEnd"/>
      <w:r>
        <w:rPr>
          <w:sz w:val="20"/>
          <w:szCs w:val="20"/>
        </w:rPr>
        <w:t xml:space="preserve"> HIV/AIDS in </w:t>
      </w:r>
      <w:proofErr w:type="spellStart"/>
      <w:r>
        <w:rPr>
          <w:sz w:val="20"/>
          <w:szCs w:val="20"/>
        </w:rPr>
        <w:t>the</w:t>
      </w:r>
      <w:proofErr w:type="spellEnd"/>
      <w:r>
        <w:rPr>
          <w:sz w:val="20"/>
          <w:szCs w:val="20"/>
        </w:rPr>
        <w:t xml:space="preserve"> </w:t>
      </w:r>
      <w:proofErr w:type="spellStart"/>
      <w:r>
        <w:rPr>
          <w:sz w:val="20"/>
          <w:szCs w:val="20"/>
        </w:rPr>
        <w:t>Brazilian</w:t>
      </w:r>
      <w:proofErr w:type="spellEnd"/>
      <w:r>
        <w:rPr>
          <w:sz w:val="20"/>
          <w:szCs w:val="20"/>
        </w:rPr>
        <w:t xml:space="preserve"> </w:t>
      </w:r>
      <w:proofErr w:type="spellStart"/>
      <w:r>
        <w:rPr>
          <w:sz w:val="20"/>
          <w:szCs w:val="20"/>
        </w:rPr>
        <w:t>prison</w:t>
      </w:r>
      <w:proofErr w:type="spellEnd"/>
      <w:r>
        <w:rPr>
          <w:sz w:val="20"/>
          <w:szCs w:val="20"/>
        </w:rPr>
        <w:t xml:space="preserve"> system, </w:t>
      </w:r>
      <w:proofErr w:type="spellStart"/>
      <w:r>
        <w:rPr>
          <w:sz w:val="20"/>
          <w:szCs w:val="20"/>
        </w:rPr>
        <w:t>revealing</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prisons</w:t>
      </w:r>
      <w:proofErr w:type="spellEnd"/>
      <w:r>
        <w:rPr>
          <w:sz w:val="20"/>
          <w:szCs w:val="20"/>
        </w:rPr>
        <w:t xml:space="preserve"> </w:t>
      </w:r>
      <w:proofErr w:type="spellStart"/>
      <w:r>
        <w:rPr>
          <w:sz w:val="20"/>
          <w:szCs w:val="20"/>
        </w:rPr>
        <w:t>function</w:t>
      </w:r>
      <w:proofErr w:type="spellEnd"/>
      <w:r>
        <w:rPr>
          <w:sz w:val="20"/>
          <w:szCs w:val="20"/>
        </w:rPr>
        <w:t xml:space="preserve"> as a </w:t>
      </w:r>
      <w:proofErr w:type="spellStart"/>
      <w:r>
        <w:rPr>
          <w:sz w:val="20"/>
          <w:szCs w:val="20"/>
        </w:rPr>
        <w:t>space</w:t>
      </w:r>
      <w:proofErr w:type="spellEnd"/>
      <w:r>
        <w:rPr>
          <w:sz w:val="20"/>
          <w:szCs w:val="20"/>
        </w:rPr>
        <w:t xml:space="preserve"> for </w:t>
      </w:r>
      <w:proofErr w:type="spellStart"/>
      <w:r>
        <w:rPr>
          <w:sz w:val="20"/>
          <w:szCs w:val="20"/>
        </w:rPr>
        <w:t>deepening</w:t>
      </w:r>
      <w:proofErr w:type="spellEnd"/>
      <w:r>
        <w:rPr>
          <w:sz w:val="20"/>
          <w:szCs w:val="20"/>
        </w:rPr>
        <w:t xml:space="preserve"> </w:t>
      </w:r>
      <w:proofErr w:type="spellStart"/>
      <w:r>
        <w:rPr>
          <w:sz w:val="20"/>
          <w:szCs w:val="20"/>
        </w:rPr>
        <w:t>vulnerabilities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violations</w:t>
      </w:r>
      <w:proofErr w:type="spellEnd"/>
      <w:r>
        <w:rPr>
          <w:sz w:val="20"/>
          <w:szCs w:val="20"/>
        </w:rPr>
        <w:t xml:space="preserve"> </w:t>
      </w:r>
      <w:proofErr w:type="spellStart"/>
      <w:r>
        <w:rPr>
          <w:sz w:val="20"/>
          <w:szCs w:val="20"/>
        </w:rPr>
        <w:t>of</w:t>
      </w:r>
      <w:proofErr w:type="spellEnd"/>
      <w:r>
        <w:rPr>
          <w:sz w:val="20"/>
          <w:szCs w:val="20"/>
        </w:rPr>
        <w:t xml:space="preserve"> fundamental </w:t>
      </w:r>
      <w:proofErr w:type="spellStart"/>
      <w:r>
        <w:rPr>
          <w:sz w:val="20"/>
          <w:szCs w:val="20"/>
        </w:rPr>
        <w:t>rights</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analyzing</w:t>
      </w:r>
      <w:proofErr w:type="spellEnd"/>
      <w:r>
        <w:rPr>
          <w:sz w:val="20"/>
          <w:szCs w:val="20"/>
        </w:rPr>
        <w:t xml:space="preserve"> </w:t>
      </w:r>
      <w:proofErr w:type="spellStart"/>
      <w:r>
        <w:rPr>
          <w:sz w:val="20"/>
          <w:szCs w:val="20"/>
        </w:rPr>
        <w:t>legislation</w:t>
      </w:r>
      <w:proofErr w:type="spellEnd"/>
      <w:r>
        <w:rPr>
          <w:sz w:val="20"/>
          <w:szCs w:val="20"/>
        </w:rPr>
        <w:t xml:space="preserve">, </w:t>
      </w:r>
      <w:proofErr w:type="spellStart"/>
      <w:r>
        <w:rPr>
          <w:sz w:val="20"/>
          <w:szCs w:val="20"/>
        </w:rPr>
        <w:t>epidemiological</w:t>
      </w:r>
      <w:proofErr w:type="spellEnd"/>
      <w:r>
        <w:rPr>
          <w:sz w:val="20"/>
          <w:szCs w:val="20"/>
        </w:rPr>
        <w:t xml:space="preserve"> data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history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public</w:t>
      </w:r>
      <w:proofErr w:type="spellEnd"/>
      <w:r>
        <w:rPr>
          <w:sz w:val="20"/>
          <w:szCs w:val="20"/>
        </w:rPr>
        <w:t xml:space="preserve"> policies, it </w:t>
      </w:r>
      <w:proofErr w:type="spellStart"/>
      <w:r>
        <w:rPr>
          <w:sz w:val="20"/>
          <w:szCs w:val="20"/>
        </w:rPr>
        <w:t>becomes</w:t>
      </w:r>
      <w:proofErr w:type="spellEnd"/>
      <w:r>
        <w:rPr>
          <w:sz w:val="20"/>
          <w:szCs w:val="20"/>
        </w:rPr>
        <w:t xml:space="preserve"> </w:t>
      </w:r>
      <w:proofErr w:type="spellStart"/>
      <w:r>
        <w:rPr>
          <w:sz w:val="20"/>
          <w:szCs w:val="20"/>
        </w:rPr>
        <w:t>clear</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state's</w:t>
      </w:r>
      <w:proofErr w:type="spellEnd"/>
      <w:r>
        <w:rPr>
          <w:sz w:val="20"/>
          <w:szCs w:val="20"/>
        </w:rPr>
        <w:t xml:space="preserve"> </w:t>
      </w:r>
      <w:proofErr w:type="spellStart"/>
      <w:r>
        <w:rPr>
          <w:sz w:val="20"/>
          <w:szCs w:val="20"/>
        </w:rPr>
        <w:t>negligence</w:t>
      </w:r>
      <w:proofErr w:type="spellEnd"/>
      <w:r>
        <w:rPr>
          <w:sz w:val="20"/>
          <w:szCs w:val="20"/>
        </w:rPr>
        <w:t xml:space="preserve"> in intramural </w:t>
      </w:r>
      <w:proofErr w:type="spellStart"/>
      <w:r>
        <w:rPr>
          <w:sz w:val="20"/>
          <w:szCs w:val="20"/>
        </w:rPr>
        <w:t>health</w:t>
      </w:r>
      <w:proofErr w:type="spellEnd"/>
      <w:r>
        <w:rPr>
          <w:sz w:val="20"/>
          <w:szCs w:val="20"/>
        </w:rPr>
        <w:t xml:space="preserve"> </w:t>
      </w:r>
      <w:proofErr w:type="spellStart"/>
      <w:r>
        <w:rPr>
          <w:sz w:val="20"/>
          <w:szCs w:val="20"/>
        </w:rPr>
        <w:t>care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not</w:t>
      </w:r>
      <w:proofErr w:type="spellEnd"/>
      <w:r>
        <w:rPr>
          <w:sz w:val="20"/>
          <w:szCs w:val="20"/>
        </w:rPr>
        <w:t xml:space="preserve"> </w:t>
      </w:r>
      <w:proofErr w:type="spellStart"/>
      <w:r>
        <w:rPr>
          <w:sz w:val="20"/>
          <w:szCs w:val="20"/>
        </w:rPr>
        <w:t>accidental</w:t>
      </w:r>
      <w:proofErr w:type="spellEnd"/>
      <w:r>
        <w:rPr>
          <w:sz w:val="20"/>
          <w:szCs w:val="20"/>
        </w:rPr>
        <w:t xml:space="preserve">, </w:t>
      </w:r>
      <w:proofErr w:type="spellStart"/>
      <w:r>
        <w:rPr>
          <w:sz w:val="20"/>
          <w:szCs w:val="20"/>
        </w:rPr>
        <w:t>but</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expression</w:t>
      </w:r>
      <w:proofErr w:type="spellEnd"/>
      <w:r>
        <w:rPr>
          <w:sz w:val="20"/>
          <w:szCs w:val="20"/>
        </w:rPr>
        <w:t xml:space="preserve"> </w:t>
      </w:r>
      <w:proofErr w:type="spellStart"/>
      <w:r>
        <w:rPr>
          <w:sz w:val="20"/>
          <w:szCs w:val="20"/>
        </w:rPr>
        <w:t>of</w:t>
      </w:r>
      <w:proofErr w:type="spellEnd"/>
      <w:r>
        <w:rPr>
          <w:sz w:val="20"/>
          <w:szCs w:val="20"/>
        </w:rPr>
        <w:t xml:space="preserve"> a </w:t>
      </w:r>
      <w:proofErr w:type="spellStart"/>
      <w:r>
        <w:rPr>
          <w:sz w:val="20"/>
          <w:szCs w:val="20"/>
        </w:rPr>
        <w:t>necropolitics</w:t>
      </w:r>
      <w:proofErr w:type="spellEnd"/>
      <w:r>
        <w:rPr>
          <w:sz w:val="20"/>
          <w:szCs w:val="20"/>
        </w:rPr>
        <w:t xml:space="preserve"> </w:t>
      </w:r>
      <w:proofErr w:type="spellStart"/>
      <w:r>
        <w:rPr>
          <w:sz w:val="20"/>
          <w:szCs w:val="20"/>
        </w:rPr>
        <w:t>that</w:t>
      </w:r>
      <w:proofErr w:type="spellEnd"/>
      <w:r>
        <w:rPr>
          <w:sz w:val="20"/>
          <w:szCs w:val="20"/>
        </w:rPr>
        <w:t xml:space="preserve"> decides </w:t>
      </w:r>
      <w:proofErr w:type="spellStart"/>
      <w:r>
        <w:rPr>
          <w:sz w:val="20"/>
          <w:szCs w:val="20"/>
        </w:rPr>
        <w:t>which</w:t>
      </w:r>
      <w:proofErr w:type="spellEnd"/>
      <w:r>
        <w:rPr>
          <w:sz w:val="20"/>
          <w:szCs w:val="20"/>
        </w:rPr>
        <w:t xml:space="preserve"> </w:t>
      </w:r>
      <w:proofErr w:type="spellStart"/>
      <w:r>
        <w:rPr>
          <w:sz w:val="20"/>
          <w:szCs w:val="20"/>
        </w:rPr>
        <w:t>lives</w:t>
      </w:r>
      <w:proofErr w:type="spellEnd"/>
      <w:r>
        <w:rPr>
          <w:sz w:val="20"/>
          <w:szCs w:val="20"/>
        </w:rPr>
        <w:t xml:space="preserve"> </w:t>
      </w:r>
      <w:proofErr w:type="spellStart"/>
      <w:r>
        <w:rPr>
          <w:sz w:val="20"/>
          <w:szCs w:val="20"/>
        </w:rPr>
        <w:t>deserve</w:t>
      </w:r>
      <w:proofErr w:type="spellEnd"/>
      <w:r>
        <w:rPr>
          <w:sz w:val="20"/>
          <w:szCs w:val="20"/>
        </w:rPr>
        <w:t xml:space="preserve"> </w:t>
      </w:r>
      <w:proofErr w:type="spellStart"/>
      <w:r>
        <w:rPr>
          <w:sz w:val="20"/>
          <w:szCs w:val="20"/>
        </w:rPr>
        <w:t>protection</w:t>
      </w:r>
      <w:proofErr w:type="spellEnd"/>
      <w:r>
        <w:rPr>
          <w:sz w:val="20"/>
          <w:szCs w:val="20"/>
        </w:rPr>
        <w:t xml:space="preserve">. </w:t>
      </w:r>
      <w:proofErr w:type="spellStart"/>
      <w:r>
        <w:rPr>
          <w:sz w:val="20"/>
          <w:szCs w:val="20"/>
        </w:rPr>
        <w:t>Marked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racism</w:t>
      </w:r>
      <w:proofErr w:type="spellEnd"/>
      <w:r>
        <w:rPr>
          <w:sz w:val="20"/>
          <w:szCs w:val="20"/>
        </w:rPr>
        <w:t xml:space="preserve"> </w:t>
      </w:r>
      <w:proofErr w:type="spellStart"/>
      <w:r>
        <w:rPr>
          <w:sz w:val="20"/>
          <w:szCs w:val="20"/>
        </w:rPr>
        <w:t>and</w:t>
      </w:r>
      <w:proofErr w:type="spellEnd"/>
      <w:r>
        <w:rPr>
          <w:sz w:val="20"/>
          <w:szCs w:val="20"/>
        </w:rPr>
        <w:t xml:space="preserve"> penal </w:t>
      </w:r>
      <w:proofErr w:type="spellStart"/>
      <w:r>
        <w:rPr>
          <w:sz w:val="20"/>
          <w:szCs w:val="20"/>
        </w:rPr>
        <w:t>selectivity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prison</w:t>
      </w:r>
      <w:proofErr w:type="spellEnd"/>
      <w:r>
        <w:rPr>
          <w:sz w:val="20"/>
          <w:szCs w:val="20"/>
        </w:rPr>
        <w:t xml:space="preserve"> system </w:t>
      </w:r>
      <w:proofErr w:type="spellStart"/>
      <w:r>
        <w:rPr>
          <w:sz w:val="20"/>
          <w:szCs w:val="20"/>
        </w:rPr>
        <w:t>reproduces</w:t>
      </w:r>
      <w:proofErr w:type="spellEnd"/>
      <w:r>
        <w:rPr>
          <w:sz w:val="20"/>
          <w:szCs w:val="20"/>
        </w:rPr>
        <w:t xml:space="preserve"> </w:t>
      </w:r>
      <w:proofErr w:type="spellStart"/>
      <w:r>
        <w:rPr>
          <w:sz w:val="20"/>
          <w:szCs w:val="20"/>
        </w:rPr>
        <w:t>practices</w:t>
      </w:r>
      <w:proofErr w:type="spellEnd"/>
      <w:r>
        <w:rPr>
          <w:sz w:val="20"/>
          <w:szCs w:val="20"/>
        </w:rPr>
        <w:t xml:space="preserve"> </w:t>
      </w:r>
      <w:proofErr w:type="spellStart"/>
      <w:r>
        <w:rPr>
          <w:sz w:val="20"/>
          <w:szCs w:val="20"/>
        </w:rPr>
        <w:t>that</w:t>
      </w:r>
      <w:proofErr w:type="spellEnd"/>
      <w:r>
        <w:rPr>
          <w:sz w:val="20"/>
          <w:szCs w:val="20"/>
        </w:rPr>
        <w:t xml:space="preserve"> naturalize </w:t>
      </w:r>
      <w:proofErr w:type="spellStart"/>
      <w:r>
        <w:rPr>
          <w:sz w:val="20"/>
          <w:szCs w:val="20"/>
        </w:rPr>
        <w:t>illness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death</w:t>
      </w:r>
      <w:proofErr w:type="spellEnd"/>
      <w:r>
        <w:rPr>
          <w:sz w:val="20"/>
          <w:szCs w:val="20"/>
        </w:rPr>
        <w:t xml:space="preserve">, </w:t>
      </w:r>
      <w:proofErr w:type="spellStart"/>
      <w:r>
        <w:rPr>
          <w:sz w:val="20"/>
          <w:szCs w:val="20"/>
        </w:rPr>
        <w:t>reinforcing</w:t>
      </w:r>
      <w:proofErr w:type="spellEnd"/>
      <w:r>
        <w:rPr>
          <w:sz w:val="20"/>
          <w:szCs w:val="20"/>
        </w:rPr>
        <w:t xml:space="preserve"> </w:t>
      </w:r>
      <w:proofErr w:type="spellStart"/>
      <w:r>
        <w:rPr>
          <w:sz w:val="20"/>
          <w:szCs w:val="20"/>
        </w:rPr>
        <w:t>stigmas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exclusions</w:t>
      </w:r>
      <w:proofErr w:type="spellEnd"/>
      <w:r>
        <w:rPr>
          <w:sz w:val="20"/>
          <w:szCs w:val="20"/>
        </w:rPr>
        <w:t xml:space="preserve">. </w:t>
      </w:r>
      <w:proofErr w:type="spellStart"/>
      <w:r>
        <w:rPr>
          <w:sz w:val="20"/>
          <w:szCs w:val="20"/>
        </w:rPr>
        <w:t>Thus</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conclude</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confronting</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silent</w:t>
      </w:r>
      <w:proofErr w:type="spellEnd"/>
      <w:r>
        <w:rPr>
          <w:sz w:val="20"/>
          <w:szCs w:val="20"/>
        </w:rPr>
        <w:t xml:space="preserve"> </w:t>
      </w:r>
      <w:proofErr w:type="spellStart"/>
      <w:r>
        <w:rPr>
          <w:sz w:val="20"/>
          <w:szCs w:val="20"/>
        </w:rPr>
        <w:t>holocaust</w:t>
      </w:r>
      <w:proofErr w:type="spellEnd"/>
      <w:r>
        <w:rPr>
          <w:sz w:val="20"/>
          <w:szCs w:val="20"/>
        </w:rPr>
        <w:t xml:space="preserve"> </w:t>
      </w:r>
      <w:proofErr w:type="spellStart"/>
      <w:r>
        <w:rPr>
          <w:sz w:val="20"/>
          <w:szCs w:val="20"/>
        </w:rPr>
        <w:t>requires</w:t>
      </w:r>
      <w:proofErr w:type="spellEnd"/>
      <w:r>
        <w:rPr>
          <w:sz w:val="20"/>
          <w:szCs w:val="20"/>
        </w:rPr>
        <w:t xml:space="preserve"> </w:t>
      </w:r>
      <w:proofErr w:type="spellStart"/>
      <w:r>
        <w:rPr>
          <w:sz w:val="20"/>
          <w:szCs w:val="20"/>
        </w:rPr>
        <w:t>effective</w:t>
      </w:r>
      <w:proofErr w:type="spellEnd"/>
      <w:r>
        <w:rPr>
          <w:sz w:val="20"/>
          <w:szCs w:val="20"/>
        </w:rPr>
        <w:t xml:space="preserve"> policies, </w:t>
      </w:r>
      <w:proofErr w:type="spellStart"/>
      <w:r>
        <w:rPr>
          <w:sz w:val="20"/>
          <w:szCs w:val="20"/>
        </w:rPr>
        <w:t>centered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human</w:t>
      </w:r>
      <w:proofErr w:type="spellEnd"/>
      <w:r>
        <w:rPr>
          <w:sz w:val="20"/>
          <w:szCs w:val="20"/>
        </w:rPr>
        <w:t xml:space="preserve"> </w:t>
      </w:r>
      <w:proofErr w:type="spellStart"/>
      <w:r>
        <w:rPr>
          <w:sz w:val="20"/>
          <w:szCs w:val="20"/>
        </w:rPr>
        <w:t>dignity</w:t>
      </w:r>
      <w:proofErr w:type="spellEnd"/>
      <w:r>
        <w:rPr>
          <w:sz w:val="20"/>
          <w:szCs w:val="20"/>
        </w:rPr>
        <w:t xml:space="preserve">, </w:t>
      </w:r>
      <w:proofErr w:type="spellStart"/>
      <w:r>
        <w:rPr>
          <w:sz w:val="20"/>
          <w:szCs w:val="20"/>
        </w:rPr>
        <w:t>to</w:t>
      </w:r>
      <w:proofErr w:type="spellEnd"/>
      <w:r>
        <w:rPr>
          <w:sz w:val="20"/>
          <w:szCs w:val="20"/>
        </w:rPr>
        <w:t xml:space="preserve"> break </w:t>
      </w:r>
      <w:proofErr w:type="spellStart"/>
      <w:r>
        <w:rPr>
          <w:sz w:val="20"/>
          <w:szCs w:val="20"/>
        </w:rPr>
        <w:t>the</w:t>
      </w:r>
      <w:proofErr w:type="spellEnd"/>
      <w:r>
        <w:rPr>
          <w:sz w:val="20"/>
          <w:szCs w:val="20"/>
        </w:rPr>
        <w:t xml:space="preserve"> </w:t>
      </w:r>
      <w:proofErr w:type="spellStart"/>
      <w:r>
        <w:rPr>
          <w:sz w:val="20"/>
          <w:szCs w:val="20"/>
        </w:rPr>
        <w:t>cycle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abandonment</w:t>
      </w:r>
      <w:proofErr w:type="spellEnd"/>
      <w:r>
        <w:rPr>
          <w:sz w:val="20"/>
          <w:szCs w:val="20"/>
        </w:rPr>
        <w:t xml:space="preserve"> </w:t>
      </w:r>
      <w:proofErr w:type="spellStart"/>
      <w:r>
        <w:rPr>
          <w:sz w:val="20"/>
          <w:szCs w:val="20"/>
        </w:rPr>
        <w:t>that</w:t>
      </w:r>
      <w:proofErr w:type="spellEnd"/>
      <w:r>
        <w:rPr>
          <w:sz w:val="20"/>
          <w:szCs w:val="20"/>
        </w:rPr>
        <w:t xml:space="preserve"> defines </w:t>
      </w:r>
      <w:proofErr w:type="spellStart"/>
      <w:r>
        <w:rPr>
          <w:sz w:val="20"/>
          <w:szCs w:val="20"/>
        </w:rPr>
        <w:t>the</w:t>
      </w:r>
      <w:proofErr w:type="spellEnd"/>
      <w:r>
        <w:rPr>
          <w:sz w:val="20"/>
          <w:szCs w:val="20"/>
        </w:rPr>
        <w:t xml:space="preserve"> </w:t>
      </w:r>
      <w:proofErr w:type="spellStart"/>
      <w:r>
        <w:rPr>
          <w:sz w:val="20"/>
          <w:szCs w:val="20"/>
        </w:rPr>
        <w:t>prison</w:t>
      </w:r>
      <w:proofErr w:type="spellEnd"/>
      <w:r>
        <w:rPr>
          <w:sz w:val="20"/>
          <w:szCs w:val="20"/>
        </w:rPr>
        <w:t xml:space="preserve"> reality in </w:t>
      </w:r>
      <w:proofErr w:type="spellStart"/>
      <w:r>
        <w:rPr>
          <w:sz w:val="20"/>
          <w:szCs w:val="20"/>
        </w:rPr>
        <w:t>Brazil</w:t>
      </w:r>
      <w:proofErr w:type="spellEnd"/>
      <w:r>
        <w:rPr>
          <w:sz w:val="20"/>
          <w:szCs w:val="20"/>
        </w:rPr>
        <w:t>.</w:t>
      </w:r>
    </w:p>
    <w:p w:rsidR="00643D15" w:rsidRDefault="00792F97">
      <w:pPr>
        <w:spacing w:line="240" w:lineRule="auto"/>
        <w:ind w:left="2835"/>
        <w:jc w:val="both"/>
        <w:rPr>
          <w:sz w:val="20"/>
          <w:szCs w:val="20"/>
        </w:rPr>
      </w:pPr>
      <w:proofErr w:type="spellStart"/>
      <w:r>
        <w:rPr>
          <w:b/>
          <w:sz w:val="20"/>
          <w:szCs w:val="20"/>
        </w:rPr>
        <w:t>Keywords</w:t>
      </w:r>
      <w:proofErr w:type="spellEnd"/>
      <w:r>
        <w:rPr>
          <w:sz w:val="20"/>
          <w:szCs w:val="20"/>
        </w:rPr>
        <w:t xml:space="preserve">: HIV/AIDS; </w:t>
      </w:r>
      <w:proofErr w:type="spellStart"/>
      <w:r>
        <w:rPr>
          <w:sz w:val="20"/>
          <w:szCs w:val="20"/>
        </w:rPr>
        <w:t>prison</w:t>
      </w:r>
      <w:proofErr w:type="spellEnd"/>
      <w:r>
        <w:rPr>
          <w:sz w:val="20"/>
          <w:szCs w:val="20"/>
        </w:rPr>
        <w:t xml:space="preserve"> system; </w:t>
      </w:r>
      <w:proofErr w:type="spellStart"/>
      <w:r>
        <w:rPr>
          <w:sz w:val="20"/>
          <w:szCs w:val="20"/>
        </w:rPr>
        <w:t>necropolitics</w:t>
      </w:r>
      <w:proofErr w:type="spellEnd"/>
      <w:r>
        <w:rPr>
          <w:sz w:val="20"/>
          <w:szCs w:val="20"/>
        </w:rPr>
        <w:t>.</w:t>
      </w:r>
    </w:p>
    <w:p w:rsidR="00643D15" w:rsidRDefault="00643D15">
      <w:pPr>
        <w:spacing w:line="360" w:lineRule="auto"/>
        <w:rPr>
          <w:b/>
          <w:sz w:val="24"/>
          <w:szCs w:val="24"/>
        </w:rPr>
      </w:pPr>
    </w:p>
    <w:p w:rsidR="006E455E" w:rsidRDefault="006E455E">
      <w:pPr>
        <w:spacing w:line="360" w:lineRule="auto"/>
        <w:rPr>
          <w:b/>
          <w:sz w:val="24"/>
          <w:szCs w:val="24"/>
        </w:rPr>
      </w:pPr>
    </w:p>
    <w:p w:rsidR="00462251" w:rsidRDefault="00462251">
      <w:pPr>
        <w:spacing w:line="360" w:lineRule="auto"/>
        <w:rPr>
          <w:b/>
          <w:sz w:val="24"/>
          <w:szCs w:val="24"/>
        </w:rPr>
      </w:pPr>
      <w:bookmarkStart w:id="0" w:name="_GoBack"/>
      <w:bookmarkEnd w:id="0"/>
    </w:p>
    <w:p w:rsidR="00643D15" w:rsidRDefault="00792F97">
      <w:pPr>
        <w:spacing w:line="360" w:lineRule="auto"/>
        <w:rPr>
          <w:b/>
          <w:sz w:val="24"/>
          <w:szCs w:val="24"/>
        </w:rPr>
      </w:pPr>
      <w:r>
        <w:rPr>
          <w:b/>
          <w:sz w:val="24"/>
          <w:szCs w:val="24"/>
        </w:rPr>
        <w:lastRenderedPageBreak/>
        <w:t>1</w:t>
      </w:r>
      <w:r>
        <w:rPr>
          <w:b/>
          <w:sz w:val="24"/>
          <w:szCs w:val="24"/>
        </w:rPr>
        <w:tab/>
        <w:t>INTRODUÇÃO</w:t>
      </w:r>
    </w:p>
    <w:p w:rsidR="005C721E" w:rsidRDefault="005C721E">
      <w:pPr>
        <w:spacing w:line="360" w:lineRule="auto"/>
        <w:rPr>
          <w:sz w:val="24"/>
          <w:szCs w:val="24"/>
        </w:rPr>
      </w:pPr>
    </w:p>
    <w:p w:rsidR="00643D15" w:rsidRDefault="00792F97" w:rsidP="00F01414">
      <w:pPr>
        <w:spacing w:line="360" w:lineRule="auto"/>
        <w:ind w:firstLine="709"/>
        <w:jc w:val="both"/>
        <w:rPr>
          <w:sz w:val="24"/>
          <w:szCs w:val="24"/>
        </w:rPr>
      </w:pPr>
      <w:r>
        <w:rPr>
          <w:sz w:val="24"/>
          <w:szCs w:val="24"/>
        </w:rPr>
        <w:t xml:space="preserve">O Brasil carrega, ao longo de sua história, a marca de sucessivos projetos de exclusão e violência voltados especialmente contra pessoas negras, pobres e marginalizadas. Esses projetos assumiram diferentes formas — da escravidão à ditadura militar, dos manicômios às prisões — sempre reafirmando quem tem o direito de viver plenamente e quem pode ser descartado. Nesse cenário se insere a realidade prisional contemporânea, marcada por uma lógica que privilegia o controle, a punição e a </w:t>
      </w:r>
      <w:proofErr w:type="spellStart"/>
      <w:r>
        <w:rPr>
          <w:sz w:val="24"/>
          <w:szCs w:val="24"/>
        </w:rPr>
        <w:t>invisibilização</w:t>
      </w:r>
      <w:proofErr w:type="spellEnd"/>
      <w:r>
        <w:rPr>
          <w:sz w:val="24"/>
          <w:szCs w:val="24"/>
        </w:rPr>
        <w:t>.</w:t>
      </w:r>
    </w:p>
    <w:p w:rsidR="00643D15" w:rsidRDefault="00792F97" w:rsidP="00F01414">
      <w:pPr>
        <w:spacing w:line="360" w:lineRule="auto"/>
        <w:ind w:firstLine="709"/>
        <w:jc w:val="both"/>
        <w:rPr>
          <w:sz w:val="24"/>
          <w:szCs w:val="24"/>
        </w:rPr>
      </w:pPr>
      <w:r>
        <w:rPr>
          <w:sz w:val="24"/>
          <w:szCs w:val="24"/>
        </w:rPr>
        <w:t xml:space="preserve">Esse ambiente é especialmente caracterizado pelo abandono e pela precarização das condições básicas de vida, onde a incidência de doenças, em razão do saneamento e da assistência à saúde precários, reforça a desumanização dos encarcerados. Entre essas enfermidades, destaca-se a Aids, que agrava ainda mais a </w:t>
      </w:r>
      <w:proofErr w:type="spellStart"/>
      <w:r>
        <w:rPr>
          <w:sz w:val="24"/>
          <w:szCs w:val="24"/>
        </w:rPr>
        <w:t>estigmatização</w:t>
      </w:r>
      <w:proofErr w:type="spellEnd"/>
      <w:r>
        <w:rPr>
          <w:sz w:val="24"/>
          <w:szCs w:val="24"/>
        </w:rPr>
        <w:t xml:space="preserve"> desses indivíduos perante o Estado e a sociedade.</w:t>
      </w:r>
    </w:p>
    <w:p w:rsidR="00643D15" w:rsidRDefault="00792F97" w:rsidP="00F01414">
      <w:pPr>
        <w:spacing w:line="360" w:lineRule="auto"/>
        <w:ind w:firstLine="709"/>
        <w:jc w:val="both"/>
        <w:rPr>
          <w:sz w:val="24"/>
          <w:szCs w:val="24"/>
        </w:rPr>
      </w:pPr>
      <w:r>
        <w:rPr>
          <w:sz w:val="24"/>
          <w:szCs w:val="24"/>
        </w:rPr>
        <w:t xml:space="preserve">Diante disso, este trabalho tem como objetivo compreender a situação das pessoas que convivem com o HIV/Aids no sistema carcerário brasileiro, investigando tanto o panorama legislativo quanto o quantitativo desses casos. O objetivo geral é analisar como o cárcere atua como agravante na </w:t>
      </w:r>
      <w:proofErr w:type="spellStart"/>
      <w:r>
        <w:rPr>
          <w:sz w:val="24"/>
          <w:szCs w:val="24"/>
        </w:rPr>
        <w:t>estigmatização</w:t>
      </w:r>
      <w:proofErr w:type="spellEnd"/>
      <w:r>
        <w:rPr>
          <w:sz w:val="24"/>
          <w:szCs w:val="24"/>
        </w:rPr>
        <w:t xml:space="preserve"> e na restrição do acesso a direitos, sobretudo o direito à saúde das pessoas soropositivas. Como objetivos específicos, busca-se delinear conceitos fundamentais para entender o fenômeno do HIV em seus aspectos gerais e histórico-sociais; examinar como a legislação estabelece o cuidado com pessoas soropositivas no cárcere; e levantar e analisar dados sobre a Aids no sistema penitenciário.</w:t>
      </w:r>
    </w:p>
    <w:p w:rsidR="00643D15" w:rsidRDefault="00792F97" w:rsidP="00F01414">
      <w:pPr>
        <w:spacing w:line="360" w:lineRule="auto"/>
        <w:ind w:firstLine="709"/>
        <w:jc w:val="both"/>
        <w:rPr>
          <w:sz w:val="24"/>
          <w:szCs w:val="24"/>
        </w:rPr>
      </w:pPr>
      <w:r>
        <w:rPr>
          <w:sz w:val="24"/>
          <w:szCs w:val="24"/>
        </w:rPr>
        <w:t>Para isso, adotou-se uma pesquisa de cunho exploratório, de natureza bibliográfica e documental, utilizando artigos, teses, dissertações, legislações e dados oficiais. A análise foi conduzida com o propósito de evidenciar os estigmas e a complexidade que permeiam o tema, assim como sua profunda influência na formulação de políticas públicas de saúde frente às epidemias.</w:t>
      </w:r>
    </w:p>
    <w:p w:rsidR="00643D15" w:rsidRDefault="00643D15">
      <w:pPr>
        <w:spacing w:line="360" w:lineRule="auto"/>
        <w:ind w:firstLine="708"/>
        <w:jc w:val="both"/>
        <w:rPr>
          <w:sz w:val="24"/>
          <w:szCs w:val="24"/>
        </w:rPr>
      </w:pPr>
    </w:p>
    <w:p w:rsidR="00643D15" w:rsidRDefault="00643D15">
      <w:pPr>
        <w:spacing w:line="360" w:lineRule="auto"/>
        <w:ind w:firstLine="708"/>
        <w:jc w:val="both"/>
        <w:rPr>
          <w:sz w:val="24"/>
          <w:szCs w:val="24"/>
        </w:rPr>
      </w:pPr>
    </w:p>
    <w:p w:rsidR="00643D15" w:rsidRDefault="00792F97">
      <w:pPr>
        <w:spacing w:line="360" w:lineRule="auto"/>
        <w:jc w:val="both"/>
        <w:rPr>
          <w:b/>
          <w:sz w:val="24"/>
          <w:szCs w:val="24"/>
        </w:rPr>
      </w:pPr>
      <w:r>
        <w:rPr>
          <w:b/>
          <w:sz w:val="24"/>
          <w:szCs w:val="24"/>
        </w:rPr>
        <w:t>2</w:t>
      </w:r>
      <w:r>
        <w:rPr>
          <w:b/>
          <w:sz w:val="24"/>
          <w:szCs w:val="24"/>
        </w:rPr>
        <w:tab/>
        <w:t>HIV/AIDS E CONSTRUÇÃO DE POLÍTICAS DE SAÚDE NO BRASIL: conceitos iniciais e contextualização histórica</w:t>
      </w:r>
    </w:p>
    <w:p w:rsidR="005C721E" w:rsidRDefault="005C721E">
      <w:pPr>
        <w:spacing w:line="360" w:lineRule="auto"/>
        <w:jc w:val="both"/>
        <w:rPr>
          <w:sz w:val="24"/>
          <w:szCs w:val="24"/>
        </w:rPr>
      </w:pPr>
    </w:p>
    <w:p w:rsidR="00643D15" w:rsidRDefault="00792F97" w:rsidP="00F01414">
      <w:pPr>
        <w:spacing w:line="360" w:lineRule="auto"/>
        <w:ind w:firstLine="709"/>
        <w:jc w:val="both"/>
        <w:rPr>
          <w:sz w:val="24"/>
          <w:szCs w:val="24"/>
        </w:rPr>
      </w:pPr>
      <w:r>
        <w:rPr>
          <w:sz w:val="24"/>
          <w:szCs w:val="24"/>
        </w:rPr>
        <w:t xml:space="preserve">O estudo acerca da Aids no Brasil, assim como sua incidência nas penitenciárias e o estudo da garantia dos direitos de pessoas que convivem com o HIV nesse ambiente penitenciário perpassa inicialmente pelo entendimento da Aids enquanto síndrome, suas características (em especial as sociais) e a compreensão acerca das garantias estatais relativas à saúde pública. </w:t>
      </w:r>
    </w:p>
    <w:p w:rsidR="00643D15" w:rsidRDefault="00792F97" w:rsidP="00F01414">
      <w:pPr>
        <w:spacing w:line="360" w:lineRule="auto"/>
        <w:ind w:firstLine="709"/>
        <w:jc w:val="both"/>
        <w:rPr>
          <w:sz w:val="24"/>
          <w:szCs w:val="24"/>
        </w:rPr>
      </w:pPr>
      <w:r>
        <w:rPr>
          <w:sz w:val="24"/>
          <w:szCs w:val="24"/>
        </w:rPr>
        <w:t xml:space="preserve">É urgente ressaltar que o HIV é uma temática circundada por um estigma, tanto que Parker (2013) entende a epidemia como um marco no entendimento do estigma. O tema é marcado pela falta de informação, principalmente no que tange ao entendimento de conceitos básicos sobre pessoas soropositivas, Aids e vírus HIV. Por isso, faz-se primordial traçar explicações sobre os conceitos básicos que guiam a discussão. </w:t>
      </w:r>
    </w:p>
    <w:p w:rsidR="00643D15" w:rsidRDefault="00792F97" w:rsidP="00F01414">
      <w:pPr>
        <w:spacing w:line="360" w:lineRule="auto"/>
        <w:ind w:firstLine="709"/>
        <w:jc w:val="both"/>
        <w:rPr>
          <w:sz w:val="24"/>
          <w:szCs w:val="24"/>
        </w:rPr>
      </w:pPr>
      <w:r>
        <w:rPr>
          <w:sz w:val="24"/>
          <w:szCs w:val="24"/>
        </w:rPr>
        <w:t xml:space="preserve">Para tanto, faz-se essencial compreender que o Ministério da Saúde (2025) determina que o HIV é a denominação do Vírus da Imunodeficiência Humana, que é responsável pela condição clínica denominada Aids (síndrome da deficiência imunológica adquirida), caracterizada pela infecção do HIV em estágio avançado, que compromete gravemente o sistema imunológico do indivíduo. </w:t>
      </w:r>
    </w:p>
    <w:p w:rsidR="00643D15" w:rsidRDefault="00792F97" w:rsidP="00F01414">
      <w:pPr>
        <w:spacing w:line="360" w:lineRule="auto"/>
        <w:ind w:firstLine="709"/>
        <w:jc w:val="both"/>
        <w:rPr>
          <w:b/>
          <w:sz w:val="24"/>
          <w:szCs w:val="24"/>
        </w:rPr>
      </w:pPr>
      <w:r>
        <w:rPr>
          <w:sz w:val="24"/>
          <w:szCs w:val="24"/>
        </w:rPr>
        <w:t xml:space="preserve">No entanto, faz-se essencial explicitar que a Aids e o HIV não são sinônimos, tendo em vista que nem toda pessoa com HIV desenvolve a síndrome em questão. Nesse caso, denomina-se a pessoa que é contaminada com o HIV como “soropositiva”, uma vez que este termo abrange pessoas que desenvolveram Aids e pessoas que apenas convivem com o vírus, sem desenvolvimento da síndrome. </w:t>
      </w:r>
    </w:p>
    <w:p w:rsidR="00643D15" w:rsidRDefault="00792F97" w:rsidP="00F01414">
      <w:pPr>
        <w:spacing w:line="360" w:lineRule="auto"/>
        <w:ind w:firstLine="709"/>
        <w:jc w:val="both"/>
        <w:rPr>
          <w:sz w:val="24"/>
          <w:szCs w:val="24"/>
        </w:rPr>
      </w:pPr>
      <w:r>
        <w:rPr>
          <w:sz w:val="24"/>
          <w:szCs w:val="24"/>
        </w:rPr>
        <w:t>Nesse sentido, o surgimento e o avanço do HIV é um marco para a compreensão das epidemias não só enquanto fenômeno biológico, mas enquanto condição social, gerida por políticas e discursos específicos que surgem em torno desse fenômeno.</w:t>
      </w:r>
    </w:p>
    <w:p w:rsidR="00643D15" w:rsidRDefault="00792F97" w:rsidP="00F01414">
      <w:pPr>
        <w:spacing w:line="360" w:lineRule="auto"/>
        <w:ind w:firstLine="709"/>
        <w:jc w:val="both"/>
        <w:rPr>
          <w:sz w:val="24"/>
          <w:szCs w:val="24"/>
        </w:rPr>
      </w:pPr>
      <w:r>
        <w:rPr>
          <w:sz w:val="24"/>
          <w:szCs w:val="24"/>
        </w:rPr>
        <w:lastRenderedPageBreak/>
        <w:t xml:space="preserve">Para </w:t>
      </w:r>
      <w:proofErr w:type="spellStart"/>
      <w:r>
        <w:rPr>
          <w:sz w:val="24"/>
          <w:szCs w:val="24"/>
        </w:rPr>
        <w:t>Eger</w:t>
      </w:r>
      <w:proofErr w:type="spellEnd"/>
      <w:r>
        <w:rPr>
          <w:sz w:val="24"/>
          <w:szCs w:val="24"/>
        </w:rPr>
        <w:t xml:space="preserve"> (2021), “As doenças não apenas têm história, como, também, possuem uma dimensão política” (p.10). Diante disso, prossegue sua análise histórica da Aids reconhecendo que, no Brasil, após o surgimento dos primeiros casos, em 1982, a epidemia, por pensar se tratar de algo restrito a determinados grupos (jovens homens homossexuais), não teve o devido investimento ou interesse na descoberta de formas de tratamento, mas </w:t>
      </w:r>
      <w:proofErr w:type="gramStart"/>
      <w:r>
        <w:rPr>
          <w:sz w:val="24"/>
          <w:szCs w:val="24"/>
        </w:rPr>
        <w:t>um divulgação</w:t>
      </w:r>
      <w:proofErr w:type="gramEnd"/>
      <w:r>
        <w:rPr>
          <w:sz w:val="24"/>
          <w:szCs w:val="24"/>
        </w:rPr>
        <w:t xml:space="preserve"> de ideias nocivas ao tratamento da doença, como a ideia de </w:t>
      </w:r>
      <w:proofErr w:type="spellStart"/>
      <w:r>
        <w:rPr>
          <w:sz w:val="24"/>
          <w:szCs w:val="24"/>
        </w:rPr>
        <w:t>culpabilização</w:t>
      </w:r>
      <w:proofErr w:type="spellEnd"/>
      <w:r>
        <w:rPr>
          <w:sz w:val="24"/>
          <w:szCs w:val="24"/>
        </w:rPr>
        <w:t xml:space="preserve"> de homossexuais. </w:t>
      </w:r>
    </w:p>
    <w:p w:rsidR="00643D15" w:rsidRDefault="00792F97" w:rsidP="00F01414">
      <w:pPr>
        <w:spacing w:line="360" w:lineRule="auto"/>
        <w:ind w:firstLine="709"/>
        <w:jc w:val="both"/>
        <w:rPr>
          <w:sz w:val="24"/>
          <w:szCs w:val="24"/>
        </w:rPr>
      </w:pPr>
      <w:r>
        <w:rPr>
          <w:sz w:val="24"/>
          <w:szCs w:val="24"/>
        </w:rPr>
        <w:t xml:space="preserve">Essas noções contribuíram diretamente para uma certa precarização do manejo político da epidemia, uma vez que as medidas de saúde pública se mostraram, posteriormente, insuficientes e tardias para conter a epidemia. </w:t>
      </w:r>
    </w:p>
    <w:p w:rsidR="00643D15" w:rsidRDefault="00792F97" w:rsidP="00F01414">
      <w:pPr>
        <w:spacing w:line="360" w:lineRule="auto"/>
        <w:ind w:firstLine="709"/>
        <w:jc w:val="both"/>
        <w:rPr>
          <w:sz w:val="24"/>
          <w:szCs w:val="24"/>
        </w:rPr>
      </w:pPr>
      <w:r>
        <w:rPr>
          <w:sz w:val="24"/>
          <w:szCs w:val="24"/>
        </w:rPr>
        <w:t xml:space="preserve">O primeiro programa de Aids do Brasil só surgiu em 1983, conhecido por “Programa de Aids do Estado de São Paulo”. A partir disso, extrai-se que as primeiras medidas governamentais em relação à Aids provinham de secretarias municipais ou estaduais, ainda não se estabelecendo diretrizes nacionais para epidemia. Nessa perspectiva, estados como São Paulo, Rio de Janeiro, Rio Grande do Sul e Minas Gerais foram pioneiros no direcionamento do combate à epidemia (Galvão, 2000). </w:t>
      </w:r>
    </w:p>
    <w:p w:rsidR="00643D15" w:rsidRDefault="00792F97" w:rsidP="00F01414">
      <w:pPr>
        <w:spacing w:line="360" w:lineRule="auto"/>
        <w:ind w:firstLine="709"/>
        <w:jc w:val="both"/>
        <w:rPr>
          <w:sz w:val="24"/>
          <w:szCs w:val="24"/>
        </w:rPr>
      </w:pPr>
      <w:r>
        <w:rPr>
          <w:sz w:val="24"/>
          <w:szCs w:val="24"/>
        </w:rPr>
        <w:t xml:space="preserve">A partir de 1985, inicia-se um combate mais unificado e nacional da </w:t>
      </w:r>
      <w:proofErr w:type="gramStart"/>
      <w:r>
        <w:rPr>
          <w:sz w:val="24"/>
          <w:szCs w:val="24"/>
        </w:rPr>
        <w:t>epidemia..</w:t>
      </w:r>
      <w:proofErr w:type="gramEnd"/>
      <w:r>
        <w:rPr>
          <w:sz w:val="24"/>
          <w:szCs w:val="24"/>
        </w:rPr>
        <w:t xml:space="preserve"> Ademais, em maio desse mesmo ano, é instaurada, pelo Ministério da Saúde, a portaria nº 236 (Brasil, 1985), que tratava sobre as recomendações quanto à Aids em âmbito nacional. De forma geral, a portaria apontava o combate da </w:t>
      </w:r>
      <w:proofErr w:type="gramStart"/>
      <w:r>
        <w:rPr>
          <w:sz w:val="24"/>
          <w:szCs w:val="24"/>
        </w:rPr>
        <w:t>Aids  por</w:t>
      </w:r>
      <w:proofErr w:type="gramEnd"/>
      <w:r>
        <w:rPr>
          <w:sz w:val="24"/>
          <w:szCs w:val="24"/>
        </w:rPr>
        <w:t xml:space="preserve"> meio da regulação de comportamentos de risco. </w:t>
      </w:r>
    </w:p>
    <w:p w:rsidR="00643D15" w:rsidRDefault="00792F97" w:rsidP="00F01414">
      <w:pPr>
        <w:spacing w:line="360" w:lineRule="auto"/>
        <w:ind w:firstLine="709"/>
        <w:jc w:val="both"/>
        <w:rPr>
          <w:sz w:val="24"/>
          <w:szCs w:val="24"/>
        </w:rPr>
      </w:pPr>
      <w:r>
        <w:rPr>
          <w:sz w:val="24"/>
          <w:szCs w:val="24"/>
        </w:rPr>
        <w:t xml:space="preserve">A partir da década de 1990, no entanto, </w:t>
      </w:r>
      <w:proofErr w:type="gramStart"/>
      <w:r>
        <w:rPr>
          <w:sz w:val="24"/>
          <w:szCs w:val="24"/>
        </w:rPr>
        <w:t>o perfil das políticas públicas de saúde voltadas para a Aids mostram</w:t>
      </w:r>
      <w:proofErr w:type="gramEnd"/>
      <w:r>
        <w:rPr>
          <w:sz w:val="24"/>
          <w:szCs w:val="24"/>
        </w:rPr>
        <w:t xml:space="preserve"> uma virada na noção unificadora de normas de combate ao vírus HIV propagada pela portaria nº 236. Isto porque, segundo Pires (2006), os projetos como o Aids I e </w:t>
      </w:r>
      <w:proofErr w:type="gramStart"/>
      <w:r>
        <w:rPr>
          <w:sz w:val="24"/>
          <w:szCs w:val="24"/>
        </w:rPr>
        <w:t>II  apresentam</w:t>
      </w:r>
      <w:proofErr w:type="gramEnd"/>
      <w:r>
        <w:rPr>
          <w:sz w:val="24"/>
          <w:szCs w:val="24"/>
        </w:rPr>
        <w:t xml:space="preserve"> um novo pensamento na política de saúde voltada para o HIV ao apontar a necessidade de descentralização e individualização do tratamento. Tal ideia surge atrelada principalmente a uma mudança do perfil da epidemia, que passou a afetar grupos que não necessariamente se enquadravam na ideia de grupos de risco, como as mulheres casadas. Essa mudança no perfil </w:t>
      </w:r>
      <w:r>
        <w:rPr>
          <w:sz w:val="24"/>
          <w:szCs w:val="24"/>
        </w:rPr>
        <w:lastRenderedPageBreak/>
        <w:t xml:space="preserve">epidemiológico foi essencial ao se pensar novas políticas sobre a síndrome, que não mais consistiam em </w:t>
      </w:r>
      <w:proofErr w:type="spellStart"/>
      <w:r>
        <w:rPr>
          <w:sz w:val="24"/>
          <w:szCs w:val="24"/>
        </w:rPr>
        <w:t>culpabilizar</w:t>
      </w:r>
      <w:proofErr w:type="spellEnd"/>
      <w:r>
        <w:rPr>
          <w:sz w:val="24"/>
          <w:szCs w:val="24"/>
        </w:rPr>
        <w:t xml:space="preserve"> grupos minoritários. </w:t>
      </w:r>
    </w:p>
    <w:p w:rsidR="00643D15" w:rsidRDefault="00792F97" w:rsidP="00F01414">
      <w:pPr>
        <w:spacing w:line="360" w:lineRule="auto"/>
        <w:ind w:firstLine="709"/>
        <w:jc w:val="both"/>
        <w:rPr>
          <w:sz w:val="24"/>
          <w:szCs w:val="24"/>
        </w:rPr>
      </w:pPr>
      <w:r>
        <w:rPr>
          <w:sz w:val="24"/>
          <w:szCs w:val="24"/>
        </w:rPr>
        <w:t xml:space="preserve">É somente a partir da década de 2000, com a Portaria Ministerial nº 2.313 que </w:t>
      </w:r>
      <w:proofErr w:type="gramStart"/>
      <w:r>
        <w:rPr>
          <w:sz w:val="24"/>
          <w:szCs w:val="24"/>
        </w:rPr>
        <w:t>destinaram-se</w:t>
      </w:r>
      <w:proofErr w:type="gramEnd"/>
      <w:r>
        <w:rPr>
          <w:sz w:val="24"/>
          <w:szCs w:val="24"/>
        </w:rPr>
        <w:t xml:space="preserve"> maiores recursos para estudar e tratar a síndrome da imunodeficiência (Brasil, 2002). A partir daí, a Aids passa a possuir maior suporte do Sistema Único de Saúde e ser tratada e pesquisada com recursos governamentais.</w:t>
      </w:r>
    </w:p>
    <w:p w:rsidR="00643D15" w:rsidRDefault="00792F97" w:rsidP="00F01414">
      <w:pPr>
        <w:spacing w:line="360" w:lineRule="auto"/>
        <w:ind w:firstLine="709"/>
        <w:jc w:val="both"/>
        <w:rPr>
          <w:sz w:val="24"/>
          <w:szCs w:val="24"/>
        </w:rPr>
      </w:pPr>
      <w:r>
        <w:rPr>
          <w:sz w:val="24"/>
          <w:szCs w:val="24"/>
        </w:rPr>
        <w:t xml:space="preserve">Logo, é notável um inicial desprezo pela matéria e uma ausência de atenção aos grupos que foram inicialmente afetados pela síndrome. É visível como as políticas em torno da Aids se mostraram tardias no contexto brasileiro, especialmente quando reforçavam ideias como os grupos de risco, o que contribuiu para empecilhar o combate efetivo da síndrome sem a </w:t>
      </w:r>
      <w:proofErr w:type="spellStart"/>
      <w:r>
        <w:rPr>
          <w:sz w:val="24"/>
          <w:szCs w:val="24"/>
        </w:rPr>
        <w:t>estigmatização</w:t>
      </w:r>
      <w:proofErr w:type="spellEnd"/>
      <w:r>
        <w:rPr>
          <w:sz w:val="24"/>
          <w:szCs w:val="24"/>
        </w:rPr>
        <w:t xml:space="preserve"> de sujeitos. </w:t>
      </w:r>
    </w:p>
    <w:p w:rsidR="00643D15" w:rsidRDefault="00643D15">
      <w:pPr>
        <w:spacing w:line="360" w:lineRule="auto"/>
        <w:jc w:val="both"/>
        <w:rPr>
          <w:b/>
          <w:sz w:val="24"/>
          <w:szCs w:val="24"/>
        </w:rPr>
      </w:pPr>
    </w:p>
    <w:p w:rsidR="00643D15" w:rsidRDefault="00792F97">
      <w:pPr>
        <w:spacing w:line="360" w:lineRule="auto"/>
        <w:jc w:val="both"/>
        <w:rPr>
          <w:b/>
          <w:sz w:val="24"/>
          <w:szCs w:val="24"/>
        </w:rPr>
      </w:pPr>
      <w:r>
        <w:rPr>
          <w:b/>
          <w:sz w:val="24"/>
          <w:szCs w:val="24"/>
        </w:rPr>
        <w:t>3</w:t>
      </w:r>
      <w:r>
        <w:rPr>
          <w:b/>
          <w:sz w:val="24"/>
          <w:szCs w:val="24"/>
        </w:rPr>
        <w:tab/>
        <w:t xml:space="preserve">LEI E REALIDADE: O DIREITO À SAÚDE NAS PRISÕES </w:t>
      </w:r>
    </w:p>
    <w:p w:rsidR="005C721E" w:rsidRDefault="005C721E">
      <w:pPr>
        <w:spacing w:line="360" w:lineRule="auto"/>
        <w:jc w:val="both"/>
        <w:rPr>
          <w:sz w:val="24"/>
          <w:szCs w:val="24"/>
        </w:rPr>
      </w:pPr>
    </w:p>
    <w:p w:rsidR="00643D15" w:rsidRDefault="00792F97" w:rsidP="00F01414">
      <w:pPr>
        <w:spacing w:line="360" w:lineRule="auto"/>
        <w:ind w:firstLine="709"/>
        <w:jc w:val="both"/>
        <w:rPr>
          <w:sz w:val="24"/>
          <w:szCs w:val="24"/>
        </w:rPr>
      </w:pPr>
      <w:r>
        <w:rPr>
          <w:sz w:val="24"/>
          <w:szCs w:val="24"/>
        </w:rPr>
        <w:tab/>
        <w:t>O direito à saúde, como explicitado anteriormente, decorre de uma garantia constitucional preconizada na Constituição Federal de 1988. Nesse sentido, o Estado deve promover o direito à saúde a todos, sem distinção. A partir disso, com o intuito de organizar um sistema que pudesse “distribuir” a saúde à população brasileira, criou-se, em 1990, duas legislações: a Lei nº 8.080/1990 e a Lei n° 8.142/1990. Contudo, nem todos foram abarcados por essas disposições legislativas, uma vez que essas normatizações não adentraram os muros das prisões. As pessoas privadas de liberdade não eram assistidas por esse direito, nem sequer tinham expectativa de quaisquer políticas públicas (Bonatto, 2015).</w:t>
      </w:r>
    </w:p>
    <w:p w:rsidR="00643D15" w:rsidRDefault="00792F97" w:rsidP="00F01414">
      <w:pPr>
        <w:spacing w:line="360" w:lineRule="auto"/>
        <w:ind w:firstLine="709"/>
        <w:jc w:val="both"/>
        <w:rPr>
          <w:sz w:val="24"/>
          <w:szCs w:val="24"/>
        </w:rPr>
      </w:pPr>
      <w:r>
        <w:rPr>
          <w:sz w:val="24"/>
          <w:szCs w:val="24"/>
        </w:rPr>
        <w:tab/>
        <w:t xml:space="preserve">No Brasil contemporâneo, as pessoas em situação de privação de liberdade, as quais estão sob a tutela estatal, possuem todos os direitos fundamentais assegurados, pelo menos em tese, como a preservação de sua integridade física e moral, bem como a sua dignidade humana. Inclusive, a Lei de Execução Penal (Lei nº 7.210/1984), anterior à própria Constituição, já previa, no artigo 41, inciso VII, o direito </w:t>
      </w:r>
      <w:r>
        <w:rPr>
          <w:sz w:val="24"/>
          <w:szCs w:val="24"/>
        </w:rPr>
        <w:lastRenderedPageBreak/>
        <w:t xml:space="preserve">do preso à saúde e obrigação do Estado brasileiro, não podendo ser suspensa ou restringida (Brasil, 1984).  </w:t>
      </w:r>
    </w:p>
    <w:p w:rsidR="00643D15" w:rsidRDefault="00792F97" w:rsidP="00F01414">
      <w:pPr>
        <w:spacing w:line="360" w:lineRule="auto"/>
        <w:ind w:firstLine="709"/>
        <w:jc w:val="both"/>
        <w:rPr>
          <w:sz w:val="24"/>
          <w:szCs w:val="24"/>
        </w:rPr>
      </w:pPr>
      <w:r>
        <w:rPr>
          <w:sz w:val="24"/>
          <w:szCs w:val="24"/>
        </w:rPr>
        <w:tab/>
        <w:t>Porém, na contramão das normas constitucionais, a política pública de saúde é tratada sob a ótica da omissão, da negligência e da violação contínua. Bonatto (2015, p. 86) denuncia que o “Estado é negligente com a questão da saúde nas instituições penitenciárias, pois não observa e não toma decisões a respeito da ausência de assistência à saúde existente nas prisões”. Nesse espeque, há uma negação de vida, porque a saúde é o bem mais vital entre todos os direitos fundamentais.</w:t>
      </w:r>
    </w:p>
    <w:p w:rsidR="00643D15" w:rsidRDefault="00792F97" w:rsidP="00F01414">
      <w:pPr>
        <w:spacing w:line="360" w:lineRule="auto"/>
        <w:ind w:firstLine="709"/>
        <w:jc w:val="both"/>
        <w:rPr>
          <w:sz w:val="24"/>
          <w:szCs w:val="24"/>
        </w:rPr>
      </w:pPr>
      <w:r>
        <w:rPr>
          <w:sz w:val="24"/>
          <w:szCs w:val="24"/>
        </w:rPr>
        <w:tab/>
        <w:t>No viés de universalização do direito à saúde, sobretudo no sistema penitenciário, foi criado em 2003 o Plano Nacional de Saúde no Sistema Penitenciário (PNSSP). A partir desse marco, a população carcerária passou a ser formalmente reconhecida como integrante do SUS. Mesmo assim, sua implementação mostrou-se fragmentada, limitada por questões estruturais e por uma cultura institucional que não reconhece o preso como sujeito de direitos. De fato, o plano nasceu mais como resposta emergencial às pressões internacionais do que como desdobramento natural da política pública nacional (Bonatto, 2015).</w:t>
      </w:r>
    </w:p>
    <w:p w:rsidR="00643D15" w:rsidRDefault="00792F97" w:rsidP="00F01414">
      <w:pPr>
        <w:spacing w:line="360" w:lineRule="auto"/>
        <w:ind w:firstLine="709"/>
        <w:jc w:val="both"/>
        <w:rPr>
          <w:sz w:val="24"/>
          <w:szCs w:val="24"/>
        </w:rPr>
      </w:pPr>
      <w:r>
        <w:rPr>
          <w:sz w:val="24"/>
          <w:szCs w:val="24"/>
        </w:rPr>
        <w:tab/>
        <w:t>Uma década mais tarde, em 2014, foi criada a Política Nacional de Atenção Integral à Saúde das Pessoas Privadas de Liberdade no Sistema Prisional (PNAISP), com a promessa de integrar de forma mais efetiva as ações de saúde da população presa à rede pública. Ainda assim, como demonstrado pelo Escritório das Nações Unidas sobre Drogas e Crime (UNODC), os programas de saúde específicos para o HIV enfrentam resistência dentro das prisões, tanto por estigma quanto pela ausência de infraestrutura básica e recursos humanos capacitados (2007). Em outras palavras, as celas superlotadas são acompanhadas de violência, insalubridade, maus-tratos, doenças e degradação, sendo um ambiente propício para a propagação de doenças.</w:t>
      </w:r>
    </w:p>
    <w:p w:rsidR="00643D15" w:rsidRDefault="00792F97" w:rsidP="00F01414">
      <w:pPr>
        <w:spacing w:line="360" w:lineRule="auto"/>
        <w:ind w:firstLine="709"/>
        <w:jc w:val="both"/>
        <w:rPr>
          <w:sz w:val="24"/>
          <w:szCs w:val="24"/>
        </w:rPr>
      </w:pPr>
      <w:r>
        <w:rPr>
          <w:sz w:val="24"/>
          <w:szCs w:val="24"/>
        </w:rPr>
        <w:tab/>
        <w:t xml:space="preserve">Segundo o Relatório de Informações Penitenciárias do segundo semestre de 2024, produzido pelo Ministério da Justiça, 12.912 pessoas em privação de liberdade estavam em acompanhamento com diagnóstico de HIV, revelando a persistência de </w:t>
      </w:r>
      <w:r>
        <w:rPr>
          <w:sz w:val="24"/>
          <w:szCs w:val="24"/>
        </w:rPr>
        <w:lastRenderedPageBreak/>
        <w:t xml:space="preserve">um cenário de adoecimento coletivo ocultado pela institucionalidade punitiva. O mesmo relatório destaca que a incidência é maior entre homens e, levando em consideração que esse ambiente é composto </w:t>
      </w:r>
      <w:proofErr w:type="gramStart"/>
      <w:r>
        <w:rPr>
          <w:sz w:val="24"/>
          <w:szCs w:val="24"/>
        </w:rPr>
        <w:t>majoritariamente  de</w:t>
      </w:r>
      <w:proofErr w:type="gramEnd"/>
      <w:r>
        <w:rPr>
          <w:sz w:val="24"/>
          <w:szCs w:val="24"/>
        </w:rPr>
        <w:t xml:space="preserve"> pessoas negras e com baixa escolaridade, ainda revela os contornos raciais e sociais da vulnerabilidade no cárcere.</w:t>
      </w:r>
    </w:p>
    <w:p w:rsidR="00643D15" w:rsidRDefault="00792F97" w:rsidP="00F01414">
      <w:pPr>
        <w:spacing w:line="360" w:lineRule="auto"/>
        <w:ind w:firstLine="709"/>
        <w:jc w:val="both"/>
        <w:rPr>
          <w:sz w:val="24"/>
          <w:szCs w:val="24"/>
        </w:rPr>
      </w:pPr>
      <w:r>
        <w:rPr>
          <w:sz w:val="24"/>
          <w:szCs w:val="24"/>
        </w:rPr>
        <w:t xml:space="preserve">A omissão estatal </w:t>
      </w:r>
      <w:proofErr w:type="gramStart"/>
      <w:r>
        <w:rPr>
          <w:sz w:val="24"/>
          <w:szCs w:val="24"/>
        </w:rPr>
        <w:t>diante da medidas concernentes</w:t>
      </w:r>
      <w:proofErr w:type="gramEnd"/>
      <w:r>
        <w:rPr>
          <w:sz w:val="24"/>
          <w:szCs w:val="24"/>
        </w:rPr>
        <w:t xml:space="preserve"> à saúde no cárcere não é uma falha, mas sim escolha política. Como já apontam </w:t>
      </w:r>
      <w:proofErr w:type="spellStart"/>
      <w:r>
        <w:rPr>
          <w:sz w:val="24"/>
          <w:szCs w:val="24"/>
        </w:rPr>
        <w:t>Agosti</w:t>
      </w:r>
      <w:proofErr w:type="spellEnd"/>
      <w:r>
        <w:rPr>
          <w:sz w:val="24"/>
          <w:szCs w:val="24"/>
        </w:rPr>
        <w:t xml:space="preserve"> e Silva (2014), a disseminação do HIV nos presídios decorre diretamente das condições insalubres, do abandono sanitário e da ausência de campanhas de informação adequadas, que, aliadas à superlotação e ao consumo exponencial de drogas injetáveis, contribuem para o agravamento da epidemia. Dessa maneira, o sistema prisional, sendo um </w:t>
      </w:r>
      <w:proofErr w:type="spellStart"/>
      <w:r>
        <w:rPr>
          <w:i/>
          <w:sz w:val="24"/>
          <w:szCs w:val="24"/>
        </w:rPr>
        <w:t>locus</w:t>
      </w:r>
      <w:proofErr w:type="spellEnd"/>
      <w:r>
        <w:rPr>
          <w:sz w:val="24"/>
          <w:szCs w:val="24"/>
        </w:rPr>
        <w:t xml:space="preserve"> de abandono, é, igualmente, um ambiente frutífero de para doenças transmissíveis.</w:t>
      </w:r>
    </w:p>
    <w:p w:rsidR="00643D15" w:rsidRDefault="00792F97" w:rsidP="00F01414">
      <w:pPr>
        <w:spacing w:line="360" w:lineRule="auto"/>
        <w:ind w:firstLine="709"/>
        <w:jc w:val="both"/>
        <w:rPr>
          <w:sz w:val="24"/>
          <w:szCs w:val="24"/>
        </w:rPr>
      </w:pPr>
      <w:r>
        <w:rPr>
          <w:sz w:val="24"/>
          <w:szCs w:val="24"/>
        </w:rPr>
        <w:t xml:space="preserve">De modo mais específico, pode-se afirmar que a estrutura institucionalizada no Estado brasileiro banaliza a saúde intramuros das prisões, mesmo que haja disposições legais que garantam esse direito às pessoas privadas de liberdade. O que se observa, na prática, é um “estado de exceção” permanente nas penitenciárias. Na leitura </w:t>
      </w:r>
      <w:proofErr w:type="spellStart"/>
      <w:r>
        <w:rPr>
          <w:sz w:val="24"/>
          <w:szCs w:val="24"/>
        </w:rPr>
        <w:t>Agamben</w:t>
      </w:r>
      <w:proofErr w:type="spellEnd"/>
      <w:r>
        <w:rPr>
          <w:sz w:val="24"/>
          <w:szCs w:val="24"/>
        </w:rPr>
        <w:t xml:space="preserve"> (2004), o estado de exceção não é apenas a suspensão temporária das normas jurídicas, mas a própria norma em operação dentro de determinados espaços sociais, tornando-se a regra. É nesse ponto que as prisões brasileiras materializam esse conceito ao tornarem a violação da lei o mecanismo pelo qual o próprio ordenamento jurídico se sustenta.</w:t>
      </w:r>
    </w:p>
    <w:p w:rsidR="00643D15" w:rsidRDefault="00792F97" w:rsidP="00F01414">
      <w:pPr>
        <w:spacing w:line="360" w:lineRule="auto"/>
        <w:ind w:firstLine="709"/>
        <w:jc w:val="both"/>
        <w:rPr>
          <w:sz w:val="24"/>
          <w:szCs w:val="24"/>
        </w:rPr>
      </w:pPr>
      <w:r>
        <w:rPr>
          <w:sz w:val="24"/>
          <w:szCs w:val="24"/>
        </w:rPr>
        <w:t xml:space="preserve">Nessa perspectiva, percebe-se que a legislação existente se assemelha mais a uma ficção normativa: está presente no papel, mas ausente na realidade prisional. Sendo assim, esse descompasso entre lei e realidade diante do sofrimento soropositivo nas prisões reforça a ideia de </w:t>
      </w:r>
      <w:proofErr w:type="spellStart"/>
      <w:r>
        <w:rPr>
          <w:sz w:val="24"/>
          <w:szCs w:val="24"/>
        </w:rPr>
        <w:t>necropolítica</w:t>
      </w:r>
      <w:proofErr w:type="spellEnd"/>
      <w:r>
        <w:rPr>
          <w:sz w:val="24"/>
          <w:szCs w:val="24"/>
        </w:rPr>
        <w:t xml:space="preserve"> proposta por </w:t>
      </w:r>
      <w:proofErr w:type="spellStart"/>
      <w:r>
        <w:rPr>
          <w:sz w:val="24"/>
          <w:szCs w:val="24"/>
        </w:rPr>
        <w:t>Mbembe</w:t>
      </w:r>
      <w:proofErr w:type="spellEnd"/>
      <w:r>
        <w:rPr>
          <w:sz w:val="24"/>
          <w:szCs w:val="24"/>
        </w:rPr>
        <w:t xml:space="preserve">: o poder de decidir quem deve viver e quem pode morrer manifesta-se na recusa silenciosa ao acesso à saúde </w:t>
      </w:r>
      <w:proofErr w:type="gramStart"/>
      <w:r>
        <w:rPr>
          <w:sz w:val="24"/>
          <w:szCs w:val="24"/>
        </w:rPr>
        <w:t>( 2018</w:t>
      </w:r>
      <w:proofErr w:type="gramEnd"/>
      <w:r>
        <w:rPr>
          <w:sz w:val="24"/>
          <w:szCs w:val="24"/>
        </w:rPr>
        <w:t>). Não se trata, portanto, de apenas permitir que o corpo adoeça, mas de produzir a doença como instrumento de gestão da vida indesejada.</w:t>
      </w:r>
    </w:p>
    <w:p w:rsidR="00643D15" w:rsidRDefault="00792F97" w:rsidP="00F01414">
      <w:pPr>
        <w:spacing w:line="360" w:lineRule="auto"/>
        <w:ind w:firstLine="709"/>
        <w:jc w:val="both"/>
        <w:rPr>
          <w:sz w:val="24"/>
          <w:szCs w:val="24"/>
        </w:rPr>
      </w:pPr>
      <w:r>
        <w:rPr>
          <w:sz w:val="24"/>
          <w:szCs w:val="24"/>
        </w:rPr>
        <w:lastRenderedPageBreak/>
        <w:t>Assim, é imperioso que as políticas atinentes à saúde no sistema penitenciário estejam fincadas em princípios constitucionais, como a dignidade humana e a não discriminação, para que, assim, seja possibilitado o acesso equivalente ao da comunidade não aprisionada.</w:t>
      </w:r>
    </w:p>
    <w:p w:rsidR="00643D15" w:rsidRDefault="00643D15">
      <w:pPr>
        <w:spacing w:line="360" w:lineRule="auto"/>
        <w:jc w:val="both"/>
        <w:rPr>
          <w:color w:val="222222"/>
          <w:sz w:val="18"/>
          <w:szCs w:val="18"/>
          <w:shd w:val="clear" w:color="auto" w:fill="EBF7FB"/>
        </w:rPr>
      </w:pPr>
    </w:p>
    <w:p w:rsidR="00643D15" w:rsidRDefault="00792F97">
      <w:pPr>
        <w:spacing w:line="360" w:lineRule="auto"/>
        <w:jc w:val="both"/>
        <w:rPr>
          <w:b/>
          <w:sz w:val="24"/>
          <w:szCs w:val="24"/>
        </w:rPr>
      </w:pPr>
      <w:r>
        <w:rPr>
          <w:b/>
          <w:sz w:val="24"/>
          <w:szCs w:val="24"/>
        </w:rPr>
        <w:t>4</w:t>
      </w:r>
      <w:r>
        <w:rPr>
          <w:b/>
          <w:sz w:val="24"/>
          <w:szCs w:val="24"/>
        </w:rPr>
        <w:tab/>
        <w:t>DADOS SOBRE A AIDS NO SISTEMA CARCERÁRIO: análise qualitativa</w:t>
      </w:r>
    </w:p>
    <w:p w:rsidR="005C721E" w:rsidRDefault="005C721E">
      <w:pPr>
        <w:spacing w:line="360" w:lineRule="auto"/>
        <w:jc w:val="both"/>
        <w:rPr>
          <w:sz w:val="24"/>
          <w:szCs w:val="24"/>
        </w:rPr>
      </w:pPr>
    </w:p>
    <w:p w:rsidR="00643D15" w:rsidRDefault="00792F97" w:rsidP="00F01414">
      <w:pPr>
        <w:spacing w:line="360" w:lineRule="auto"/>
        <w:ind w:firstLine="709"/>
        <w:jc w:val="both"/>
        <w:rPr>
          <w:sz w:val="24"/>
          <w:szCs w:val="24"/>
        </w:rPr>
      </w:pPr>
      <w:r>
        <w:rPr>
          <w:sz w:val="24"/>
          <w:szCs w:val="24"/>
        </w:rPr>
        <w:t xml:space="preserve">De acordo com o portal da câmara dos deputados (Brasil, 2022), há uma ausência de dados efetivos sobre as doenças que assolam pessoas em situação de liberdade, tendo em vista uma subnotificação dessa situação. </w:t>
      </w:r>
    </w:p>
    <w:p w:rsidR="00643D15" w:rsidRDefault="00792F97" w:rsidP="00F01414">
      <w:pPr>
        <w:spacing w:line="360" w:lineRule="auto"/>
        <w:ind w:firstLine="709"/>
        <w:jc w:val="both"/>
        <w:rPr>
          <w:sz w:val="24"/>
          <w:szCs w:val="24"/>
        </w:rPr>
      </w:pPr>
      <w:r>
        <w:rPr>
          <w:sz w:val="24"/>
          <w:szCs w:val="24"/>
        </w:rPr>
        <w:t xml:space="preserve">Dos casos registrados, em 2021, o número de detentos que apresentavam HIV era de 10.183, maior que os casos de sepse, tuberculose e sífilis, as demais doenças infecciosas mais registradas. O quantitativo se mostra alarmante, principalmente se for visto o crescimento desse número ao longo dos anos, o que evidencia que os meios de prevenção de transmissão não se mostram eficazes nesses ambientes. </w:t>
      </w:r>
    </w:p>
    <w:p w:rsidR="00643D15" w:rsidRDefault="00792F97" w:rsidP="00F01414">
      <w:pPr>
        <w:spacing w:line="360" w:lineRule="auto"/>
        <w:ind w:firstLine="709"/>
        <w:jc w:val="both"/>
        <w:rPr>
          <w:sz w:val="24"/>
          <w:szCs w:val="24"/>
        </w:rPr>
      </w:pPr>
      <w:r>
        <w:rPr>
          <w:sz w:val="24"/>
          <w:szCs w:val="24"/>
        </w:rPr>
        <w:t xml:space="preserve">Ademais, dados da Secretaria de Administração Penitenciária de Campinas de 2024 revelaram ainda que o número de novos casos no de Aids no sistema penitenciário revelou o maior índice de aumento registrado na história, o que evidencia a insuficiência de políticas de prevenção e cuidado com o HIV (Castro, 2025). </w:t>
      </w:r>
    </w:p>
    <w:p w:rsidR="00643D15" w:rsidRDefault="00792F97" w:rsidP="00F01414">
      <w:pPr>
        <w:spacing w:line="360" w:lineRule="auto"/>
        <w:ind w:firstLine="709"/>
        <w:jc w:val="both"/>
        <w:rPr>
          <w:sz w:val="24"/>
          <w:szCs w:val="24"/>
        </w:rPr>
      </w:pPr>
      <w:r>
        <w:rPr>
          <w:sz w:val="24"/>
          <w:szCs w:val="24"/>
        </w:rPr>
        <w:t xml:space="preserve">Ademais, é perceptível uma tendência à negação de direitos fundamentais </w:t>
      </w:r>
      <w:proofErr w:type="gramStart"/>
      <w:r>
        <w:rPr>
          <w:sz w:val="24"/>
          <w:szCs w:val="24"/>
        </w:rPr>
        <w:t>de  pessoas</w:t>
      </w:r>
      <w:proofErr w:type="gramEnd"/>
      <w:r>
        <w:rPr>
          <w:sz w:val="24"/>
          <w:szCs w:val="24"/>
        </w:rPr>
        <w:t xml:space="preserve"> que convivem com o HIV dentro de unidades prisionais. Isto porque a ausência de tratamento adequado e as sequelas decorrentes dessa precariedade refletem diretamente uma exclusão de corpos que, uma vez negados enquanto merecedores do cuidado do Estado, se tornam ainda mais vulneráveis à desigualdade, à falta de oportunidades e às mazelas sociais ocasionadas pelo cárcere. </w:t>
      </w:r>
    </w:p>
    <w:p w:rsidR="00643D15" w:rsidRDefault="00792F97" w:rsidP="00F01414">
      <w:pPr>
        <w:spacing w:line="360" w:lineRule="auto"/>
        <w:ind w:firstLine="709"/>
        <w:jc w:val="both"/>
        <w:rPr>
          <w:sz w:val="24"/>
          <w:szCs w:val="24"/>
        </w:rPr>
      </w:pPr>
      <w:r>
        <w:rPr>
          <w:sz w:val="24"/>
          <w:szCs w:val="24"/>
        </w:rPr>
        <w:t xml:space="preserve">É essencial ainda a compreensão de que a marginalização da população que convive com o HIV, atualmente, no território brasileiro, é iniciada antes mesmo do contato com o vírus, uma vez que as populações historicamente </w:t>
      </w:r>
      <w:proofErr w:type="spellStart"/>
      <w:r>
        <w:rPr>
          <w:sz w:val="24"/>
          <w:szCs w:val="24"/>
        </w:rPr>
        <w:t>vulnerabilizadas</w:t>
      </w:r>
      <w:proofErr w:type="spellEnd"/>
      <w:r>
        <w:rPr>
          <w:sz w:val="24"/>
          <w:szCs w:val="24"/>
        </w:rPr>
        <w:t xml:space="preserve"> são </w:t>
      </w:r>
      <w:r>
        <w:rPr>
          <w:sz w:val="24"/>
          <w:szCs w:val="24"/>
        </w:rPr>
        <w:lastRenderedPageBreak/>
        <w:t xml:space="preserve">as que estão mais expostas à infecção, conforme os dados elucidados por </w:t>
      </w:r>
      <w:proofErr w:type="spellStart"/>
      <w:r>
        <w:rPr>
          <w:sz w:val="24"/>
          <w:szCs w:val="24"/>
        </w:rPr>
        <w:t>Bossonario</w:t>
      </w:r>
      <w:proofErr w:type="spellEnd"/>
      <w:r>
        <w:rPr>
          <w:sz w:val="24"/>
          <w:szCs w:val="24"/>
        </w:rPr>
        <w:t xml:space="preserve"> (2024):</w:t>
      </w:r>
    </w:p>
    <w:p w:rsidR="00643D15" w:rsidRDefault="00792F97" w:rsidP="00F01414">
      <w:pPr>
        <w:spacing w:line="240" w:lineRule="auto"/>
        <w:ind w:left="2268"/>
        <w:jc w:val="both"/>
        <w:rPr>
          <w:sz w:val="20"/>
          <w:szCs w:val="20"/>
        </w:rPr>
      </w:pPr>
      <w:r>
        <w:rPr>
          <w:sz w:val="20"/>
          <w:szCs w:val="20"/>
        </w:rPr>
        <w:t>Quanto ao predomínio de sujeitos autodeclarados pretos, na população geral, 51,5% dos casos de HIV registrados no Sistema de Informação de Agravos de Notificação (</w:t>
      </w:r>
      <w:proofErr w:type="spellStart"/>
      <w:r>
        <w:rPr>
          <w:sz w:val="20"/>
          <w:szCs w:val="20"/>
        </w:rPr>
        <w:t>Sinan</w:t>
      </w:r>
      <w:proofErr w:type="spellEnd"/>
      <w:r>
        <w:rPr>
          <w:sz w:val="20"/>
          <w:szCs w:val="20"/>
        </w:rPr>
        <w:t>) correspondiam a esse grupo social que, antes mesmo da condição de privação de liberdade, possivelmente, foi privado de vários direitos sociais ao longo da vida, com destaque para a educação e emprego.</w:t>
      </w:r>
    </w:p>
    <w:p w:rsidR="00F01414" w:rsidRDefault="00F01414" w:rsidP="00F01414">
      <w:pPr>
        <w:spacing w:line="240" w:lineRule="auto"/>
        <w:ind w:left="2268"/>
        <w:jc w:val="both"/>
        <w:rPr>
          <w:sz w:val="20"/>
          <w:szCs w:val="20"/>
        </w:rPr>
      </w:pPr>
    </w:p>
    <w:p w:rsidR="00643D15" w:rsidRDefault="00792F97" w:rsidP="00F01414">
      <w:pPr>
        <w:spacing w:line="360" w:lineRule="auto"/>
        <w:ind w:firstLine="709"/>
        <w:jc w:val="both"/>
        <w:rPr>
          <w:sz w:val="24"/>
          <w:szCs w:val="24"/>
        </w:rPr>
      </w:pPr>
      <w:r>
        <w:rPr>
          <w:sz w:val="24"/>
          <w:szCs w:val="24"/>
        </w:rPr>
        <w:t xml:space="preserve">Diante disso, é nítido que a privação dos direitos sociais desses grupos influencia diretamente no acesso à educação e às políticas de saúde que contemplem a prevenção de doenças, como a Aids. Para além disso, o diagnóstico torna-se, não somente causa de exclusão, mas consequência desta. </w:t>
      </w:r>
    </w:p>
    <w:p w:rsidR="00643D15" w:rsidRDefault="00792F97" w:rsidP="00F01414">
      <w:pPr>
        <w:spacing w:line="360" w:lineRule="auto"/>
        <w:ind w:firstLine="709"/>
        <w:jc w:val="both"/>
        <w:rPr>
          <w:sz w:val="24"/>
          <w:szCs w:val="24"/>
        </w:rPr>
      </w:pPr>
      <w:r>
        <w:rPr>
          <w:sz w:val="24"/>
          <w:szCs w:val="24"/>
        </w:rPr>
        <w:t xml:space="preserve">Para além disso </w:t>
      </w:r>
      <w:proofErr w:type="spellStart"/>
      <w:r>
        <w:rPr>
          <w:sz w:val="24"/>
          <w:szCs w:val="24"/>
        </w:rPr>
        <w:t>Bossonario</w:t>
      </w:r>
      <w:proofErr w:type="spellEnd"/>
      <w:r>
        <w:rPr>
          <w:sz w:val="24"/>
          <w:szCs w:val="24"/>
        </w:rPr>
        <w:t xml:space="preserve"> (2024) afirma ainda uma necessidade de atenção às exposições derivadas da instabilidade do tratamento da Aids nas Unidades Prisionais, tendo em vista que 40% das pessoas em privação de liberdade com Aids relatam interrupções durante o tratamento e 52% apresentam doenças oportunistas. </w:t>
      </w:r>
    </w:p>
    <w:p w:rsidR="00643D15" w:rsidRDefault="00792F97" w:rsidP="00F01414">
      <w:pPr>
        <w:spacing w:line="360" w:lineRule="auto"/>
        <w:ind w:firstLine="709"/>
        <w:jc w:val="both"/>
        <w:rPr>
          <w:sz w:val="24"/>
          <w:szCs w:val="24"/>
        </w:rPr>
      </w:pPr>
      <w:r>
        <w:rPr>
          <w:sz w:val="24"/>
          <w:szCs w:val="24"/>
        </w:rPr>
        <w:t xml:space="preserve">A exposição às chamadas “doenças oportunistas” é outro fator que demonstra a dificuldade de manter um tratamento eficaz e estável em um ambiente penitenciário. Mesmo que haja um tratamento “formal” para o HIV, na prática, a exposição a doenças como a tuberculose, que afeta de maneira especial os indivíduos soropositivos, se apresenta como uma marca da ausência de especificidade e eficácia desse tratamento. </w:t>
      </w:r>
    </w:p>
    <w:p w:rsidR="00643D15" w:rsidRDefault="00792F97" w:rsidP="00F01414">
      <w:pPr>
        <w:spacing w:line="360" w:lineRule="auto"/>
        <w:ind w:firstLine="709"/>
        <w:jc w:val="both"/>
        <w:rPr>
          <w:sz w:val="24"/>
          <w:szCs w:val="24"/>
        </w:rPr>
      </w:pPr>
      <w:r>
        <w:rPr>
          <w:sz w:val="24"/>
          <w:szCs w:val="24"/>
        </w:rPr>
        <w:t xml:space="preserve">Cria-se, portanto, um estigma em torno de uma população que, já anteriormente violentada pela falta de acesso a direitos sociais, é completamente exposta às mazelas que decorrem da Aids, como a transmissão dentro dos próprios presídios e a piora do quadro clínico diante de um tratamento instável. </w:t>
      </w:r>
    </w:p>
    <w:p w:rsidR="00643D15" w:rsidRDefault="00792F97" w:rsidP="00F01414">
      <w:pPr>
        <w:spacing w:line="360" w:lineRule="auto"/>
        <w:ind w:firstLine="709"/>
        <w:jc w:val="both"/>
        <w:rPr>
          <w:sz w:val="24"/>
          <w:szCs w:val="24"/>
        </w:rPr>
      </w:pPr>
      <w:r>
        <w:rPr>
          <w:sz w:val="24"/>
          <w:szCs w:val="24"/>
        </w:rPr>
        <w:t xml:space="preserve">Tudo isso é ligado diretamente à noção de risco que envolve o imaginário popular e político em torno do HIV. Arraes (2015) ressalta que a ideia de risco e a consequente responsabilização pela transmissão da doença são mecanismos utilizados para marginalizar ainda mais os indivíduos que convivem com o HIV, mesmo que, em seu contexto social, não tenha tido acesso à educação ou a programas de saúde que o alcançassem, tornando-se mais expostos à síndrome. </w:t>
      </w:r>
    </w:p>
    <w:p w:rsidR="00643D15" w:rsidRDefault="00792F97" w:rsidP="00F01414">
      <w:pPr>
        <w:spacing w:line="360" w:lineRule="auto"/>
        <w:ind w:firstLine="709"/>
        <w:jc w:val="both"/>
        <w:rPr>
          <w:sz w:val="24"/>
          <w:szCs w:val="24"/>
        </w:rPr>
      </w:pPr>
      <w:r>
        <w:rPr>
          <w:sz w:val="24"/>
          <w:szCs w:val="24"/>
        </w:rPr>
        <w:lastRenderedPageBreak/>
        <w:t xml:space="preserve">Nesse contexto, os dados expressam uma realidade social de exclusão e violação dos direitos de pessoas que, pelo ambiente prisional e pelo HIV, se encontram em uma dupla </w:t>
      </w:r>
      <w:proofErr w:type="spellStart"/>
      <w:r>
        <w:rPr>
          <w:sz w:val="24"/>
          <w:szCs w:val="24"/>
        </w:rPr>
        <w:t>estigmatização</w:t>
      </w:r>
      <w:proofErr w:type="spellEnd"/>
      <w:r>
        <w:rPr>
          <w:sz w:val="24"/>
          <w:szCs w:val="24"/>
        </w:rPr>
        <w:t>.</w:t>
      </w:r>
    </w:p>
    <w:p w:rsidR="005C721E" w:rsidRDefault="005C721E" w:rsidP="00F01414">
      <w:pPr>
        <w:spacing w:line="360" w:lineRule="auto"/>
        <w:ind w:firstLine="709"/>
        <w:jc w:val="both"/>
        <w:rPr>
          <w:sz w:val="24"/>
          <w:szCs w:val="24"/>
        </w:rPr>
      </w:pPr>
    </w:p>
    <w:p w:rsidR="00643D15" w:rsidRDefault="00792F97">
      <w:pPr>
        <w:spacing w:line="360" w:lineRule="auto"/>
        <w:jc w:val="both"/>
        <w:rPr>
          <w:b/>
          <w:sz w:val="24"/>
          <w:szCs w:val="24"/>
        </w:rPr>
      </w:pPr>
      <w:r>
        <w:rPr>
          <w:b/>
          <w:sz w:val="24"/>
          <w:szCs w:val="24"/>
        </w:rPr>
        <w:t>5 CONSIDERAÇÕES FINAIS</w:t>
      </w:r>
    </w:p>
    <w:p w:rsidR="005C721E" w:rsidRDefault="005C721E">
      <w:pPr>
        <w:spacing w:line="360" w:lineRule="auto"/>
        <w:jc w:val="both"/>
        <w:rPr>
          <w:b/>
          <w:sz w:val="24"/>
          <w:szCs w:val="24"/>
        </w:rPr>
      </w:pPr>
    </w:p>
    <w:p w:rsidR="00643D15" w:rsidRDefault="00792F97" w:rsidP="00F01414">
      <w:pPr>
        <w:spacing w:line="360" w:lineRule="auto"/>
        <w:ind w:firstLine="709"/>
        <w:jc w:val="both"/>
        <w:rPr>
          <w:sz w:val="24"/>
          <w:szCs w:val="24"/>
        </w:rPr>
      </w:pPr>
      <w:r>
        <w:rPr>
          <w:b/>
          <w:sz w:val="24"/>
          <w:szCs w:val="24"/>
        </w:rPr>
        <w:tab/>
      </w:r>
      <w:r>
        <w:rPr>
          <w:sz w:val="24"/>
          <w:szCs w:val="24"/>
        </w:rPr>
        <w:t>Este trabalho buscou analisar o cenário alarmante da convivência com o HIV/Aids dentro do sistema prisional brasileiro, evidenciando como o cárcere, longe de ser apenas um espaço de cumprimento de penas, converte-se em um ambiente de intensificação das vulnerabilidades sociais e sanitárias. A análise demonstrou que o histórico de negligência estatal, aliado ao estigma persistente em torno do HIV, estrutura um contexto em que o direito à saúde é sistematicamente violado, especialmente no interior das prisões.</w:t>
      </w:r>
    </w:p>
    <w:p w:rsidR="00643D15" w:rsidRDefault="00792F97" w:rsidP="00F01414">
      <w:pPr>
        <w:spacing w:line="360" w:lineRule="auto"/>
        <w:ind w:firstLine="709"/>
        <w:jc w:val="both"/>
        <w:rPr>
          <w:sz w:val="24"/>
          <w:szCs w:val="24"/>
        </w:rPr>
      </w:pPr>
      <w:r>
        <w:rPr>
          <w:sz w:val="24"/>
          <w:szCs w:val="24"/>
        </w:rPr>
        <w:t xml:space="preserve">Ficou claro que, apesar da existência de um arcabouço legal robusto, que garante o direito à saúde a todas as pessoas privadas de liberdade, na prática, prevalece um estado de exceção, onde a norma constitucional é substituída por políticas (ou ausências delas) que naturalizam o adoecimento e a morte dessa população. Tal cenário expõe uma </w:t>
      </w:r>
      <w:proofErr w:type="spellStart"/>
      <w:r>
        <w:rPr>
          <w:sz w:val="24"/>
          <w:szCs w:val="24"/>
        </w:rPr>
        <w:t>necropolítica</w:t>
      </w:r>
      <w:proofErr w:type="spellEnd"/>
      <w:r>
        <w:rPr>
          <w:sz w:val="24"/>
          <w:szCs w:val="24"/>
        </w:rPr>
        <w:t xml:space="preserve"> operante, que seleciona quais vidas merecem ser protegidas e quais podem ser descartadas.</w:t>
      </w:r>
    </w:p>
    <w:p w:rsidR="00643D15" w:rsidRDefault="00792F97" w:rsidP="00F01414">
      <w:pPr>
        <w:spacing w:line="360" w:lineRule="auto"/>
        <w:ind w:firstLine="709"/>
        <w:jc w:val="both"/>
        <w:rPr>
          <w:sz w:val="24"/>
          <w:szCs w:val="24"/>
        </w:rPr>
      </w:pPr>
      <w:r>
        <w:rPr>
          <w:sz w:val="24"/>
          <w:szCs w:val="24"/>
        </w:rPr>
        <w:t>Os dados quantitativos reforçaram a gravidade do problema, apontando não apenas para o aumento expressivo dos casos de HIV/Aids no sistema carcerário, mas também para a insuficiência das ações estatais em conter o avanço da doença e garantir tratamento digno e contínuo. A recorrência de doenças contagiosas, as frequentes interrupções no tratamento e as condições estruturais precárias consolidam um ciclo de adoecimento que se perpetua.</w:t>
      </w:r>
    </w:p>
    <w:p w:rsidR="00643D15" w:rsidRDefault="00792F97" w:rsidP="00F01414">
      <w:pPr>
        <w:spacing w:line="360" w:lineRule="auto"/>
        <w:ind w:firstLine="709"/>
        <w:jc w:val="both"/>
        <w:rPr>
          <w:sz w:val="24"/>
          <w:szCs w:val="24"/>
        </w:rPr>
      </w:pPr>
      <w:r>
        <w:rPr>
          <w:sz w:val="24"/>
          <w:szCs w:val="24"/>
        </w:rPr>
        <w:t xml:space="preserve">Assim, é imperativo repensar o lugar da política pública de saúde no contexto penitenciário, reafirmando o compromisso com a dignidade humana e com a universalidade do SUS. Para além das disposições formais, faz-se urgente a implementação concreta de programas que rompam com a lógica do abandono e </w:t>
      </w:r>
      <w:r>
        <w:rPr>
          <w:sz w:val="24"/>
          <w:szCs w:val="24"/>
        </w:rPr>
        <w:lastRenderedPageBreak/>
        <w:t>reconheçam a pessoa privada de liberdade como sujeito de direitos plenos. Somente assim será possível enfrentar o holocausto silencioso que persiste por trás dos muros das prisões brasileiras.</w:t>
      </w:r>
    </w:p>
    <w:p w:rsidR="00F01414" w:rsidRDefault="00F01414" w:rsidP="00F01414">
      <w:pPr>
        <w:spacing w:line="360" w:lineRule="auto"/>
        <w:ind w:firstLine="709"/>
        <w:jc w:val="both"/>
        <w:rPr>
          <w:sz w:val="24"/>
          <w:szCs w:val="24"/>
        </w:rPr>
      </w:pPr>
    </w:p>
    <w:p w:rsidR="00643D15" w:rsidRDefault="00643D15">
      <w:pPr>
        <w:spacing w:line="360" w:lineRule="auto"/>
        <w:jc w:val="center"/>
        <w:rPr>
          <w:sz w:val="24"/>
          <w:szCs w:val="24"/>
        </w:rPr>
      </w:pPr>
    </w:p>
    <w:p w:rsidR="00643D15" w:rsidRDefault="00792F97">
      <w:pPr>
        <w:spacing w:line="360" w:lineRule="auto"/>
        <w:jc w:val="center"/>
        <w:rPr>
          <w:b/>
          <w:sz w:val="24"/>
          <w:szCs w:val="24"/>
        </w:rPr>
      </w:pPr>
      <w:r>
        <w:rPr>
          <w:b/>
          <w:sz w:val="24"/>
          <w:szCs w:val="24"/>
        </w:rPr>
        <w:t>REFERÊNCIAS</w:t>
      </w:r>
    </w:p>
    <w:p w:rsidR="005C721E" w:rsidRDefault="005C721E">
      <w:pPr>
        <w:spacing w:line="360" w:lineRule="auto"/>
        <w:jc w:val="center"/>
        <w:rPr>
          <w:sz w:val="24"/>
          <w:szCs w:val="24"/>
        </w:rPr>
      </w:pPr>
    </w:p>
    <w:p w:rsidR="00643D15" w:rsidRDefault="00792F97" w:rsidP="00F01414">
      <w:pPr>
        <w:spacing w:line="240" w:lineRule="auto"/>
        <w:rPr>
          <w:sz w:val="24"/>
          <w:szCs w:val="24"/>
        </w:rPr>
      </w:pPr>
      <w:r>
        <w:rPr>
          <w:sz w:val="24"/>
          <w:szCs w:val="24"/>
        </w:rPr>
        <w:t xml:space="preserve">AGAMBEN, G. </w:t>
      </w:r>
      <w:r>
        <w:rPr>
          <w:b/>
          <w:sz w:val="24"/>
          <w:szCs w:val="24"/>
        </w:rPr>
        <w:t>Estado de exceção</w:t>
      </w:r>
      <w:r>
        <w:rPr>
          <w:sz w:val="24"/>
          <w:szCs w:val="24"/>
        </w:rPr>
        <w:t xml:space="preserve">. Tradução de Iraci D. </w:t>
      </w:r>
      <w:proofErr w:type="spellStart"/>
      <w:r>
        <w:rPr>
          <w:sz w:val="24"/>
          <w:szCs w:val="24"/>
        </w:rPr>
        <w:t>Poleti</w:t>
      </w:r>
      <w:proofErr w:type="spellEnd"/>
      <w:r>
        <w:rPr>
          <w:sz w:val="24"/>
          <w:szCs w:val="24"/>
        </w:rPr>
        <w:t xml:space="preserve">. 2. ed. São Paulo: </w:t>
      </w:r>
      <w:proofErr w:type="spellStart"/>
      <w:r>
        <w:rPr>
          <w:sz w:val="24"/>
          <w:szCs w:val="24"/>
        </w:rPr>
        <w:t>Boitempo</w:t>
      </w:r>
      <w:proofErr w:type="spellEnd"/>
      <w:r>
        <w:rPr>
          <w:sz w:val="24"/>
          <w:szCs w:val="24"/>
        </w:rPr>
        <w:t>, 2004.</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AGOSTI, O. G.; SILVA, P. J. da. A disseminação do vírus HIV e a responsabilidade do Estado no controle da epidemia nos presídios do Brasil. Revista da Faculdade de Direito da FMP, Porto Alegre, n. 9, p. 247–270, 2014.</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ARRAES, G. R. de A. </w:t>
      </w:r>
      <w:r>
        <w:rPr>
          <w:b/>
          <w:sz w:val="24"/>
          <w:szCs w:val="24"/>
        </w:rPr>
        <w:t>Entre o desejo e a culpa</w:t>
      </w:r>
      <w:r>
        <w:rPr>
          <w:sz w:val="24"/>
          <w:szCs w:val="24"/>
        </w:rPr>
        <w:t>: a transformação do comportamento sexual e as mudanças da noção de risco nas campanhas de prevenção à aids no Brasil (1981-2013) e Estados Unidos durante a década de 1980. 2015. 319 f. Tese (Doutorado em História) – Programa de Pós-Graduação em História, Universidade Federal de Santa Catarina, Florianópolis, 2015. Disponível em:https://repositorio.ufsc.br/handle/123456789/</w:t>
      </w:r>
      <w:proofErr w:type="gramStart"/>
      <w:r>
        <w:rPr>
          <w:sz w:val="24"/>
          <w:szCs w:val="24"/>
        </w:rPr>
        <w:t>160558?show</w:t>
      </w:r>
      <w:proofErr w:type="gramEnd"/>
      <w:r>
        <w:rPr>
          <w:sz w:val="24"/>
          <w:szCs w:val="24"/>
        </w:rPr>
        <w:t>=full. Acesso em: 26 jun. 2025.</w:t>
      </w:r>
    </w:p>
    <w:p w:rsidR="00F01414" w:rsidRDefault="00F01414"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BONATTO, B. M. </w:t>
      </w:r>
      <w:r>
        <w:rPr>
          <w:b/>
          <w:sz w:val="24"/>
          <w:szCs w:val="24"/>
        </w:rPr>
        <w:t>Ausência trágica</w:t>
      </w:r>
      <w:r>
        <w:rPr>
          <w:sz w:val="24"/>
          <w:szCs w:val="24"/>
        </w:rPr>
        <w:t>: a tardia emergência das questões de saúde no ambiente penitenciário. 2015. 112 f. Dissertação (Mestrado em Ciências Sociais Aplicadas) – Universidade Estadual de Ponta Grossa, Ponta Grossa, 2015.</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BOSSONARIO, P. A. </w:t>
      </w:r>
      <w:proofErr w:type="gramStart"/>
      <w:r>
        <w:rPr>
          <w:sz w:val="24"/>
          <w:szCs w:val="24"/>
        </w:rPr>
        <w:t>et al..</w:t>
      </w:r>
      <w:proofErr w:type="gramEnd"/>
      <w:r>
        <w:rPr>
          <w:sz w:val="24"/>
          <w:szCs w:val="24"/>
        </w:rPr>
        <w:t xml:space="preserve"> Perfil das pessoas que vivem com HIV/aids no cárcere. Cadernos Saúde Coletiva, v. 32, n. 1, p. e32010457, 2024.</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BRASIL. </w:t>
      </w:r>
      <w:r>
        <w:rPr>
          <w:b/>
          <w:sz w:val="24"/>
          <w:szCs w:val="24"/>
        </w:rPr>
        <w:t>Lei nº 7.210, de 11 de julho de 1984</w:t>
      </w:r>
      <w:r>
        <w:rPr>
          <w:sz w:val="24"/>
          <w:szCs w:val="24"/>
        </w:rPr>
        <w:t xml:space="preserve">. Institui a Lei de Execução Penal. Brasília, 1984. Disponível em: https://www.planalto.gov.br/ccivil_03/leis/l7210.htm. Acesso em: 01 jun. 2025. </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BRASIL. Ministério da Saúde. </w:t>
      </w:r>
      <w:r>
        <w:rPr>
          <w:b/>
          <w:sz w:val="24"/>
          <w:szCs w:val="24"/>
        </w:rPr>
        <w:t>HIV/Aids</w:t>
      </w:r>
      <w:r>
        <w:rPr>
          <w:sz w:val="24"/>
          <w:szCs w:val="24"/>
        </w:rPr>
        <w:t xml:space="preserve">. Brasília: Ministério da Saúde, 2025. Disponível em: https://www.gov.br/saude/pt-br/assuntos/saude-de-a-a-z/a/aids-hiv. Acesso em: 25 </w:t>
      </w:r>
      <w:proofErr w:type="spellStart"/>
      <w:r>
        <w:rPr>
          <w:sz w:val="24"/>
          <w:szCs w:val="24"/>
        </w:rPr>
        <w:t>jun</w:t>
      </w:r>
      <w:proofErr w:type="spellEnd"/>
      <w:r>
        <w:rPr>
          <w:sz w:val="24"/>
          <w:szCs w:val="24"/>
        </w:rPr>
        <w:t xml:space="preserve"> 2025. </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BRASIL. Ministério da Saúde. </w:t>
      </w:r>
      <w:r>
        <w:rPr>
          <w:b/>
          <w:sz w:val="24"/>
          <w:szCs w:val="24"/>
        </w:rPr>
        <w:t>Portaria nº 236</w:t>
      </w:r>
      <w:r>
        <w:rPr>
          <w:sz w:val="24"/>
          <w:szCs w:val="24"/>
        </w:rPr>
        <w:t>, de 2 de maio de 1985. Disponível em:</w:t>
      </w:r>
      <w:hyperlink r:id="rId7">
        <w:r>
          <w:rPr>
            <w:sz w:val="24"/>
            <w:szCs w:val="24"/>
          </w:rPr>
          <w:t>https://www.ufrgs.br/zerodiscriminacao/wp-content/uploads/2021/07/PORTARIA-No-236-DE-02-DE-MAIO-DE-1985.pdf</w:t>
        </w:r>
      </w:hyperlink>
      <w:r>
        <w:rPr>
          <w:sz w:val="24"/>
          <w:szCs w:val="24"/>
        </w:rPr>
        <w:t xml:space="preserve">. Acesso em: 24 </w:t>
      </w:r>
      <w:proofErr w:type="spellStart"/>
      <w:r>
        <w:rPr>
          <w:sz w:val="24"/>
          <w:szCs w:val="24"/>
        </w:rPr>
        <w:t>jun</w:t>
      </w:r>
      <w:proofErr w:type="spellEnd"/>
      <w:r>
        <w:rPr>
          <w:sz w:val="24"/>
          <w:szCs w:val="24"/>
        </w:rPr>
        <w:t xml:space="preserve"> 2025.</w:t>
      </w:r>
    </w:p>
    <w:p w:rsidR="00643D15" w:rsidRDefault="00792F97" w:rsidP="00F01414">
      <w:pPr>
        <w:spacing w:line="240" w:lineRule="auto"/>
        <w:rPr>
          <w:sz w:val="24"/>
          <w:szCs w:val="24"/>
        </w:rPr>
      </w:pPr>
      <w:r>
        <w:rPr>
          <w:sz w:val="24"/>
          <w:szCs w:val="24"/>
        </w:rPr>
        <w:lastRenderedPageBreak/>
        <w:t xml:space="preserve">BRASIL. Ministério da Saúde. </w:t>
      </w:r>
      <w:r>
        <w:rPr>
          <w:b/>
          <w:sz w:val="24"/>
          <w:szCs w:val="24"/>
        </w:rPr>
        <w:t>Portaria nº 2.313</w:t>
      </w:r>
      <w:r>
        <w:rPr>
          <w:sz w:val="24"/>
          <w:szCs w:val="24"/>
        </w:rPr>
        <w:t xml:space="preserve"> de 19 de dezembro de 2002. Institui Incentivo para estados, Distrito Federal e municípios no âmbito do Programa Nacional de HIV/Aids e outras DST. Diário Oficial da União, Brasília, 20 de março de 2003.</w:t>
      </w:r>
    </w:p>
    <w:p w:rsidR="00F01414" w:rsidRDefault="00F01414"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BRASIL. Câmara dos Deputados. </w:t>
      </w:r>
      <w:r>
        <w:rPr>
          <w:b/>
          <w:sz w:val="24"/>
          <w:szCs w:val="24"/>
        </w:rPr>
        <w:t xml:space="preserve">Aumentam casos de HIV/aids em unidades prisionais entre 2019 e 2021, informa </w:t>
      </w:r>
      <w:proofErr w:type="spellStart"/>
      <w:r>
        <w:rPr>
          <w:b/>
          <w:sz w:val="24"/>
          <w:szCs w:val="24"/>
        </w:rPr>
        <w:t>Depen</w:t>
      </w:r>
      <w:proofErr w:type="spellEnd"/>
      <w:r>
        <w:rPr>
          <w:sz w:val="24"/>
          <w:szCs w:val="24"/>
        </w:rPr>
        <w:t>. Agência Câmara de Notícias, Brasília, 9 jun. 2022. Disponível em: https://www.camara.leg.br/noticias/885359-aumentam-casos-de-hiv-aids-em-unidades-prisionais-entre-2019-e-2021-informa-depen/. Acesso em: 27 jun. 2025.</w:t>
      </w:r>
    </w:p>
    <w:p w:rsidR="00F01414" w:rsidRDefault="00F01414"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CASTRO, Y. Número de presos com HIV na região de Campinas chega ao maior patamar em uma década. </w:t>
      </w:r>
      <w:r>
        <w:rPr>
          <w:b/>
          <w:sz w:val="24"/>
          <w:szCs w:val="24"/>
        </w:rPr>
        <w:t>G1 Campinas e Região</w:t>
      </w:r>
      <w:r>
        <w:rPr>
          <w:sz w:val="24"/>
          <w:szCs w:val="24"/>
        </w:rPr>
        <w:t>, Campinas, 7 fev. 2025. Disponível em: https://g1.globo.com/sp/campinas-regiao/noticia/2025/02/07/numero-de-presos-com-hiv-na-regiao-de-campinas-chega-ao-maior-patamar-em-uma-decada.ghtml. Acesso em: 14 jun. 2025.</w:t>
      </w:r>
    </w:p>
    <w:p w:rsidR="00F01414" w:rsidRDefault="00F01414"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EGER, T. J. </w:t>
      </w:r>
      <w:r>
        <w:rPr>
          <w:b/>
          <w:sz w:val="24"/>
          <w:szCs w:val="24"/>
        </w:rPr>
        <w:t>A gestão de uma epidemia</w:t>
      </w:r>
      <w:r>
        <w:rPr>
          <w:sz w:val="24"/>
          <w:szCs w:val="24"/>
        </w:rPr>
        <w:t xml:space="preserve">: estabilidade e mudança no campo do HIV/Aids no Brasil (1980-2013). 2021. Tese (Doutorado em Políticas Públicas) – Universidade Federal do Rio Grande do Sul, Porto Alegre, 2021. Disponível em: https://lume.ufrgs.br/handle/10183/242273. Acesso em: 26 jun. 2025. </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ESCRITÓRIO DAS NAÇÕES UNIDAS CONTRA DROGAS E CRIMES. </w:t>
      </w:r>
      <w:r>
        <w:rPr>
          <w:b/>
          <w:sz w:val="24"/>
          <w:szCs w:val="24"/>
        </w:rPr>
        <w:t>HIV/Aids em Ambientes Prisionais</w:t>
      </w:r>
      <w:r>
        <w:rPr>
          <w:sz w:val="24"/>
          <w:szCs w:val="24"/>
        </w:rPr>
        <w:t>: Prevenção, Atenção, Tratamento e Apoio. Nova York: Nações Unidas, 2007.</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GALVÃO, J. </w:t>
      </w:r>
      <w:r>
        <w:rPr>
          <w:b/>
          <w:sz w:val="24"/>
          <w:szCs w:val="24"/>
        </w:rPr>
        <w:t>Aids no Brasil:</w:t>
      </w:r>
      <w:r>
        <w:rPr>
          <w:sz w:val="24"/>
          <w:szCs w:val="24"/>
        </w:rPr>
        <w:t xml:space="preserve"> a agenda de construção de uma epidemia. Rio de Janeiro: ABIA, 2000.</w:t>
      </w:r>
    </w:p>
    <w:p w:rsidR="00643D15" w:rsidRDefault="00792F97" w:rsidP="00F01414">
      <w:pPr>
        <w:spacing w:line="240" w:lineRule="auto"/>
        <w:rPr>
          <w:sz w:val="24"/>
          <w:szCs w:val="24"/>
        </w:rPr>
      </w:pPr>
      <w:r>
        <w:rPr>
          <w:sz w:val="24"/>
          <w:szCs w:val="24"/>
        </w:rPr>
        <w:t xml:space="preserve">MBEMBE, A. </w:t>
      </w:r>
      <w:proofErr w:type="spellStart"/>
      <w:r>
        <w:rPr>
          <w:b/>
          <w:sz w:val="24"/>
          <w:szCs w:val="24"/>
        </w:rPr>
        <w:t>Necropolítica</w:t>
      </w:r>
      <w:proofErr w:type="spellEnd"/>
      <w:r>
        <w:rPr>
          <w:sz w:val="24"/>
          <w:szCs w:val="24"/>
        </w:rPr>
        <w:t xml:space="preserve">: </w:t>
      </w:r>
      <w:proofErr w:type="spellStart"/>
      <w:r>
        <w:rPr>
          <w:sz w:val="24"/>
          <w:szCs w:val="24"/>
        </w:rPr>
        <w:t>biopoder</w:t>
      </w:r>
      <w:proofErr w:type="spellEnd"/>
      <w:r>
        <w:rPr>
          <w:sz w:val="24"/>
          <w:szCs w:val="24"/>
        </w:rPr>
        <w:t xml:space="preserve">, soberania, estado de exceção, política da morte. Tradução Renata </w:t>
      </w:r>
      <w:proofErr w:type="spellStart"/>
      <w:r>
        <w:rPr>
          <w:sz w:val="24"/>
          <w:szCs w:val="24"/>
        </w:rPr>
        <w:t>Santini</w:t>
      </w:r>
      <w:proofErr w:type="spellEnd"/>
      <w:r>
        <w:rPr>
          <w:sz w:val="24"/>
          <w:szCs w:val="24"/>
        </w:rPr>
        <w:t xml:space="preserve">. São Paulo: n-1 edições, 2018. </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PARKER, R. </w:t>
      </w:r>
      <w:r>
        <w:rPr>
          <w:b/>
          <w:sz w:val="24"/>
          <w:szCs w:val="24"/>
        </w:rPr>
        <w:t>Interseções entre Estigma, Preconceito e Discriminação na Saúde Pública Mundial</w:t>
      </w:r>
      <w:r>
        <w:rPr>
          <w:sz w:val="24"/>
          <w:szCs w:val="24"/>
        </w:rPr>
        <w:t xml:space="preserve">. </w:t>
      </w:r>
      <w:r>
        <w:rPr>
          <w:i/>
          <w:sz w:val="24"/>
          <w:szCs w:val="24"/>
        </w:rPr>
        <w:t>In</w:t>
      </w:r>
      <w:r>
        <w:rPr>
          <w:sz w:val="24"/>
          <w:szCs w:val="24"/>
        </w:rPr>
        <w:t xml:space="preserve">: MONTEIRO, S., </w:t>
      </w:r>
      <w:proofErr w:type="spellStart"/>
      <w:r>
        <w:rPr>
          <w:sz w:val="24"/>
          <w:szCs w:val="24"/>
        </w:rPr>
        <w:t>and</w:t>
      </w:r>
      <w:proofErr w:type="spellEnd"/>
      <w:r>
        <w:rPr>
          <w:sz w:val="24"/>
          <w:szCs w:val="24"/>
        </w:rPr>
        <w:t xml:space="preserve"> VILLELA, W. </w:t>
      </w:r>
      <w:proofErr w:type="spellStart"/>
      <w:r>
        <w:rPr>
          <w:sz w:val="24"/>
          <w:szCs w:val="24"/>
        </w:rPr>
        <w:t>comps</w:t>
      </w:r>
      <w:proofErr w:type="spellEnd"/>
      <w:r>
        <w:rPr>
          <w:sz w:val="24"/>
          <w:szCs w:val="24"/>
        </w:rPr>
        <w:t xml:space="preserve">. Estigma e saúde [online]. Rio de Janeiro: Editora FIOCRUZ, 2013, pp. 25-46. ISBN: 978-85-7541-534-4. https://doi.org/10.7476/9788575415344.0003. </w:t>
      </w:r>
    </w:p>
    <w:p w:rsidR="00643D15" w:rsidRDefault="00643D15" w:rsidP="00F01414">
      <w:pPr>
        <w:spacing w:line="240" w:lineRule="auto"/>
        <w:rPr>
          <w:sz w:val="24"/>
          <w:szCs w:val="24"/>
        </w:rPr>
      </w:pPr>
    </w:p>
    <w:p w:rsidR="00643D15" w:rsidRDefault="00792F97" w:rsidP="00F01414">
      <w:pPr>
        <w:spacing w:line="240" w:lineRule="auto"/>
        <w:rPr>
          <w:sz w:val="24"/>
          <w:szCs w:val="24"/>
        </w:rPr>
      </w:pPr>
      <w:r>
        <w:rPr>
          <w:sz w:val="24"/>
          <w:szCs w:val="24"/>
        </w:rPr>
        <w:t xml:space="preserve">SENAPPEN. </w:t>
      </w:r>
      <w:r>
        <w:rPr>
          <w:b/>
          <w:sz w:val="24"/>
          <w:szCs w:val="24"/>
        </w:rPr>
        <w:t>Relatório de Informações Penitenciárias - 2º semestre de 2024</w:t>
      </w:r>
      <w:r>
        <w:rPr>
          <w:sz w:val="24"/>
          <w:szCs w:val="24"/>
        </w:rPr>
        <w:t xml:space="preserve">. Brasília, DF: </w:t>
      </w:r>
      <w:proofErr w:type="spellStart"/>
      <w:r>
        <w:rPr>
          <w:sz w:val="24"/>
          <w:szCs w:val="24"/>
        </w:rPr>
        <w:t>Sisdepen</w:t>
      </w:r>
      <w:proofErr w:type="spellEnd"/>
      <w:r>
        <w:rPr>
          <w:sz w:val="24"/>
          <w:szCs w:val="24"/>
        </w:rPr>
        <w:t>, 2024.</w:t>
      </w:r>
    </w:p>
    <w:p w:rsidR="00643D15" w:rsidRDefault="00643D15" w:rsidP="00F01414">
      <w:pPr>
        <w:spacing w:line="240" w:lineRule="auto"/>
        <w:rPr>
          <w:sz w:val="24"/>
          <w:szCs w:val="24"/>
        </w:rPr>
      </w:pPr>
    </w:p>
    <w:p w:rsidR="00643D15" w:rsidRDefault="00643D15">
      <w:pPr>
        <w:spacing w:line="240" w:lineRule="auto"/>
        <w:rPr>
          <w:sz w:val="24"/>
          <w:szCs w:val="24"/>
        </w:rPr>
      </w:pPr>
    </w:p>
    <w:p w:rsidR="00643D15" w:rsidRDefault="00643D15">
      <w:pPr>
        <w:spacing w:line="240" w:lineRule="auto"/>
        <w:rPr>
          <w:sz w:val="24"/>
          <w:szCs w:val="24"/>
          <w:highlight w:val="yellow"/>
        </w:rPr>
      </w:pPr>
    </w:p>
    <w:p w:rsidR="00643D15" w:rsidRDefault="00643D15">
      <w:pPr>
        <w:spacing w:after="200" w:line="240" w:lineRule="auto"/>
        <w:rPr>
          <w:sz w:val="24"/>
          <w:szCs w:val="24"/>
        </w:rPr>
      </w:pPr>
    </w:p>
    <w:sectPr w:rsidR="00643D15">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01C" w:rsidRDefault="0071401C">
      <w:pPr>
        <w:spacing w:line="240" w:lineRule="auto"/>
      </w:pPr>
      <w:r>
        <w:separator/>
      </w:r>
    </w:p>
  </w:endnote>
  <w:endnote w:type="continuationSeparator" w:id="0">
    <w:p w:rsidR="0071401C" w:rsidRDefault="007140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01C" w:rsidRDefault="0071401C">
      <w:pPr>
        <w:spacing w:line="240" w:lineRule="auto"/>
      </w:pPr>
      <w:r>
        <w:separator/>
      </w:r>
    </w:p>
  </w:footnote>
  <w:footnote w:type="continuationSeparator" w:id="0">
    <w:p w:rsidR="0071401C" w:rsidRDefault="0071401C">
      <w:pPr>
        <w:spacing w:line="240" w:lineRule="auto"/>
      </w:pPr>
      <w:r>
        <w:continuationSeparator/>
      </w:r>
    </w:p>
  </w:footnote>
  <w:footnote w:id="1">
    <w:p w:rsidR="006E455E" w:rsidRDefault="006E455E" w:rsidP="006E455E">
      <w:pPr>
        <w:pStyle w:val="Textodenotaderodap"/>
      </w:pPr>
      <w:r>
        <w:rPr>
          <w:rStyle w:val="Refdenotaderodap"/>
        </w:rPr>
        <w:footnoteRef/>
      </w:r>
      <w:r>
        <w:t xml:space="preserve"> Universidade Federal do M</w:t>
      </w:r>
      <w:r w:rsidR="00865A7B">
        <w:t>aranhão; Graduanda em Direito; r</w:t>
      </w:r>
      <w:r>
        <w:t>afaela.bogea@discente.ufma.br.</w:t>
      </w:r>
    </w:p>
  </w:footnote>
  <w:footnote w:id="2">
    <w:p w:rsidR="006E455E" w:rsidRDefault="006E455E">
      <w:pPr>
        <w:pStyle w:val="Textodenotaderodap"/>
      </w:pPr>
      <w:r>
        <w:rPr>
          <w:rStyle w:val="Refdenotaderodap"/>
        </w:rPr>
        <w:footnoteRef/>
      </w:r>
      <w:r>
        <w:t xml:space="preserve"> Universidade Federal do Maranhão; Graduanda em Direito; rayssa.mls@discente.ufma.br.</w:t>
      </w:r>
    </w:p>
  </w:footnote>
  <w:footnote w:id="3">
    <w:p w:rsidR="006E455E" w:rsidRDefault="006E455E">
      <w:pPr>
        <w:pStyle w:val="Textodenotaderodap"/>
      </w:pPr>
      <w:r>
        <w:rPr>
          <w:rStyle w:val="Refdenotaderodap"/>
        </w:rPr>
        <w:footnoteRef/>
      </w:r>
      <w:r>
        <w:t xml:space="preserve"> Universidade Federal do Maranhão; Doutor em Direito; antonio.coelho@ufma.br.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15" w:rsidRDefault="00792F97">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15"/>
    <w:rsid w:val="00462251"/>
    <w:rsid w:val="005C721E"/>
    <w:rsid w:val="00643D15"/>
    <w:rsid w:val="006E455E"/>
    <w:rsid w:val="0071401C"/>
    <w:rsid w:val="00792F97"/>
    <w:rsid w:val="00865A7B"/>
    <w:rsid w:val="00D5355B"/>
    <w:rsid w:val="00E635B6"/>
    <w:rsid w:val="00F01414"/>
    <w:rsid w:val="00F302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321BD"/>
  <w15:docId w15:val="{18443B07-F633-417C-BAC8-59EA2F23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6E455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E455E"/>
    <w:rPr>
      <w:sz w:val="20"/>
      <w:szCs w:val="20"/>
    </w:rPr>
  </w:style>
  <w:style w:type="character" w:styleId="Refdenotaderodap">
    <w:name w:val="footnote reference"/>
    <w:basedOn w:val="Fontepargpadro"/>
    <w:uiPriority w:val="99"/>
    <w:semiHidden/>
    <w:unhideWhenUsed/>
    <w:rsid w:val="006E455E"/>
    <w:rPr>
      <w:vertAlign w:val="superscript"/>
    </w:rPr>
  </w:style>
  <w:style w:type="paragraph" w:styleId="Cabealho">
    <w:name w:val="header"/>
    <w:basedOn w:val="Normal"/>
    <w:link w:val="CabealhoChar"/>
    <w:uiPriority w:val="99"/>
    <w:unhideWhenUsed/>
    <w:rsid w:val="006E455E"/>
    <w:pPr>
      <w:tabs>
        <w:tab w:val="center" w:pos="4252"/>
        <w:tab w:val="right" w:pos="8504"/>
      </w:tabs>
      <w:spacing w:line="240" w:lineRule="auto"/>
    </w:pPr>
  </w:style>
  <w:style w:type="character" w:customStyle="1" w:styleId="CabealhoChar">
    <w:name w:val="Cabeçalho Char"/>
    <w:basedOn w:val="Fontepargpadro"/>
    <w:link w:val="Cabealho"/>
    <w:uiPriority w:val="99"/>
    <w:rsid w:val="006E455E"/>
  </w:style>
  <w:style w:type="paragraph" w:styleId="Rodap">
    <w:name w:val="footer"/>
    <w:basedOn w:val="Normal"/>
    <w:link w:val="RodapChar"/>
    <w:uiPriority w:val="99"/>
    <w:unhideWhenUsed/>
    <w:rsid w:val="006E455E"/>
    <w:pPr>
      <w:tabs>
        <w:tab w:val="center" w:pos="4252"/>
        <w:tab w:val="right" w:pos="8504"/>
      </w:tabs>
      <w:spacing w:line="240" w:lineRule="auto"/>
    </w:pPr>
  </w:style>
  <w:style w:type="character" w:customStyle="1" w:styleId="RodapChar">
    <w:name w:val="Rodapé Char"/>
    <w:basedOn w:val="Fontepargpadro"/>
    <w:link w:val="Rodap"/>
    <w:uiPriority w:val="99"/>
    <w:rsid w:val="006E455E"/>
  </w:style>
  <w:style w:type="paragraph" w:styleId="PargrafodaLista">
    <w:name w:val="List Paragraph"/>
    <w:basedOn w:val="Normal"/>
    <w:uiPriority w:val="34"/>
    <w:qFormat/>
    <w:rsid w:val="005C7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frgs.br/zerodiscriminacao/wp-content/uploads/2021/07/PORTARIA-No-236-DE-02-DE-MAIO-DE-1985.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34BBD-F62C-4CCE-AF38-8CD09685D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3827</Words>
  <Characters>20669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Alcaro</dc:creator>
  <cp:lastModifiedBy>Alcaro</cp:lastModifiedBy>
  <cp:revision>2</cp:revision>
  <dcterms:created xsi:type="dcterms:W3CDTF">2025-07-06T21:26:00Z</dcterms:created>
  <dcterms:modified xsi:type="dcterms:W3CDTF">2025-07-06T21:26:00Z</dcterms:modified>
</cp:coreProperties>
</file>