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RACISMO ESTRUTURAL, CRIMINALIZAÇÃO DA POBREZA E INFÂNCIA</w:t>
      </w:r>
      <w:r w:rsidDel="00000000" w:rsidR="00000000" w:rsidRPr="00000000">
        <w:rPr>
          <w:b w:val="1"/>
          <w:sz w:val="24"/>
          <w:szCs w:val="24"/>
          <w:vertAlign w:val="baseline"/>
          <w:rtl w:val="0"/>
        </w:rPr>
        <w:t xml:space="preserve">:</w:t>
      </w:r>
      <w:r w:rsidDel="00000000" w:rsidR="00000000" w:rsidRPr="00000000">
        <w:rPr>
          <w:sz w:val="24"/>
          <w:szCs w:val="24"/>
          <w:vertAlign w:val="baseline"/>
          <w:rtl w:val="0"/>
        </w:rPr>
        <w:t xml:space="preserve"> </w:t>
      </w:r>
      <w:r w:rsidDel="00000000" w:rsidR="00000000" w:rsidRPr="00000000">
        <w:rPr>
          <w:sz w:val="24"/>
          <w:szCs w:val="24"/>
          <w:rtl w:val="0"/>
        </w:rPr>
        <w:t xml:space="preserve">proteção ou progressão das desigualdades?</w:t>
      </w:r>
    </w:p>
    <w:p w:rsidR="00000000" w:rsidDel="00000000" w:rsidP="00000000" w:rsidRDefault="00000000" w:rsidRPr="00000000" w14:paraId="00000002">
      <w:pPr>
        <w:spacing w:line="360" w:lineRule="auto"/>
        <w:jc w:val="center"/>
        <w:rPr>
          <w:sz w:val="24"/>
          <w:szCs w:val="24"/>
        </w:rPr>
      </w:pPr>
      <w:r w:rsidDel="00000000" w:rsidR="00000000" w:rsidRPr="00000000">
        <w:rPr>
          <w:rtl w:val="0"/>
        </w:rPr>
      </w:r>
    </w:p>
    <w:p w:rsidR="00000000" w:rsidDel="00000000" w:rsidP="00000000" w:rsidRDefault="00000000" w:rsidRPr="00000000" w14:paraId="00000003">
      <w:pPr>
        <w:spacing w:line="276" w:lineRule="auto"/>
        <w:ind w:left="5102.362204724409" w:firstLine="0"/>
        <w:jc w:val="left"/>
        <w:rPr>
          <w:sz w:val="24"/>
          <w:szCs w:val="24"/>
        </w:rPr>
      </w:pPr>
      <w:r w:rsidDel="00000000" w:rsidR="00000000" w:rsidRPr="00000000">
        <w:rPr>
          <w:sz w:val="24"/>
          <w:szCs w:val="24"/>
          <w:rtl w:val="0"/>
        </w:rPr>
        <w:t xml:space="preserve">        Fabíola da Silva Pereira </w:t>
      </w:r>
      <w:r w:rsidDel="00000000" w:rsidR="00000000" w:rsidRPr="00000000">
        <w:rPr>
          <w:sz w:val="24"/>
          <w:szCs w:val="24"/>
          <w:vertAlign w:val="superscript"/>
        </w:rPr>
        <w:footnoteReference w:customMarkFollows="0" w:id="0"/>
      </w:r>
      <w:r w:rsidDel="00000000" w:rsidR="00000000" w:rsidRPr="00000000">
        <w:rPr>
          <w:sz w:val="24"/>
          <w:szCs w:val="24"/>
          <w:rtl w:val="0"/>
        </w:rPr>
        <w:t xml:space="preserve"> </w:t>
      </w:r>
    </w:p>
    <w:p w:rsidR="00000000" w:rsidDel="00000000" w:rsidP="00000000" w:rsidRDefault="00000000" w:rsidRPr="00000000" w14:paraId="00000004">
      <w:pPr>
        <w:spacing w:line="276" w:lineRule="auto"/>
        <w:ind w:left="5102.362204724409" w:firstLine="0"/>
        <w:jc w:val="center"/>
        <w:rPr>
          <w:sz w:val="24"/>
          <w:szCs w:val="24"/>
        </w:rPr>
      </w:pPr>
      <w:r w:rsidDel="00000000" w:rsidR="00000000" w:rsidRPr="00000000">
        <w:rPr>
          <w:sz w:val="24"/>
          <w:szCs w:val="24"/>
          <w:rtl w:val="0"/>
        </w:rPr>
        <w:t xml:space="preserve">Terçália Suassuna Vaz Lira</w:t>
      </w:r>
      <w:r w:rsidDel="00000000" w:rsidR="00000000" w:rsidRPr="00000000">
        <w:rPr>
          <w:sz w:val="24"/>
          <w:szCs w:val="24"/>
          <w:vertAlign w:val="superscript"/>
        </w:rPr>
        <w:footnoteReference w:customMarkFollows="0" w:id="1"/>
      </w:r>
      <w:r w:rsidDel="00000000" w:rsidR="00000000" w:rsidRPr="00000000">
        <w:rPr>
          <w:sz w:val="24"/>
          <w:szCs w:val="24"/>
          <w:rtl w:val="0"/>
        </w:rPr>
        <w:t xml:space="preserve"> </w:t>
      </w:r>
    </w:p>
    <w:p w:rsidR="00000000" w:rsidDel="00000000" w:rsidP="00000000" w:rsidRDefault="00000000" w:rsidRPr="00000000" w14:paraId="00000005">
      <w:pPr>
        <w:spacing w:line="360" w:lineRule="auto"/>
        <w:jc w:val="center"/>
        <w:rPr>
          <w:sz w:val="24"/>
          <w:szCs w:val="24"/>
        </w:rPr>
      </w:pPr>
      <w:r w:rsidDel="00000000" w:rsidR="00000000" w:rsidRPr="00000000">
        <w:rPr>
          <w:rtl w:val="0"/>
        </w:rPr>
      </w:r>
    </w:p>
    <w:p w:rsidR="00000000" w:rsidDel="00000000" w:rsidP="00000000" w:rsidRDefault="00000000" w:rsidRPr="00000000" w14:paraId="00000006">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sz w:val="20"/>
          <w:szCs w:val="20"/>
          <w:rtl w:val="0"/>
        </w:rPr>
        <w:t xml:space="preserve">Este estudo analisa a relação entre criminalização da pobreza e discriminação racial, evidenciando como ambas contribuem para a manutenção da desigualdade social que atinge o público infantojuvenil no Brasil. Com base no materialismo histórico-dialético e abordagem qualiquantitativa, o trabalho investiga os fatores históricos, econômicos e sociais que moldam a realidade atual. Amparado por autores como Almeida, Nascimento, Moura e outros, o estudo busca compreender como o racismo estrutural e a criminalização da pobreza perpassam as medidas judiciais, especialmente aquelas relacionadas à destituição do poder familiar, ao acolhimento institucional e à aplicação de medidas socioeducativas. A pesquisa revela como essas práticas reforçam a exclusão e a marginalização de grupos sociais vulnerabilizados.</w:t>
      </w:r>
    </w:p>
    <w:p w:rsidR="00000000" w:rsidDel="00000000" w:rsidP="00000000" w:rsidRDefault="00000000" w:rsidRPr="00000000" w14:paraId="00000008">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Racismo; criminalização da pobreza; infantojuvenil, medidas judiciais</w:t>
      </w:r>
      <w:r w:rsidDel="00000000" w:rsidR="00000000" w:rsidRPr="00000000">
        <w:rPr>
          <w:sz w:val="20"/>
          <w:szCs w:val="20"/>
          <w:vertAlign w:val="baseline"/>
          <w:rtl w:val="0"/>
        </w:rPr>
        <w:t xml:space="preserve">.</w:t>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B">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C">
      <w:pPr>
        <w:spacing w:line="240" w:lineRule="auto"/>
        <w:ind w:left="2835" w:firstLine="0"/>
        <w:jc w:val="both"/>
        <w:rPr>
          <w:sz w:val="20"/>
          <w:szCs w:val="20"/>
        </w:rPr>
      </w:pPr>
      <w:r w:rsidDel="00000000" w:rsidR="00000000" w:rsidRPr="00000000">
        <w:rPr>
          <w:sz w:val="20"/>
          <w:szCs w:val="20"/>
          <w:rtl w:val="0"/>
        </w:rPr>
        <w:t xml:space="preserve">This study analyzes the relationship between the criminalization of poverty and racial discrimination, highlighting how both contribute to the maintenance of social inequality that affects children and adolescents in Brazil. Based on the historical-dialectical materialism and a quali-quantitative approach, the research investigates the historical, economic, and social factors that shape the current reality. Supported by authors such as Almeida, Nascimento, Moura, among others, the study seeks to understand how structural racism and the criminalization of poverty permeate judicial measures, especially those related to the termination of parental rights, institutional shelter, and the application of socio-educational measures. The research reveals how these practices reinforce the exclusion and marginalization of historically vulnerable social groups.</w:t>
      </w:r>
    </w:p>
    <w:p w:rsidR="00000000" w:rsidDel="00000000" w:rsidP="00000000" w:rsidRDefault="00000000" w:rsidRPr="00000000" w14:paraId="0000000D">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E">
      <w:pPr>
        <w:spacing w:line="240" w:lineRule="auto"/>
        <w:ind w:left="2835" w:firstLine="0"/>
        <w:jc w:val="both"/>
        <w:rPr>
          <w:sz w:val="24"/>
          <w:szCs w:val="24"/>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Racism; poverty criminalization; child and youth population; judicial measures.</w:t>
      </w:r>
      <w:r w:rsidDel="00000000" w:rsidR="00000000" w:rsidRPr="00000000">
        <w:rPr>
          <w:rtl w:val="0"/>
        </w:rPr>
      </w:r>
    </w:p>
    <w:p w:rsidR="00000000" w:rsidDel="00000000" w:rsidP="00000000" w:rsidRDefault="00000000" w:rsidRPr="00000000" w14:paraId="0000000F">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0">
      <w:pPr>
        <w:spacing w:line="360" w:lineRule="auto"/>
        <w:rPr>
          <w:b w:val="0"/>
          <w:sz w:val="24"/>
          <w:szCs w:val="24"/>
          <w:vertAlign w:val="baseline"/>
        </w:rPr>
      </w:pPr>
      <w:r w:rsidDel="00000000" w:rsidR="00000000" w:rsidRPr="00000000">
        <w:br w:type="page"/>
      </w: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11">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2">
      <w:pPr>
        <w:spacing w:line="360" w:lineRule="auto"/>
        <w:ind w:firstLine="709"/>
        <w:jc w:val="both"/>
        <w:rPr>
          <w:sz w:val="24"/>
          <w:szCs w:val="24"/>
        </w:rPr>
      </w:pPr>
      <w:bookmarkStart w:colFirst="0" w:colLast="0" w:name="_heading=h.h03ik5hld78r" w:id="0"/>
      <w:bookmarkEnd w:id="0"/>
      <w:r w:rsidDel="00000000" w:rsidR="00000000" w:rsidRPr="00000000">
        <w:rPr>
          <w:sz w:val="24"/>
          <w:szCs w:val="24"/>
          <w:rtl w:val="0"/>
        </w:rPr>
        <w:t xml:space="preserve">O Brasil apresenta um legado de desigualdades raciais e econômicas, fruto de um contexto sócio-histórico e cultural que, por muito tempo, sustentou um sistema estruturalmente racista, posicionando a população negra e pobre em condições de subalternização dentro da esfera produtiva pelo qual lhes foi imposto uma extrema desigualdade social. Nesse contexto, historicamente, a figura do negro foi associada àquilo que se vê à margem da sociedade, sendo constantemente vinculada à criminalidade e à periculosidade social. </w:t>
      </w:r>
    </w:p>
    <w:p w:rsidR="00000000" w:rsidDel="00000000" w:rsidP="00000000" w:rsidRDefault="00000000" w:rsidRPr="00000000" w14:paraId="00000013">
      <w:pPr>
        <w:spacing w:line="360" w:lineRule="auto"/>
        <w:ind w:firstLine="709"/>
        <w:jc w:val="both"/>
        <w:rPr>
          <w:sz w:val="24"/>
          <w:szCs w:val="24"/>
        </w:rPr>
      </w:pPr>
      <w:bookmarkStart w:colFirst="0" w:colLast="0" w:name="_heading=h.fmqhp8cdrtk8" w:id="1"/>
      <w:bookmarkEnd w:id="1"/>
      <w:r w:rsidDel="00000000" w:rsidR="00000000" w:rsidRPr="00000000">
        <w:rPr>
          <w:sz w:val="24"/>
          <w:szCs w:val="24"/>
          <w:rtl w:val="0"/>
        </w:rPr>
        <w:t xml:space="preserve">Essa realidade é visível nas sentenças de destituição do poder familiar, de acolhimento institucional  e no sistema de medidas socioeducativas. Percebe-se que em ambas as medidas os fatores como a pobreza e a cor são determinantes para a sua aplicação, vinculando as crianças e suas respectivas famílias a um processo histórico de criminalização da pobreza, reproduzindo portanto ciclos de violações. </w:t>
      </w:r>
    </w:p>
    <w:p w:rsidR="00000000" w:rsidDel="00000000" w:rsidP="00000000" w:rsidRDefault="00000000" w:rsidRPr="00000000" w14:paraId="00000014">
      <w:pPr>
        <w:spacing w:line="360" w:lineRule="auto"/>
        <w:ind w:firstLine="709"/>
        <w:jc w:val="both"/>
        <w:rPr>
          <w:sz w:val="24"/>
          <w:szCs w:val="24"/>
        </w:rPr>
      </w:pPr>
      <w:bookmarkStart w:colFirst="0" w:colLast="0" w:name="_heading=h.k55tl3q0nq2k" w:id="2"/>
      <w:bookmarkEnd w:id="2"/>
      <w:r w:rsidDel="00000000" w:rsidR="00000000" w:rsidRPr="00000000">
        <w:rPr>
          <w:sz w:val="24"/>
          <w:szCs w:val="24"/>
          <w:rtl w:val="0"/>
        </w:rPr>
        <w:t xml:space="preserve">Frente a isso, esse estudo tem como objetivo buscar compreender as relações de poder e desigualdade presentes nas práticas sociais e políticas que afetam a infância e juventude no Brasil. Além de analisar como a confluência entre raça, classe e gênero influencia a forma como esses indivíduos são tratados pelo sistema de proteção e pelas políticas públicas. </w:t>
      </w:r>
    </w:p>
    <w:p w:rsidR="00000000" w:rsidDel="00000000" w:rsidP="00000000" w:rsidRDefault="00000000" w:rsidRPr="00000000" w14:paraId="00000015">
      <w:pPr>
        <w:spacing w:line="360" w:lineRule="auto"/>
        <w:ind w:firstLine="709"/>
        <w:jc w:val="both"/>
        <w:rPr>
          <w:sz w:val="24"/>
          <w:szCs w:val="24"/>
          <w:vertAlign w:val="baseline"/>
        </w:rPr>
      </w:pPr>
      <w:bookmarkStart w:colFirst="0" w:colLast="0" w:name="_heading=h.t9rx29v4kl5b" w:id="3"/>
      <w:bookmarkEnd w:id="3"/>
      <w:r w:rsidDel="00000000" w:rsidR="00000000" w:rsidRPr="00000000">
        <w:rPr>
          <w:sz w:val="24"/>
          <w:szCs w:val="24"/>
          <w:rtl w:val="0"/>
        </w:rPr>
        <w:t xml:space="preserve">As problemáticas discutidas ao longo deste artigo, integram o Trabalho de Conclusão de Curso (TCC), desenvolvido pela autora, intitulado RACISMO E CRIMINALIZAÇÃO DA POBREZA: IMPLICAÇÕES NO SEGMENTO INFANTOJUVENIL, elaborado a partir de estudos realizados no Núcleo de Pesquisa e Extensão Comunitária InfantoJuvenil (NUPECIJ) da Universidade Estadual da Paraíba. Em relação à perspectiva teórico-metodológica, essa pesquisa debruçou-se sob o materialismo histórico-dialético, considerando que para discutir a temática referida foi necessário abordar os fatores históricos, econômicos e sociais presentes na sociedade capitalista, os quais permeiam toda a nossa discussão e os seus condicionantes, articulados pela contradição do próprio sistema.</w:t>
      </w:r>
      <w:r w:rsidDel="00000000" w:rsidR="00000000" w:rsidRPr="00000000">
        <w:rPr>
          <w:rtl w:val="0"/>
        </w:rPr>
      </w:r>
    </w:p>
    <w:p w:rsidR="00000000" w:rsidDel="00000000" w:rsidP="00000000" w:rsidRDefault="00000000" w:rsidRPr="00000000" w14:paraId="00000016">
      <w:pPr>
        <w:spacing w:line="360" w:lineRule="auto"/>
        <w:jc w:val="both"/>
        <w:rPr>
          <w:sz w:val="24"/>
          <w:szCs w:val="24"/>
        </w:rPr>
      </w:pPr>
      <w:r w:rsidDel="00000000" w:rsidR="00000000" w:rsidRPr="00000000">
        <w:rPr>
          <w:b w:val="1"/>
          <w:sz w:val="24"/>
          <w:szCs w:val="24"/>
          <w:vertAlign w:val="baseline"/>
          <w:rtl w:val="0"/>
        </w:rPr>
        <w:t xml:space="preserve">2</w:t>
      </w:r>
      <w:r w:rsidDel="00000000" w:rsidR="00000000" w:rsidRPr="00000000">
        <w:rPr>
          <w:b w:val="1"/>
          <w:sz w:val="24"/>
          <w:szCs w:val="24"/>
          <w:rtl w:val="0"/>
        </w:rPr>
        <w:t xml:space="preserve"> RACISMO ESTRUTURAL: FUNDAMENTO DA FORMAÇÃO SOCIAL E CAPITALISTA BRASILEIRA</w:t>
      </w:r>
      <w:r w:rsidDel="00000000" w:rsidR="00000000" w:rsidRPr="00000000">
        <w:rPr>
          <w:rtl w:val="0"/>
        </w:rPr>
      </w:r>
    </w:p>
    <w:p w:rsidR="00000000" w:rsidDel="00000000" w:rsidP="00000000" w:rsidRDefault="00000000" w:rsidRPr="00000000" w14:paraId="00000017">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18">
      <w:pPr>
        <w:spacing w:line="360" w:lineRule="auto"/>
        <w:ind w:left="0" w:firstLine="720"/>
        <w:jc w:val="both"/>
        <w:rPr>
          <w:sz w:val="24"/>
          <w:szCs w:val="24"/>
        </w:rPr>
      </w:pPr>
      <w:r w:rsidDel="00000000" w:rsidR="00000000" w:rsidRPr="00000000">
        <w:rPr>
          <w:sz w:val="24"/>
          <w:szCs w:val="24"/>
          <w:rtl w:val="0"/>
        </w:rPr>
        <w:t xml:space="preserve">A colonização portuguesa no Brasil, iniciada em 1500, foi marcada pela exploração de recursos naturais e pela escravização de africanos como forma central de produção (Moura, 1992). A construção da ideia de raça como justificativa para a dominação se desenvolveu com apoio da ciência eurocêntrica e da Igreja Católica, que atuou como aliada na legitimação da escravidão, pregando a submissão dos negros por razões religiosas (Nascimento, 1978). Segundo Almeida (2019), a noção moderna de raça foi estruturada para sustentar a expansão colonial, classificando povos não europeus como inferiores e justificando sua exploração e dominação.</w:t>
      </w:r>
    </w:p>
    <w:p w:rsidR="00000000" w:rsidDel="00000000" w:rsidP="00000000" w:rsidRDefault="00000000" w:rsidRPr="00000000" w14:paraId="00000019">
      <w:pPr>
        <w:spacing w:line="360" w:lineRule="auto"/>
        <w:ind w:left="0" w:firstLine="720"/>
        <w:jc w:val="both"/>
        <w:rPr>
          <w:sz w:val="24"/>
          <w:szCs w:val="24"/>
        </w:rPr>
      </w:pPr>
      <w:r w:rsidDel="00000000" w:rsidR="00000000" w:rsidRPr="00000000">
        <w:rPr>
          <w:sz w:val="24"/>
          <w:szCs w:val="24"/>
          <w:rtl w:val="0"/>
        </w:rPr>
        <w:t xml:space="preserve">Com o tempo, o racismo se institucionalizou através das teorias racialistas e eugênicas, fortalecendo a falsa ideia de uma democracia racial no Brasil, conceito criticado por autores como Nascimento (1978) e Gonçalves (2018). Essa visão oculta as violências sofridas pelos negros escravizados, incluindo o apagamento cultural, o tratamento desumano e a alta mortalidade infantil no período escravocrata. Moura (1994) ressalta que a cultura afro-brasileira resistiu não por benevolência dos senhores, mas por luta e resistência. O racismo, então, tornou-se um elemento funcional na manutenção da desigualdade, moldando as estruturas sociais até os dias atuais.</w:t>
      </w:r>
    </w:p>
    <w:p w:rsidR="00000000" w:rsidDel="00000000" w:rsidP="00000000" w:rsidRDefault="00000000" w:rsidRPr="00000000" w14:paraId="0000001A">
      <w:pPr>
        <w:spacing w:line="360" w:lineRule="auto"/>
        <w:ind w:left="0" w:firstLine="720"/>
        <w:jc w:val="both"/>
        <w:rPr>
          <w:sz w:val="24"/>
          <w:szCs w:val="24"/>
        </w:rPr>
      </w:pPr>
      <w:r w:rsidDel="00000000" w:rsidR="00000000" w:rsidRPr="00000000">
        <w:rPr>
          <w:sz w:val="24"/>
          <w:szCs w:val="24"/>
          <w:rtl w:val="0"/>
        </w:rPr>
        <w:t xml:space="preserve">A abolição da escravatura em 1888 ocorreu sem políticas de reintegração para os libertos, inaugurando um ciclo de marginalização da população negra. A liberdade veio acompanhada de suspeição e exclusão, inserindo os negros no exército industrial de reserva (Silva, 2018, p. 25 apud Assis, 2022, p. 53). Fagundes (2022) destaca que a escravidão e o racismo foram pilares do desenvolvimento do capitalismo brasileiro, consolidando a exploração da mão de obra negra como parte da lógica de acumulação de capital. A política migratória financiada pelo Estado e as teorias eugênicas buscaram “branquear” a população, evidenciando o racismo estrutural como instrumento da ordem capitalista (Souza, 2023).</w:t>
      </w:r>
    </w:p>
    <w:p w:rsidR="00000000" w:rsidDel="00000000" w:rsidP="00000000" w:rsidRDefault="00000000" w:rsidRPr="00000000" w14:paraId="0000001B">
      <w:pPr>
        <w:spacing w:line="360" w:lineRule="auto"/>
        <w:ind w:left="0" w:firstLine="720"/>
        <w:jc w:val="both"/>
        <w:rPr>
          <w:sz w:val="24"/>
          <w:szCs w:val="24"/>
        </w:rPr>
      </w:pPr>
      <w:r w:rsidDel="00000000" w:rsidR="00000000" w:rsidRPr="00000000">
        <w:rPr>
          <w:sz w:val="24"/>
          <w:szCs w:val="24"/>
          <w:rtl w:val="0"/>
        </w:rPr>
        <w:t xml:space="preserve">Desse modo, percebe-se que o racismo não é apenas uma ideologia, mas uma engrenagem essencial para o funcionamento do capitalismo no Brasil. O preconceito racial estratifica a classe trabalhadora, relegando os negros aos postos mais precarizados (Moura, 2021, p. 63 apud Sousa, 2023, p. 26). Segundo dados do IBGE (2023) e DIEESE (2024), embora os negros sejam maioria da população e da força de trabalho, são também os que ocupam as piores ocupações e recebem os menores salários nos anos referidos. Para Assis (2022), o racismo age como a corrente que prende o trabalho ao capitalismo, sendo sua base e consequência. Assim, o texto conclui que não é possível compreender a desigualdade no Brasil sem considerar a articulação entre capitalismo, racismo e a histórica opressão da população negra.</w:t>
      </w:r>
    </w:p>
    <w:p w:rsidR="00000000" w:rsidDel="00000000" w:rsidP="00000000" w:rsidRDefault="00000000" w:rsidRPr="00000000" w14:paraId="0000001C">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1D">
      <w:pPr>
        <w:spacing w:line="360" w:lineRule="auto"/>
        <w:ind w:left="0" w:firstLine="0"/>
        <w:jc w:val="both"/>
        <w:rPr>
          <w:b w:val="1"/>
          <w:sz w:val="24"/>
          <w:szCs w:val="24"/>
        </w:rPr>
      </w:pPr>
      <w:r w:rsidDel="00000000" w:rsidR="00000000" w:rsidRPr="00000000">
        <w:rPr>
          <w:b w:val="1"/>
          <w:sz w:val="24"/>
          <w:szCs w:val="24"/>
          <w:rtl w:val="0"/>
        </w:rPr>
        <w:t xml:space="preserve">3 O RACISMO E A CRIMINALIZAÇÃO DA POBREZA E SUA HISTÓRICA VINCULAÇÃO COM AS POLÍTICAS PARA INFÂNCIA NO BRASIL</w:t>
      </w:r>
    </w:p>
    <w:p w:rsidR="00000000" w:rsidDel="00000000" w:rsidP="00000000" w:rsidRDefault="00000000" w:rsidRPr="00000000" w14:paraId="0000001E">
      <w:pPr>
        <w:spacing w:line="240" w:lineRule="auto"/>
        <w:ind w:left="2267.71653543307" w:firstLine="0"/>
        <w:jc w:val="both"/>
        <w:rPr>
          <w:sz w:val="20"/>
          <w:szCs w:val="20"/>
        </w:rPr>
      </w:pPr>
      <w:r w:rsidDel="00000000" w:rsidR="00000000" w:rsidRPr="00000000">
        <w:rPr>
          <w:rtl w:val="0"/>
        </w:rPr>
      </w:r>
    </w:p>
    <w:p w:rsidR="00000000" w:rsidDel="00000000" w:rsidP="00000000" w:rsidRDefault="00000000" w:rsidRPr="00000000" w14:paraId="0000001F">
      <w:pPr>
        <w:spacing w:after="0" w:before="0" w:line="360" w:lineRule="auto"/>
        <w:ind w:firstLine="720"/>
        <w:jc w:val="both"/>
        <w:rPr>
          <w:sz w:val="24"/>
          <w:szCs w:val="24"/>
        </w:rPr>
      </w:pPr>
      <w:r w:rsidDel="00000000" w:rsidR="00000000" w:rsidRPr="00000000">
        <w:rPr>
          <w:sz w:val="24"/>
          <w:szCs w:val="24"/>
          <w:rtl w:val="0"/>
        </w:rPr>
        <w:t xml:space="preserve">Desde o processo de colonização até o início do século XX, o Estado brasileiro não apresentava políticas públicas voltadas para a infância e juventude. Com o advento do Código Penal de 1890, surgem os primeiros dispositivos legais que, embora voltados ao controle social, direcionavam-se sobretudo à criminalização da pobreza, especialmente da população negra. O capítulo “Dos vadios e capoeiras” previa o recolhimento de adolescentes a instituições disciplinares, refletindo a lógica punitiva e racializada do Estado (Brasil, 1890 apud Assis, 2022). </w:t>
      </w:r>
    </w:p>
    <w:p w:rsidR="00000000" w:rsidDel="00000000" w:rsidP="00000000" w:rsidRDefault="00000000" w:rsidRPr="00000000" w14:paraId="00000020">
      <w:pPr>
        <w:spacing w:after="0" w:before="0" w:line="360" w:lineRule="auto"/>
        <w:ind w:firstLine="720"/>
        <w:jc w:val="both"/>
        <w:rPr>
          <w:sz w:val="24"/>
          <w:szCs w:val="24"/>
        </w:rPr>
      </w:pPr>
      <w:r w:rsidDel="00000000" w:rsidR="00000000" w:rsidRPr="00000000">
        <w:rPr>
          <w:sz w:val="24"/>
          <w:szCs w:val="24"/>
          <w:rtl w:val="0"/>
        </w:rPr>
        <w:t xml:space="preserve">A abolição da escravidão não significou inclusão social, posto que, a infância negra permaneceu alvo de marginalização sob o pretexto de combate à desigualdade, quando, na verdade, instaurava-se uma lógica de inferiorização sistemática (Assis, 2022). Já nos fins do século XIX, com o abandono de crianças pobres e o aumento da violência contra elas, o Estado passa a intervir de forma mais incisiva, abandonando o caráter exclusivamente caritativo da assistência prestada pelas Santas Casas (Passetti, 2010).</w:t>
      </w:r>
    </w:p>
    <w:p w:rsidR="00000000" w:rsidDel="00000000" w:rsidP="00000000" w:rsidRDefault="00000000" w:rsidRPr="00000000" w14:paraId="00000021">
      <w:pPr>
        <w:spacing w:after="0" w:before="0" w:line="360" w:lineRule="auto"/>
        <w:ind w:firstLine="720"/>
        <w:jc w:val="both"/>
        <w:rPr>
          <w:sz w:val="24"/>
          <w:szCs w:val="24"/>
        </w:rPr>
      </w:pPr>
      <w:r w:rsidDel="00000000" w:rsidR="00000000" w:rsidRPr="00000000">
        <w:rPr>
          <w:sz w:val="24"/>
          <w:szCs w:val="24"/>
          <w:rtl w:val="0"/>
        </w:rPr>
        <w:t xml:space="preserve">Ao longo do século XX, a atuação do Estado na infância pobre manteve a lógica penalizadora. O Código de Menores de 1927, a criação do SAM (Serviço de Assistência ao Menor) em 1942 e, posteriormente, da PNBEM (Política Nacional de Bem-Estar do Menor) em 1964, evidenciam como o tratamento dado a esse público foi baseado em instituições repressivas, com viés moralizante e racializado (Costa, 1992; Rizzini &amp; Rizzini, 2004). A Doutrina da Situação Irregular, consolidada no Código de Menores de 1979, reafirmava o foco nas crianças pobres, justificando sua institucionalização por condições como pobreza ou "más condutas" (Costa, 1992). A estrutura repressiva do SAM e das FEBEMs gerava denúncias de brutalidade, e embora o discurso assistencialista ganhasse força na ditadura, a lógica punitiva persistia, inclusive com legitimação do trabalho infantil em instituições como as “Casas do Pequeno Trabalhador” (Costa, 1992).</w:t>
      </w:r>
    </w:p>
    <w:p w:rsidR="00000000" w:rsidDel="00000000" w:rsidP="00000000" w:rsidRDefault="00000000" w:rsidRPr="00000000" w14:paraId="00000022">
      <w:pPr>
        <w:spacing w:after="0" w:before="0" w:line="360" w:lineRule="auto"/>
        <w:ind w:firstLine="720"/>
        <w:jc w:val="both"/>
        <w:rPr>
          <w:sz w:val="24"/>
          <w:szCs w:val="24"/>
        </w:rPr>
      </w:pPr>
      <w:r w:rsidDel="00000000" w:rsidR="00000000" w:rsidRPr="00000000">
        <w:rPr>
          <w:sz w:val="24"/>
          <w:szCs w:val="24"/>
          <w:rtl w:val="0"/>
        </w:rPr>
        <w:t xml:space="preserve">Com a Constituição de 1988 e o Estatuto da Criança e do Adolescente (ECA), de 1990, o Brasil deu um passo importante rumo à proteção integral da infância e da adolescência, reconhecendo-os como sujeitos de direitos. O artigo 227 da Constituição estabelece a responsabilidade da família, sociedade e Estado em garantir, com prioridade absoluta, os direitos das crianças e adolescentes (Brasil, 1988). A nova legislação rompe com a perspectiva tutelar e repressiva anterior, assumindo uma abordagem pedagógica (Silva, 2015). No entanto, apesar dos avanços normativos, autores como Scherer, Aloraldo e Seimetz (2019) destacam que a juventude pobre e negra ainda é percebida como potencialmente perigosa, sendo alvo do braço repressivo do Estado, perpetuando a criminalização da pobreza e da raça.</w:t>
      </w:r>
    </w:p>
    <w:p w:rsidR="00000000" w:rsidDel="00000000" w:rsidP="00000000" w:rsidRDefault="00000000" w:rsidRPr="00000000" w14:paraId="00000023">
      <w:pPr>
        <w:spacing w:after="0" w:before="0" w:line="360" w:lineRule="auto"/>
        <w:ind w:firstLine="720"/>
        <w:jc w:val="both"/>
        <w:rPr>
          <w:sz w:val="24"/>
          <w:szCs w:val="24"/>
        </w:rPr>
      </w:pPr>
      <w:r w:rsidDel="00000000" w:rsidR="00000000" w:rsidRPr="00000000">
        <w:rPr>
          <w:sz w:val="24"/>
          <w:szCs w:val="24"/>
          <w:rtl w:val="0"/>
        </w:rPr>
        <w:t xml:space="preserve">A partir da década de 1990, com a ascensão do neoliberalismo, acentuam-se as contradições entre os direitos conquistados e sua efetivação prática. O Estado passa a se desresponsabilizar socialmente, substituindo o modelo de Estado Social pelo Estado Penal, marcado pela repressão, judicialização da Questão Social e culpabilização individual dos pobres (Andrade &amp; Lira, 2022; Ferreira, 2022). Essa dinâmica enfraquece o Sistema de Garantia de Direitos, comprometendo o alcance das políticas públicas previstas no ECA (Andrade et al., 2022). </w:t>
      </w:r>
    </w:p>
    <w:p w:rsidR="00000000" w:rsidDel="00000000" w:rsidP="00000000" w:rsidRDefault="00000000" w:rsidRPr="00000000" w14:paraId="00000024">
      <w:pPr>
        <w:spacing w:after="0" w:before="0" w:line="360" w:lineRule="auto"/>
        <w:ind w:firstLine="720"/>
        <w:jc w:val="both"/>
        <w:rPr>
          <w:sz w:val="24"/>
          <w:szCs w:val="24"/>
        </w:rPr>
      </w:pPr>
      <w:r w:rsidDel="00000000" w:rsidR="00000000" w:rsidRPr="00000000">
        <w:rPr>
          <w:sz w:val="24"/>
          <w:szCs w:val="24"/>
          <w:rtl w:val="0"/>
        </w:rPr>
        <w:t xml:space="preserve">O cenário se agrava com o avanço do ultraneoliberalismo após 2016, intensificando as desigualdades sociais e raciais. As manifestações de racismo institucional, especialmente no judiciário, tornam-se mais evidentes, legitimando práticas como a destituição do poder familiar, o acolhimento institucional e as medidas socioeducativas contra crianças e adolescentes negros e periféricos (Brisola, 2012, p. 137 apud Andrade et al., 2022).</w:t>
      </w:r>
    </w:p>
    <w:p w:rsidR="00000000" w:rsidDel="00000000" w:rsidP="00000000" w:rsidRDefault="00000000" w:rsidRPr="00000000" w14:paraId="00000025">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26">
      <w:pPr>
        <w:spacing w:line="360" w:lineRule="auto"/>
        <w:ind w:left="0" w:firstLine="0"/>
        <w:jc w:val="both"/>
        <w:rPr>
          <w:b w:val="1"/>
          <w:sz w:val="24"/>
          <w:szCs w:val="24"/>
        </w:rPr>
      </w:pPr>
      <w:r w:rsidDel="00000000" w:rsidR="00000000" w:rsidRPr="00000000">
        <w:rPr>
          <w:b w:val="1"/>
          <w:sz w:val="24"/>
          <w:szCs w:val="24"/>
          <w:rtl w:val="0"/>
        </w:rPr>
        <w:t xml:space="preserve">4 CRIMINALIZAÇÃO DA POBREZA E RACISMO ESTRUTURAL: IMPLICAÇÕES NAS MEDIDAS JUDICIAIS </w:t>
      </w:r>
    </w:p>
    <w:p w:rsidR="00000000" w:rsidDel="00000000" w:rsidP="00000000" w:rsidRDefault="00000000" w:rsidRPr="00000000" w14:paraId="00000027">
      <w:pPr>
        <w:spacing w:line="36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28">
      <w:pPr>
        <w:spacing w:line="360" w:lineRule="auto"/>
        <w:ind w:left="0" w:firstLine="720"/>
        <w:jc w:val="both"/>
        <w:rPr>
          <w:sz w:val="24"/>
          <w:szCs w:val="24"/>
        </w:rPr>
      </w:pPr>
      <w:r w:rsidDel="00000000" w:rsidR="00000000" w:rsidRPr="00000000">
        <w:rPr>
          <w:sz w:val="24"/>
          <w:szCs w:val="24"/>
          <w:rtl w:val="0"/>
        </w:rPr>
        <w:t xml:space="preserve">Como vimos ao longo deste estudo, o racismo estrutural permeia todas as dimensões da sociedade, fazendo-se presente também nas instituições que gerenciam e/ou mediam os conflitos provenientes das desigualdades sociais. No que diz respeito à privação das crianças e dos adolescentes aos direitos sociais básicos, sabe-se que afeta de maneira significativa o público infantojuvenil preto e pobre, historicamente negligenciado e marginalizado. Quanto à atuação do Estado perante essa problemática, vimos que ele age por meio da criminalização e penalização dos indivíduos socialmente segregados, fato que acaba por desencadear a judicialização da Questão Social, a qual reflete o “ [...] aumento da interferência dos aparatos de controle judicial sobre a pobreza, quer seja para proteção e defesa dos direitos de cidadania, quer seja para repressão dos comportamentos penalmente puníveis (Sierra, 2014, p. 41). </w:t>
      </w:r>
    </w:p>
    <w:p w:rsidR="00000000" w:rsidDel="00000000" w:rsidP="00000000" w:rsidRDefault="00000000" w:rsidRPr="00000000" w14:paraId="00000029">
      <w:pPr>
        <w:spacing w:line="360" w:lineRule="auto"/>
        <w:ind w:left="0" w:firstLine="720"/>
        <w:jc w:val="both"/>
        <w:rPr>
          <w:sz w:val="24"/>
          <w:szCs w:val="24"/>
        </w:rPr>
      </w:pPr>
      <w:r w:rsidDel="00000000" w:rsidR="00000000" w:rsidRPr="00000000">
        <w:rPr>
          <w:sz w:val="24"/>
          <w:szCs w:val="24"/>
          <w:rtl w:val="0"/>
        </w:rPr>
        <w:t xml:space="preserve">Ao que diz respeito à destituição do poder familiar, Andrade (2023) aponta que os processos judiciais no Brasil refletem, em grande parte, a pobreza e a ausência de intervenção estatal para garantir direitos e meios de subsistência às famílias. No entanto, tais causas estruturais da pobreza, como as desigualdades geradas pelo modelo econômico, são tratadas superficialmente nos processos, revelando uma falha do Judiciário em compreender o contexto social mais amplo e a falta de apoio governamental às famílias em situação de vulnerabilidade.</w:t>
      </w:r>
    </w:p>
    <w:p w:rsidR="00000000" w:rsidDel="00000000" w:rsidP="00000000" w:rsidRDefault="00000000" w:rsidRPr="00000000" w14:paraId="0000002A">
      <w:pPr>
        <w:spacing w:before="0" w:line="360" w:lineRule="auto"/>
        <w:ind w:left="0" w:firstLine="720"/>
        <w:jc w:val="both"/>
        <w:rPr>
          <w:sz w:val="24"/>
          <w:szCs w:val="24"/>
        </w:rPr>
      </w:pPr>
      <w:r w:rsidDel="00000000" w:rsidR="00000000" w:rsidRPr="00000000">
        <w:rPr>
          <w:sz w:val="24"/>
          <w:szCs w:val="24"/>
          <w:rtl w:val="0"/>
        </w:rPr>
        <w:t xml:space="preserve">Dados locais, como os de Andrade (2018) em Campina Grande-PB, indicam que negligência (29%) e carência econômica (26%) são os principais motivos para a destituição, evidenciando a criminalização da pobreza. Além disso, a disparidade racial nas destituições é notável: estados com população majoritariamente branca, como Santa Catarina e Paraná, apresentam índices menores de crianças negras destituídas, enquanto no Nordeste, por exemplo, no Rio Grande do Norte, o índice chega a 75% (CNJ, 2022).</w:t>
      </w:r>
    </w:p>
    <w:p w:rsidR="00000000" w:rsidDel="00000000" w:rsidP="00000000" w:rsidRDefault="00000000" w:rsidRPr="00000000" w14:paraId="0000002B">
      <w:pPr>
        <w:spacing w:after="0" w:before="0" w:line="360" w:lineRule="auto"/>
        <w:ind w:firstLine="720"/>
        <w:jc w:val="both"/>
        <w:rPr>
          <w:sz w:val="24"/>
          <w:szCs w:val="24"/>
        </w:rPr>
      </w:pPr>
      <w:r w:rsidDel="00000000" w:rsidR="00000000" w:rsidRPr="00000000">
        <w:rPr>
          <w:sz w:val="24"/>
          <w:szCs w:val="24"/>
          <w:rtl w:val="0"/>
        </w:rPr>
        <w:t xml:space="preserve">O acolhimento institucional, conforme definido pelo Conselho Nacional de Justiça (CNJ, 2022), é uma medida protetiva, excepcional e temporária destinada a crianças e adolescentes em situação de vulnerabilidade, violência ou violação de direitos. No entanto, no contexto brasileiro, a pobreza extrema, racialmente marcada, e a ausência de políticas públicas eficazes levam à criminalização da pobreza, resultando em um aumento da institucionalização infantojuvenil (Ferreira, 2022). </w:t>
      </w:r>
    </w:p>
    <w:p w:rsidR="00000000" w:rsidDel="00000000" w:rsidP="00000000" w:rsidRDefault="00000000" w:rsidRPr="00000000" w14:paraId="0000002C">
      <w:pPr>
        <w:spacing w:after="0" w:before="0" w:line="360" w:lineRule="auto"/>
        <w:ind w:left="0" w:firstLine="720"/>
        <w:jc w:val="both"/>
        <w:rPr>
          <w:sz w:val="24"/>
          <w:szCs w:val="24"/>
        </w:rPr>
      </w:pPr>
      <w:r w:rsidDel="00000000" w:rsidR="00000000" w:rsidRPr="00000000">
        <w:rPr>
          <w:sz w:val="24"/>
          <w:szCs w:val="24"/>
          <w:rtl w:val="0"/>
        </w:rPr>
        <w:t xml:space="preserve">Além da criminalização da pobreza, a institucionalização infantil está diretamente associada à discriminação racial. Dados do CNJ (2022) indicam que a maioria das crianças institucionalizadas com raça informada são negras, evidenciando a presença do racismo estrutural no processo jurídico e social, desde a negligência estatal até a destituição e acolhimento. Entre as crianças disponíveis para adoção em 2020, 64,3% eram negras, o que reforça essa desigualdade racial. </w:t>
      </w:r>
    </w:p>
    <w:p w:rsidR="00000000" w:rsidDel="00000000" w:rsidP="00000000" w:rsidRDefault="00000000" w:rsidRPr="00000000" w14:paraId="0000002D">
      <w:pPr>
        <w:spacing w:after="0" w:before="0" w:line="360" w:lineRule="auto"/>
        <w:ind w:left="0" w:firstLine="720"/>
        <w:jc w:val="both"/>
        <w:rPr>
          <w:sz w:val="24"/>
          <w:szCs w:val="24"/>
        </w:rPr>
      </w:pPr>
      <w:r w:rsidDel="00000000" w:rsidR="00000000" w:rsidRPr="00000000">
        <w:rPr>
          <w:sz w:val="24"/>
          <w:szCs w:val="24"/>
          <w:rtl w:val="0"/>
        </w:rPr>
        <w:t xml:space="preserve">No cotidiano das instituições, segundo Eurico (2018), profissionais demonstram dificuldades em compreender e combater o racismo, o que resulta em práticas discriminatórias e sofrimento para as crianças negras acolhidas. Dessa forma, o acolhimento institucional, embora previsto como proteção, frequentemente prolonga um ciclo de violação de direitos, marcado pela judicialização da pobreza e pela perpetuação do racismo estrutural no Brasil.</w:t>
      </w:r>
    </w:p>
    <w:p w:rsidR="00000000" w:rsidDel="00000000" w:rsidP="00000000" w:rsidRDefault="00000000" w:rsidRPr="00000000" w14:paraId="0000002E">
      <w:pPr>
        <w:spacing w:after="0" w:before="0" w:line="360" w:lineRule="auto"/>
        <w:ind w:firstLine="720"/>
        <w:jc w:val="both"/>
        <w:rPr>
          <w:sz w:val="24"/>
          <w:szCs w:val="24"/>
        </w:rPr>
      </w:pPr>
      <w:r w:rsidDel="00000000" w:rsidR="00000000" w:rsidRPr="00000000">
        <w:rPr>
          <w:sz w:val="24"/>
          <w:szCs w:val="24"/>
          <w:rtl w:val="0"/>
        </w:rPr>
        <w:t xml:space="preserve">Embora a legislação brasileira não relacione diretamente pobreza e raça à aplicação das medidas socioeducativas, os dados revelam uma realidade profundamente marcada por esses fatores. A maioria dos adolescentes privados de liberdade é preta ou parda (Bonalume e Jacinto, 2019), o que evidencia a criminalização da pobreza e o racismo estrutural que atravessam o sistema socioeducativo (Santos, 2020; 2023). </w:t>
      </w:r>
    </w:p>
    <w:p w:rsidR="00000000" w:rsidDel="00000000" w:rsidP="00000000" w:rsidRDefault="00000000" w:rsidRPr="00000000" w14:paraId="0000002F">
      <w:pPr>
        <w:spacing w:after="0" w:before="0" w:line="360" w:lineRule="auto"/>
        <w:ind w:firstLine="720"/>
        <w:jc w:val="both"/>
        <w:rPr>
          <w:sz w:val="24"/>
          <w:szCs w:val="24"/>
        </w:rPr>
      </w:pPr>
      <w:r w:rsidDel="00000000" w:rsidR="00000000" w:rsidRPr="00000000">
        <w:rPr>
          <w:sz w:val="24"/>
          <w:szCs w:val="24"/>
          <w:rtl w:val="0"/>
        </w:rPr>
        <w:t xml:space="preserve">Essa realidade está atrelada ao fato de que o Estado, ao invés de garantir políticas públicas efetivas voltadas para educação, saúde, trabalho e dignidade, tende a institucionalizar adolescentes oriundos de contextos de violações de direitos básicos, como falta de acesso à moradia, lazer, profissionalização e alimentação (Scherer et al., 2018). O tráfico de drogas, por exemplo, é uma via de sobrevivência para muitos desses jovens que enfrentam o desemprego e a ausência de proteção social (Brasil, 2019 apud CNJ, 2023). </w:t>
      </w:r>
    </w:p>
    <w:p w:rsidR="00000000" w:rsidDel="00000000" w:rsidP="00000000" w:rsidRDefault="00000000" w:rsidRPr="00000000" w14:paraId="00000030">
      <w:pPr>
        <w:spacing w:after="0" w:before="0" w:line="360" w:lineRule="auto"/>
        <w:ind w:firstLine="720"/>
        <w:jc w:val="both"/>
        <w:rPr>
          <w:sz w:val="24"/>
          <w:szCs w:val="24"/>
        </w:rPr>
      </w:pPr>
      <w:r w:rsidDel="00000000" w:rsidR="00000000" w:rsidRPr="00000000">
        <w:rPr>
          <w:sz w:val="24"/>
          <w:szCs w:val="24"/>
          <w:rtl w:val="0"/>
        </w:rPr>
        <w:t xml:space="preserve">Com relação a isso, a lógica punitiva regida por uma necropolítica</w:t>
      </w:r>
      <w:r w:rsidDel="00000000" w:rsidR="00000000" w:rsidRPr="00000000">
        <w:rPr>
          <w:sz w:val="24"/>
          <w:szCs w:val="24"/>
          <w:vertAlign w:val="superscript"/>
        </w:rPr>
        <w:footnoteReference w:customMarkFollows="0" w:id="2"/>
      </w:r>
      <w:r w:rsidDel="00000000" w:rsidR="00000000" w:rsidRPr="00000000">
        <w:rPr>
          <w:sz w:val="24"/>
          <w:szCs w:val="24"/>
          <w:rtl w:val="0"/>
        </w:rPr>
        <w:t xml:space="preserve"> (Tommaselli, 2020), privilegia medidas em meio fechado, mesmo quando o ECA (Brasil, 1990) prevê sua excepcionalidade. Esse modelo, além de violar direitos, reforça o estigma da juventude periférica, enquanto jovens brancos e burgueses seguem protegidos em esferas privadas (Santos, 2023).</w:t>
      </w:r>
    </w:p>
    <w:p w:rsidR="00000000" w:rsidDel="00000000" w:rsidP="00000000" w:rsidRDefault="00000000" w:rsidRPr="00000000" w14:paraId="00000031">
      <w:pPr>
        <w:spacing w:after="0" w:before="0" w:line="360" w:lineRule="auto"/>
        <w:ind w:firstLine="720"/>
        <w:jc w:val="both"/>
        <w:rPr>
          <w:sz w:val="24"/>
          <w:szCs w:val="24"/>
        </w:rPr>
      </w:pPr>
      <w:r w:rsidDel="00000000" w:rsidR="00000000" w:rsidRPr="00000000">
        <w:rPr>
          <w:sz w:val="24"/>
          <w:szCs w:val="24"/>
          <w:rtl w:val="0"/>
        </w:rPr>
        <w:t xml:space="preserve">O cenário se agrava com a predominância de internações mesmo durante a pandemia da Covid-19, quando estava em vigor a Recomendação nº 62/2020 do CNJ, que orientava o uso de medidas em meio aberto. Ainda assim, as internações aumentaram 25% de 2019 para 2020 (Pereira Junior, 2021 apud CNJ, 2023). Segundo o Sistema Nacional de Atendimento Socioeducativo (SINASE) (Brasil, 2020), em 2020 foram atendidos 46 mil menores de idade em conflito com a lei. Dentre eles, 59% eram negros, enquanto apenas 22% eram brancos. Quanto a questão da raça os índices mostraram a mesma constância de 2020, posto que 63,8% eram autodeclarados pretos/pardos, 22,3% brancas, 0,1% amarela, 0,4% indígena, um adolescente quilombola e 6,8% sem identificação quanto a cor. Percebe-se, portanto, que, embora o quantitativo de socioeducandos tenha amenizado, os adolescentes pretos ainda constituem o público central (Brasil, 2020). </w:t>
      </w:r>
    </w:p>
    <w:p w:rsidR="00000000" w:rsidDel="00000000" w:rsidP="00000000" w:rsidRDefault="00000000" w:rsidRPr="00000000" w14:paraId="00000032">
      <w:pPr>
        <w:spacing w:line="360" w:lineRule="auto"/>
        <w:ind w:left="0" w:firstLine="720"/>
        <w:jc w:val="both"/>
        <w:rPr>
          <w:b w:val="1"/>
          <w:sz w:val="24"/>
          <w:szCs w:val="24"/>
        </w:rPr>
      </w:pPr>
      <w:r w:rsidDel="00000000" w:rsidR="00000000" w:rsidRPr="00000000">
        <w:rPr>
          <w:sz w:val="24"/>
          <w:szCs w:val="24"/>
          <w:rtl w:val="0"/>
        </w:rPr>
        <w:t xml:space="preserve">Essa conjuntura revela que o racismo estrutural, historicamente enraizado desde a colonização, ainda opera como determinante para a negação sistemática dos direitos de muitas crianças. O cenário atual, marcado pelo desmonte das políticas públicas, pela criminalização da pobreza e pela persistência das desigualdades raciais, evidencia a urgência de estudos aprofundados que analisem de forma integrada os processos de destituição do poder familiar, de acolhimento institucional e a aplicação das medidas socioeducativas, bem como os impactos dessas práticas na vida de crianças e adolescentes no Brasil.</w:t>
      </w:r>
      <w:r w:rsidDel="00000000" w:rsidR="00000000" w:rsidRPr="00000000">
        <w:rPr>
          <w:rtl w:val="0"/>
        </w:rPr>
      </w:r>
    </w:p>
    <w:p w:rsidR="00000000" w:rsidDel="00000000" w:rsidP="00000000" w:rsidRDefault="00000000" w:rsidRPr="00000000" w14:paraId="00000033">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34">
      <w:pPr>
        <w:spacing w:line="360" w:lineRule="auto"/>
        <w:jc w:val="both"/>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baseline"/>
          <w:rtl w:val="0"/>
        </w:rPr>
        <w:tab/>
        <w:t xml:space="preserve">CONCLUSÃO</w:t>
      </w:r>
      <w:r w:rsidDel="00000000" w:rsidR="00000000" w:rsidRPr="00000000">
        <w:rPr>
          <w:rtl w:val="0"/>
        </w:rPr>
      </w:r>
    </w:p>
    <w:p w:rsidR="00000000" w:rsidDel="00000000" w:rsidP="00000000" w:rsidRDefault="00000000" w:rsidRPr="00000000" w14:paraId="00000035">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36">
      <w:pPr>
        <w:spacing w:line="360" w:lineRule="auto"/>
        <w:ind w:firstLine="720"/>
        <w:jc w:val="both"/>
        <w:rPr>
          <w:sz w:val="24"/>
          <w:szCs w:val="24"/>
        </w:rPr>
      </w:pPr>
      <w:r w:rsidDel="00000000" w:rsidR="00000000" w:rsidRPr="00000000">
        <w:rPr>
          <w:sz w:val="24"/>
          <w:szCs w:val="24"/>
          <w:rtl w:val="0"/>
        </w:rPr>
        <w:t xml:space="preserve">O estudo evidenciou como o racismo estrutural e a criminalização da pobreza moldam historicamente o atendimento à infância e juventude no Brasil, resultando em práticas judiciais que penalizam desproporcionalmente crianças e adolescentes negros e pobres. A destituição do poder familiar, o acolhimento institucional e as medidas socioeducativas, embora legalmente justificadas como protetivas, frequentemente reforçam a exclusão social, a desproteção e a ruptura de vínculos familiares, desconsiderando as causas estruturais da vulnerabilidade. A prevalência de internações e punições em detrimento de políticas públicas eficazes demonstra a tendência do Estado de institucionalizar problemas sociais, perpetuando ciclos de desigualdade. Assim, o trabalho conclui que é urgente adotar políticas inclusivas, com abordagens interseccionais de raça, classe e gênero, que garantam o pleno desenvolvimento de crianças e adolescentes, conforme previsto no Estatuto da Criança e do Adolescente.</w:t>
      </w:r>
    </w:p>
    <w:p w:rsidR="00000000" w:rsidDel="00000000" w:rsidP="00000000" w:rsidRDefault="00000000" w:rsidRPr="00000000" w14:paraId="00000037">
      <w:pPr>
        <w:spacing w:line="360" w:lineRule="auto"/>
        <w:jc w:val="left"/>
        <w:rPr>
          <w:b w:val="0"/>
          <w:sz w:val="24"/>
          <w:szCs w:val="24"/>
          <w:vertAlign w:val="baseline"/>
        </w:rPr>
      </w:pPr>
      <w:r w:rsidDel="00000000" w:rsidR="00000000" w:rsidRPr="00000000">
        <w:rPr>
          <w:rtl w:val="0"/>
        </w:rPr>
      </w:r>
    </w:p>
    <w:p w:rsidR="00000000" w:rsidDel="00000000" w:rsidP="00000000" w:rsidRDefault="00000000" w:rsidRPr="00000000" w14:paraId="00000038">
      <w:pPr>
        <w:spacing w:line="360" w:lineRule="auto"/>
        <w:jc w:val="center"/>
        <w:rPr>
          <w:b w:val="1"/>
          <w:sz w:val="24"/>
          <w:szCs w:val="24"/>
          <w:vertAlign w:val="baseline"/>
        </w:rPr>
      </w:pPr>
      <w:r w:rsidDel="00000000" w:rsidR="00000000" w:rsidRPr="00000000">
        <w:rPr>
          <w:b w:val="1"/>
          <w:sz w:val="24"/>
          <w:szCs w:val="24"/>
          <w:vertAlign w:val="baseline"/>
          <w:rtl w:val="0"/>
        </w:rPr>
        <w:t xml:space="preserve">REFERÊNCIAS </w:t>
      </w:r>
    </w:p>
    <w:p w:rsidR="00000000" w:rsidDel="00000000" w:rsidP="00000000" w:rsidRDefault="00000000" w:rsidRPr="00000000" w14:paraId="00000039">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3A">
      <w:pPr>
        <w:spacing w:line="240" w:lineRule="auto"/>
        <w:rPr>
          <w:sz w:val="24"/>
          <w:szCs w:val="24"/>
        </w:rPr>
      </w:pPr>
      <w:r w:rsidDel="00000000" w:rsidR="00000000" w:rsidRPr="00000000">
        <w:rPr>
          <w:sz w:val="24"/>
          <w:szCs w:val="24"/>
          <w:rtl w:val="0"/>
        </w:rPr>
        <w:t xml:space="preserve">ALMEIDA, S. L. de. </w:t>
      </w:r>
      <w:r w:rsidDel="00000000" w:rsidR="00000000" w:rsidRPr="00000000">
        <w:rPr>
          <w:b w:val="1"/>
          <w:sz w:val="24"/>
          <w:szCs w:val="24"/>
          <w:rtl w:val="0"/>
        </w:rPr>
        <w:t xml:space="preserve">Racismo estrutural. </w:t>
      </w:r>
      <w:r w:rsidDel="00000000" w:rsidR="00000000" w:rsidRPr="00000000">
        <w:rPr>
          <w:sz w:val="24"/>
          <w:szCs w:val="24"/>
          <w:rtl w:val="0"/>
        </w:rPr>
        <w:t xml:space="preserve">São Paulo: Pólen Produção Editorial, 2019.</w:t>
      </w:r>
    </w:p>
    <w:p w:rsidR="00000000" w:rsidDel="00000000" w:rsidP="00000000" w:rsidRDefault="00000000" w:rsidRPr="00000000" w14:paraId="0000003B">
      <w:pPr>
        <w:spacing w:line="240" w:lineRule="auto"/>
        <w:rPr>
          <w:sz w:val="24"/>
          <w:szCs w:val="24"/>
        </w:rPr>
      </w:pPr>
      <w:r w:rsidDel="00000000" w:rsidR="00000000" w:rsidRPr="00000000">
        <w:rPr>
          <w:rtl w:val="0"/>
        </w:rPr>
      </w:r>
    </w:p>
    <w:p w:rsidR="00000000" w:rsidDel="00000000" w:rsidP="00000000" w:rsidRDefault="00000000" w:rsidRPr="00000000" w14:paraId="0000003C">
      <w:pPr>
        <w:spacing w:line="240" w:lineRule="auto"/>
        <w:rPr>
          <w:sz w:val="24"/>
          <w:szCs w:val="24"/>
        </w:rPr>
      </w:pPr>
      <w:r w:rsidDel="00000000" w:rsidR="00000000" w:rsidRPr="00000000">
        <w:rPr>
          <w:sz w:val="24"/>
          <w:szCs w:val="24"/>
          <w:rtl w:val="0"/>
        </w:rPr>
        <w:t xml:space="preserve">ANDRADE, P. da S. Criminalização da pobreza e destituição do poder familiar: entre a garantia e a violação de direitos. In: </w:t>
      </w:r>
      <w:r w:rsidDel="00000000" w:rsidR="00000000" w:rsidRPr="00000000">
        <w:rPr>
          <w:b w:val="1"/>
          <w:sz w:val="24"/>
          <w:szCs w:val="24"/>
          <w:rtl w:val="0"/>
        </w:rPr>
        <w:t xml:space="preserve">Neoliberalismo e criminalização da pobreza:</w:t>
      </w:r>
      <w:r w:rsidDel="00000000" w:rsidR="00000000" w:rsidRPr="00000000">
        <w:rPr>
          <w:sz w:val="24"/>
          <w:szCs w:val="24"/>
          <w:rtl w:val="0"/>
        </w:rPr>
        <w:t xml:space="preserve"> a (des)proteção social à infância e adolescência no Brasil. Campina Grande, PB: EDUEPB, p. 129-164, 2023.</w:t>
      </w:r>
    </w:p>
    <w:p w:rsidR="00000000" w:rsidDel="00000000" w:rsidP="00000000" w:rsidRDefault="00000000" w:rsidRPr="00000000" w14:paraId="0000003D">
      <w:pPr>
        <w:spacing w:line="240" w:lineRule="auto"/>
        <w:rPr>
          <w:sz w:val="24"/>
          <w:szCs w:val="24"/>
        </w:rPr>
      </w:pPr>
      <w:r w:rsidDel="00000000" w:rsidR="00000000" w:rsidRPr="00000000">
        <w:rPr>
          <w:rtl w:val="0"/>
        </w:rPr>
      </w:r>
    </w:p>
    <w:p w:rsidR="00000000" w:rsidDel="00000000" w:rsidP="00000000" w:rsidRDefault="00000000" w:rsidRPr="00000000" w14:paraId="0000003E">
      <w:pPr>
        <w:spacing w:line="240" w:lineRule="auto"/>
        <w:rPr>
          <w:sz w:val="24"/>
          <w:szCs w:val="24"/>
        </w:rPr>
      </w:pPr>
      <w:r w:rsidDel="00000000" w:rsidR="00000000" w:rsidRPr="00000000">
        <w:rPr>
          <w:sz w:val="24"/>
          <w:szCs w:val="24"/>
          <w:rtl w:val="0"/>
        </w:rPr>
        <w:t xml:space="preserve">ANDRADE, P. da S. </w:t>
      </w:r>
      <w:r w:rsidDel="00000000" w:rsidR="00000000" w:rsidRPr="00000000">
        <w:rPr>
          <w:b w:val="1"/>
          <w:sz w:val="24"/>
          <w:szCs w:val="24"/>
          <w:rtl w:val="0"/>
        </w:rPr>
        <w:t xml:space="preserve">Destituição do Poder Familiar:</w:t>
      </w:r>
      <w:r w:rsidDel="00000000" w:rsidR="00000000" w:rsidRPr="00000000">
        <w:rPr>
          <w:sz w:val="24"/>
          <w:szCs w:val="24"/>
          <w:rtl w:val="0"/>
        </w:rPr>
        <w:t xml:space="preserve"> um estudo no complexo judiciário da infância e juventude de Campina Grande - PB. 2018. Trabalho de Conclusão de Curso (Graduação em Serviço Social) - Universidade Estadual da Paraíba, Campina Grande, 2018.</w:t>
      </w:r>
    </w:p>
    <w:p w:rsidR="00000000" w:rsidDel="00000000" w:rsidP="00000000" w:rsidRDefault="00000000" w:rsidRPr="00000000" w14:paraId="0000003F">
      <w:pPr>
        <w:spacing w:line="240" w:lineRule="auto"/>
        <w:rPr>
          <w:sz w:val="24"/>
          <w:szCs w:val="24"/>
        </w:rPr>
      </w:pPr>
      <w:r w:rsidDel="00000000" w:rsidR="00000000" w:rsidRPr="00000000">
        <w:rPr>
          <w:rtl w:val="0"/>
        </w:rPr>
      </w:r>
    </w:p>
    <w:p w:rsidR="00000000" w:rsidDel="00000000" w:rsidP="00000000" w:rsidRDefault="00000000" w:rsidRPr="00000000" w14:paraId="00000040">
      <w:pPr>
        <w:spacing w:line="240" w:lineRule="auto"/>
        <w:rPr>
          <w:sz w:val="24"/>
          <w:szCs w:val="24"/>
        </w:rPr>
      </w:pPr>
      <w:r w:rsidDel="00000000" w:rsidR="00000000" w:rsidRPr="00000000">
        <w:rPr>
          <w:sz w:val="24"/>
          <w:szCs w:val="24"/>
          <w:rtl w:val="0"/>
        </w:rPr>
        <w:t xml:space="preserve">ANDRADE, R. P. da S. et al. Criminalização da pobreza e política de atendimento às crianças e adolescentes no Brasil: uma reflexão necessária (Criminalization of poverty and child and youth assistance policy in Brazil: a necessary reflection). </w:t>
      </w:r>
      <w:r w:rsidDel="00000000" w:rsidR="00000000" w:rsidRPr="00000000">
        <w:rPr>
          <w:b w:val="1"/>
          <w:sz w:val="24"/>
          <w:szCs w:val="24"/>
          <w:rtl w:val="0"/>
        </w:rPr>
        <w:t xml:space="preserve">Emancipação</w:t>
      </w:r>
      <w:r w:rsidDel="00000000" w:rsidR="00000000" w:rsidRPr="00000000">
        <w:rPr>
          <w:sz w:val="24"/>
          <w:szCs w:val="24"/>
          <w:rtl w:val="0"/>
        </w:rPr>
        <w:t xml:space="preserve">, v. 22, n. 1, p. 1-21, 2022.</w:t>
      </w:r>
    </w:p>
    <w:p w:rsidR="00000000" w:rsidDel="00000000" w:rsidP="00000000" w:rsidRDefault="00000000" w:rsidRPr="00000000" w14:paraId="00000041">
      <w:pPr>
        <w:spacing w:line="240" w:lineRule="auto"/>
        <w:rPr>
          <w:sz w:val="24"/>
          <w:szCs w:val="24"/>
        </w:rPr>
      </w:pPr>
      <w:r w:rsidDel="00000000" w:rsidR="00000000" w:rsidRPr="00000000">
        <w:rPr>
          <w:rtl w:val="0"/>
        </w:rPr>
      </w:r>
    </w:p>
    <w:p w:rsidR="00000000" w:rsidDel="00000000" w:rsidP="00000000" w:rsidRDefault="00000000" w:rsidRPr="00000000" w14:paraId="00000042">
      <w:pPr>
        <w:spacing w:line="240" w:lineRule="auto"/>
        <w:rPr>
          <w:sz w:val="24"/>
          <w:szCs w:val="24"/>
        </w:rPr>
      </w:pPr>
      <w:r w:rsidDel="00000000" w:rsidR="00000000" w:rsidRPr="00000000">
        <w:rPr>
          <w:sz w:val="24"/>
          <w:szCs w:val="24"/>
          <w:rtl w:val="0"/>
        </w:rPr>
        <w:t xml:space="preserve">ASSIS, E. S. de. A</w:t>
      </w:r>
      <w:r w:rsidDel="00000000" w:rsidR="00000000" w:rsidRPr="00000000">
        <w:rPr>
          <w:b w:val="1"/>
          <w:sz w:val="24"/>
          <w:szCs w:val="24"/>
          <w:rtl w:val="0"/>
        </w:rPr>
        <w:t xml:space="preserve"> fundamental radicalização e racialização da questão social para um projeto profissional antirracista no serviço social. </w:t>
      </w:r>
      <w:r w:rsidDel="00000000" w:rsidR="00000000" w:rsidRPr="00000000">
        <w:rPr>
          <w:sz w:val="24"/>
          <w:szCs w:val="24"/>
          <w:rtl w:val="0"/>
        </w:rPr>
        <w:t xml:space="preserve">2022. Tese (Doutorado em Serviço Social) - Programa de Estudos Pós-Graduados em Serviço Social da Pontifícia Universidade Católica de São Paulo, São Paulo, 2022.</w:t>
      </w:r>
    </w:p>
    <w:p w:rsidR="00000000" w:rsidDel="00000000" w:rsidP="00000000" w:rsidRDefault="00000000" w:rsidRPr="00000000" w14:paraId="00000043">
      <w:pPr>
        <w:spacing w:line="240" w:lineRule="auto"/>
        <w:rPr>
          <w:sz w:val="24"/>
          <w:szCs w:val="24"/>
        </w:rPr>
      </w:pPr>
      <w:r w:rsidDel="00000000" w:rsidR="00000000" w:rsidRPr="00000000">
        <w:rPr>
          <w:rtl w:val="0"/>
        </w:rPr>
      </w:r>
    </w:p>
    <w:p w:rsidR="00000000" w:rsidDel="00000000" w:rsidP="00000000" w:rsidRDefault="00000000" w:rsidRPr="00000000" w14:paraId="00000044">
      <w:pPr>
        <w:spacing w:line="240" w:lineRule="auto"/>
        <w:rPr>
          <w:sz w:val="24"/>
          <w:szCs w:val="24"/>
        </w:rPr>
      </w:pPr>
      <w:r w:rsidDel="00000000" w:rsidR="00000000" w:rsidRPr="00000000">
        <w:rPr>
          <w:sz w:val="24"/>
          <w:szCs w:val="24"/>
          <w:rtl w:val="0"/>
        </w:rPr>
        <w:t xml:space="preserve">BONALUME, B. C.; JACINTO, A. G. Encarceramento juvenil: o legado histórico de seletividade e criminalização da pobreza. </w:t>
      </w:r>
      <w:r w:rsidDel="00000000" w:rsidR="00000000" w:rsidRPr="00000000">
        <w:rPr>
          <w:b w:val="1"/>
          <w:sz w:val="24"/>
          <w:szCs w:val="24"/>
          <w:rtl w:val="0"/>
        </w:rPr>
        <w:t xml:space="preserve">Revista Katálysis</w:t>
      </w:r>
      <w:r w:rsidDel="00000000" w:rsidR="00000000" w:rsidRPr="00000000">
        <w:rPr>
          <w:sz w:val="24"/>
          <w:szCs w:val="24"/>
          <w:rtl w:val="0"/>
        </w:rPr>
        <w:t xml:space="preserve">, v. 22, p. 160-170, 2019. </w:t>
      </w:r>
    </w:p>
    <w:p w:rsidR="00000000" w:rsidDel="00000000" w:rsidP="00000000" w:rsidRDefault="00000000" w:rsidRPr="00000000" w14:paraId="00000045">
      <w:pPr>
        <w:spacing w:line="240" w:lineRule="auto"/>
        <w:rPr>
          <w:sz w:val="24"/>
          <w:szCs w:val="24"/>
        </w:rPr>
      </w:pPr>
      <w:r w:rsidDel="00000000" w:rsidR="00000000" w:rsidRPr="00000000">
        <w:rPr>
          <w:rtl w:val="0"/>
        </w:rPr>
      </w:r>
    </w:p>
    <w:p w:rsidR="00000000" w:rsidDel="00000000" w:rsidP="00000000" w:rsidRDefault="00000000" w:rsidRPr="00000000" w14:paraId="00000046">
      <w:pPr>
        <w:spacing w:line="240" w:lineRule="auto"/>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Constituição da República Federativa do Brasil de 1988.</w:t>
      </w:r>
      <w:r w:rsidDel="00000000" w:rsidR="00000000" w:rsidRPr="00000000">
        <w:rPr>
          <w:sz w:val="24"/>
          <w:szCs w:val="24"/>
          <w:rtl w:val="0"/>
        </w:rPr>
        <w:t xml:space="preserve"> Brasília, DF: Senado Federal, 1988.</w:t>
      </w:r>
    </w:p>
    <w:p w:rsidR="00000000" w:rsidDel="00000000" w:rsidP="00000000" w:rsidRDefault="00000000" w:rsidRPr="00000000" w14:paraId="00000047">
      <w:pPr>
        <w:spacing w:line="240" w:lineRule="auto"/>
        <w:rPr>
          <w:sz w:val="24"/>
          <w:szCs w:val="24"/>
        </w:rPr>
      </w:pPr>
      <w:r w:rsidDel="00000000" w:rsidR="00000000" w:rsidRPr="00000000">
        <w:rPr>
          <w:rtl w:val="0"/>
        </w:rPr>
      </w:r>
    </w:p>
    <w:p w:rsidR="00000000" w:rsidDel="00000000" w:rsidP="00000000" w:rsidRDefault="00000000" w:rsidRPr="00000000" w14:paraId="00000048">
      <w:pPr>
        <w:spacing w:line="240" w:lineRule="auto"/>
        <w:rPr>
          <w:sz w:val="24"/>
          <w:szCs w:val="24"/>
        </w:rPr>
      </w:pPr>
      <w:r w:rsidDel="00000000" w:rsidR="00000000" w:rsidRPr="00000000">
        <w:rPr>
          <w:sz w:val="24"/>
          <w:szCs w:val="24"/>
          <w:rtl w:val="0"/>
        </w:rPr>
        <w:t xml:space="preserve">BRASIL. Lei nº 8.069, de 13 de julho de 1990. </w:t>
      </w:r>
      <w:r w:rsidDel="00000000" w:rsidR="00000000" w:rsidRPr="00000000">
        <w:rPr>
          <w:b w:val="1"/>
          <w:sz w:val="24"/>
          <w:szCs w:val="24"/>
          <w:rtl w:val="0"/>
        </w:rPr>
        <w:t xml:space="preserve">Estatuto da Criança e do Adolescente.</w:t>
      </w:r>
      <w:r w:rsidDel="00000000" w:rsidR="00000000" w:rsidRPr="00000000">
        <w:rPr>
          <w:sz w:val="24"/>
          <w:szCs w:val="24"/>
          <w:rtl w:val="0"/>
        </w:rPr>
        <w:t xml:space="preserve"> Brasília, DF: Senado Federal, 1990.</w:t>
      </w:r>
    </w:p>
    <w:p w:rsidR="00000000" w:rsidDel="00000000" w:rsidP="00000000" w:rsidRDefault="00000000" w:rsidRPr="00000000" w14:paraId="00000049">
      <w:pPr>
        <w:spacing w:line="240" w:lineRule="auto"/>
        <w:rPr>
          <w:sz w:val="24"/>
          <w:szCs w:val="24"/>
        </w:rPr>
      </w:pPr>
      <w:r w:rsidDel="00000000" w:rsidR="00000000" w:rsidRPr="00000000">
        <w:rPr>
          <w:rtl w:val="0"/>
        </w:rPr>
      </w:r>
    </w:p>
    <w:p w:rsidR="00000000" w:rsidDel="00000000" w:rsidP="00000000" w:rsidRDefault="00000000" w:rsidRPr="00000000" w14:paraId="0000004A">
      <w:pPr>
        <w:spacing w:line="240" w:lineRule="auto"/>
        <w:rPr>
          <w:sz w:val="24"/>
          <w:szCs w:val="24"/>
        </w:rPr>
      </w:pPr>
      <w:r w:rsidDel="00000000" w:rsidR="00000000" w:rsidRPr="00000000">
        <w:rPr>
          <w:sz w:val="24"/>
          <w:szCs w:val="24"/>
          <w:rtl w:val="0"/>
        </w:rPr>
        <w:t xml:space="preserve">BRASIL. Ministério dos Direitos Humanos e da Cidadania (MDHC).</w:t>
      </w:r>
      <w:r w:rsidDel="00000000" w:rsidR="00000000" w:rsidRPr="00000000">
        <w:rPr>
          <w:b w:val="1"/>
          <w:sz w:val="24"/>
          <w:szCs w:val="24"/>
          <w:rtl w:val="0"/>
        </w:rPr>
        <w:t xml:space="preserve"> Levantamento Anual Sinase 2020</w:t>
      </w:r>
      <w:r w:rsidDel="00000000" w:rsidR="00000000" w:rsidRPr="00000000">
        <w:rPr>
          <w:sz w:val="24"/>
          <w:szCs w:val="24"/>
          <w:rtl w:val="0"/>
        </w:rPr>
        <w:t xml:space="preserve">. Brasília: Ministério dos Direitos Humanos e da Cidadania, 2020. Disponível em: https://www.bbc.com/portuguese/brasil-59424863. Acesso em: 9 jun. 2023.</w:t>
      </w:r>
    </w:p>
    <w:p w:rsidR="00000000" w:rsidDel="00000000" w:rsidP="00000000" w:rsidRDefault="00000000" w:rsidRPr="00000000" w14:paraId="0000004B">
      <w:pPr>
        <w:spacing w:line="240" w:lineRule="auto"/>
        <w:rPr>
          <w:sz w:val="24"/>
          <w:szCs w:val="24"/>
        </w:rPr>
      </w:pPr>
      <w:r w:rsidDel="00000000" w:rsidR="00000000" w:rsidRPr="00000000">
        <w:rPr>
          <w:rtl w:val="0"/>
        </w:rPr>
      </w:r>
    </w:p>
    <w:p w:rsidR="00000000" w:rsidDel="00000000" w:rsidP="00000000" w:rsidRDefault="00000000" w:rsidRPr="00000000" w14:paraId="0000004C">
      <w:pPr>
        <w:spacing w:line="240" w:lineRule="auto"/>
        <w:rPr>
          <w:sz w:val="24"/>
          <w:szCs w:val="24"/>
        </w:rPr>
      </w:pPr>
      <w:r w:rsidDel="00000000" w:rsidR="00000000" w:rsidRPr="00000000">
        <w:rPr>
          <w:sz w:val="24"/>
          <w:szCs w:val="24"/>
          <w:rtl w:val="0"/>
        </w:rPr>
        <w:t xml:space="preserve">CONSELHO NACIONAL DE JUSTIÇA (CNJ). </w:t>
      </w:r>
      <w:r w:rsidDel="00000000" w:rsidR="00000000" w:rsidRPr="00000000">
        <w:rPr>
          <w:b w:val="1"/>
          <w:sz w:val="24"/>
          <w:szCs w:val="24"/>
          <w:rtl w:val="0"/>
        </w:rPr>
        <w:t xml:space="preserve">Destituição do poder familiar e adoção de crianças.</w:t>
      </w:r>
      <w:r w:rsidDel="00000000" w:rsidR="00000000" w:rsidRPr="00000000">
        <w:rPr>
          <w:sz w:val="24"/>
          <w:szCs w:val="24"/>
          <w:rtl w:val="0"/>
        </w:rPr>
        <w:t xml:space="preserve"> Brasília: CNJ, 2022. Disponível em: . Acesso em: 5 abr. 2023.</w:t>
      </w:r>
    </w:p>
    <w:p w:rsidR="00000000" w:rsidDel="00000000" w:rsidP="00000000" w:rsidRDefault="00000000" w:rsidRPr="00000000" w14:paraId="0000004D">
      <w:pPr>
        <w:spacing w:line="240" w:lineRule="auto"/>
        <w:rPr>
          <w:sz w:val="24"/>
          <w:szCs w:val="24"/>
        </w:rPr>
      </w:pPr>
      <w:r w:rsidDel="00000000" w:rsidR="00000000" w:rsidRPr="00000000">
        <w:rPr>
          <w:sz w:val="24"/>
          <w:szCs w:val="24"/>
          <w:rtl w:val="0"/>
        </w:rPr>
        <w:t xml:space="preserve">CONSELHO NACIONAL DE JUSTIÇA (CNJ). </w:t>
      </w:r>
      <w:r w:rsidDel="00000000" w:rsidR="00000000" w:rsidRPr="00000000">
        <w:rPr>
          <w:b w:val="1"/>
          <w:sz w:val="24"/>
          <w:szCs w:val="24"/>
          <w:rtl w:val="0"/>
        </w:rPr>
        <w:t xml:space="preserve">Revista CNJ</w:t>
      </w:r>
      <w:r w:rsidDel="00000000" w:rsidR="00000000" w:rsidRPr="00000000">
        <w:rPr>
          <w:sz w:val="24"/>
          <w:szCs w:val="24"/>
          <w:rtl w:val="0"/>
        </w:rPr>
        <w:t xml:space="preserve">. Brasília: CNJ, v. 7, n. 1, jan./jun. 2023. Disponível em: https://www.cnj.jus.br/revista-cnj/v-7-n-1-2023/. Acesso em: 15 set. 2023. </w:t>
      </w:r>
    </w:p>
    <w:p w:rsidR="00000000" w:rsidDel="00000000" w:rsidP="00000000" w:rsidRDefault="00000000" w:rsidRPr="00000000" w14:paraId="0000004E">
      <w:pPr>
        <w:spacing w:line="240" w:lineRule="auto"/>
        <w:rPr>
          <w:sz w:val="24"/>
          <w:szCs w:val="24"/>
        </w:rPr>
      </w:pPr>
      <w:r w:rsidDel="00000000" w:rsidR="00000000" w:rsidRPr="00000000">
        <w:rPr>
          <w:rtl w:val="0"/>
        </w:rPr>
      </w:r>
    </w:p>
    <w:p w:rsidR="00000000" w:rsidDel="00000000" w:rsidP="00000000" w:rsidRDefault="00000000" w:rsidRPr="00000000" w14:paraId="0000004F">
      <w:pPr>
        <w:spacing w:line="240" w:lineRule="auto"/>
        <w:rPr>
          <w:sz w:val="24"/>
          <w:szCs w:val="24"/>
        </w:rPr>
      </w:pPr>
      <w:r w:rsidDel="00000000" w:rsidR="00000000" w:rsidRPr="00000000">
        <w:rPr>
          <w:sz w:val="24"/>
          <w:szCs w:val="24"/>
          <w:rtl w:val="0"/>
        </w:rPr>
        <w:t xml:space="preserve">CONSELHO NACIONAL DE JUSTIÇA (CNJ). </w:t>
      </w:r>
      <w:r w:rsidDel="00000000" w:rsidR="00000000" w:rsidRPr="00000000">
        <w:rPr>
          <w:b w:val="1"/>
          <w:sz w:val="24"/>
          <w:szCs w:val="24"/>
          <w:rtl w:val="0"/>
        </w:rPr>
        <w:t xml:space="preserve">Sistema Nacional de Adoção e Acolhimento (SNA)</w:t>
      </w:r>
      <w:r w:rsidDel="00000000" w:rsidR="00000000" w:rsidRPr="00000000">
        <w:rPr>
          <w:sz w:val="24"/>
          <w:szCs w:val="24"/>
          <w:rtl w:val="0"/>
        </w:rPr>
        <w:t xml:space="preserve">. Brasília: CNJ, 2023. Disponível em: . Acesso em: 11 mai. 2023.</w:t>
      </w:r>
    </w:p>
    <w:p w:rsidR="00000000" w:rsidDel="00000000" w:rsidP="00000000" w:rsidRDefault="00000000" w:rsidRPr="00000000" w14:paraId="00000050">
      <w:pPr>
        <w:spacing w:line="240" w:lineRule="auto"/>
        <w:rPr>
          <w:sz w:val="24"/>
          <w:szCs w:val="24"/>
        </w:rPr>
      </w:pPr>
      <w:r w:rsidDel="00000000" w:rsidR="00000000" w:rsidRPr="00000000">
        <w:rPr>
          <w:sz w:val="24"/>
          <w:szCs w:val="24"/>
          <w:rtl w:val="0"/>
        </w:rPr>
        <w:t xml:space="preserve">COSTA, A. C. G. da. </w:t>
      </w:r>
      <w:r w:rsidDel="00000000" w:rsidR="00000000" w:rsidRPr="00000000">
        <w:rPr>
          <w:b w:val="1"/>
          <w:sz w:val="24"/>
          <w:szCs w:val="24"/>
          <w:rtl w:val="0"/>
        </w:rPr>
        <w:t xml:space="preserve">De menor a cidadão: </w:t>
      </w:r>
      <w:r w:rsidDel="00000000" w:rsidR="00000000" w:rsidRPr="00000000">
        <w:rPr>
          <w:sz w:val="24"/>
          <w:szCs w:val="24"/>
          <w:rtl w:val="0"/>
        </w:rPr>
        <w:t xml:space="preserve">nota para uma história do novo direito da infância e juventude no Brasil. Brasília-DF: Editora do Senado, 1992.</w:t>
      </w:r>
    </w:p>
    <w:p w:rsidR="00000000" w:rsidDel="00000000" w:rsidP="00000000" w:rsidRDefault="00000000" w:rsidRPr="00000000" w14:paraId="00000051">
      <w:pPr>
        <w:spacing w:line="240" w:lineRule="auto"/>
        <w:rPr>
          <w:sz w:val="24"/>
          <w:szCs w:val="24"/>
        </w:rPr>
      </w:pPr>
      <w:r w:rsidDel="00000000" w:rsidR="00000000" w:rsidRPr="00000000">
        <w:rPr>
          <w:rtl w:val="0"/>
        </w:rPr>
      </w:r>
    </w:p>
    <w:p w:rsidR="00000000" w:rsidDel="00000000" w:rsidP="00000000" w:rsidRDefault="00000000" w:rsidRPr="00000000" w14:paraId="00000052">
      <w:pPr>
        <w:spacing w:line="240" w:lineRule="auto"/>
        <w:rPr>
          <w:sz w:val="24"/>
          <w:szCs w:val="24"/>
        </w:rPr>
      </w:pPr>
      <w:r w:rsidDel="00000000" w:rsidR="00000000" w:rsidRPr="00000000">
        <w:rPr>
          <w:sz w:val="24"/>
          <w:szCs w:val="24"/>
          <w:rtl w:val="0"/>
        </w:rPr>
        <w:t xml:space="preserve">DIEESE. Departamento Intersindical de Estatística e Estudos Socioeconômicos. </w:t>
      </w:r>
      <w:r w:rsidDel="00000000" w:rsidR="00000000" w:rsidRPr="00000000">
        <w:rPr>
          <w:b w:val="1"/>
          <w:sz w:val="24"/>
          <w:szCs w:val="24"/>
          <w:rtl w:val="0"/>
        </w:rPr>
        <w:t xml:space="preserve">Boletim Especial: a importância da consciência negra para a luta social e o trabalho decente. </w:t>
      </w:r>
      <w:r w:rsidDel="00000000" w:rsidR="00000000" w:rsidRPr="00000000">
        <w:rPr>
          <w:sz w:val="24"/>
          <w:szCs w:val="24"/>
          <w:rtl w:val="0"/>
        </w:rPr>
        <w:t xml:space="preserve">DIEESE, nov. 2024. Disponível em: https://www.dieese.org.br/boletimespecial/2024/conscienciaNegra.pdf. Acesso em: 29 nov. 2024.</w:t>
      </w:r>
    </w:p>
    <w:p w:rsidR="00000000" w:rsidDel="00000000" w:rsidP="00000000" w:rsidRDefault="00000000" w:rsidRPr="00000000" w14:paraId="00000053">
      <w:pPr>
        <w:spacing w:line="240" w:lineRule="auto"/>
        <w:rPr>
          <w:sz w:val="24"/>
          <w:szCs w:val="24"/>
        </w:rPr>
      </w:pPr>
      <w:r w:rsidDel="00000000" w:rsidR="00000000" w:rsidRPr="00000000">
        <w:rPr>
          <w:rtl w:val="0"/>
        </w:rPr>
      </w:r>
    </w:p>
    <w:p w:rsidR="00000000" w:rsidDel="00000000" w:rsidP="00000000" w:rsidRDefault="00000000" w:rsidRPr="00000000" w14:paraId="00000054">
      <w:pPr>
        <w:spacing w:line="240" w:lineRule="auto"/>
        <w:rPr>
          <w:sz w:val="24"/>
          <w:szCs w:val="24"/>
        </w:rPr>
      </w:pPr>
      <w:r w:rsidDel="00000000" w:rsidR="00000000" w:rsidRPr="00000000">
        <w:rPr>
          <w:sz w:val="24"/>
          <w:szCs w:val="24"/>
          <w:rtl w:val="0"/>
        </w:rPr>
        <w:t xml:space="preserve">EURICO, M. C. Infância e adolescência no contexto do acolhimento institucional: particularidade da questão étnico-racial. </w:t>
      </w:r>
      <w:r w:rsidDel="00000000" w:rsidR="00000000" w:rsidRPr="00000000">
        <w:rPr>
          <w:b w:val="1"/>
          <w:sz w:val="24"/>
          <w:szCs w:val="24"/>
          <w:rtl w:val="0"/>
        </w:rPr>
        <w:t xml:space="preserve">Anais do XVI Encontro Nacional de Pesquisadores em Serviço Social,</w:t>
      </w:r>
      <w:r w:rsidDel="00000000" w:rsidR="00000000" w:rsidRPr="00000000">
        <w:rPr>
          <w:sz w:val="24"/>
          <w:szCs w:val="24"/>
          <w:rtl w:val="0"/>
        </w:rPr>
        <w:t xml:space="preserve"> v. 1, n. 1, 2018. </w:t>
      </w:r>
    </w:p>
    <w:p w:rsidR="00000000" w:rsidDel="00000000" w:rsidP="00000000" w:rsidRDefault="00000000" w:rsidRPr="00000000" w14:paraId="00000055">
      <w:pPr>
        <w:spacing w:line="240" w:lineRule="auto"/>
        <w:rPr>
          <w:sz w:val="24"/>
          <w:szCs w:val="24"/>
        </w:rPr>
      </w:pPr>
      <w:r w:rsidDel="00000000" w:rsidR="00000000" w:rsidRPr="00000000">
        <w:rPr>
          <w:rtl w:val="0"/>
        </w:rPr>
      </w:r>
    </w:p>
    <w:p w:rsidR="00000000" w:rsidDel="00000000" w:rsidP="00000000" w:rsidRDefault="00000000" w:rsidRPr="00000000" w14:paraId="00000056">
      <w:pPr>
        <w:spacing w:line="240" w:lineRule="auto"/>
        <w:rPr>
          <w:sz w:val="24"/>
          <w:szCs w:val="24"/>
        </w:rPr>
      </w:pPr>
      <w:r w:rsidDel="00000000" w:rsidR="00000000" w:rsidRPr="00000000">
        <w:rPr>
          <w:sz w:val="24"/>
          <w:szCs w:val="24"/>
          <w:rtl w:val="0"/>
        </w:rPr>
        <w:t xml:space="preserve">FAGUNDES, G. </w:t>
      </w:r>
      <w:r w:rsidDel="00000000" w:rsidR="00000000" w:rsidRPr="00000000">
        <w:rPr>
          <w:b w:val="1"/>
          <w:sz w:val="24"/>
          <w:szCs w:val="24"/>
          <w:rtl w:val="0"/>
        </w:rPr>
        <w:t xml:space="preserve">Superexploração e racismo no Brasil: diálogos e questões. </w:t>
      </w:r>
      <w:r w:rsidDel="00000000" w:rsidR="00000000" w:rsidRPr="00000000">
        <w:rPr>
          <w:sz w:val="24"/>
          <w:szCs w:val="24"/>
          <w:rtl w:val="0"/>
        </w:rPr>
        <w:t xml:space="preserve">Curitiba: Editora Appris, 2022.</w:t>
      </w:r>
    </w:p>
    <w:p w:rsidR="00000000" w:rsidDel="00000000" w:rsidP="00000000" w:rsidRDefault="00000000" w:rsidRPr="00000000" w14:paraId="00000057">
      <w:pPr>
        <w:spacing w:line="240" w:lineRule="auto"/>
        <w:rPr>
          <w:sz w:val="24"/>
          <w:szCs w:val="24"/>
        </w:rPr>
      </w:pPr>
      <w:r w:rsidDel="00000000" w:rsidR="00000000" w:rsidRPr="00000000">
        <w:rPr>
          <w:rtl w:val="0"/>
        </w:rPr>
      </w:r>
    </w:p>
    <w:p w:rsidR="00000000" w:rsidDel="00000000" w:rsidP="00000000" w:rsidRDefault="00000000" w:rsidRPr="00000000" w14:paraId="00000058">
      <w:pPr>
        <w:spacing w:line="240" w:lineRule="auto"/>
        <w:rPr>
          <w:sz w:val="24"/>
          <w:szCs w:val="24"/>
        </w:rPr>
      </w:pPr>
      <w:r w:rsidDel="00000000" w:rsidR="00000000" w:rsidRPr="00000000">
        <w:rPr>
          <w:sz w:val="24"/>
          <w:szCs w:val="24"/>
          <w:rtl w:val="0"/>
        </w:rPr>
        <w:t xml:space="preserve">FERREIRA, J. de M. </w:t>
      </w:r>
      <w:r w:rsidDel="00000000" w:rsidR="00000000" w:rsidRPr="00000000">
        <w:rPr>
          <w:b w:val="1"/>
          <w:sz w:val="24"/>
          <w:szCs w:val="24"/>
          <w:rtl w:val="0"/>
        </w:rPr>
        <w:t xml:space="preserve">Criminalização da pobreza e reordenamento institucional: </w:t>
      </w:r>
      <w:r w:rsidDel="00000000" w:rsidR="00000000" w:rsidRPr="00000000">
        <w:rPr>
          <w:sz w:val="24"/>
          <w:szCs w:val="24"/>
          <w:rtl w:val="0"/>
        </w:rPr>
        <w:t xml:space="preserve">o acolhimento de crianças e adolescentes na conjuntura de desmonte das políticas sociais. 2022. Dissertação (Mestre em Serviço Social) - Universidade Estadual da Paraíba, Campina Grande, 2022.</w:t>
      </w:r>
    </w:p>
    <w:p w:rsidR="00000000" w:rsidDel="00000000" w:rsidP="00000000" w:rsidRDefault="00000000" w:rsidRPr="00000000" w14:paraId="00000059">
      <w:pPr>
        <w:spacing w:line="240" w:lineRule="auto"/>
        <w:rPr>
          <w:sz w:val="24"/>
          <w:szCs w:val="24"/>
        </w:rPr>
      </w:pPr>
      <w:r w:rsidDel="00000000" w:rsidR="00000000" w:rsidRPr="00000000">
        <w:rPr>
          <w:rtl w:val="0"/>
        </w:rPr>
      </w:r>
    </w:p>
    <w:p w:rsidR="00000000" w:rsidDel="00000000" w:rsidP="00000000" w:rsidRDefault="00000000" w:rsidRPr="00000000" w14:paraId="0000005A">
      <w:pPr>
        <w:spacing w:line="240" w:lineRule="auto"/>
        <w:rPr>
          <w:sz w:val="24"/>
          <w:szCs w:val="24"/>
        </w:rPr>
      </w:pPr>
      <w:r w:rsidDel="00000000" w:rsidR="00000000" w:rsidRPr="00000000">
        <w:rPr>
          <w:sz w:val="24"/>
          <w:szCs w:val="24"/>
          <w:rtl w:val="0"/>
        </w:rPr>
        <w:t xml:space="preserve">GONÇALVES, R. Quando a questão racial é o nó da questão social. </w:t>
      </w:r>
      <w:r w:rsidDel="00000000" w:rsidR="00000000" w:rsidRPr="00000000">
        <w:rPr>
          <w:b w:val="1"/>
          <w:sz w:val="24"/>
          <w:szCs w:val="24"/>
          <w:rtl w:val="0"/>
        </w:rPr>
        <w:t xml:space="preserve">Revista Katálisis</w:t>
      </w:r>
      <w:r w:rsidDel="00000000" w:rsidR="00000000" w:rsidRPr="00000000">
        <w:rPr>
          <w:sz w:val="24"/>
          <w:szCs w:val="24"/>
          <w:rtl w:val="0"/>
        </w:rPr>
        <w:t xml:space="preserve">, Florianópolis, v. 21, n. 3, p. 514-522, set./dez. 2018.</w:t>
      </w:r>
    </w:p>
    <w:p w:rsidR="00000000" w:rsidDel="00000000" w:rsidP="00000000" w:rsidRDefault="00000000" w:rsidRPr="00000000" w14:paraId="0000005B">
      <w:pPr>
        <w:spacing w:line="240" w:lineRule="auto"/>
        <w:rPr>
          <w:sz w:val="24"/>
          <w:szCs w:val="24"/>
        </w:rPr>
      </w:pPr>
      <w:r w:rsidDel="00000000" w:rsidR="00000000" w:rsidRPr="00000000">
        <w:rPr>
          <w:rtl w:val="0"/>
        </w:rPr>
      </w:r>
    </w:p>
    <w:p w:rsidR="00000000" w:rsidDel="00000000" w:rsidP="00000000" w:rsidRDefault="00000000" w:rsidRPr="00000000" w14:paraId="0000005C">
      <w:pPr>
        <w:spacing w:line="240" w:lineRule="auto"/>
        <w:rPr>
          <w:sz w:val="24"/>
          <w:szCs w:val="24"/>
        </w:rPr>
      </w:pPr>
      <w:r w:rsidDel="00000000" w:rsidR="00000000" w:rsidRPr="00000000">
        <w:rPr>
          <w:sz w:val="24"/>
          <w:szCs w:val="24"/>
          <w:rtl w:val="0"/>
        </w:rPr>
        <w:t xml:space="preserve">IBGE - Instituto Brasileiro de Geografia e Estatística. </w:t>
      </w:r>
      <w:r w:rsidDel="00000000" w:rsidR="00000000" w:rsidRPr="00000000">
        <w:rPr>
          <w:b w:val="1"/>
          <w:sz w:val="24"/>
          <w:szCs w:val="24"/>
          <w:rtl w:val="0"/>
        </w:rPr>
        <w:t xml:space="preserve">Censo 2022: pela primeira vez desde 1991, a maior parte da população do Brasil se declara parda.</w:t>
      </w:r>
      <w:r w:rsidDel="00000000" w:rsidR="00000000" w:rsidRPr="00000000">
        <w:rPr>
          <w:sz w:val="24"/>
          <w:szCs w:val="24"/>
          <w:rtl w:val="0"/>
        </w:rPr>
        <w:t xml:space="preserve"> Agência IBGE de Notícias, 30 out. 2023. Disponível em: https://agenciadenoticias.ibge.gov.br/agencia-noticias/2012-agencia-de-noticias/noticias/38719-censo-2022-pela-primeira-vez-desde-1991-a-maior-parte-da-populacao-do-brasil-se-declara -parda. Acesso em: 29 nov. 2024.</w:t>
      </w:r>
    </w:p>
    <w:p w:rsidR="00000000" w:rsidDel="00000000" w:rsidP="00000000" w:rsidRDefault="00000000" w:rsidRPr="00000000" w14:paraId="0000005D">
      <w:pPr>
        <w:spacing w:line="240" w:lineRule="auto"/>
        <w:rPr>
          <w:sz w:val="24"/>
          <w:szCs w:val="24"/>
        </w:rPr>
      </w:pPr>
      <w:r w:rsidDel="00000000" w:rsidR="00000000" w:rsidRPr="00000000">
        <w:rPr>
          <w:rtl w:val="0"/>
        </w:rPr>
      </w:r>
    </w:p>
    <w:p w:rsidR="00000000" w:rsidDel="00000000" w:rsidP="00000000" w:rsidRDefault="00000000" w:rsidRPr="00000000" w14:paraId="0000005E">
      <w:pPr>
        <w:spacing w:line="240" w:lineRule="auto"/>
        <w:rPr>
          <w:sz w:val="24"/>
          <w:szCs w:val="24"/>
        </w:rPr>
      </w:pPr>
      <w:r w:rsidDel="00000000" w:rsidR="00000000" w:rsidRPr="00000000">
        <w:rPr>
          <w:sz w:val="24"/>
          <w:szCs w:val="24"/>
          <w:rtl w:val="0"/>
        </w:rPr>
        <w:t xml:space="preserve">MOURA, C. </w:t>
      </w:r>
      <w:r w:rsidDel="00000000" w:rsidR="00000000" w:rsidRPr="00000000">
        <w:rPr>
          <w:b w:val="1"/>
          <w:sz w:val="24"/>
          <w:szCs w:val="24"/>
          <w:rtl w:val="0"/>
        </w:rPr>
        <w:t xml:space="preserve">A história do negro brasileiro.</w:t>
      </w:r>
      <w:r w:rsidDel="00000000" w:rsidR="00000000" w:rsidRPr="00000000">
        <w:rPr>
          <w:sz w:val="24"/>
          <w:szCs w:val="24"/>
          <w:rtl w:val="0"/>
        </w:rPr>
        <w:t xml:space="preserve"> 2. ed. São Paulo: Editora Ática, 1992.</w:t>
      </w:r>
    </w:p>
    <w:p w:rsidR="00000000" w:rsidDel="00000000" w:rsidP="00000000" w:rsidRDefault="00000000" w:rsidRPr="00000000" w14:paraId="0000005F">
      <w:pPr>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60">
      <w:pPr>
        <w:spacing w:line="240" w:lineRule="auto"/>
        <w:rPr>
          <w:sz w:val="24"/>
          <w:szCs w:val="24"/>
        </w:rPr>
      </w:pPr>
      <w:r w:rsidDel="00000000" w:rsidR="00000000" w:rsidRPr="00000000">
        <w:rPr>
          <w:sz w:val="24"/>
          <w:szCs w:val="24"/>
          <w:rtl w:val="0"/>
        </w:rPr>
        <w:t xml:space="preserve">MOURA, C. </w:t>
      </w:r>
      <w:r w:rsidDel="00000000" w:rsidR="00000000" w:rsidRPr="00000000">
        <w:rPr>
          <w:b w:val="1"/>
          <w:sz w:val="24"/>
          <w:szCs w:val="24"/>
          <w:rtl w:val="0"/>
        </w:rPr>
        <w:t xml:space="preserve">Dialética radical do Brasil negro.</w:t>
      </w:r>
      <w:r w:rsidDel="00000000" w:rsidR="00000000" w:rsidRPr="00000000">
        <w:rPr>
          <w:sz w:val="24"/>
          <w:szCs w:val="24"/>
          <w:rtl w:val="0"/>
        </w:rPr>
        <w:t xml:space="preserve"> São Paulo: Editora Anita, 1994.</w:t>
      </w:r>
    </w:p>
    <w:p w:rsidR="00000000" w:rsidDel="00000000" w:rsidP="00000000" w:rsidRDefault="00000000" w:rsidRPr="00000000" w14:paraId="00000061">
      <w:pPr>
        <w:spacing w:line="240" w:lineRule="auto"/>
        <w:rPr>
          <w:sz w:val="24"/>
          <w:szCs w:val="24"/>
        </w:rPr>
      </w:pPr>
      <w:r w:rsidDel="00000000" w:rsidR="00000000" w:rsidRPr="00000000">
        <w:rPr>
          <w:rtl w:val="0"/>
        </w:rPr>
      </w:r>
    </w:p>
    <w:p w:rsidR="00000000" w:rsidDel="00000000" w:rsidP="00000000" w:rsidRDefault="00000000" w:rsidRPr="00000000" w14:paraId="00000062">
      <w:pPr>
        <w:spacing w:line="240" w:lineRule="auto"/>
        <w:rPr>
          <w:sz w:val="24"/>
          <w:szCs w:val="24"/>
        </w:rPr>
      </w:pPr>
      <w:r w:rsidDel="00000000" w:rsidR="00000000" w:rsidRPr="00000000">
        <w:rPr>
          <w:sz w:val="24"/>
          <w:szCs w:val="24"/>
          <w:rtl w:val="0"/>
        </w:rPr>
        <w:t xml:space="preserve">NASCIMENTO, A. </w:t>
      </w:r>
      <w:r w:rsidDel="00000000" w:rsidR="00000000" w:rsidRPr="00000000">
        <w:rPr>
          <w:b w:val="1"/>
          <w:sz w:val="24"/>
          <w:szCs w:val="24"/>
          <w:rtl w:val="0"/>
        </w:rPr>
        <w:t xml:space="preserve">O genocídio do negro brasileiro: processo de um racismo mascarado.</w:t>
      </w:r>
      <w:r w:rsidDel="00000000" w:rsidR="00000000" w:rsidRPr="00000000">
        <w:rPr>
          <w:sz w:val="24"/>
          <w:szCs w:val="24"/>
          <w:rtl w:val="0"/>
        </w:rPr>
        <w:t xml:space="preserve"> Rio de Janeiro: Paz e Terra, 1978</w:t>
      </w:r>
    </w:p>
    <w:p w:rsidR="00000000" w:rsidDel="00000000" w:rsidP="00000000" w:rsidRDefault="00000000" w:rsidRPr="00000000" w14:paraId="00000063">
      <w:pPr>
        <w:spacing w:line="240" w:lineRule="auto"/>
        <w:rPr>
          <w:sz w:val="24"/>
          <w:szCs w:val="24"/>
        </w:rPr>
      </w:pPr>
      <w:r w:rsidDel="00000000" w:rsidR="00000000" w:rsidRPr="00000000">
        <w:rPr>
          <w:rtl w:val="0"/>
        </w:rPr>
      </w:r>
    </w:p>
    <w:p w:rsidR="00000000" w:rsidDel="00000000" w:rsidP="00000000" w:rsidRDefault="00000000" w:rsidRPr="00000000" w14:paraId="00000064">
      <w:pPr>
        <w:spacing w:line="240" w:lineRule="auto"/>
        <w:rPr>
          <w:sz w:val="24"/>
          <w:szCs w:val="24"/>
        </w:rPr>
      </w:pPr>
      <w:r w:rsidDel="00000000" w:rsidR="00000000" w:rsidRPr="00000000">
        <w:rPr>
          <w:sz w:val="24"/>
          <w:szCs w:val="24"/>
          <w:rtl w:val="0"/>
        </w:rPr>
        <w:t xml:space="preserve">PASSETTI, E. Crianças carentes e políticas públicas. In: DEL PRIORE, M. </w:t>
      </w:r>
      <w:r w:rsidDel="00000000" w:rsidR="00000000" w:rsidRPr="00000000">
        <w:rPr>
          <w:b w:val="1"/>
          <w:sz w:val="24"/>
          <w:szCs w:val="24"/>
          <w:rtl w:val="0"/>
        </w:rPr>
        <w:t xml:space="preserve">História das crianças no Brasil.</w:t>
      </w:r>
      <w:r w:rsidDel="00000000" w:rsidR="00000000" w:rsidRPr="00000000">
        <w:rPr>
          <w:sz w:val="24"/>
          <w:szCs w:val="24"/>
          <w:rtl w:val="0"/>
        </w:rPr>
        <w:t xml:space="preserve"> 7. ed. São Paulo: Contexto, 2010. </w:t>
      </w:r>
    </w:p>
    <w:p w:rsidR="00000000" w:rsidDel="00000000" w:rsidP="00000000" w:rsidRDefault="00000000" w:rsidRPr="00000000" w14:paraId="00000065">
      <w:pPr>
        <w:spacing w:line="240" w:lineRule="auto"/>
        <w:rPr>
          <w:sz w:val="24"/>
          <w:szCs w:val="24"/>
        </w:rPr>
      </w:pPr>
      <w:r w:rsidDel="00000000" w:rsidR="00000000" w:rsidRPr="00000000">
        <w:rPr>
          <w:rtl w:val="0"/>
        </w:rPr>
      </w:r>
    </w:p>
    <w:p w:rsidR="00000000" w:rsidDel="00000000" w:rsidP="00000000" w:rsidRDefault="00000000" w:rsidRPr="00000000" w14:paraId="00000066">
      <w:pPr>
        <w:spacing w:line="240" w:lineRule="auto"/>
        <w:rPr>
          <w:sz w:val="24"/>
          <w:szCs w:val="24"/>
        </w:rPr>
      </w:pPr>
      <w:r w:rsidDel="00000000" w:rsidR="00000000" w:rsidRPr="00000000">
        <w:rPr>
          <w:sz w:val="24"/>
          <w:szCs w:val="24"/>
          <w:rtl w:val="0"/>
        </w:rPr>
        <w:t xml:space="preserve">RIZZINI, I.; RIZZINI, I. </w:t>
      </w:r>
      <w:r w:rsidDel="00000000" w:rsidR="00000000" w:rsidRPr="00000000">
        <w:rPr>
          <w:b w:val="1"/>
          <w:sz w:val="24"/>
          <w:szCs w:val="24"/>
          <w:rtl w:val="0"/>
        </w:rPr>
        <w:t xml:space="preserve">A institucionalização de crianças no Brasil: percurso histórico e desafios do presente.</w:t>
      </w:r>
      <w:r w:rsidDel="00000000" w:rsidR="00000000" w:rsidRPr="00000000">
        <w:rPr>
          <w:sz w:val="24"/>
          <w:szCs w:val="24"/>
          <w:rtl w:val="0"/>
        </w:rPr>
        <w:t xml:space="preserve"> Rio de Janeiro: Ed. PUC-Rio; São Paulo: Loyola, 2004.</w:t>
      </w:r>
    </w:p>
    <w:p w:rsidR="00000000" w:rsidDel="00000000" w:rsidP="00000000" w:rsidRDefault="00000000" w:rsidRPr="00000000" w14:paraId="00000067">
      <w:pPr>
        <w:spacing w:line="240" w:lineRule="auto"/>
        <w:rPr>
          <w:sz w:val="24"/>
          <w:szCs w:val="24"/>
        </w:rPr>
      </w:pPr>
      <w:r w:rsidDel="00000000" w:rsidR="00000000" w:rsidRPr="00000000">
        <w:rPr>
          <w:rtl w:val="0"/>
        </w:rPr>
      </w:r>
    </w:p>
    <w:p w:rsidR="00000000" w:rsidDel="00000000" w:rsidP="00000000" w:rsidRDefault="00000000" w:rsidRPr="00000000" w14:paraId="00000068">
      <w:pPr>
        <w:spacing w:line="240" w:lineRule="auto"/>
        <w:rPr>
          <w:sz w:val="24"/>
          <w:szCs w:val="24"/>
        </w:rPr>
      </w:pPr>
      <w:r w:rsidDel="00000000" w:rsidR="00000000" w:rsidRPr="00000000">
        <w:rPr>
          <w:sz w:val="24"/>
          <w:szCs w:val="24"/>
          <w:rtl w:val="0"/>
        </w:rPr>
        <w:t xml:space="preserve">SANTOS, A. C. A. "Socioeducação”: do ideal da educação social ao purgatório das vidas matáveis. </w:t>
      </w:r>
      <w:r w:rsidDel="00000000" w:rsidR="00000000" w:rsidRPr="00000000">
        <w:rPr>
          <w:b w:val="1"/>
          <w:sz w:val="24"/>
          <w:szCs w:val="24"/>
          <w:rtl w:val="0"/>
        </w:rPr>
        <w:t xml:space="preserve">O Social em Questão</w:t>
      </w:r>
      <w:r w:rsidDel="00000000" w:rsidR="00000000" w:rsidRPr="00000000">
        <w:rPr>
          <w:sz w:val="24"/>
          <w:szCs w:val="24"/>
          <w:rtl w:val="0"/>
        </w:rPr>
        <w:t xml:space="preserve">, v. 23, n. 46, p. 187-202, 2020. </w:t>
      </w:r>
    </w:p>
    <w:p w:rsidR="00000000" w:rsidDel="00000000" w:rsidP="00000000" w:rsidRDefault="00000000" w:rsidRPr="00000000" w14:paraId="00000069">
      <w:pPr>
        <w:spacing w:line="240" w:lineRule="auto"/>
        <w:rPr>
          <w:sz w:val="24"/>
          <w:szCs w:val="24"/>
        </w:rPr>
      </w:pPr>
      <w:r w:rsidDel="00000000" w:rsidR="00000000" w:rsidRPr="00000000">
        <w:rPr>
          <w:rtl w:val="0"/>
        </w:rPr>
      </w:r>
    </w:p>
    <w:p w:rsidR="00000000" w:rsidDel="00000000" w:rsidP="00000000" w:rsidRDefault="00000000" w:rsidRPr="00000000" w14:paraId="0000006A">
      <w:pPr>
        <w:spacing w:line="240" w:lineRule="auto"/>
        <w:rPr>
          <w:sz w:val="24"/>
          <w:szCs w:val="24"/>
        </w:rPr>
      </w:pPr>
      <w:r w:rsidDel="00000000" w:rsidR="00000000" w:rsidRPr="00000000">
        <w:rPr>
          <w:sz w:val="24"/>
          <w:szCs w:val="24"/>
          <w:rtl w:val="0"/>
        </w:rPr>
        <w:t xml:space="preserve">SANTOS, F. B. L. dos. Proteção integral ou situação irregular?: a lógica menorista na socioeducação atual. </w:t>
      </w:r>
      <w:r w:rsidDel="00000000" w:rsidR="00000000" w:rsidRPr="00000000">
        <w:rPr>
          <w:b w:val="1"/>
          <w:sz w:val="24"/>
          <w:szCs w:val="24"/>
          <w:rtl w:val="0"/>
        </w:rPr>
        <w:t xml:space="preserve">Anais do VIII Encontro Nacional de Antropologia do Direito</w:t>
      </w:r>
      <w:r w:rsidDel="00000000" w:rsidR="00000000" w:rsidRPr="00000000">
        <w:rPr>
          <w:sz w:val="24"/>
          <w:szCs w:val="24"/>
          <w:rtl w:val="0"/>
        </w:rPr>
        <w:t xml:space="preserve">, 2023.</w:t>
      </w:r>
    </w:p>
    <w:p w:rsidR="00000000" w:rsidDel="00000000" w:rsidP="00000000" w:rsidRDefault="00000000" w:rsidRPr="00000000" w14:paraId="0000006B">
      <w:pPr>
        <w:spacing w:line="240" w:lineRule="auto"/>
        <w:rPr>
          <w:sz w:val="24"/>
          <w:szCs w:val="24"/>
        </w:rPr>
      </w:pPr>
      <w:r w:rsidDel="00000000" w:rsidR="00000000" w:rsidRPr="00000000">
        <w:rPr>
          <w:sz w:val="24"/>
          <w:szCs w:val="24"/>
          <w:rtl w:val="0"/>
        </w:rPr>
        <w:t xml:space="preserve">SCHERER, G. A.; ALORALDO, V. P.; SEIMETZ, G. R. Direitos humanos e juventudes na socioeducação: vozes de violações</w:t>
      </w:r>
      <w:r w:rsidDel="00000000" w:rsidR="00000000" w:rsidRPr="00000000">
        <w:rPr>
          <w:b w:val="1"/>
          <w:sz w:val="24"/>
          <w:szCs w:val="24"/>
          <w:rtl w:val="0"/>
        </w:rPr>
        <w:t xml:space="preserve">. Anais do Encontro Internacional e Nacional de Política Social,</w:t>
      </w:r>
      <w:r w:rsidDel="00000000" w:rsidR="00000000" w:rsidRPr="00000000">
        <w:rPr>
          <w:sz w:val="24"/>
          <w:szCs w:val="24"/>
          <w:rtl w:val="0"/>
        </w:rPr>
        <w:t xml:space="preserve"> v. 1, n. 1, 2019. </w:t>
      </w:r>
    </w:p>
    <w:p w:rsidR="00000000" w:rsidDel="00000000" w:rsidP="00000000" w:rsidRDefault="00000000" w:rsidRPr="00000000" w14:paraId="0000006C">
      <w:pPr>
        <w:spacing w:line="240" w:lineRule="auto"/>
        <w:rPr>
          <w:sz w:val="24"/>
          <w:szCs w:val="24"/>
        </w:rPr>
      </w:pPr>
      <w:r w:rsidDel="00000000" w:rsidR="00000000" w:rsidRPr="00000000">
        <w:rPr>
          <w:rtl w:val="0"/>
        </w:rPr>
      </w:r>
    </w:p>
    <w:p w:rsidR="00000000" w:rsidDel="00000000" w:rsidP="00000000" w:rsidRDefault="00000000" w:rsidRPr="00000000" w14:paraId="0000006D">
      <w:pPr>
        <w:spacing w:line="240" w:lineRule="auto"/>
        <w:rPr>
          <w:sz w:val="24"/>
          <w:szCs w:val="24"/>
        </w:rPr>
      </w:pPr>
      <w:r w:rsidDel="00000000" w:rsidR="00000000" w:rsidRPr="00000000">
        <w:rPr>
          <w:sz w:val="24"/>
          <w:szCs w:val="24"/>
          <w:rtl w:val="0"/>
        </w:rPr>
        <w:t xml:space="preserve">SIERRA, V. M. O Poder Judiciário e o Serviço Social na judicialização da política e da questão social. </w:t>
      </w:r>
      <w:r w:rsidDel="00000000" w:rsidR="00000000" w:rsidRPr="00000000">
        <w:rPr>
          <w:b w:val="1"/>
          <w:sz w:val="24"/>
          <w:szCs w:val="24"/>
          <w:rtl w:val="0"/>
        </w:rPr>
        <w:t xml:space="preserve">SER Social,</w:t>
      </w:r>
      <w:r w:rsidDel="00000000" w:rsidR="00000000" w:rsidRPr="00000000">
        <w:rPr>
          <w:sz w:val="24"/>
          <w:szCs w:val="24"/>
          <w:rtl w:val="0"/>
        </w:rPr>
        <w:t xml:space="preserve"> Brasília, v. 16, n. 34, p. 30, 2014. DOI: 10.26512/ser_social.v16i34.13058. Disponível em: . Acesso em: 2 nov. 2024.</w:t>
      </w:r>
    </w:p>
    <w:p w:rsidR="00000000" w:rsidDel="00000000" w:rsidP="00000000" w:rsidRDefault="00000000" w:rsidRPr="00000000" w14:paraId="0000006E">
      <w:pPr>
        <w:spacing w:line="240" w:lineRule="auto"/>
        <w:rPr>
          <w:sz w:val="24"/>
          <w:szCs w:val="24"/>
        </w:rPr>
      </w:pPr>
      <w:r w:rsidDel="00000000" w:rsidR="00000000" w:rsidRPr="00000000">
        <w:rPr>
          <w:rtl w:val="0"/>
        </w:rPr>
      </w:r>
    </w:p>
    <w:p w:rsidR="00000000" w:rsidDel="00000000" w:rsidP="00000000" w:rsidRDefault="00000000" w:rsidRPr="00000000" w14:paraId="0000006F">
      <w:pPr>
        <w:spacing w:line="240" w:lineRule="auto"/>
        <w:rPr>
          <w:sz w:val="24"/>
          <w:szCs w:val="24"/>
        </w:rPr>
      </w:pPr>
      <w:r w:rsidDel="00000000" w:rsidR="00000000" w:rsidRPr="00000000">
        <w:rPr>
          <w:sz w:val="24"/>
          <w:szCs w:val="24"/>
          <w:rtl w:val="0"/>
        </w:rPr>
        <w:t xml:space="preserve">SILVA, G. de M. Adolescente em conflito com a lei no Brasil: da situação irregular à proteção integral. </w:t>
      </w:r>
      <w:r w:rsidDel="00000000" w:rsidR="00000000" w:rsidRPr="00000000">
        <w:rPr>
          <w:b w:val="1"/>
          <w:sz w:val="24"/>
          <w:szCs w:val="24"/>
          <w:rtl w:val="0"/>
        </w:rPr>
        <w:t xml:space="preserve">Revista Brasileira de História &amp; Ciências Sociais</w:t>
      </w:r>
      <w:r w:rsidDel="00000000" w:rsidR="00000000" w:rsidRPr="00000000">
        <w:rPr>
          <w:sz w:val="24"/>
          <w:szCs w:val="24"/>
          <w:rtl w:val="0"/>
        </w:rPr>
        <w:t xml:space="preserve">, [S. l.], v. 3, n. 5, 2015. Disponível em: https://periodicos.furg.br/rbhcs/article/view/10428. Acesso em: 2 nov. 2024. </w:t>
      </w:r>
    </w:p>
    <w:p w:rsidR="00000000" w:rsidDel="00000000" w:rsidP="00000000" w:rsidRDefault="00000000" w:rsidRPr="00000000" w14:paraId="00000070">
      <w:pPr>
        <w:spacing w:line="240" w:lineRule="auto"/>
        <w:rPr>
          <w:sz w:val="24"/>
          <w:szCs w:val="24"/>
        </w:rPr>
      </w:pPr>
      <w:r w:rsidDel="00000000" w:rsidR="00000000" w:rsidRPr="00000000">
        <w:rPr>
          <w:rtl w:val="0"/>
        </w:rPr>
      </w:r>
    </w:p>
    <w:p w:rsidR="00000000" w:rsidDel="00000000" w:rsidP="00000000" w:rsidRDefault="00000000" w:rsidRPr="00000000" w14:paraId="00000071">
      <w:pPr>
        <w:spacing w:line="240" w:lineRule="auto"/>
        <w:rPr>
          <w:sz w:val="24"/>
          <w:szCs w:val="24"/>
        </w:rPr>
      </w:pPr>
      <w:r w:rsidDel="00000000" w:rsidR="00000000" w:rsidRPr="00000000">
        <w:rPr>
          <w:sz w:val="24"/>
          <w:szCs w:val="24"/>
          <w:rtl w:val="0"/>
        </w:rPr>
        <w:t xml:space="preserve">SOUSA, C. L. S. A indissociabilidade entre racismo e superexploração da força de trabalho no capitalismo dependente. </w:t>
      </w:r>
      <w:r w:rsidDel="00000000" w:rsidR="00000000" w:rsidRPr="00000000">
        <w:rPr>
          <w:b w:val="1"/>
          <w:sz w:val="24"/>
          <w:szCs w:val="24"/>
          <w:rtl w:val="0"/>
        </w:rPr>
        <w:t xml:space="preserve">Serviço Social &amp; Sociedade</w:t>
      </w:r>
      <w:r w:rsidDel="00000000" w:rsidR="00000000" w:rsidRPr="00000000">
        <w:rPr>
          <w:sz w:val="24"/>
          <w:szCs w:val="24"/>
          <w:rtl w:val="0"/>
        </w:rPr>
        <w:t xml:space="preserve">, São Paulo, v. 146, n. 1, p. 16-35, 2023.</w:t>
      </w:r>
    </w:p>
    <w:p w:rsidR="00000000" w:rsidDel="00000000" w:rsidP="00000000" w:rsidRDefault="00000000" w:rsidRPr="00000000" w14:paraId="00000072">
      <w:pPr>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73">
      <w:pPr>
        <w:spacing w:line="240" w:lineRule="auto"/>
        <w:rPr>
          <w:sz w:val="24"/>
          <w:szCs w:val="24"/>
        </w:rPr>
      </w:pPr>
      <w:r w:rsidDel="00000000" w:rsidR="00000000" w:rsidRPr="00000000">
        <w:rPr>
          <w:sz w:val="24"/>
          <w:szCs w:val="24"/>
          <w:rtl w:val="0"/>
        </w:rPr>
        <w:t xml:space="preserve">SOUZA, P. R. de. A questão racial no trabalhismo varguista: apontamentos para compreensão da integração do negro no trabalho. </w:t>
      </w:r>
      <w:r w:rsidDel="00000000" w:rsidR="00000000" w:rsidRPr="00000000">
        <w:rPr>
          <w:b w:val="1"/>
          <w:sz w:val="24"/>
          <w:szCs w:val="24"/>
          <w:rtl w:val="0"/>
        </w:rPr>
        <w:t xml:space="preserve">Sociologias Plurais</w:t>
      </w:r>
      <w:r w:rsidDel="00000000" w:rsidR="00000000" w:rsidRPr="00000000">
        <w:rPr>
          <w:sz w:val="24"/>
          <w:szCs w:val="24"/>
          <w:rtl w:val="0"/>
        </w:rPr>
        <w:t xml:space="preserve">, [S. l.], v. 9, n. 1, 2023. DOI: 10.5380/sclplr.v9i1.89602. Disponível em: . Acesso em: 2 nov. 2024.</w:t>
      </w:r>
    </w:p>
    <w:p w:rsidR="00000000" w:rsidDel="00000000" w:rsidP="00000000" w:rsidRDefault="00000000" w:rsidRPr="00000000" w14:paraId="00000074">
      <w:pPr>
        <w:spacing w:line="240" w:lineRule="auto"/>
        <w:rPr>
          <w:sz w:val="24"/>
          <w:szCs w:val="24"/>
        </w:rPr>
      </w:pPr>
      <w:r w:rsidDel="00000000" w:rsidR="00000000" w:rsidRPr="00000000">
        <w:rPr>
          <w:rtl w:val="0"/>
        </w:rPr>
      </w:r>
    </w:p>
    <w:p w:rsidR="00000000" w:rsidDel="00000000" w:rsidP="00000000" w:rsidRDefault="00000000" w:rsidRPr="00000000" w14:paraId="00000075">
      <w:pPr>
        <w:spacing w:line="240" w:lineRule="auto"/>
        <w:rPr>
          <w:sz w:val="24"/>
          <w:szCs w:val="24"/>
        </w:rPr>
      </w:pPr>
      <w:r w:rsidDel="00000000" w:rsidR="00000000" w:rsidRPr="00000000">
        <w:rPr>
          <w:rtl w:val="0"/>
        </w:rPr>
      </w:r>
    </w:p>
    <w:p w:rsidR="00000000" w:rsidDel="00000000" w:rsidP="00000000" w:rsidRDefault="00000000" w:rsidRPr="00000000" w14:paraId="00000076">
      <w:pPr>
        <w:spacing w:after="200" w:lineRule="auto"/>
        <w:jc w:val="both"/>
        <w:rPr>
          <w:rFonts w:ascii="Calibri" w:cs="Calibri" w:eastAsia="Calibri" w:hAnsi="Calibri"/>
          <w:sz w:val="24"/>
          <w:szCs w:val="24"/>
        </w:rPr>
      </w:pPr>
      <w:r w:rsidDel="00000000" w:rsidR="00000000" w:rsidRPr="00000000">
        <w:rPr>
          <w:rtl w:val="0"/>
        </w:rPr>
      </w:r>
    </w:p>
    <w:sectPr>
      <w:headerReference r:id="rId8"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7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Estadual da Paraíba- UEPB. Mestranda em Serviço Social; bolsista PIBIC do Núcleo de Pesquisa e Extensão Comunitária InfantoJuvenil (NUPECIJ).</w:t>
      </w:r>
      <w:hyperlink r:id="rId1">
        <w:r w:rsidDel="00000000" w:rsidR="00000000" w:rsidRPr="00000000">
          <w:rPr>
            <w:color w:val="1155cc"/>
            <w:sz w:val="20"/>
            <w:szCs w:val="20"/>
            <w:u w:val="single"/>
            <w:rtl w:val="0"/>
          </w:rPr>
          <w:t xml:space="preserve"> fabiola.pereira@aluno.uepb.edu.br.</w:t>
        </w:r>
      </w:hyperlink>
      <w:r w:rsidDel="00000000" w:rsidR="00000000" w:rsidRPr="00000000">
        <w:rPr>
          <w:sz w:val="20"/>
          <w:szCs w:val="20"/>
          <w:rtl w:val="0"/>
        </w:rPr>
        <w:t xml:space="preserve"> </w:t>
      </w:r>
    </w:p>
  </w:footnote>
  <w:footnote w:id="1">
    <w:p w:rsidR="00000000" w:rsidDel="00000000" w:rsidP="00000000" w:rsidRDefault="00000000" w:rsidRPr="00000000" w14:paraId="0000007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Prof ª Drª da Universidade Estadual da Paraíba- UEPB; Coordenadora do Núcleo de Pesquisa e Extensão Comunitária InfantoJuvenil (NUPECIJ)</w:t>
      </w:r>
      <w:hyperlink r:id="rId2">
        <w:r w:rsidDel="00000000" w:rsidR="00000000" w:rsidRPr="00000000">
          <w:rPr>
            <w:color w:val="1155cc"/>
            <w:sz w:val="20"/>
            <w:szCs w:val="20"/>
            <w:u w:val="single"/>
            <w:rtl w:val="0"/>
          </w:rPr>
          <w:t xml:space="preserve">.tercalialira@servidor.uepb.edu.br.</w:t>
        </w:r>
      </w:hyperlink>
      <w:r w:rsidDel="00000000" w:rsidR="00000000" w:rsidRPr="00000000">
        <w:rPr>
          <w:rtl w:val="0"/>
        </w:rPr>
      </w:r>
    </w:p>
  </w:footnote>
  <w:footnote w:id="2">
    <w:p w:rsidR="00000000" w:rsidDel="00000000" w:rsidP="00000000" w:rsidRDefault="00000000" w:rsidRPr="00000000" w14:paraId="0000007A">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Apesar do conceito não fazer parte da corrente metodológica de tradição marxista, nos dá suporte para compreender o objeto em questão. Em linhas gerais, “a necropolítica é a organização e a execução da política que visa à morte, e não da política que potencializa a vida” (Tommaselli, 2020, p. 187). É válido ressaltar, que a política que estimula a vida, é aquela onde os projetos são direcionados para a construção de escolas, bibliotecas, creches, hospitais e dentre outros. Já a política que potencializa a morte, é aquela responsável por estimular o armamento, as guerras, a violência e a punição (cf. Tommaselli, 2020).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7">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mailto:fabiola.pereira@aluno.uepb.edu.br" TargetMode="External"/><Relationship Id="rId2" Type="http://schemas.openxmlformats.org/officeDocument/2006/relationships/hyperlink" Target="mailto:tercalialira@servidor.uepb.edu.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T/nbnQfrLmvEW6O+ypOWwa6Ggw==">CgMxLjAyDmguaDAzaWs1aGxkNzhyMg5oLmZtcWhwOGNkcnRrODIOaC5rNTV0bDNxMG5xMmsyDmgudDlyeDI5djRrbDViOAByITFsbWtIMmFFR0Y4QTUxNkg2QWR2RGZ5ZHlvQnN4dUk3aA==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