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342A3" w14:textId="77777777" w:rsidR="004877A8" w:rsidRDefault="00180194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O BRILHO DA BORRACHA E A SOMBRA DO MENORISMO:</w:t>
      </w:r>
      <w:r>
        <w:rPr>
          <w:sz w:val="24"/>
          <w:szCs w:val="24"/>
        </w:rPr>
        <w:t xml:space="preserve"> breve resgate sobre a infância na cidade de Manaus entre os séculos XIX e XX</w:t>
      </w:r>
    </w:p>
    <w:p w14:paraId="1FC04F4B" w14:textId="77777777" w:rsidR="004877A8" w:rsidRDefault="004877A8">
      <w:pPr>
        <w:shd w:val="clear" w:color="auto" w:fill="FFFFFF"/>
        <w:spacing w:line="360" w:lineRule="auto"/>
        <w:rPr>
          <w:sz w:val="24"/>
          <w:szCs w:val="24"/>
        </w:rPr>
      </w:pPr>
    </w:p>
    <w:p w14:paraId="2FAEAF43" w14:textId="77777777" w:rsidR="004877A8" w:rsidRDefault="00180194">
      <w:pPr>
        <w:shd w:val="clear" w:color="auto" w:fill="FFFFFF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Wendel Sarmento da Silva</w:t>
      </w:r>
      <w:r>
        <w:rPr>
          <w:sz w:val="24"/>
          <w:szCs w:val="24"/>
          <w:vertAlign w:val="superscript"/>
        </w:rPr>
        <w:footnoteReference w:id="1"/>
      </w:r>
    </w:p>
    <w:p w14:paraId="5B866DF6" w14:textId="77777777" w:rsidR="004877A8" w:rsidRDefault="00180194">
      <w:pPr>
        <w:shd w:val="clear" w:color="auto" w:fill="FFFFFF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Carlos Eduardo Tourinho de Souza Barbosa </w:t>
      </w:r>
      <w:proofErr w:type="spellStart"/>
      <w:r>
        <w:rPr>
          <w:sz w:val="24"/>
          <w:szCs w:val="24"/>
        </w:rPr>
        <w:t>Obando</w:t>
      </w:r>
      <w:proofErr w:type="spellEnd"/>
      <w:r>
        <w:rPr>
          <w:sz w:val="24"/>
          <w:szCs w:val="24"/>
          <w:vertAlign w:val="superscript"/>
        </w:rPr>
        <w:footnoteReference w:id="2"/>
      </w:r>
    </w:p>
    <w:p w14:paraId="4F35614A" w14:textId="77777777" w:rsidR="004877A8" w:rsidRDefault="00180194">
      <w:pPr>
        <w:shd w:val="clear" w:color="auto" w:fill="FFFFFF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Roberta Ferreira Coelho de Andrade</w:t>
      </w:r>
      <w:r>
        <w:rPr>
          <w:sz w:val="24"/>
          <w:szCs w:val="24"/>
          <w:vertAlign w:val="superscript"/>
        </w:rPr>
        <w:footnoteReference w:id="3"/>
      </w:r>
    </w:p>
    <w:p w14:paraId="4DE23570" w14:textId="77777777" w:rsidR="004877A8" w:rsidRDefault="004877A8">
      <w:pPr>
        <w:shd w:val="clear" w:color="auto" w:fill="FFFFFF"/>
        <w:spacing w:line="360" w:lineRule="auto"/>
        <w:jc w:val="right"/>
        <w:rPr>
          <w:sz w:val="24"/>
          <w:szCs w:val="24"/>
        </w:rPr>
      </w:pPr>
    </w:p>
    <w:p w14:paraId="7A28F68E" w14:textId="77777777" w:rsidR="004877A8" w:rsidRDefault="00180194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Resumo </w:t>
      </w:r>
    </w:p>
    <w:p w14:paraId="1087A2DF" w14:textId="77777777" w:rsidR="004877A8" w:rsidRPr="007E116E" w:rsidRDefault="00180194">
      <w:pPr>
        <w:shd w:val="clear" w:color="auto" w:fill="FFFFFF"/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>Este artigo discute a política de atendimento ao menor na cidade de Manaus/AM durante os ciclos da borracha (entre os séculos XIX e XX), período marcado por transformações urbanísticas, arquitetônicas, econômicas e sociais. Além de revisão bibliográfica, o trabalho surge de discussões e pesquisas em desenvolvimento no âmbito da pós-graduação, por meio do Grupo de Estudos de Serviço Social, Trabalho e Direitos na Amazônia (ESTRADAS), do Programa de Pós-Graduação em Serviço Social e Sustentabilidade na Amazôn</w:t>
      </w:r>
      <w:r>
        <w:rPr>
          <w:sz w:val="20"/>
          <w:szCs w:val="20"/>
        </w:rPr>
        <w:t xml:space="preserve">ia (PPGSS/UFAM), com financiamento da Coordenação de Aperfeiçoamento de Pessoal de Nível Superior (CAPES). Verificou-se que Manaus foi reconfigurada para uma elite, enquanto a infância era marginalizada, excluída do espaço urbano e submetida a medidas repressivas disfarçadas de proteção. A política de atendimento ao menor serviu como instrumento de disciplinamento moral e </w:t>
      </w:r>
      <w:r w:rsidRPr="007E116E">
        <w:rPr>
          <w:sz w:val="20"/>
          <w:szCs w:val="20"/>
        </w:rPr>
        <w:t>contenção social. A atuação do Estado reforçou a lógica de vigilância e repressão aos menores.</w:t>
      </w:r>
    </w:p>
    <w:p w14:paraId="3E7FED19" w14:textId="77777777" w:rsidR="004877A8" w:rsidRPr="007E116E" w:rsidRDefault="00180194">
      <w:pPr>
        <w:shd w:val="clear" w:color="auto" w:fill="FFFFFF"/>
        <w:spacing w:line="240" w:lineRule="auto"/>
        <w:ind w:left="2835"/>
        <w:jc w:val="both"/>
        <w:rPr>
          <w:sz w:val="20"/>
          <w:szCs w:val="20"/>
        </w:rPr>
      </w:pPr>
      <w:r w:rsidRPr="007E116E">
        <w:rPr>
          <w:b/>
          <w:sz w:val="20"/>
          <w:szCs w:val="20"/>
        </w:rPr>
        <w:t>Palavras-chave:</w:t>
      </w:r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Menorismo</w:t>
      </w:r>
      <w:proofErr w:type="spellEnd"/>
      <w:r w:rsidRPr="007E116E">
        <w:rPr>
          <w:sz w:val="20"/>
          <w:szCs w:val="20"/>
        </w:rPr>
        <w:t xml:space="preserve">; </w:t>
      </w:r>
      <w:r w:rsidRPr="007E116E">
        <w:rPr>
          <w:sz w:val="20"/>
          <w:szCs w:val="20"/>
        </w:rPr>
        <w:t>Infância; Manaus.</w:t>
      </w:r>
    </w:p>
    <w:p w14:paraId="4CB7B8BD" w14:textId="77777777" w:rsidR="004877A8" w:rsidRPr="007E116E" w:rsidRDefault="004877A8">
      <w:pPr>
        <w:spacing w:line="240" w:lineRule="auto"/>
        <w:ind w:left="2835"/>
        <w:jc w:val="both"/>
        <w:rPr>
          <w:sz w:val="20"/>
          <w:szCs w:val="20"/>
        </w:rPr>
      </w:pPr>
    </w:p>
    <w:p w14:paraId="3F3710A3" w14:textId="77777777" w:rsidR="004877A8" w:rsidRPr="007E116E" w:rsidRDefault="00180194">
      <w:pPr>
        <w:spacing w:line="240" w:lineRule="auto"/>
        <w:ind w:left="2835"/>
        <w:jc w:val="both"/>
        <w:rPr>
          <w:b/>
          <w:sz w:val="20"/>
          <w:szCs w:val="20"/>
        </w:rPr>
      </w:pPr>
      <w:r w:rsidRPr="007E116E">
        <w:rPr>
          <w:b/>
          <w:sz w:val="20"/>
          <w:szCs w:val="20"/>
        </w:rPr>
        <w:t>Abstract</w:t>
      </w:r>
    </w:p>
    <w:p w14:paraId="3E861F39" w14:textId="77777777" w:rsidR="004877A8" w:rsidRDefault="00180194">
      <w:pPr>
        <w:spacing w:line="240" w:lineRule="auto"/>
        <w:ind w:left="2835"/>
        <w:jc w:val="both"/>
        <w:rPr>
          <w:b/>
          <w:sz w:val="20"/>
          <w:szCs w:val="20"/>
          <w:shd w:val="clear" w:color="auto" w:fill="B6D7A8"/>
        </w:rPr>
      </w:pPr>
      <w:proofErr w:type="spellStart"/>
      <w:r w:rsidRPr="007E116E">
        <w:rPr>
          <w:sz w:val="20"/>
          <w:szCs w:val="20"/>
        </w:rPr>
        <w:t>This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article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discusses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child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service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policy</w:t>
      </w:r>
      <w:proofErr w:type="spellEnd"/>
      <w:r w:rsidRPr="007E116E">
        <w:rPr>
          <w:sz w:val="20"/>
          <w:szCs w:val="20"/>
        </w:rPr>
        <w:t xml:space="preserve"> in Manaus/AM, </w:t>
      </w:r>
      <w:proofErr w:type="spellStart"/>
      <w:r w:rsidRPr="007E116E">
        <w:rPr>
          <w:sz w:val="20"/>
          <w:szCs w:val="20"/>
        </w:rPr>
        <w:t>during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rubber boom (</w:t>
      </w:r>
      <w:proofErr w:type="spellStart"/>
      <w:r w:rsidRPr="007E116E">
        <w:rPr>
          <w:sz w:val="20"/>
          <w:szCs w:val="20"/>
        </w:rPr>
        <w:t>between</w:t>
      </w:r>
      <w:proofErr w:type="spellEnd"/>
      <w:r w:rsidRPr="007E116E">
        <w:rPr>
          <w:sz w:val="20"/>
          <w:szCs w:val="20"/>
        </w:rPr>
        <w:t xml:space="preserve"> 19th </w:t>
      </w:r>
      <w:proofErr w:type="spellStart"/>
      <w:r w:rsidRPr="007E116E">
        <w:rPr>
          <w:sz w:val="20"/>
          <w:szCs w:val="20"/>
        </w:rPr>
        <w:t>and</w:t>
      </w:r>
      <w:proofErr w:type="spellEnd"/>
      <w:r w:rsidRPr="007E116E">
        <w:rPr>
          <w:sz w:val="20"/>
          <w:szCs w:val="20"/>
        </w:rPr>
        <w:t xml:space="preserve"> 20th </w:t>
      </w:r>
      <w:proofErr w:type="spellStart"/>
      <w:r w:rsidRPr="007E116E">
        <w:rPr>
          <w:sz w:val="20"/>
          <w:szCs w:val="20"/>
        </w:rPr>
        <w:t>century</w:t>
      </w:r>
      <w:proofErr w:type="spellEnd"/>
      <w:r w:rsidRPr="007E116E">
        <w:rPr>
          <w:sz w:val="20"/>
          <w:szCs w:val="20"/>
        </w:rPr>
        <w:t xml:space="preserve">). A </w:t>
      </w:r>
      <w:proofErr w:type="spellStart"/>
      <w:r w:rsidRPr="007E116E">
        <w:rPr>
          <w:sz w:val="20"/>
          <w:szCs w:val="20"/>
        </w:rPr>
        <w:t>period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marked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by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urban</w:t>
      </w:r>
      <w:proofErr w:type="spellEnd"/>
      <w:r w:rsidRPr="007E116E">
        <w:rPr>
          <w:sz w:val="20"/>
          <w:szCs w:val="20"/>
        </w:rPr>
        <w:t xml:space="preserve">, </w:t>
      </w:r>
      <w:proofErr w:type="spellStart"/>
      <w:r w:rsidRPr="007E116E">
        <w:rPr>
          <w:sz w:val="20"/>
          <w:szCs w:val="20"/>
        </w:rPr>
        <w:t>architectural</w:t>
      </w:r>
      <w:proofErr w:type="spellEnd"/>
      <w:r w:rsidRPr="007E116E">
        <w:rPr>
          <w:sz w:val="20"/>
          <w:szCs w:val="20"/>
        </w:rPr>
        <w:t xml:space="preserve">, </w:t>
      </w:r>
      <w:proofErr w:type="spellStart"/>
      <w:r w:rsidRPr="007E116E">
        <w:rPr>
          <w:sz w:val="20"/>
          <w:szCs w:val="20"/>
        </w:rPr>
        <w:t>economic</w:t>
      </w:r>
      <w:proofErr w:type="spellEnd"/>
      <w:r w:rsidRPr="007E116E">
        <w:rPr>
          <w:sz w:val="20"/>
          <w:szCs w:val="20"/>
        </w:rPr>
        <w:t xml:space="preserve">, </w:t>
      </w:r>
      <w:proofErr w:type="spellStart"/>
      <w:r w:rsidRPr="007E116E">
        <w:rPr>
          <w:sz w:val="20"/>
          <w:szCs w:val="20"/>
        </w:rPr>
        <w:t>and</w:t>
      </w:r>
      <w:proofErr w:type="spellEnd"/>
      <w:r w:rsidRPr="007E116E">
        <w:rPr>
          <w:sz w:val="20"/>
          <w:szCs w:val="20"/>
        </w:rPr>
        <w:t xml:space="preserve"> social </w:t>
      </w:r>
      <w:proofErr w:type="spellStart"/>
      <w:r w:rsidRPr="007E116E">
        <w:rPr>
          <w:sz w:val="20"/>
          <w:szCs w:val="20"/>
        </w:rPr>
        <w:t>transformations</w:t>
      </w:r>
      <w:proofErr w:type="spellEnd"/>
      <w:r w:rsidRPr="007E116E">
        <w:rPr>
          <w:sz w:val="20"/>
          <w:szCs w:val="20"/>
        </w:rPr>
        <w:t xml:space="preserve">. </w:t>
      </w:r>
      <w:proofErr w:type="spellStart"/>
      <w:r w:rsidRPr="007E116E">
        <w:rPr>
          <w:sz w:val="20"/>
          <w:szCs w:val="20"/>
        </w:rPr>
        <w:t>Beyond</w:t>
      </w:r>
      <w:proofErr w:type="spellEnd"/>
      <w:r w:rsidRPr="007E116E">
        <w:rPr>
          <w:sz w:val="20"/>
          <w:szCs w:val="20"/>
        </w:rPr>
        <w:t xml:space="preserve"> a </w:t>
      </w:r>
      <w:proofErr w:type="spellStart"/>
      <w:r w:rsidRPr="007E116E">
        <w:rPr>
          <w:sz w:val="20"/>
          <w:szCs w:val="20"/>
        </w:rPr>
        <w:t>literature</w:t>
      </w:r>
      <w:proofErr w:type="spellEnd"/>
      <w:r w:rsidRPr="007E116E">
        <w:rPr>
          <w:sz w:val="20"/>
          <w:szCs w:val="20"/>
        </w:rPr>
        <w:t xml:space="preserve"> review, </w:t>
      </w:r>
      <w:proofErr w:type="spellStart"/>
      <w:r w:rsidRPr="007E116E">
        <w:rPr>
          <w:sz w:val="20"/>
          <w:szCs w:val="20"/>
        </w:rPr>
        <w:t>this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work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stems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from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ongoing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discussions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and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research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within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postgraduate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program</w:t>
      </w:r>
      <w:proofErr w:type="spellEnd"/>
      <w:r w:rsidRPr="007E116E">
        <w:rPr>
          <w:sz w:val="20"/>
          <w:szCs w:val="20"/>
        </w:rPr>
        <w:t xml:space="preserve">, </w:t>
      </w:r>
      <w:proofErr w:type="spellStart"/>
      <w:r w:rsidRPr="007E116E">
        <w:rPr>
          <w:sz w:val="20"/>
          <w:szCs w:val="20"/>
        </w:rPr>
        <w:t>specifically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from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Study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Group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on</w:t>
      </w:r>
      <w:proofErr w:type="spellEnd"/>
      <w:r w:rsidRPr="007E116E">
        <w:rPr>
          <w:sz w:val="20"/>
          <w:szCs w:val="20"/>
        </w:rPr>
        <w:t xml:space="preserve"> Social Work, Labor, </w:t>
      </w:r>
      <w:proofErr w:type="spellStart"/>
      <w:r w:rsidRPr="007E116E">
        <w:rPr>
          <w:sz w:val="20"/>
          <w:szCs w:val="20"/>
        </w:rPr>
        <w:t>and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Rights</w:t>
      </w:r>
      <w:proofErr w:type="spellEnd"/>
      <w:r w:rsidRPr="007E116E">
        <w:rPr>
          <w:sz w:val="20"/>
          <w:szCs w:val="20"/>
        </w:rPr>
        <w:t xml:space="preserve"> in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Amazon</w:t>
      </w:r>
      <w:proofErr w:type="spellEnd"/>
      <w:r w:rsidRPr="007E116E">
        <w:rPr>
          <w:sz w:val="20"/>
          <w:szCs w:val="20"/>
        </w:rPr>
        <w:t xml:space="preserve"> (ESTRADAS), </w:t>
      </w:r>
      <w:proofErr w:type="spellStart"/>
      <w:r w:rsidRPr="007E116E">
        <w:rPr>
          <w:sz w:val="20"/>
          <w:szCs w:val="20"/>
        </w:rPr>
        <w:t>part</w:t>
      </w:r>
      <w:proofErr w:type="spellEnd"/>
      <w:r w:rsidRPr="007E116E">
        <w:rPr>
          <w:sz w:val="20"/>
          <w:szCs w:val="20"/>
        </w:rPr>
        <w:t xml:space="preserve"> of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Postgraduate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Program</w:t>
      </w:r>
      <w:proofErr w:type="spellEnd"/>
      <w:r w:rsidRPr="007E116E">
        <w:rPr>
          <w:sz w:val="20"/>
          <w:szCs w:val="20"/>
        </w:rPr>
        <w:t xml:space="preserve"> in Social Work </w:t>
      </w:r>
      <w:proofErr w:type="spellStart"/>
      <w:r w:rsidRPr="007E116E">
        <w:rPr>
          <w:sz w:val="20"/>
          <w:szCs w:val="20"/>
        </w:rPr>
        <w:t>and</w:t>
      </w:r>
      <w:proofErr w:type="spellEnd"/>
      <w:r w:rsidRPr="007E116E">
        <w:rPr>
          <w:sz w:val="20"/>
          <w:szCs w:val="20"/>
        </w:rPr>
        <w:t xml:space="preserve"> Sustainability in</w:t>
      </w:r>
      <w:r>
        <w:rPr>
          <w:sz w:val="20"/>
          <w:szCs w:val="20"/>
          <w:shd w:val="clear" w:color="auto" w:fill="B6D7A8"/>
        </w:rPr>
        <w:t xml:space="preserve"> </w:t>
      </w:r>
      <w:proofErr w:type="spellStart"/>
      <w:r w:rsidRPr="007E116E">
        <w:rPr>
          <w:sz w:val="20"/>
          <w:szCs w:val="20"/>
        </w:rPr>
        <w:lastRenderedPageBreak/>
        <w:t>the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Amazon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at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Federal </w:t>
      </w:r>
      <w:proofErr w:type="spellStart"/>
      <w:r w:rsidRPr="007E116E">
        <w:rPr>
          <w:sz w:val="20"/>
          <w:szCs w:val="20"/>
        </w:rPr>
        <w:t>University</w:t>
      </w:r>
      <w:proofErr w:type="spellEnd"/>
      <w:r w:rsidRPr="007E116E">
        <w:rPr>
          <w:sz w:val="20"/>
          <w:szCs w:val="20"/>
        </w:rPr>
        <w:t xml:space="preserve"> of Amazonas (PPGSS/UFAM), </w:t>
      </w:r>
      <w:proofErr w:type="spellStart"/>
      <w:r w:rsidRPr="007E116E">
        <w:rPr>
          <w:sz w:val="20"/>
          <w:szCs w:val="20"/>
        </w:rPr>
        <w:t>with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funding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from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Coordination</w:t>
      </w:r>
      <w:proofErr w:type="spellEnd"/>
      <w:r w:rsidRPr="007E116E">
        <w:rPr>
          <w:sz w:val="20"/>
          <w:szCs w:val="20"/>
        </w:rPr>
        <w:t xml:space="preserve"> for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Improvement</w:t>
      </w:r>
      <w:proofErr w:type="spellEnd"/>
      <w:r w:rsidRPr="007E116E">
        <w:rPr>
          <w:sz w:val="20"/>
          <w:szCs w:val="20"/>
        </w:rPr>
        <w:t xml:space="preserve"> of </w:t>
      </w:r>
      <w:proofErr w:type="spellStart"/>
      <w:r w:rsidRPr="007E116E">
        <w:rPr>
          <w:sz w:val="20"/>
          <w:szCs w:val="20"/>
        </w:rPr>
        <w:t>Higher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Education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Personnel</w:t>
      </w:r>
      <w:proofErr w:type="spellEnd"/>
      <w:r w:rsidRPr="007E116E">
        <w:rPr>
          <w:sz w:val="20"/>
          <w:szCs w:val="20"/>
        </w:rPr>
        <w:t xml:space="preserve"> (CAPES</w:t>
      </w:r>
      <w:proofErr w:type="gramStart"/>
      <w:r w:rsidRPr="007E116E">
        <w:rPr>
          <w:sz w:val="20"/>
          <w:szCs w:val="20"/>
        </w:rPr>
        <w:t>)..</w:t>
      </w:r>
      <w:proofErr w:type="gramEnd"/>
      <w:r w:rsidRPr="007E116E">
        <w:rPr>
          <w:sz w:val="20"/>
          <w:szCs w:val="20"/>
        </w:rPr>
        <w:t xml:space="preserve"> The </w:t>
      </w:r>
      <w:proofErr w:type="spellStart"/>
      <w:r w:rsidRPr="007E116E">
        <w:rPr>
          <w:sz w:val="20"/>
          <w:szCs w:val="20"/>
        </w:rPr>
        <w:t>study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found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that</w:t>
      </w:r>
      <w:proofErr w:type="spellEnd"/>
      <w:r w:rsidRPr="007E116E">
        <w:rPr>
          <w:sz w:val="20"/>
          <w:szCs w:val="20"/>
        </w:rPr>
        <w:t xml:space="preserve"> Manaus </w:t>
      </w:r>
      <w:proofErr w:type="spellStart"/>
      <w:r w:rsidRPr="007E116E">
        <w:rPr>
          <w:sz w:val="20"/>
          <w:szCs w:val="20"/>
        </w:rPr>
        <w:t>was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reconfigured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to</w:t>
      </w:r>
      <w:proofErr w:type="spellEnd"/>
      <w:r w:rsidRPr="007E116E">
        <w:rPr>
          <w:sz w:val="20"/>
          <w:szCs w:val="20"/>
        </w:rPr>
        <w:t xml:space="preserve"> serve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interests</w:t>
      </w:r>
      <w:proofErr w:type="spellEnd"/>
      <w:r w:rsidRPr="007E116E">
        <w:rPr>
          <w:sz w:val="20"/>
          <w:szCs w:val="20"/>
        </w:rPr>
        <w:t xml:space="preserve"> of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elite, </w:t>
      </w:r>
      <w:proofErr w:type="spellStart"/>
      <w:r w:rsidRPr="007E116E">
        <w:rPr>
          <w:sz w:val="20"/>
          <w:szCs w:val="20"/>
        </w:rPr>
        <w:t>while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impoverished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children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were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marginalized</w:t>
      </w:r>
      <w:proofErr w:type="spellEnd"/>
      <w:r w:rsidRPr="007E116E">
        <w:rPr>
          <w:sz w:val="20"/>
          <w:szCs w:val="20"/>
        </w:rPr>
        <w:t xml:space="preserve">, </w:t>
      </w:r>
      <w:proofErr w:type="spellStart"/>
      <w:r w:rsidRPr="007E116E">
        <w:rPr>
          <w:sz w:val="20"/>
          <w:szCs w:val="20"/>
        </w:rPr>
        <w:t>excluded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from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urban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spaces</w:t>
      </w:r>
      <w:proofErr w:type="spellEnd"/>
      <w:r w:rsidRPr="007E116E">
        <w:rPr>
          <w:sz w:val="20"/>
          <w:szCs w:val="20"/>
        </w:rPr>
        <w:t xml:space="preserve">, </w:t>
      </w:r>
      <w:proofErr w:type="spellStart"/>
      <w:r w:rsidRPr="007E116E">
        <w:rPr>
          <w:sz w:val="20"/>
          <w:szCs w:val="20"/>
        </w:rPr>
        <w:t>and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subjected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to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repressive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measures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disguised</w:t>
      </w:r>
      <w:proofErr w:type="spellEnd"/>
      <w:r w:rsidRPr="007E116E">
        <w:rPr>
          <w:sz w:val="20"/>
          <w:szCs w:val="20"/>
        </w:rPr>
        <w:t xml:space="preserve"> as </w:t>
      </w:r>
      <w:proofErr w:type="spellStart"/>
      <w:r w:rsidRPr="007E116E">
        <w:rPr>
          <w:sz w:val="20"/>
          <w:szCs w:val="20"/>
        </w:rPr>
        <w:t>protection</w:t>
      </w:r>
      <w:proofErr w:type="spellEnd"/>
      <w:r w:rsidRPr="007E116E">
        <w:rPr>
          <w:sz w:val="20"/>
          <w:szCs w:val="20"/>
        </w:rPr>
        <w:t xml:space="preserve">. </w:t>
      </w:r>
      <w:proofErr w:type="spellStart"/>
      <w:r w:rsidRPr="007E116E">
        <w:rPr>
          <w:sz w:val="20"/>
          <w:szCs w:val="20"/>
        </w:rPr>
        <w:t>Furthermore</w:t>
      </w:r>
      <w:proofErr w:type="spellEnd"/>
      <w:r w:rsidRPr="007E116E">
        <w:rPr>
          <w:sz w:val="20"/>
          <w:szCs w:val="20"/>
        </w:rPr>
        <w:t xml:space="preserve">, </w:t>
      </w:r>
      <w:proofErr w:type="spellStart"/>
      <w:r w:rsidRPr="007E116E">
        <w:rPr>
          <w:sz w:val="20"/>
          <w:szCs w:val="20"/>
        </w:rPr>
        <w:t>child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service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policy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served</w:t>
      </w:r>
      <w:proofErr w:type="spellEnd"/>
      <w:r w:rsidRPr="007E116E">
        <w:rPr>
          <w:sz w:val="20"/>
          <w:szCs w:val="20"/>
        </w:rPr>
        <w:t xml:space="preserve"> as </w:t>
      </w:r>
      <w:proofErr w:type="spellStart"/>
      <w:r w:rsidRPr="007E116E">
        <w:rPr>
          <w:sz w:val="20"/>
          <w:szCs w:val="20"/>
        </w:rPr>
        <w:t>an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instrument</w:t>
      </w:r>
      <w:proofErr w:type="spellEnd"/>
      <w:r w:rsidRPr="007E116E">
        <w:rPr>
          <w:sz w:val="20"/>
          <w:szCs w:val="20"/>
        </w:rPr>
        <w:t xml:space="preserve"> of moral discipline </w:t>
      </w:r>
      <w:proofErr w:type="spellStart"/>
      <w:r w:rsidRPr="007E116E">
        <w:rPr>
          <w:sz w:val="20"/>
          <w:szCs w:val="20"/>
        </w:rPr>
        <w:t>and</w:t>
      </w:r>
      <w:proofErr w:type="spellEnd"/>
      <w:r w:rsidRPr="007E116E">
        <w:rPr>
          <w:sz w:val="20"/>
          <w:szCs w:val="20"/>
        </w:rPr>
        <w:t xml:space="preserve"> social </w:t>
      </w:r>
      <w:proofErr w:type="spellStart"/>
      <w:r w:rsidRPr="007E116E">
        <w:rPr>
          <w:sz w:val="20"/>
          <w:szCs w:val="20"/>
        </w:rPr>
        <w:t>containment</w:t>
      </w:r>
      <w:proofErr w:type="spellEnd"/>
      <w:r w:rsidRPr="007E116E">
        <w:rPr>
          <w:sz w:val="20"/>
          <w:szCs w:val="20"/>
        </w:rPr>
        <w:t xml:space="preserve">. The </w:t>
      </w:r>
      <w:proofErr w:type="spellStart"/>
      <w:r w:rsidRPr="007E116E">
        <w:rPr>
          <w:sz w:val="20"/>
          <w:szCs w:val="20"/>
        </w:rPr>
        <w:t>state's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actions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reinforced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an</w:t>
      </w:r>
      <w:r w:rsidRPr="007E116E">
        <w:rPr>
          <w:sz w:val="20"/>
          <w:szCs w:val="20"/>
        </w:rPr>
        <w:t>dt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legitimized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the</w:t>
      </w:r>
      <w:proofErr w:type="spellEnd"/>
      <w:r w:rsidRPr="007E116E">
        <w:rPr>
          <w:sz w:val="20"/>
          <w:szCs w:val="20"/>
        </w:rPr>
        <w:t xml:space="preserve"> </w:t>
      </w:r>
      <w:proofErr w:type="spellStart"/>
      <w:r w:rsidRPr="007E116E">
        <w:rPr>
          <w:sz w:val="20"/>
          <w:szCs w:val="20"/>
        </w:rPr>
        <w:t>repression</w:t>
      </w:r>
      <w:proofErr w:type="spellEnd"/>
      <w:r w:rsidRPr="007E116E">
        <w:rPr>
          <w:sz w:val="20"/>
          <w:szCs w:val="20"/>
        </w:rPr>
        <w:t xml:space="preserve"> of </w:t>
      </w:r>
      <w:proofErr w:type="spellStart"/>
      <w:r w:rsidRPr="007E116E">
        <w:rPr>
          <w:sz w:val="20"/>
          <w:szCs w:val="20"/>
        </w:rPr>
        <w:t>minors</w:t>
      </w:r>
      <w:proofErr w:type="spellEnd"/>
      <w:r w:rsidRPr="007E116E">
        <w:rPr>
          <w:sz w:val="20"/>
          <w:szCs w:val="20"/>
        </w:rPr>
        <w:t>.</w:t>
      </w:r>
    </w:p>
    <w:p w14:paraId="3A6897A9" w14:textId="77777777" w:rsidR="004877A8" w:rsidRDefault="00180194">
      <w:pPr>
        <w:spacing w:line="240" w:lineRule="auto"/>
        <w:ind w:left="2835"/>
        <w:jc w:val="both"/>
        <w:rPr>
          <w:sz w:val="20"/>
          <w:szCs w:val="20"/>
          <w:shd w:val="clear" w:color="auto" w:fill="B6D7A8"/>
        </w:rPr>
      </w:pPr>
      <w:r>
        <w:rPr>
          <w:b/>
          <w:sz w:val="20"/>
          <w:szCs w:val="20"/>
        </w:rPr>
        <w:t>Keywords</w:t>
      </w:r>
      <w:r w:rsidRPr="007E116E">
        <w:rPr>
          <w:sz w:val="20"/>
          <w:szCs w:val="20"/>
        </w:rPr>
        <w:t xml:space="preserve">: </w:t>
      </w:r>
      <w:proofErr w:type="spellStart"/>
      <w:r w:rsidRPr="007E116E">
        <w:rPr>
          <w:sz w:val="20"/>
          <w:szCs w:val="20"/>
        </w:rPr>
        <w:t>Menorism</w:t>
      </w:r>
      <w:proofErr w:type="spellEnd"/>
      <w:r w:rsidRPr="007E116E">
        <w:rPr>
          <w:sz w:val="20"/>
          <w:szCs w:val="20"/>
        </w:rPr>
        <w:t xml:space="preserve">; </w:t>
      </w:r>
      <w:proofErr w:type="spellStart"/>
      <w:r w:rsidRPr="007E116E">
        <w:rPr>
          <w:sz w:val="20"/>
          <w:szCs w:val="20"/>
        </w:rPr>
        <w:t>Childhood</w:t>
      </w:r>
      <w:proofErr w:type="spellEnd"/>
      <w:r w:rsidRPr="007E116E">
        <w:rPr>
          <w:sz w:val="20"/>
          <w:szCs w:val="20"/>
        </w:rPr>
        <w:t>; Manaus.</w:t>
      </w:r>
    </w:p>
    <w:p w14:paraId="598F12F2" w14:textId="77777777" w:rsidR="004877A8" w:rsidRDefault="004877A8">
      <w:pPr>
        <w:spacing w:line="240" w:lineRule="auto"/>
        <w:jc w:val="both"/>
        <w:rPr>
          <w:b/>
          <w:sz w:val="20"/>
          <w:szCs w:val="20"/>
        </w:rPr>
      </w:pPr>
    </w:p>
    <w:p w14:paraId="60D6C4F9" w14:textId="77777777" w:rsidR="004877A8" w:rsidRDefault="00180194">
      <w:pPr>
        <w:spacing w:line="240" w:lineRule="auto"/>
        <w:jc w:val="both"/>
        <w:rPr>
          <w:b/>
          <w:sz w:val="24"/>
          <w:szCs w:val="24"/>
        </w:rPr>
      </w:pPr>
      <w:bookmarkStart w:id="0" w:name="_heading=h.be8xfsqdu2dh" w:colFirst="0" w:colLast="0"/>
      <w:bookmarkEnd w:id="0"/>
      <w:r>
        <w:rPr>
          <w:b/>
          <w:sz w:val="24"/>
          <w:szCs w:val="24"/>
        </w:rPr>
        <w:t>1 INTRODUÇÃO</w:t>
      </w:r>
    </w:p>
    <w:p w14:paraId="2A4F765A" w14:textId="77777777" w:rsidR="004877A8" w:rsidRDefault="004877A8">
      <w:pPr>
        <w:spacing w:line="360" w:lineRule="auto"/>
        <w:jc w:val="both"/>
        <w:rPr>
          <w:b/>
          <w:sz w:val="24"/>
          <w:szCs w:val="24"/>
        </w:rPr>
      </w:pPr>
    </w:p>
    <w:p w14:paraId="457C11C5" w14:textId="77777777" w:rsidR="004877A8" w:rsidRDefault="00180194">
      <w:pPr>
        <w:shd w:val="clear" w:color="auto" w:fill="FFFFFF"/>
        <w:spacing w:line="360" w:lineRule="auto"/>
        <w:ind w:firstLine="708"/>
        <w:jc w:val="both"/>
        <w:rPr>
          <w:sz w:val="24"/>
          <w:szCs w:val="24"/>
          <w:shd w:val="clear" w:color="auto" w:fill="B6D7A8"/>
        </w:rPr>
      </w:pPr>
      <w:r>
        <w:rPr>
          <w:sz w:val="24"/>
          <w:szCs w:val="24"/>
        </w:rPr>
        <w:t xml:space="preserve">Este artigo propõe-se a discutir a política de atendimento ao menor </w:t>
      </w:r>
      <w:r>
        <w:rPr>
          <w:sz w:val="24"/>
          <w:szCs w:val="24"/>
        </w:rPr>
        <w:t xml:space="preserve">(assim chamados crianças e adolescentes naquele contexto) na cidade de Manaus, capital do estado de Amazonas, durante o período de seu desenvolvimento impulsionado pela comercialização da borracha, entre o fim do século XIX e primeira metade do século XX. </w:t>
      </w:r>
    </w:p>
    <w:p w14:paraId="43C27973" w14:textId="77777777" w:rsidR="004877A8" w:rsidRDefault="00180194" w:rsidP="007E116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Trata-se de um momento histórico para a região, marcado por intensas transformações </w:t>
      </w:r>
      <w:r w:rsidRPr="007E116E">
        <w:rPr>
          <w:sz w:val="24"/>
          <w:szCs w:val="24"/>
        </w:rPr>
        <w:t>urbanísticas, arquitetônicas e econômicas promovidas pelo auge da borracha no mercado internacional com o objetivo de se aproximar da modernidade europeia</w:t>
      </w:r>
      <w:r>
        <w:rPr>
          <w:sz w:val="24"/>
          <w:szCs w:val="24"/>
        </w:rPr>
        <w:t xml:space="preserve">. Contudo, se por um lado Manaus vivenciava um processo de modernização, por outro, projetava-se sobre a </w:t>
      </w:r>
      <w:r w:rsidRPr="007E116E">
        <w:rPr>
          <w:sz w:val="24"/>
          <w:szCs w:val="24"/>
        </w:rPr>
        <w:t>população pobre</w:t>
      </w:r>
      <w:r>
        <w:rPr>
          <w:sz w:val="24"/>
          <w:szCs w:val="24"/>
        </w:rPr>
        <w:t xml:space="preserve"> a expectativa de uma adequação moral e comportamental.</w:t>
      </w:r>
    </w:p>
    <w:p w14:paraId="16BA042D" w14:textId="77777777" w:rsidR="004877A8" w:rsidRPr="007E116E" w:rsidRDefault="00180194" w:rsidP="007E116E">
      <w:pPr>
        <w:spacing w:line="360" w:lineRule="auto"/>
        <w:ind w:firstLine="708"/>
        <w:jc w:val="both"/>
        <w:rPr>
          <w:sz w:val="24"/>
          <w:szCs w:val="24"/>
        </w:rPr>
      </w:pPr>
      <w:r w:rsidRPr="007E116E">
        <w:rPr>
          <w:sz w:val="24"/>
          <w:szCs w:val="24"/>
        </w:rPr>
        <w:t xml:space="preserve">O </w:t>
      </w:r>
      <w:r w:rsidRPr="007E116E">
        <w:rPr>
          <w:sz w:val="24"/>
          <w:szCs w:val="24"/>
        </w:rPr>
        <w:t xml:space="preserve">grande contingente populacional presente nas ruas de Manaus, </w:t>
      </w:r>
      <w:r w:rsidRPr="007E116E">
        <w:rPr>
          <w:sz w:val="24"/>
          <w:szCs w:val="24"/>
        </w:rPr>
        <w:t>composto por trabalhadores informais, pessoas em situação de pobreza, menores delinquentes, entre outros, representava um desafio para as autoridades naquele período.</w:t>
      </w:r>
      <w:r>
        <w:rPr>
          <w:sz w:val="24"/>
          <w:szCs w:val="24"/>
        </w:rPr>
        <w:t xml:space="preserve"> Assim, ao que tange ao “menor”, esse período </w:t>
      </w:r>
      <w:r w:rsidRPr="007E116E">
        <w:rPr>
          <w:sz w:val="24"/>
          <w:szCs w:val="24"/>
        </w:rPr>
        <w:t xml:space="preserve">foi marcado por reformulações nas formas de intervenção no atendimento e controle dos </w:t>
      </w:r>
      <w:r w:rsidRPr="007E116E">
        <w:rPr>
          <w:sz w:val="24"/>
          <w:szCs w:val="24"/>
        </w:rPr>
        <w:t>“crimes” praticados por eles. Dessa forma,</w:t>
      </w:r>
      <w:r>
        <w:rPr>
          <w:sz w:val="24"/>
          <w:szCs w:val="24"/>
        </w:rPr>
        <w:t xml:space="preserve"> a presença dessas </w:t>
      </w:r>
      <w:r w:rsidRPr="007E116E">
        <w:rPr>
          <w:sz w:val="24"/>
          <w:szCs w:val="24"/>
        </w:rPr>
        <w:t xml:space="preserve">crianças e adolescentes nas vias públicas passou a ser percebida como um risco à ordem social e </w:t>
      </w:r>
      <w:r w:rsidRPr="007E116E">
        <w:rPr>
          <w:sz w:val="24"/>
          <w:szCs w:val="24"/>
        </w:rPr>
        <w:t>à segurança</w:t>
      </w:r>
      <w:r w:rsidRPr="007E116E">
        <w:rPr>
          <w:sz w:val="24"/>
          <w:szCs w:val="24"/>
        </w:rPr>
        <w:t xml:space="preserve"> da cidade.</w:t>
      </w:r>
    </w:p>
    <w:p w14:paraId="793EEC30" w14:textId="77777777" w:rsidR="004877A8" w:rsidRDefault="00180194" w:rsidP="007E116E">
      <w:pPr>
        <w:spacing w:line="360" w:lineRule="auto"/>
        <w:ind w:firstLine="708"/>
        <w:jc w:val="both"/>
        <w:rPr>
          <w:sz w:val="24"/>
          <w:szCs w:val="24"/>
        </w:rPr>
      </w:pPr>
      <w:r w:rsidRPr="007E116E">
        <w:rPr>
          <w:sz w:val="24"/>
          <w:szCs w:val="24"/>
        </w:rPr>
        <w:t>A mudança na concepção da infância só sofreu mudanças significativas na segunda metade do século XX, por meio da Lei nº 8.069 de 1990</w:t>
      </w:r>
      <w:r w:rsidRPr="007E116E">
        <w:rPr>
          <w:sz w:val="24"/>
          <w:szCs w:val="24"/>
        </w:rPr>
        <w:t xml:space="preserve">, que dispõe sobre o </w:t>
      </w:r>
      <w:r w:rsidRPr="007E116E">
        <w:rPr>
          <w:sz w:val="24"/>
          <w:szCs w:val="24"/>
        </w:rPr>
        <w:lastRenderedPageBreak/>
        <w:t>Estatuto da Criança e do Adolescente (ECA) e inaugura o Paradigma da Proteção Integral. Crianças e adolescentes, anteriormente tidos enquanto adultos em miniatura, passam a ser reconhecidos como sujeitos de direito e indivíduos em desenvolvimento biopsicossocial. Essa nova perspectiva exigiu uma reformulação das formas de atendimento de crianças e adolescentes.</w:t>
      </w:r>
    </w:p>
    <w:p w14:paraId="7DF7F654" w14:textId="150318A1" w:rsidR="004877A8" w:rsidRDefault="00180194">
      <w:pPr>
        <w:shd w:val="clear" w:color="auto" w:fill="FFFFFF"/>
        <w:spacing w:line="360" w:lineRule="auto"/>
        <w:ind w:firstLine="708"/>
        <w:jc w:val="both"/>
        <w:rPr>
          <w:sz w:val="24"/>
          <w:szCs w:val="24"/>
          <w:shd w:val="clear" w:color="auto" w:fill="B6D7A8"/>
        </w:rPr>
      </w:pPr>
      <w:r w:rsidRPr="007E116E">
        <w:rPr>
          <w:sz w:val="24"/>
          <w:szCs w:val="24"/>
        </w:rPr>
        <w:t xml:space="preserve">Este artigo emerge a partir de discussões no âmbito da pós-graduação e de pesquisas em desenvolvimento no Grupo de Estudos de Serviço Social, Trabalho e Direitos na Amazônia (ESTRADAS), do Programa de Pós-Graduação em Serviço Social e Sustentabilidade na Amazônia da Universidade Federal do Amazonas (PPGSS/UFAM), financiadas pela Coordenação de Aperfeiçoamento de Pessoal de Nível Superior (CAPES). Além disso, as inquietações teóricas foram ampliadas por meio de revisão bibliográfica de trabalhos que abordam </w:t>
      </w:r>
      <w:r w:rsidRPr="007E116E">
        <w:rPr>
          <w:sz w:val="24"/>
          <w:szCs w:val="24"/>
        </w:rPr>
        <w:t xml:space="preserve">a infância em </w:t>
      </w:r>
      <w:r w:rsidRPr="007E116E">
        <w:rPr>
          <w:sz w:val="24"/>
          <w:szCs w:val="24"/>
        </w:rPr>
        <w:t>Manaus nos séculos XIX e XX.</w:t>
      </w:r>
    </w:p>
    <w:p w14:paraId="2CB1EF53" w14:textId="77777777" w:rsidR="004877A8" w:rsidRDefault="00180194">
      <w:pPr>
        <w:spacing w:line="360" w:lineRule="auto"/>
        <w:ind w:firstLine="720"/>
        <w:jc w:val="both"/>
        <w:rPr>
          <w:sz w:val="24"/>
          <w:szCs w:val="24"/>
        </w:rPr>
      </w:pPr>
      <w:r w:rsidRPr="007E116E">
        <w:rPr>
          <w:sz w:val="24"/>
          <w:szCs w:val="24"/>
        </w:rPr>
        <w:t>O tema ora em debate busca</w:t>
      </w:r>
      <w:r w:rsidRPr="007E116E">
        <w:rPr>
          <w:sz w:val="24"/>
          <w:szCs w:val="24"/>
        </w:rPr>
        <w:t xml:space="preserve"> contribuir para o campo da história social da infância manauara e as formas de atendimento direcionadas aos chamados "menores". </w:t>
      </w:r>
      <w:r w:rsidRPr="007E116E">
        <w:rPr>
          <w:sz w:val="24"/>
          <w:szCs w:val="24"/>
        </w:rPr>
        <w:t xml:space="preserve">A </w:t>
      </w:r>
      <w:r w:rsidRPr="007E116E">
        <w:rPr>
          <w:sz w:val="24"/>
          <w:szCs w:val="24"/>
        </w:rPr>
        <w:t>discussão se estrutura em duas partes</w:t>
      </w:r>
      <w:r w:rsidRPr="007E116E">
        <w:rPr>
          <w:sz w:val="24"/>
          <w:szCs w:val="24"/>
        </w:rPr>
        <w:t>: em um primeiro momento</w:t>
      </w:r>
      <w:r w:rsidRPr="007E116E">
        <w:rPr>
          <w:sz w:val="24"/>
          <w:szCs w:val="24"/>
        </w:rPr>
        <w:t>, buscaremos contextualizar o processo de desenvolvimento pelo qual passou a cidade de Manaus durante a época</w:t>
      </w:r>
      <w:r w:rsidRPr="007E116E">
        <w:rPr>
          <w:sz w:val="24"/>
          <w:szCs w:val="24"/>
        </w:rPr>
        <w:t xml:space="preserve"> áurea </w:t>
      </w:r>
      <w:r w:rsidRPr="007E116E">
        <w:rPr>
          <w:sz w:val="24"/>
          <w:szCs w:val="24"/>
        </w:rPr>
        <w:t>da borracha, destacando suas implicações nas dinâmicas sociais, com ênfase na condição do “menor” no espaço urbano em transformação</w:t>
      </w:r>
      <w:r w:rsidRPr="007E116E">
        <w:rPr>
          <w:sz w:val="24"/>
          <w:szCs w:val="24"/>
        </w:rPr>
        <w:t>; no segundo momento</w:t>
      </w:r>
      <w:r w:rsidRPr="007E116E">
        <w:rPr>
          <w:sz w:val="24"/>
          <w:szCs w:val="24"/>
        </w:rPr>
        <w:t xml:space="preserve">, a discussão </w:t>
      </w:r>
      <w:r w:rsidRPr="007E116E">
        <w:rPr>
          <w:sz w:val="24"/>
          <w:szCs w:val="24"/>
        </w:rPr>
        <w:t>se volta</w:t>
      </w:r>
      <w:r>
        <w:rPr>
          <w:sz w:val="24"/>
          <w:szCs w:val="24"/>
        </w:rPr>
        <w:t xml:space="preserve"> para a figura do “menor delinquente” na cidade de Manaus, problematizando as formas de atendimento e controle instituídas pelas políticas públicas vigentes à época.</w:t>
      </w:r>
    </w:p>
    <w:p w14:paraId="413711E7" w14:textId="77777777" w:rsidR="004877A8" w:rsidRDefault="004877A8">
      <w:pPr>
        <w:spacing w:line="360" w:lineRule="auto"/>
        <w:jc w:val="both"/>
        <w:rPr>
          <w:sz w:val="24"/>
          <w:szCs w:val="24"/>
        </w:rPr>
      </w:pPr>
    </w:p>
    <w:p w14:paraId="78B6A115" w14:textId="77777777" w:rsidR="004877A8" w:rsidRDefault="00180194">
      <w:pPr>
        <w:shd w:val="clear" w:color="auto" w:fill="FFFFFF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 URBANIZAÇÃO E MODERNIZAÇÃO NA MANAUS DA BORRACHA</w:t>
      </w:r>
    </w:p>
    <w:p w14:paraId="114E9E7D" w14:textId="77777777" w:rsidR="004877A8" w:rsidRDefault="00180194">
      <w:pPr>
        <w:shd w:val="clear" w:color="auto" w:fill="FFFFFF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1022DEA1" w14:textId="31F95EBC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  <w:shd w:val="clear" w:color="auto" w:fill="B6D7A8"/>
        </w:rPr>
      </w:pPr>
      <w:r w:rsidRPr="007E116E">
        <w:rPr>
          <w:sz w:val="24"/>
          <w:szCs w:val="24"/>
        </w:rPr>
        <w:t xml:space="preserve">O primeiro grande processo de transformação da cidade de Manaus ocorreu durante o período conhecido como </w:t>
      </w:r>
      <w:r w:rsidRPr="007E116E">
        <w:rPr>
          <w:i/>
          <w:sz w:val="24"/>
          <w:szCs w:val="24"/>
        </w:rPr>
        <w:t>Belle Époque</w:t>
      </w:r>
      <w:r w:rsidRPr="007E116E">
        <w:rPr>
          <w:sz w:val="24"/>
          <w:szCs w:val="24"/>
        </w:rPr>
        <w:t xml:space="preserve">. Segundo Dias, Silveira e </w:t>
      </w:r>
      <w:r w:rsidRPr="007E116E">
        <w:rPr>
          <w:sz w:val="24"/>
          <w:szCs w:val="24"/>
        </w:rPr>
        <w:t xml:space="preserve">Silva Silveira (2022), a </w:t>
      </w:r>
      <w:r w:rsidRPr="007E116E">
        <w:rPr>
          <w:i/>
          <w:sz w:val="24"/>
          <w:szCs w:val="24"/>
        </w:rPr>
        <w:t>Belle Époque</w:t>
      </w:r>
      <w:r w:rsidRPr="007E116E">
        <w:rPr>
          <w:sz w:val="24"/>
          <w:szCs w:val="24"/>
        </w:rPr>
        <w:t>, traduzido no Brasil como "bela época" ou "era de</w:t>
      </w:r>
      <w:r>
        <w:rPr>
          <w:sz w:val="24"/>
          <w:szCs w:val="24"/>
          <w:shd w:val="clear" w:color="auto" w:fill="B6D7A8"/>
        </w:rPr>
        <w:t xml:space="preserve"> </w:t>
      </w:r>
      <w:r w:rsidRPr="007E116E">
        <w:rPr>
          <w:sz w:val="24"/>
          <w:szCs w:val="24"/>
        </w:rPr>
        <w:lastRenderedPageBreak/>
        <w:t>ouro", foi um período histórico de intensas transformações urbanas, econômicas, políticas e sociais no mundo e no Brasil. Conforme as autoras, esse período se localiza entre os anos de 1889 e 1922.</w:t>
      </w:r>
    </w:p>
    <w:p w14:paraId="24C38954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Esse momento histórico foi marcado por um intenso investimento em obras públicas que buscavam proporcionar à capital amazonense características de uma metrópole europeia. O objetivo era tornar a cidade mais atrativa aos olhos do capital estrangeiro, em um contexto em que o látex amazônico se consolidava como principal matéria-prima para a indústria internacional, especialmente nos setores de automóveis, calçados e bicicletas (Andes, 2015).</w:t>
      </w:r>
    </w:p>
    <w:p w14:paraId="7C780FE3" w14:textId="77777777" w:rsidR="004877A8" w:rsidRPr="007E116E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Freire (1993), o comércio internacional passou a demandar cada vez mais a borracha como matéria-prima e o Amazonas, principal produtor de látex, passou a orientar sua economia para suprir tal demanda. Essa inserção no cenário internacional do trabalho </w:t>
      </w:r>
      <w:r w:rsidRPr="007E116E">
        <w:rPr>
          <w:sz w:val="24"/>
          <w:szCs w:val="24"/>
        </w:rPr>
        <w:t xml:space="preserve">trouxe a necessidade de profundas transformações na cidade de Manaus, de modo que a cidade pudesse atender </w:t>
      </w:r>
      <w:r w:rsidRPr="007E116E">
        <w:rPr>
          <w:sz w:val="24"/>
          <w:szCs w:val="24"/>
        </w:rPr>
        <w:t>as demandas do capital estrangeiro</w:t>
      </w:r>
      <w:r w:rsidRPr="007E116E">
        <w:rPr>
          <w:sz w:val="24"/>
          <w:szCs w:val="24"/>
        </w:rPr>
        <w:t xml:space="preserve">. </w:t>
      </w:r>
    </w:p>
    <w:p w14:paraId="25067665" w14:textId="1E3E3D96" w:rsidR="004877A8" w:rsidRPr="007E116E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7E116E">
        <w:rPr>
          <w:sz w:val="24"/>
          <w:szCs w:val="24"/>
        </w:rPr>
        <w:t xml:space="preserve">Assim, essas mudanças foram promovidas </w:t>
      </w:r>
      <w:r w:rsidRPr="007E116E">
        <w:rPr>
          <w:sz w:val="24"/>
          <w:szCs w:val="24"/>
        </w:rPr>
        <w:t>por um seleto grupo que detinha</w:t>
      </w:r>
      <w:r w:rsidRPr="007E116E">
        <w:rPr>
          <w:sz w:val="24"/>
          <w:szCs w:val="24"/>
        </w:rPr>
        <w:t xml:space="preserve"> o poder político e financeiro </w:t>
      </w:r>
      <w:r w:rsidRPr="007E116E">
        <w:rPr>
          <w:sz w:val="24"/>
          <w:szCs w:val="24"/>
        </w:rPr>
        <w:t xml:space="preserve">na região, que controlavam a economia local com a finalidade da manutenção de poder. Dessa maneira, as prioridades dessa minoria dominante não correspondiam </w:t>
      </w:r>
      <w:r w:rsidRPr="007E116E">
        <w:rPr>
          <w:sz w:val="24"/>
          <w:szCs w:val="24"/>
        </w:rPr>
        <w:t xml:space="preserve">às necessidades e aos anseios de grande parte da população composta por famílias que viviam à margem da riqueza produzida pela economia </w:t>
      </w:r>
      <w:proofErr w:type="spellStart"/>
      <w:r w:rsidRPr="007E116E">
        <w:rPr>
          <w:sz w:val="24"/>
          <w:szCs w:val="24"/>
        </w:rPr>
        <w:t>gomífera</w:t>
      </w:r>
      <w:proofErr w:type="spellEnd"/>
      <w:r w:rsidRPr="007E116E">
        <w:rPr>
          <w:sz w:val="24"/>
          <w:szCs w:val="24"/>
        </w:rPr>
        <w:t>. Sendo assim, vale destacar que,</w:t>
      </w:r>
    </w:p>
    <w:p w14:paraId="03F8CF25" w14:textId="77777777" w:rsidR="004877A8" w:rsidRDefault="004877A8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</w:p>
    <w:p w14:paraId="7B2F78BB" w14:textId="77777777" w:rsidR="004877A8" w:rsidRDefault="00180194">
      <w:pPr>
        <w:shd w:val="clear" w:color="auto" w:fill="FFFFFF"/>
        <w:spacing w:line="240" w:lineRule="auto"/>
        <w:ind w:left="2267"/>
        <w:jc w:val="both"/>
        <w:rPr>
          <w:sz w:val="24"/>
          <w:szCs w:val="24"/>
        </w:rPr>
      </w:pPr>
      <w:r>
        <w:rPr>
          <w:sz w:val="20"/>
          <w:szCs w:val="20"/>
        </w:rPr>
        <w:t>Uma febre de construção toma conta da cidade, varrendo tudo aquilo que podia evocar os povos indígenas. Erguem-se prédios públicos monumentais como o Teatro Amazonas e o Palácio da Justiça — hoje marcos referenciais da cidade —, a Biblioteca Pública, a Alfândega, a Penitenciária, e as instalações do porto flutuante. Surgem estabelecimentos bancários e lojas com os nomes “exóticos” de “Louvre”, “</w:t>
      </w:r>
      <w:proofErr w:type="spellStart"/>
      <w:r>
        <w:rPr>
          <w:sz w:val="20"/>
          <w:szCs w:val="20"/>
        </w:rPr>
        <w:t>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bon</w:t>
      </w:r>
      <w:proofErr w:type="spellEnd"/>
      <w:r>
        <w:rPr>
          <w:sz w:val="20"/>
          <w:szCs w:val="20"/>
        </w:rPr>
        <w:t xml:space="preserve"> marche”, “A </w:t>
      </w:r>
      <w:proofErr w:type="spellStart"/>
      <w:r>
        <w:rPr>
          <w:sz w:val="20"/>
          <w:szCs w:val="20"/>
        </w:rPr>
        <w:t>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ville</w:t>
      </w:r>
      <w:proofErr w:type="spellEnd"/>
      <w:r>
        <w:rPr>
          <w:sz w:val="20"/>
          <w:szCs w:val="20"/>
        </w:rPr>
        <w:t xml:space="preserve"> de Paris”, além de algumas residências majestosas, vilas, palacetes, bares, restaurantes, hotéis e cabarés, contendo em seu interior móveis e tapetes europeus, pianos alemães, jarras de </w:t>
      </w:r>
      <w:proofErr w:type="spellStart"/>
      <w:r>
        <w:rPr>
          <w:sz w:val="20"/>
          <w:szCs w:val="20"/>
        </w:rPr>
        <w:t>Sèvres</w:t>
      </w:r>
      <w:proofErr w:type="spellEnd"/>
      <w:r>
        <w:rPr>
          <w:sz w:val="20"/>
          <w:szCs w:val="20"/>
        </w:rPr>
        <w:t xml:space="preserve"> e louça de Limoges (Freire, 1993, n.p.).</w:t>
      </w:r>
    </w:p>
    <w:p w14:paraId="6737AA46" w14:textId="77777777" w:rsidR="004877A8" w:rsidRDefault="004877A8">
      <w:pPr>
        <w:shd w:val="clear" w:color="auto" w:fill="FFFFFF"/>
        <w:spacing w:line="360" w:lineRule="auto"/>
        <w:jc w:val="both"/>
        <w:rPr>
          <w:sz w:val="24"/>
          <w:szCs w:val="24"/>
          <w:highlight w:val="green"/>
        </w:rPr>
      </w:pPr>
    </w:p>
    <w:p w14:paraId="5D8C2182" w14:textId="2231BF5B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  <w:shd w:val="clear" w:color="auto" w:fill="B6D7A8"/>
        </w:rPr>
      </w:pPr>
      <w:r w:rsidRPr="007E116E">
        <w:rPr>
          <w:sz w:val="24"/>
          <w:szCs w:val="24"/>
        </w:rPr>
        <w:t>Nesse período, ocorreu um intenso fluxo migratório para a Amazônia, advindo durante o ciclo da borracha</w:t>
      </w:r>
      <w:r w:rsidR="00ED69B1">
        <w:rPr>
          <w:sz w:val="24"/>
          <w:szCs w:val="24"/>
        </w:rPr>
        <w:t>, de</w:t>
      </w:r>
      <w:r w:rsidRPr="007E116E">
        <w:rPr>
          <w:sz w:val="24"/>
          <w:szCs w:val="24"/>
        </w:rPr>
        <w:t xml:space="preserve"> nordestinos e cearenses que compuseram a grande massa migratória nessa época (Benchimol, 2011), impulsionado pela crescente demanda por mão de obra nos seringais (Freire, 1993). Soma-se a esse contingente grupos </w:t>
      </w:r>
      <w:proofErr w:type="spellStart"/>
      <w:r w:rsidR="00ED69B1" w:rsidRPr="007E116E">
        <w:rPr>
          <w:sz w:val="24"/>
          <w:szCs w:val="24"/>
        </w:rPr>
        <w:t>afronegros</w:t>
      </w:r>
      <w:proofErr w:type="spellEnd"/>
      <w:r w:rsidRPr="007E116E">
        <w:rPr>
          <w:sz w:val="24"/>
          <w:szCs w:val="24"/>
        </w:rPr>
        <w:t xml:space="preserve">, compostos por mulatas e seus descendentes, e outros como europeus (ingleses, </w:t>
      </w:r>
      <w:proofErr w:type="spellStart"/>
      <w:r w:rsidRPr="007E116E">
        <w:rPr>
          <w:sz w:val="24"/>
          <w:szCs w:val="24"/>
        </w:rPr>
        <w:t>extraibéricos</w:t>
      </w:r>
      <w:proofErr w:type="spellEnd"/>
      <w:r w:rsidRPr="007E116E">
        <w:rPr>
          <w:sz w:val="24"/>
          <w:szCs w:val="24"/>
        </w:rPr>
        <w:t>), que viram a Amazônia como uma terra de riquezas (Benchimol, 2011).</w:t>
      </w:r>
      <w:r>
        <w:rPr>
          <w:sz w:val="24"/>
          <w:szCs w:val="24"/>
          <w:shd w:val="clear" w:color="auto" w:fill="B6D7A8"/>
        </w:rPr>
        <w:t xml:space="preserve"> </w:t>
      </w:r>
    </w:p>
    <w:p w14:paraId="63EE6F83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Esse </w:t>
      </w:r>
      <w:r>
        <w:rPr>
          <w:i/>
          <w:sz w:val="24"/>
          <w:szCs w:val="24"/>
        </w:rPr>
        <w:t xml:space="preserve">boom </w:t>
      </w:r>
      <w:r>
        <w:rPr>
          <w:sz w:val="24"/>
          <w:szCs w:val="24"/>
        </w:rPr>
        <w:t>migratório provocou um crescimento demográfico expressivo na cidade. A</w:t>
      </w:r>
      <w:r>
        <w:rPr>
          <w:sz w:val="24"/>
          <w:szCs w:val="24"/>
        </w:rPr>
        <w:t xml:space="preserve"> população, que era de aproximadamente 5 mil habitantes em 1870, saltou para 20.568 em 1890, chegando a 30.757 em 1900 e ultrapassando a marca de 60 mil habitantes em 1907 (Freire, 1993).</w:t>
      </w:r>
    </w:p>
    <w:p w14:paraId="4D38D506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  <w:highlight w:val="green"/>
        </w:rPr>
      </w:pPr>
      <w:r>
        <w:rPr>
          <w:sz w:val="24"/>
          <w:szCs w:val="24"/>
        </w:rPr>
        <w:t xml:space="preserve">Apesar de </w:t>
      </w:r>
      <w:r w:rsidRPr="00ED69B1">
        <w:rPr>
          <w:sz w:val="24"/>
          <w:szCs w:val="24"/>
        </w:rPr>
        <w:t xml:space="preserve">todo esse processo de transformação, o progresso alcançado por Manaus durante o ciclo da borracha beneficiou apenas uma </w:t>
      </w:r>
      <w:r w:rsidRPr="00ED69B1">
        <w:rPr>
          <w:sz w:val="24"/>
          <w:szCs w:val="24"/>
        </w:rPr>
        <w:t>parcela privilegiada da população</w:t>
      </w:r>
      <w:r w:rsidRPr="00ED69B1">
        <w:rPr>
          <w:sz w:val="24"/>
          <w:szCs w:val="24"/>
        </w:rPr>
        <w:t>. Para a maioria da população, aquela que forneceu mão de obra para a construção da cidade</w:t>
      </w:r>
      <w:r>
        <w:rPr>
          <w:sz w:val="24"/>
          <w:szCs w:val="24"/>
        </w:rPr>
        <w:t xml:space="preserve">, esse processo representou </w:t>
      </w:r>
      <w:r w:rsidRPr="00ED69B1">
        <w:rPr>
          <w:sz w:val="24"/>
          <w:szCs w:val="24"/>
        </w:rPr>
        <w:t xml:space="preserve">o agravamento das </w:t>
      </w:r>
      <w:r w:rsidRPr="00ED69B1">
        <w:rPr>
          <w:sz w:val="24"/>
          <w:szCs w:val="24"/>
        </w:rPr>
        <w:t>condições de pobreza e de exploração</w:t>
      </w:r>
      <w:r w:rsidRPr="00ED69B1">
        <w:rPr>
          <w:sz w:val="24"/>
          <w:szCs w:val="24"/>
        </w:rPr>
        <w:t>.</w:t>
      </w:r>
      <w:r w:rsidRPr="00ED69B1">
        <w:rPr>
          <w:sz w:val="24"/>
          <w:szCs w:val="24"/>
        </w:rPr>
        <w:t xml:space="preserve"> A </w:t>
      </w:r>
      <w:r w:rsidRPr="00ED69B1">
        <w:rPr>
          <w:sz w:val="24"/>
          <w:szCs w:val="24"/>
        </w:rPr>
        <w:t>Paris dos Trópicos</w:t>
      </w:r>
      <w:r w:rsidRPr="00ED69B1">
        <w:rPr>
          <w:sz w:val="24"/>
          <w:szCs w:val="24"/>
        </w:rPr>
        <w:t xml:space="preserve">, “ao procurar negar a sua identidade para buscá-la ‘no outro’, não percebeu que estava cercada por uma </w:t>
      </w:r>
      <w:proofErr w:type="spellStart"/>
      <w:r w:rsidRPr="00ED69B1">
        <w:rPr>
          <w:i/>
          <w:sz w:val="24"/>
          <w:szCs w:val="24"/>
        </w:rPr>
        <w:t>banlieue</w:t>
      </w:r>
      <w:proofErr w:type="spellEnd"/>
      <w:r w:rsidRPr="00ED69B1">
        <w:rPr>
          <w:sz w:val="24"/>
          <w:szCs w:val="24"/>
        </w:rPr>
        <w:t xml:space="preserve"> </w:t>
      </w:r>
      <w:r>
        <w:rPr>
          <w:sz w:val="24"/>
          <w:szCs w:val="24"/>
        </w:rPr>
        <w:t>de nordestinos famélicos e índios destribalizados e tristes, morando em infectos mocambos (Freire, 1993, n.p.).</w:t>
      </w:r>
    </w:p>
    <w:p w14:paraId="18511841" w14:textId="77777777" w:rsidR="004877A8" w:rsidRDefault="004877A8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</w:p>
    <w:p w14:paraId="7A1C3D9E" w14:textId="77777777" w:rsidR="004877A8" w:rsidRDefault="00180194">
      <w:pPr>
        <w:shd w:val="clear" w:color="auto" w:fill="FFFFFF"/>
        <w:spacing w:line="240" w:lineRule="auto"/>
        <w:ind w:left="2268"/>
        <w:jc w:val="both"/>
        <w:rPr>
          <w:sz w:val="24"/>
          <w:szCs w:val="24"/>
          <w:highlight w:val="yellow"/>
        </w:rPr>
      </w:pPr>
      <w:r>
        <w:rPr>
          <w:sz w:val="20"/>
          <w:szCs w:val="20"/>
        </w:rPr>
        <w:t xml:space="preserve">[...] o projeto de construção de uma nova cidade implicava em um projeto de uma nova sociedade. Para tanto, novas posturas e novos costumes foram sendo impostos, ocasionando um longo processo de exclusão da grande maioria da população, principalmente para as populações que ficaram à margem desse “período </w:t>
      </w:r>
      <w:proofErr w:type="spellStart"/>
      <w:r>
        <w:rPr>
          <w:sz w:val="20"/>
          <w:szCs w:val="20"/>
        </w:rPr>
        <w:t>faustístico</w:t>
      </w:r>
      <w:proofErr w:type="spellEnd"/>
      <w:r>
        <w:rPr>
          <w:sz w:val="20"/>
          <w:szCs w:val="20"/>
        </w:rPr>
        <w:t>” (Pessoa, 2010, p. 117-118).</w:t>
      </w:r>
    </w:p>
    <w:p w14:paraId="2874C598" w14:textId="77777777" w:rsidR="004877A8" w:rsidRDefault="004877A8">
      <w:pPr>
        <w:shd w:val="clear" w:color="auto" w:fill="FFFFFF"/>
        <w:spacing w:line="360" w:lineRule="auto"/>
        <w:jc w:val="both"/>
        <w:rPr>
          <w:sz w:val="24"/>
          <w:szCs w:val="24"/>
          <w:highlight w:val="yellow"/>
        </w:rPr>
      </w:pPr>
    </w:p>
    <w:p w14:paraId="22CD20FA" w14:textId="77777777" w:rsidR="004877A8" w:rsidRPr="00ED69B1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Santos Júnior (2021) e Pessoa (2010), ao analisarem fontes como jornais, códigos de posturas, ocorrências policiais, processos judiciais e registros fotográficos, evidenciam que a “Paris dos Trópicos” foi remodelada para atender aos interesses da </w:t>
      </w:r>
      <w:r>
        <w:rPr>
          <w:sz w:val="24"/>
          <w:szCs w:val="24"/>
        </w:rPr>
        <w:lastRenderedPageBreak/>
        <w:t xml:space="preserve">elite, enquanto as camadas mais empobrecidas da população deveriam ser reajustadas </w:t>
      </w:r>
      <w:r w:rsidRPr="00ED69B1">
        <w:rPr>
          <w:sz w:val="24"/>
          <w:szCs w:val="24"/>
        </w:rPr>
        <w:t>aos moldes de uma europeização imposta pelas autoridades, especialmente por meio da atuação/repressão policial.</w:t>
      </w:r>
    </w:p>
    <w:p w14:paraId="3276D89C" w14:textId="77777777" w:rsidR="004877A8" w:rsidRDefault="00180194">
      <w:pPr>
        <w:spacing w:line="360" w:lineRule="auto"/>
        <w:ind w:firstLine="720"/>
        <w:jc w:val="both"/>
        <w:rPr>
          <w:sz w:val="24"/>
          <w:szCs w:val="24"/>
        </w:rPr>
      </w:pPr>
      <w:r w:rsidRPr="00ED69B1">
        <w:rPr>
          <w:sz w:val="24"/>
          <w:szCs w:val="24"/>
        </w:rPr>
        <w:t>O</w:t>
      </w:r>
      <w:r w:rsidRPr="00ED69B1">
        <w:rPr>
          <w:sz w:val="24"/>
          <w:szCs w:val="24"/>
        </w:rPr>
        <w:t xml:space="preserve"> ciclo da borracha promoveu intensas transformações urbanas e sociais em Manaus, </w:t>
      </w:r>
      <w:r w:rsidRPr="00ED69B1">
        <w:rPr>
          <w:sz w:val="24"/>
          <w:szCs w:val="24"/>
        </w:rPr>
        <w:t xml:space="preserve">o que implicou no aumento </w:t>
      </w:r>
      <w:r w:rsidRPr="00ED69B1">
        <w:rPr>
          <w:sz w:val="24"/>
          <w:szCs w:val="24"/>
        </w:rPr>
        <w:t>das desigualdades e</w:t>
      </w:r>
      <w:r w:rsidRPr="00ED69B1">
        <w:rPr>
          <w:sz w:val="24"/>
          <w:szCs w:val="24"/>
        </w:rPr>
        <w:t xml:space="preserve"> marginalização</w:t>
      </w:r>
      <w:r w:rsidRPr="00ED69B1">
        <w:rPr>
          <w:sz w:val="24"/>
          <w:szCs w:val="24"/>
        </w:rPr>
        <w:t xml:space="preserve"> de grande parte da população.</w:t>
      </w:r>
      <w:r w:rsidRPr="00ED69B1">
        <w:rPr>
          <w:sz w:val="24"/>
          <w:szCs w:val="24"/>
        </w:rPr>
        <w:t xml:space="preserve"> E</w:t>
      </w:r>
      <w:r w:rsidRPr="00ED69B1">
        <w:rPr>
          <w:sz w:val="24"/>
          <w:szCs w:val="24"/>
        </w:rPr>
        <w:t xml:space="preserve">nquanto a cidade buscava sua modernização, </w:t>
      </w:r>
      <w:r w:rsidRPr="00ED69B1">
        <w:rPr>
          <w:sz w:val="24"/>
          <w:szCs w:val="24"/>
        </w:rPr>
        <w:t>a elite</w:t>
      </w:r>
      <w:r w:rsidRPr="00ED69B1">
        <w:rPr>
          <w:sz w:val="24"/>
          <w:szCs w:val="24"/>
        </w:rPr>
        <w:t xml:space="preserve"> ignorava a realidade empobrecida. É nesse cenário que a presença de crianças</w:t>
      </w:r>
      <w:r>
        <w:rPr>
          <w:sz w:val="24"/>
          <w:szCs w:val="24"/>
        </w:rPr>
        <w:t xml:space="preserve"> e adolescentes pobres nas ruas passou a ser vista como questão de segurança, surgindo a figura do “menor delinquente” e das políticas de controle, tema que será aprofundado na próxima seção.</w:t>
      </w:r>
    </w:p>
    <w:p w14:paraId="14609E95" w14:textId="77777777" w:rsidR="004877A8" w:rsidRDefault="004877A8">
      <w:pPr>
        <w:spacing w:line="360" w:lineRule="auto"/>
        <w:jc w:val="both"/>
        <w:rPr>
          <w:sz w:val="24"/>
          <w:szCs w:val="24"/>
        </w:rPr>
      </w:pPr>
    </w:p>
    <w:p w14:paraId="59B07FA9" w14:textId="77777777" w:rsidR="004877A8" w:rsidRPr="00ED69B1" w:rsidRDefault="00180194">
      <w:pPr>
        <w:shd w:val="clear" w:color="auto" w:fill="FFFFFF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 ESTRATÉGIAS DE </w:t>
      </w:r>
      <w:r w:rsidRPr="00ED69B1">
        <w:rPr>
          <w:b/>
          <w:sz w:val="24"/>
          <w:szCs w:val="24"/>
        </w:rPr>
        <w:t>ATENDIMENTO AO MENOR NA MANAUS DA BORRACHA</w:t>
      </w:r>
    </w:p>
    <w:p w14:paraId="631E65D0" w14:textId="77777777" w:rsidR="004877A8" w:rsidRPr="00ED69B1" w:rsidRDefault="004877A8">
      <w:pPr>
        <w:spacing w:line="360" w:lineRule="auto"/>
        <w:jc w:val="both"/>
        <w:rPr>
          <w:sz w:val="24"/>
          <w:szCs w:val="24"/>
        </w:rPr>
      </w:pPr>
    </w:p>
    <w:p w14:paraId="2034BA3A" w14:textId="224F1CC5" w:rsidR="004877A8" w:rsidRDefault="00180194">
      <w:pPr>
        <w:spacing w:line="360" w:lineRule="auto"/>
        <w:ind w:firstLine="720"/>
        <w:jc w:val="both"/>
        <w:rPr>
          <w:sz w:val="24"/>
          <w:szCs w:val="24"/>
        </w:rPr>
      </w:pPr>
      <w:r w:rsidRPr="00ED69B1">
        <w:rPr>
          <w:sz w:val="24"/>
          <w:szCs w:val="24"/>
        </w:rPr>
        <w:t xml:space="preserve">A figura do “menor” na cidade de Manaus passou a integrar significativamente o cotidiano urbano. Assim, relegados às injustiças sociais, esta parte da população não reconhecida como pessoas que possuíam direitos, padeceu à miséria e </w:t>
      </w:r>
      <w:r w:rsidR="00ED69B1">
        <w:rPr>
          <w:sz w:val="24"/>
          <w:szCs w:val="24"/>
        </w:rPr>
        <w:t>à</w:t>
      </w:r>
      <w:r w:rsidRPr="00ED69B1">
        <w:rPr>
          <w:sz w:val="24"/>
          <w:szCs w:val="24"/>
        </w:rPr>
        <w:t xml:space="preserve"> exploração em contraste com os grandes avanços frutos da exploração do látex</w:t>
      </w:r>
      <w:r w:rsidR="00ED69B1">
        <w:rPr>
          <w:sz w:val="24"/>
          <w:szCs w:val="24"/>
        </w:rPr>
        <w:t>, pois:</w:t>
      </w:r>
    </w:p>
    <w:p w14:paraId="21D8F87F" w14:textId="77777777" w:rsidR="004877A8" w:rsidRDefault="004877A8">
      <w:pPr>
        <w:spacing w:line="360" w:lineRule="auto"/>
        <w:ind w:firstLine="720"/>
        <w:jc w:val="both"/>
        <w:rPr>
          <w:sz w:val="24"/>
          <w:szCs w:val="24"/>
        </w:rPr>
      </w:pPr>
    </w:p>
    <w:p w14:paraId="1BC1E72C" w14:textId="77777777" w:rsidR="004877A8" w:rsidRDefault="00180194">
      <w:pPr>
        <w:spacing w:line="240" w:lineRule="auto"/>
        <w:ind w:left="2267"/>
        <w:jc w:val="both"/>
        <w:rPr>
          <w:sz w:val="20"/>
          <w:szCs w:val="20"/>
          <w:shd w:val="clear" w:color="auto" w:fill="93C47D"/>
        </w:rPr>
      </w:pPr>
      <w:r>
        <w:rPr>
          <w:sz w:val="20"/>
          <w:szCs w:val="20"/>
        </w:rPr>
        <w:t xml:space="preserve">as mudanças pelas quais passa o mundo real fazem delas (crianças) também suas tenras vítimas: a crescente fragilização dos laços conjugais, </w:t>
      </w:r>
      <w:r>
        <w:rPr>
          <w:b/>
          <w:sz w:val="20"/>
          <w:szCs w:val="20"/>
        </w:rPr>
        <w:t>a explosão urbana com todos os problemas decorrentes de viver em grandes cidades</w:t>
      </w:r>
      <w:r>
        <w:rPr>
          <w:sz w:val="20"/>
          <w:szCs w:val="20"/>
        </w:rPr>
        <w:t xml:space="preserve">, a globalização cultural, a crise do ensino ante os avanços cibernéticos, tudo isso tem </w:t>
      </w:r>
      <w:r w:rsidRPr="00ED69B1">
        <w:rPr>
          <w:sz w:val="20"/>
          <w:szCs w:val="20"/>
        </w:rPr>
        <w:t>modificado, de forma radical, as relações (...) entre crianças e adultos [grifo nosso]</w:t>
      </w:r>
      <w:r w:rsidRPr="00ED69B1">
        <w:rPr>
          <w:sz w:val="20"/>
          <w:szCs w:val="20"/>
        </w:rPr>
        <w:t xml:space="preserve"> (Del Priore, 2013, p. 09).</w:t>
      </w:r>
    </w:p>
    <w:p w14:paraId="78CE3DF3" w14:textId="77777777" w:rsidR="004877A8" w:rsidRDefault="004877A8">
      <w:pPr>
        <w:spacing w:line="360" w:lineRule="auto"/>
        <w:jc w:val="both"/>
        <w:rPr>
          <w:sz w:val="24"/>
          <w:szCs w:val="24"/>
          <w:highlight w:val="yellow"/>
        </w:rPr>
      </w:pPr>
    </w:p>
    <w:p w14:paraId="1B2B919C" w14:textId="77777777" w:rsidR="004877A8" w:rsidRDefault="00180194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autora chama atenção para o fato de que as concepções sobre a infância ao longo do tempo foram construídas socialmente a partir de interesses e valores adultos, moldando, inclusive, as formas de controle e intervenção sobre as crianças, especialmente aquelas de classes mais pobres. Essa perspectiva é fundamental para compreender as políticas voltadas aos “menores” no contexto da Manaus da </w:t>
      </w:r>
      <w:r>
        <w:rPr>
          <w:sz w:val="24"/>
          <w:szCs w:val="24"/>
        </w:rPr>
        <w:lastRenderedPageBreak/>
        <w:t>Borracha, em que a infância pobre passou a ser enquadrada a partir de critérios morais, jurídicos e disciplinares definidos pelos adultos e instituições do poder.</w:t>
      </w:r>
    </w:p>
    <w:p w14:paraId="717DCABC" w14:textId="77777777" w:rsidR="004877A8" w:rsidRDefault="00180194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Santos Júnior (2021) observa que, entre os séculos XIX e XX, diversas instituições passaram a demonstrar interesse em compreender (e, sobretudo, controlar) o crescente número de crianças pobres nos centros urbanos. Esses menores tinham suas condutas e comportamentos classificados como desviantes, tornando-se alvos de enquadramento pelas autoridades.</w:t>
      </w:r>
    </w:p>
    <w:p w14:paraId="01D78FED" w14:textId="77777777" w:rsidR="004877A8" w:rsidRDefault="004877A8">
      <w:pPr>
        <w:spacing w:line="360" w:lineRule="auto"/>
        <w:ind w:firstLine="720"/>
        <w:jc w:val="both"/>
        <w:rPr>
          <w:sz w:val="24"/>
          <w:szCs w:val="24"/>
        </w:rPr>
      </w:pPr>
    </w:p>
    <w:p w14:paraId="45B933DD" w14:textId="77777777" w:rsidR="004877A8" w:rsidRDefault="00180194">
      <w:pPr>
        <w:spacing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Nas ruas de Manaus, a ociosidade era inadmissível. Menores brincando, descansando, conversando ou divertindo-se representava a preguiça e incivilidade, entendidas como inerentes aos populares, ao homem da terra e aos desqualificados. Sendo assim, os administradores públicos impunham normas sociais impeditivas do ócio individual e principalmente do coletivo (Santos Junior, 2021, p. 143).</w:t>
      </w:r>
    </w:p>
    <w:p w14:paraId="6D078B0A" w14:textId="77777777" w:rsidR="004877A8" w:rsidRDefault="004877A8">
      <w:pPr>
        <w:spacing w:line="360" w:lineRule="auto"/>
        <w:ind w:firstLine="720"/>
        <w:jc w:val="both"/>
        <w:rPr>
          <w:sz w:val="24"/>
          <w:szCs w:val="24"/>
          <w:highlight w:val="yellow"/>
        </w:rPr>
      </w:pPr>
    </w:p>
    <w:p w14:paraId="556DE2BC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Até a década de 30 no Brasil os problemas sociais na região amazônica eram tidos como “caso de polícia” ou enfrentados de forma pontual e residual. Em Belém e Manaus, por exemplo, eram enfrentados com prisões, polícia, espancamentos e violência. Além disso, até 1932, a assistência pública era vinculada ao Gabinete Médico Legal e este à Polícia Civil (Teixeira, 2018).</w:t>
      </w:r>
    </w:p>
    <w:p w14:paraId="73A039E9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estudo realizado por Santos Júnior (2021), fundamentado na análise de ocorrências policiais registradas entre os anos de 1906 e 1917 na Manaus da Borracha, 6,32% </w:t>
      </w:r>
      <w:r w:rsidRPr="00ED69B1">
        <w:rPr>
          <w:sz w:val="24"/>
          <w:szCs w:val="24"/>
        </w:rPr>
        <w:t>das</w:t>
      </w:r>
      <w:r w:rsidRPr="00ED69B1">
        <w:rPr>
          <w:sz w:val="24"/>
          <w:szCs w:val="24"/>
        </w:rPr>
        <w:t xml:space="preserve"> </w:t>
      </w:r>
      <w:r>
        <w:rPr>
          <w:sz w:val="24"/>
          <w:szCs w:val="24"/>
        </w:rPr>
        <w:t>ocorrências envolvendo menores</w:t>
      </w:r>
      <w:r w:rsidRPr="00ED69B1">
        <w:rPr>
          <w:sz w:val="24"/>
          <w:szCs w:val="24"/>
        </w:rPr>
        <w:t>,</w:t>
      </w:r>
      <w:r>
        <w:rPr>
          <w:sz w:val="24"/>
          <w:szCs w:val="24"/>
        </w:rPr>
        <w:t xml:space="preserve"> classificados como criminosos</w:t>
      </w:r>
      <w:r w:rsidRPr="00ED69B1">
        <w:rPr>
          <w:sz w:val="24"/>
          <w:szCs w:val="24"/>
        </w:rPr>
        <w:t>,</w:t>
      </w:r>
      <w:r>
        <w:rPr>
          <w:sz w:val="24"/>
          <w:szCs w:val="24"/>
        </w:rPr>
        <w:t xml:space="preserve"> revela como determinadas práticas infantis passaram a ser interpretadas como comportamentos desviantes. Brincadeiras comuns de crianças foram tidas como atos de desordem atribuídos, o que justificava a intervenção das autoridades policiais. Essas ações eram submetidas ao controle direto da polícia, em conformidade com orientações do Chefe de Segurança Pública da época.</w:t>
      </w:r>
    </w:p>
    <w:p w14:paraId="64DA83E6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Uma das estratégias de controle dos menores “vadios/delinquentes” se dava por meio da </w:t>
      </w:r>
      <w:r w:rsidRPr="00ED69B1">
        <w:rPr>
          <w:sz w:val="24"/>
          <w:szCs w:val="24"/>
        </w:rPr>
        <w:t>tutoria</w:t>
      </w:r>
      <w:r>
        <w:rPr>
          <w:sz w:val="24"/>
          <w:szCs w:val="24"/>
        </w:rPr>
        <w:t>, que consistia em uma prática onde o Estado atribuía a um terceiro a guarda de um menor.</w:t>
      </w:r>
    </w:p>
    <w:p w14:paraId="2E02E9E5" w14:textId="77777777" w:rsidR="004877A8" w:rsidRDefault="004877A8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14:paraId="40D3B9C7" w14:textId="77777777" w:rsidR="004877A8" w:rsidRDefault="00180194">
      <w:pPr>
        <w:shd w:val="clear" w:color="auto" w:fill="FFFFFF"/>
        <w:spacing w:line="240" w:lineRule="auto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Inicialmente a finalidade da Tutela era garantir que os órfãos filhos de pessoas de posses, tivessem quem zelasse pela sua educação e seus bens. Com o passar do tempo ela passa a atender aos filhos das famílias pobres. Dessa forma, poderiam ser tuteladas as crianças órfãs de pai e mãe, as desamparadas e as que os pais que, por não terem recursos para criá-las, assim solicitassem. Ao juizado dos Órfãos caberia intermediar essa relação. Ao assinar o termo de Tutela, o tutor se comprometia em alimentar, vestir</w:t>
      </w:r>
      <w:r>
        <w:rPr>
          <w:sz w:val="20"/>
          <w:szCs w:val="20"/>
        </w:rPr>
        <w:t>, educar e ensinar um ofício à criança tutelada (Pessoa, 2010, p. 66).</w:t>
      </w:r>
    </w:p>
    <w:p w14:paraId="158ADAFE" w14:textId="77777777" w:rsidR="004877A8" w:rsidRDefault="004877A8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14:paraId="0AFFF1A2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Pessoa (2010), ao analisar registros históricos do Juízo dos Órfãos</w:t>
      </w:r>
      <w:r>
        <w:rPr>
          <w:sz w:val="24"/>
          <w:szCs w:val="24"/>
          <w:vertAlign w:val="superscript"/>
        </w:rPr>
        <w:footnoteReference w:id="4"/>
      </w:r>
      <w:r>
        <w:rPr>
          <w:sz w:val="24"/>
          <w:szCs w:val="24"/>
        </w:rPr>
        <w:t>, destaca que essa instituição desempenhava múltiplas funções de mediação entre família, infância e trabalho, sendo responsável pelo trâmite de processos diversos, como guarda, pedidos de emancipação, partilhas de herança e concessões de tutela, entre outros. No entanto, a autora chama atenção para o número expressivo de processos relacionados à concessão de tutelas, o que evidencia a centralidade da atuação do Juízo dos Órfãos em relação às infâncias pobres e desamparadas naquele período.</w:t>
      </w:r>
    </w:p>
    <w:p w14:paraId="17E57F8A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tutoria logo revelou-se ineficaz para lidar com a questão do menor. Fato este que pôde ser evidenciado pelo elevado número de registros e denúncias relatando a fuga recorrente de menores de seus tutores, o que resultava comumente em perseguições policiais aos menores fugitivos (Santos Junior, 2021).</w:t>
      </w:r>
    </w:p>
    <w:p w14:paraId="5A5A80A3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Até então, não havia nenhuma instituição específica destinada a acolher menores em situação de delinquência. É nesse contexto que, em 1917, surgiu a proposta de criação de uma seção especial voltada ao recolhimento de menores delinquentes e abandonados, o </w:t>
      </w:r>
      <w:r w:rsidRPr="00ED69B1">
        <w:rPr>
          <w:sz w:val="24"/>
          <w:szCs w:val="24"/>
        </w:rPr>
        <w:t>Projeto da Colônia Correcional.</w:t>
      </w:r>
      <w:r>
        <w:rPr>
          <w:sz w:val="24"/>
          <w:szCs w:val="24"/>
        </w:rPr>
        <w:t xml:space="preserve"> Tal projeto </w:t>
      </w:r>
      <w:r>
        <w:rPr>
          <w:sz w:val="24"/>
          <w:szCs w:val="24"/>
        </w:rPr>
        <w:lastRenderedPageBreak/>
        <w:t>representava a materialização de um espaço com finalidades concretas: submeter esses menores a um regime de internamento, com o argumento de afastá-los da ociosidade e discipliná-los conforme os ideais morais e produtivos das elites e das autoridades da época (Santos Junior, 2021).</w:t>
      </w:r>
    </w:p>
    <w:p w14:paraId="5D05CD32" w14:textId="77777777" w:rsidR="004877A8" w:rsidRDefault="004877A8">
      <w:pPr>
        <w:shd w:val="clear" w:color="auto" w:fill="FFFFFF"/>
        <w:spacing w:line="360" w:lineRule="auto"/>
        <w:jc w:val="both"/>
        <w:rPr>
          <w:sz w:val="24"/>
          <w:szCs w:val="24"/>
          <w:highlight w:val="yellow"/>
        </w:rPr>
      </w:pPr>
    </w:p>
    <w:p w14:paraId="429DEB27" w14:textId="77777777" w:rsidR="004877A8" w:rsidRDefault="00180194">
      <w:pPr>
        <w:spacing w:line="240" w:lineRule="auto"/>
        <w:ind w:left="2267"/>
        <w:jc w:val="both"/>
        <w:rPr>
          <w:sz w:val="24"/>
          <w:szCs w:val="24"/>
        </w:rPr>
      </w:pPr>
      <w:r>
        <w:rPr>
          <w:sz w:val="20"/>
          <w:szCs w:val="20"/>
        </w:rPr>
        <w:t>Para as autoridades públicas, os menores seriam educados em favor da obediência, instruídos para a docilidade e passividade no comportamento. O objetivo estava assentado na acolhida de decisões, orientações morais e opiniões sem criticá-las. O intercâmbio de ideias seria feito em uma só direção: dos adultos para os menores, do meio para o sujeito objeto (idem, p. 142).</w:t>
      </w:r>
    </w:p>
    <w:p w14:paraId="3F5317E7" w14:textId="77777777" w:rsidR="004877A8" w:rsidRDefault="004877A8">
      <w:pPr>
        <w:shd w:val="clear" w:color="auto" w:fill="FFFFFF"/>
        <w:spacing w:line="360" w:lineRule="auto"/>
        <w:jc w:val="both"/>
        <w:rPr>
          <w:b/>
          <w:sz w:val="24"/>
          <w:szCs w:val="24"/>
        </w:rPr>
      </w:pPr>
    </w:p>
    <w:p w14:paraId="71C8BF7F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aponta Teixeira (2018), a década de 1930 foi um marco na história brasileira, período em que ganhou força o movimento operário e emergiram novas demandas por proteção social ao trabalho, tornando-se imperativa a atuação direta do Estado. Foi o momento em que a filantropia e a repressão já não davam conta da </w:t>
      </w:r>
      <w:r w:rsidRPr="00ED69B1">
        <w:rPr>
          <w:sz w:val="24"/>
          <w:szCs w:val="24"/>
        </w:rPr>
        <w:t>questão social</w:t>
      </w:r>
      <w:r w:rsidRPr="00ED69B1">
        <w:rPr>
          <w:sz w:val="24"/>
          <w:szCs w:val="24"/>
          <w:vertAlign w:val="superscript"/>
        </w:rPr>
        <w:footnoteReference w:id="5"/>
      </w:r>
      <w:r w:rsidRPr="00ED69B1">
        <w:rPr>
          <w:sz w:val="24"/>
          <w:szCs w:val="24"/>
        </w:rPr>
        <w:t>,</w:t>
      </w:r>
      <w:r>
        <w:rPr>
          <w:sz w:val="24"/>
          <w:szCs w:val="24"/>
        </w:rPr>
        <w:t xml:space="preserve"> fazendo-se necessária a própria intervenção do Estado com políticas sociais, na gerência da luta de classes (idem, p. 148-149). </w:t>
      </w:r>
    </w:p>
    <w:p w14:paraId="3D676F63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desse cenário, a integração dos indivíduos à ordem social passou a ser responsabilidade do Estado desde a infância, por meio da implementação de políticas sociais específicas </w:t>
      </w:r>
      <w:r w:rsidRPr="00ED69B1">
        <w:rPr>
          <w:sz w:val="24"/>
          <w:szCs w:val="24"/>
        </w:rPr>
        <w:t>destinadas a</w:t>
      </w:r>
      <w:r>
        <w:rPr>
          <w:sz w:val="24"/>
          <w:szCs w:val="24"/>
        </w:rPr>
        <w:t xml:space="preserve"> crianças e adolescentes oriundos de famílias “desestruturadas”, com o objetivo de evitar a delinquência e conter a criminalidade (</w:t>
      </w:r>
      <w:proofErr w:type="spellStart"/>
      <w:r>
        <w:rPr>
          <w:sz w:val="24"/>
          <w:szCs w:val="24"/>
        </w:rPr>
        <w:t>Passetti</w:t>
      </w:r>
      <w:proofErr w:type="spellEnd"/>
      <w:r>
        <w:rPr>
          <w:sz w:val="24"/>
          <w:szCs w:val="24"/>
        </w:rPr>
        <w:t>, 2013).</w:t>
      </w:r>
    </w:p>
    <w:p w14:paraId="4428F35E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  <w:shd w:val="clear" w:color="auto" w:fill="B6D7A8"/>
        </w:rPr>
      </w:pPr>
      <w:r>
        <w:rPr>
          <w:sz w:val="24"/>
          <w:szCs w:val="24"/>
        </w:rPr>
        <w:t>Na capital amazonense, o cenário não foi diferente. A década de 30 trouxe consigo uma atuação mais repressiva do poder público em relação ao menor. Exemplo disso é a transição do Juízo dos Órfãos pelo Juízo de Menores</w:t>
      </w:r>
      <w:r w:rsidRPr="00ED69B1">
        <w:rPr>
          <w:sz w:val="24"/>
          <w:szCs w:val="24"/>
          <w:vertAlign w:val="superscript"/>
        </w:rPr>
        <w:footnoteReference w:id="6"/>
      </w:r>
      <w:r>
        <w:rPr>
          <w:sz w:val="24"/>
          <w:szCs w:val="24"/>
        </w:rPr>
        <w:t xml:space="preserve">.  Muito embora o </w:t>
      </w:r>
      <w:r>
        <w:rPr>
          <w:sz w:val="24"/>
          <w:szCs w:val="24"/>
        </w:rPr>
        <w:lastRenderedPageBreak/>
        <w:t>Código de Menores de 1927 determinasse a criação de um Juízo de Menores, somente em 1935 que este órgão foi implementado em Manaus, nascendo com o objetivo dar assistência, proteção, defesa aos menores abandonados e delinquentes que tivessem menos de 18 anos. Além disso, o Juiz de Menores era a autoridade responsável por julgar e condenar o abandono dos menores e dos considerados vadios, mendigos ou libertinos</w:t>
      </w:r>
      <w:r w:rsidRPr="00ED69B1">
        <w:rPr>
          <w:sz w:val="24"/>
          <w:szCs w:val="24"/>
        </w:rPr>
        <w:t>,</w:t>
      </w:r>
      <w:r w:rsidRPr="00ED69B1">
        <w:rPr>
          <w:sz w:val="24"/>
          <w:szCs w:val="24"/>
        </w:rPr>
        <w:t xml:space="preserve"> cabendo definir as medidas que seriam tomadas para corrigir esse segmento (Pessoa, 2018).</w:t>
      </w:r>
    </w:p>
    <w:p w14:paraId="720D4525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Com a criação do Juizado de Menores em Manaus, iniciou-se um período de intensa repressão à sociabilidade infantil em espaços públicos. Portarias diversas foram publicadas com o intuito de restringir a circulação de crianças, principalmente no acesso ao lazer. Um dos alvos principais foi o cinema, considerado por autoridades, educadores e juristas tanto um instrumento pedagógico quanto um risco à moral infantil. Para impedir o acesso de crianças às salas de exibição, mesmo quando acompanhadas dos pais, o Ju</w:t>
      </w:r>
      <w:r>
        <w:rPr>
          <w:sz w:val="24"/>
          <w:szCs w:val="24"/>
        </w:rPr>
        <w:t>izado nomeava comissários e vigilantes responsáveis por fiscalizar entradas e manter as crianças afastadas, gerando revolta em parte da população e da imprensa (Pessoa, 2018).</w:t>
      </w:r>
      <w:r>
        <w:rPr>
          <w:b/>
          <w:sz w:val="24"/>
          <w:szCs w:val="24"/>
        </w:rPr>
        <w:t xml:space="preserve"> </w:t>
      </w:r>
    </w:p>
    <w:p w14:paraId="0222A125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BA1F1C">
        <w:rPr>
          <w:sz w:val="24"/>
          <w:szCs w:val="24"/>
        </w:rPr>
        <w:t>Outras portarias orientavam repressão a brincadeiras comuns, como bolinha de gude, pião, futebol de rua e uso de baladeiras, todas vistas como ameaças à disciplina e à ordem pública. Nessa lógica, o Juizado passou a defender que o espaço propício para as brincadeiras infantis</w:t>
      </w:r>
      <w:r w:rsidRPr="00BA1F1C">
        <w:rPr>
          <w:sz w:val="24"/>
          <w:szCs w:val="24"/>
        </w:rPr>
        <w:t xml:space="preserve"> seria no interior de suas casas ou, no máximo, os quintais, onde as crianças estavam sob vigilância dos adultos.</w:t>
      </w:r>
      <w:r>
        <w:rPr>
          <w:sz w:val="24"/>
          <w:szCs w:val="24"/>
        </w:rPr>
        <w:t xml:space="preserve"> </w:t>
      </w:r>
    </w:p>
    <w:p w14:paraId="058CAFEF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lógica era manter os menores longe das ruas (consideradas locais de potencializadoras do vício, da delinquência e da desordem). Com isso, surgiram propostas como a criação de parques infantis e o incentivo ao lazer doméstico. No entanto, aponta Pessoa (2018) que essa normatização desconsiderava a realidade </w:t>
      </w:r>
      <w:r>
        <w:rPr>
          <w:sz w:val="24"/>
          <w:szCs w:val="24"/>
        </w:rPr>
        <w:lastRenderedPageBreak/>
        <w:t xml:space="preserve">das famílias pobres, que viviam em moradias precárias, sem quintais nem espaços adequados para a recreação infantil. </w:t>
      </w:r>
    </w:p>
    <w:p w14:paraId="01460CBE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tentativa de controle e disciplinamento da infância, portanto, aprofundava as desigualdades sociais, pois criminalizava a forma como as crianças das camadas populares vivenciavam o lazer e o espaço urbano. </w:t>
      </w:r>
    </w:p>
    <w:p w14:paraId="77637FDF" w14:textId="77777777" w:rsidR="004877A8" w:rsidRDefault="004877A8">
      <w:pPr>
        <w:shd w:val="clear" w:color="auto" w:fill="FFFFFF"/>
        <w:spacing w:line="360" w:lineRule="auto"/>
        <w:jc w:val="both"/>
        <w:rPr>
          <w:b/>
          <w:sz w:val="24"/>
          <w:szCs w:val="24"/>
          <w:highlight w:val="yellow"/>
        </w:rPr>
      </w:pPr>
    </w:p>
    <w:p w14:paraId="3F2D7B10" w14:textId="77777777" w:rsidR="004877A8" w:rsidRDefault="00180194">
      <w:pPr>
        <w:shd w:val="clear" w:color="auto" w:fill="FFFFFF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 CONCLUSÃO</w:t>
      </w:r>
    </w:p>
    <w:p w14:paraId="4ED6E642" w14:textId="77777777" w:rsidR="004877A8" w:rsidRDefault="00180194">
      <w:p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As transformações urbanas em Manaus durante o ciclo da borracha revelam um projeto de modernização excludente, voltado para os interesses das elites. O ideal de civilidade urbana, importado da Europa, buscava excluir as populações empobrecidas do usufruto do espaço urbano.</w:t>
      </w:r>
    </w:p>
    <w:p w14:paraId="254C5CD4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Foi nesse contexto que se intensificaram os mecanismos de controle social, sobretudo </w:t>
      </w:r>
      <w:r w:rsidRPr="00BA1F1C">
        <w:rPr>
          <w:sz w:val="24"/>
          <w:szCs w:val="24"/>
        </w:rPr>
        <w:t>em face d</w:t>
      </w:r>
      <w:r>
        <w:rPr>
          <w:sz w:val="24"/>
          <w:szCs w:val="24"/>
        </w:rPr>
        <w:t>a infância. A institucionalização do Juizado de Menores marcou o início de uma política mais sistemática de disciplinamento das crianças que não se adequavam às normas de conduta impostas pelas autoridades. Portarias, ações policiais e a vigilância sobre brincadeiras e espaços públicos revelam a tentativa de moralização e domesticação da infância.</w:t>
      </w:r>
    </w:p>
    <w:p w14:paraId="7D91E53D" w14:textId="77777777" w:rsidR="004877A8" w:rsidRDefault="00180194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Dessa forma, evidencia-se que o atendimento ao “menor” durante esse período esteve menos relacionado à proteção da infância e mais vinculado a estratégias de contenção social. O olhar sobre a infância pobre, com discursos de risco e desvio, legitimou práticas repressivas que aprofundaram a exclusão das camadas populares. Compreender essas políticas é fundamental para refletir sobre os desafios históricos da infância no Brasil e as heranças ainda presentes nas abordagens voltadas a crianças e adolescentes po</w:t>
      </w:r>
      <w:r>
        <w:rPr>
          <w:sz w:val="24"/>
          <w:szCs w:val="24"/>
        </w:rPr>
        <w:t>bres.</w:t>
      </w:r>
    </w:p>
    <w:p w14:paraId="61144626" w14:textId="77777777" w:rsidR="004877A8" w:rsidRDefault="004877A8">
      <w:pPr>
        <w:shd w:val="clear" w:color="auto" w:fill="FFFFFF"/>
        <w:spacing w:line="360" w:lineRule="auto"/>
        <w:jc w:val="both"/>
        <w:rPr>
          <w:sz w:val="24"/>
          <w:szCs w:val="24"/>
        </w:rPr>
      </w:pPr>
    </w:p>
    <w:p w14:paraId="61D41CB5" w14:textId="77777777" w:rsidR="004877A8" w:rsidRDefault="00180194">
      <w:pPr>
        <w:shd w:val="clear" w:color="auto" w:fill="FFFFFF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14:paraId="215E4417" w14:textId="77777777" w:rsidR="004877A8" w:rsidRDefault="004877A8">
      <w:pPr>
        <w:shd w:val="clear" w:color="auto" w:fill="FFFFFF"/>
        <w:spacing w:line="360" w:lineRule="auto"/>
        <w:jc w:val="both"/>
        <w:rPr>
          <w:b/>
          <w:sz w:val="24"/>
          <w:szCs w:val="24"/>
        </w:rPr>
      </w:pPr>
    </w:p>
    <w:p w14:paraId="3866F541" w14:textId="77777777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ANDES, Pedro Marcos Mansour.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Entre à Paris dos Trópicos</w:t>
      </w:r>
      <w:r>
        <w:rPr>
          <w:sz w:val="24"/>
          <w:szCs w:val="24"/>
          <w:shd w:val="clear" w:color="auto" w:fill="B6D7A8"/>
        </w:rPr>
        <w:t xml:space="preserve"> à </w:t>
      </w:r>
      <w:r>
        <w:rPr>
          <w:sz w:val="24"/>
          <w:szCs w:val="24"/>
        </w:rPr>
        <w:t xml:space="preserve">Miami Brasileira: as imagens da cidade de Manaus durante a estagnação econômica. </w:t>
      </w:r>
      <w:r>
        <w:rPr>
          <w:b/>
          <w:sz w:val="24"/>
          <w:szCs w:val="24"/>
        </w:rPr>
        <w:t>Revista Escritas</w:t>
      </w:r>
      <w:r>
        <w:rPr>
          <w:sz w:val="24"/>
          <w:szCs w:val="24"/>
        </w:rPr>
        <w:t>, v. 7, n. 2, p. 230-252, 2015.</w:t>
      </w:r>
    </w:p>
    <w:p w14:paraId="60DBA2B7" w14:textId="77777777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BENCHIMOL, Samuel Isaac. </w:t>
      </w:r>
      <w:r>
        <w:rPr>
          <w:b/>
          <w:sz w:val="24"/>
          <w:szCs w:val="24"/>
        </w:rPr>
        <w:t>Amazônia</w:t>
      </w:r>
      <w:r>
        <w:rPr>
          <w:sz w:val="24"/>
          <w:szCs w:val="24"/>
        </w:rPr>
        <w:t>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a guerra na floresta. 2. ed. Manaus: EDUA, 2011.</w:t>
      </w:r>
    </w:p>
    <w:p w14:paraId="64FE3A18" w14:textId="77777777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 w:rsidRPr="00BA1F1C">
        <w:rPr>
          <w:sz w:val="24"/>
          <w:szCs w:val="24"/>
        </w:rPr>
        <w:t>DEL PRIORE, Mary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História das crianças no Brasil.</w:t>
      </w:r>
      <w:r>
        <w:rPr>
          <w:sz w:val="24"/>
          <w:szCs w:val="24"/>
        </w:rPr>
        <w:t xml:space="preserve"> 7. ed., 1ª Impressão. – São Paulo: Contexto, 2013.</w:t>
      </w:r>
    </w:p>
    <w:p w14:paraId="08078EFA" w14:textId="5F5B6DB1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DIAS, Andreia Luiza; SILVEIRA, Nara Niceia CBG; </w:t>
      </w:r>
      <w:r>
        <w:rPr>
          <w:sz w:val="24"/>
          <w:szCs w:val="24"/>
        </w:rPr>
        <w:t xml:space="preserve">SILVA SILVEIRA, </w:t>
      </w:r>
      <w:proofErr w:type="spellStart"/>
      <w:r>
        <w:rPr>
          <w:sz w:val="24"/>
          <w:szCs w:val="24"/>
        </w:rPr>
        <w:t>Julienne</w:t>
      </w:r>
      <w:proofErr w:type="spellEnd"/>
      <w:r w:rsidR="00ED69B1">
        <w:rPr>
          <w:sz w:val="24"/>
          <w:szCs w:val="24"/>
        </w:rPr>
        <w:t xml:space="preserve"> da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Belle Époque Brasileira</w:t>
      </w:r>
      <w:r>
        <w:rPr>
          <w:sz w:val="24"/>
          <w:szCs w:val="24"/>
        </w:rPr>
        <w:t>: imigração e raça. Humanidades &amp; Inovação, v. 9, n. 7, p. 37-47, 2022.</w:t>
      </w:r>
    </w:p>
    <w:p w14:paraId="2504C1A6" w14:textId="77777777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FREIRE, José Ribamar Bessa. </w:t>
      </w:r>
      <w:proofErr w:type="spellStart"/>
      <w:r>
        <w:rPr>
          <w:sz w:val="24"/>
          <w:szCs w:val="24"/>
        </w:rPr>
        <w:t>Barés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manáos</w:t>
      </w:r>
      <w:proofErr w:type="spellEnd"/>
      <w:r>
        <w:rPr>
          <w:sz w:val="24"/>
          <w:szCs w:val="24"/>
        </w:rPr>
        <w:t xml:space="preserve"> e tarumãs. </w:t>
      </w:r>
      <w:r>
        <w:rPr>
          <w:b/>
          <w:sz w:val="24"/>
          <w:szCs w:val="24"/>
        </w:rPr>
        <w:t>Amazônia em Cadernos</w:t>
      </w:r>
      <w:r>
        <w:rPr>
          <w:sz w:val="24"/>
          <w:szCs w:val="24"/>
        </w:rPr>
        <w:t>, Manaus: Museu Amazônico/Universidade Federal do Amazonas, v. 2, n. 2/3, p. 159-178, 1993.</w:t>
      </w:r>
    </w:p>
    <w:p w14:paraId="4285B2F4" w14:textId="77777777" w:rsidR="004877A8" w:rsidRDefault="00180194">
      <w:pPr>
        <w:shd w:val="clear" w:color="auto" w:fill="FFFFFF"/>
        <w:spacing w:after="20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IAMAMOTO, Marilda Villela. </w:t>
      </w:r>
      <w:r>
        <w:rPr>
          <w:b/>
          <w:sz w:val="24"/>
          <w:szCs w:val="24"/>
        </w:rPr>
        <w:t>Serviço Social em tempo de capital fetiche</w:t>
      </w:r>
      <w:r>
        <w:rPr>
          <w:sz w:val="24"/>
          <w:szCs w:val="24"/>
        </w:rPr>
        <w:t>: capital financeiro, trabalho e questão social. 4. ed. São Paulo: Cortez, 2010.</w:t>
      </w:r>
    </w:p>
    <w:p w14:paraId="1E2F1694" w14:textId="77777777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PASSETTI, Edson. </w:t>
      </w:r>
      <w:r>
        <w:rPr>
          <w:b/>
          <w:sz w:val="24"/>
          <w:szCs w:val="24"/>
        </w:rPr>
        <w:t>Crianças Carentes e Políticas Públicas</w:t>
      </w:r>
      <w:r>
        <w:rPr>
          <w:sz w:val="24"/>
          <w:szCs w:val="24"/>
        </w:rPr>
        <w:t xml:space="preserve">. In: </w:t>
      </w:r>
      <w:r w:rsidRPr="00BA1F1C">
        <w:rPr>
          <w:sz w:val="24"/>
          <w:szCs w:val="24"/>
        </w:rPr>
        <w:t>DEL PRIORE, Mary</w:t>
      </w:r>
      <w:r>
        <w:rPr>
          <w:sz w:val="24"/>
          <w:szCs w:val="24"/>
        </w:rPr>
        <w:t xml:space="preserve"> (Org.). 7. ed., 1ª Impressão. – São Paulo: Contexto, 2013.</w:t>
      </w:r>
    </w:p>
    <w:p w14:paraId="0F8200BD" w14:textId="77777777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PESSOA, Alba Barbosa. </w:t>
      </w:r>
      <w:r>
        <w:rPr>
          <w:b/>
          <w:sz w:val="24"/>
          <w:szCs w:val="24"/>
        </w:rPr>
        <w:t xml:space="preserve">Infância e Trabalho: </w:t>
      </w:r>
      <w:r>
        <w:rPr>
          <w:sz w:val="24"/>
          <w:szCs w:val="24"/>
        </w:rPr>
        <w:t>dimensões do trabalho infantil na cidade de Manaus (1890-1920). Dissertação de Mestrado. Programa de Pós-Graduação em História, Universidade Federal do Amazonas, Manaus, 2010.</w:t>
      </w:r>
    </w:p>
    <w:p w14:paraId="09630564" w14:textId="77777777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PESSOA, Alba Barbosa. </w:t>
      </w:r>
      <w:r>
        <w:rPr>
          <w:b/>
          <w:sz w:val="24"/>
          <w:szCs w:val="24"/>
        </w:rPr>
        <w:t xml:space="preserve">Pequenos construtores da nação: </w:t>
      </w:r>
      <w:r>
        <w:rPr>
          <w:sz w:val="24"/>
          <w:szCs w:val="24"/>
        </w:rPr>
        <w:t>disciplinarização da infância na cidade de Manaus (1930-1945). 2018. 285 f. Tese (Doutorado). Programa de Pós-graduação em História, Instituto de Filosofia e Ciências Humanas, Universidade Federal do Pará, Belém, 2018.</w:t>
      </w:r>
    </w:p>
    <w:p w14:paraId="36D27FAE" w14:textId="77777777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PESSOA, Alba Barbosa. Infância, sociabilidade e disciplinarização na Manaus dos anos 30 e 40. </w:t>
      </w:r>
      <w:r>
        <w:rPr>
          <w:b/>
          <w:sz w:val="24"/>
          <w:szCs w:val="24"/>
        </w:rPr>
        <w:t>Revista Canoa do Tempo</w:t>
      </w:r>
      <w:r>
        <w:rPr>
          <w:sz w:val="24"/>
          <w:szCs w:val="24"/>
        </w:rPr>
        <w:t>, v. 10, n. 2, p. 103-118, 2018.</w:t>
      </w:r>
    </w:p>
    <w:p w14:paraId="44791273" w14:textId="77777777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REZENDE, Ivana Otto. Os Juízos dos Órfãos na Manaus Republicana (1897-1923). </w:t>
      </w:r>
      <w:r>
        <w:rPr>
          <w:b/>
          <w:sz w:val="24"/>
          <w:szCs w:val="24"/>
        </w:rPr>
        <w:t>Revista Alpha</w:t>
      </w:r>
      <w:r>
        <w:rPr>
          <w:sz w:val="24"/>
          <w:szCs w:val="24"/>
        </w:rPr>
        <w:t>, (13), 41-56, 2012.</w:t>
      </w:r>
    </w:p>
    <w:p w14:paraId="73C59041" w14:textId="77777777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SANTOS JUNIOR, Paulo Marreiro dos. Menoridade e ameaça na </w:t>
      </w:r>
      <w:proofErr w:type="spellStart"/>
      <w:r>
        <w:rPr>
          <w:sz w:val="24"/>
          <w:szCs w:val="24"/>
        </w:rPr>
        <w:t>bélle</w:t>
      </w:r>
      <w:proofErr w:type="spellEnd"/>
      <w:r>
        <w:rPr>
          <w:sz w:val="24"/>
          <w:szCs w:val="24"/>
        </w:rPr>
        <w:t xml:space="preserve"> époque manauara, 1906 a 1917. </w:t>
      </w:r>
      <w:r>
        <w:rPr>
          <w:b/>
          <w:sz w:val="24"/>
          <w:szCs w:val="24"/>
        </w:rPr>
        <w:t>Revista Brasileira de História &amp; Ciências Sociais</w:t>
      </w:r>
      <w:r>
        <w:rPr>
          <w:sz w:val="24"/>
          <w:szCs w:val="24"/>
        </w:rPr>
        <w:t>, v. 13, n. 25, p. 120-146, 2021.</w:t>
      </w:r>
    </w:p>
    <w:p w14:paraId="7D3BFC94" w14:textId="77777777" w:rsidR="004877A8" w:rsidRDefault="00180194">
      <w:pPr>
        <w:shd w:val="clear" w:color="auto" w:fill="FFFFFF"/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TEIXEIRA, Joaquina Barata. Meio Ambiente, Amazônia e Serviço Social. In: SCHERER, Elenise (Org.). </w:t>
      </w:r>
      <w:r>
        <w:rPr>
          <w:b/>
          <w:sz w:val="24"/>
          <w:szCs w:val="24"/>
        </w:rPr>
        <w:t>Questão Social na Amazônia</w:t>
      </w:r>
      <w:r>
        <w:rPr>
          <w:sz w:val="24"/>
          <w:szCs w:val="24"/>
        </w:rPr>
        <w:t>. EDUA, 2009.</w:t>
      </w:r>
    </w:p>
    <w:sectPr w:rsidR="004877A8">
      <w:headerReference w:type="default" r:id="rId7"/>
      <w:footerReference w:type="default" r:id="rId8"/>
      <w:pgSz w:w="11909" w:h="16834"/>
      <w:pgMar w:top="993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6F1AE" w14:textId="77777777" w:rsidR="00180194" w:rsidRDefault="00180194">
      <w:pPr>
        <w:spacing w:line="240" w:lineRule="auto"/>
      </w:pPr>
      <w:r>
        <w:separator/>
      </w:r>
    </w:p>
  </w:endnote>
  <w:endnote w:type="continuationSeparator" w:id="0">
    <w:p w14:paraId="51EF7BE6" w14:textId="77777777" w:rsidR="00180194" w:rsidRDefault="001801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C73EA" w14:textId="77777777" w:rsidR="004877A8" w:rsidRDefault="004877A8">
    <w:pPr>
      <w:widowControl w:val="0"/>
      <w:pBdr>
        <w:top w:val="nil"/>
        <w:left w:val="nil"/>
        <w:bottom w:val="nil"/>
        <w:right w:val="nil"/>
        <w:between w:val="nil"/>
      </w:pBdr>
    </w:pPr>
  </w:p>
  <w:tbl>
    <w:tblPr>
      <w:tblStyle w:val="a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4877A8" w14:paraId="160988F8" w14:textId="77777777">
      <w:trPr>
        <w:trHeight w:val="300"/>
      </w:trPr>
      <w:tc>
        <w:tcPr>
          <w:tcW w:w="3020" w:type="dxa"/>
        </w:tcPr>
        <w:p w14:paraId="3FA7AA81" w14:textId="77777777" w:rsidR="004877A8" w:rsidRDefault="004877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020" w:type="dxa"/>
        </w:tcPr>
        <w:p w14:paraId="1E44F02E" w14:textId="77777777" w:rsidR="004877A8" w:rsidRDefault="004877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55BEDBF7" w14:textId="77777777" w:rsidR="004877A8" w:rsidRDefault="004877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6D85DB3" w14:textId="77777777" w:rsidR="004877A8" w:rsidRDefault="004877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D7010" w14:textId="77777777" w:rsidR="00180194" w:rsidRDefault="00180194">
      <w:pPr>
        <w:spacing w:line="240" w:lineRule="auto"/>
      </w:pPr>
      <w:r>
        <w:separator/>
      </w:r>
    </w:p>
  </w:footnote>
  <w:footnote w:type="continuationSeparator" w:id="0">
    <w:p w14:paraId="3F9BF404" w14:textId="77777777" w:rsidR="00180194" w:rsidRDefault="00180194">
      <w:pPr>
        <w:spacing w:line="240" w:lineRule="auto"/>
      </w:pPr>
      <w:r>
        <w:continuationSeparator/>
      </w:r>
    </w:p>
  </w:footnote>
  <w:footnote w:id="1">
    <w:p w14:paraId="7287BD0A" w14:textId="77777777" w:rsidR="004877A8" w:rsidRPr="007E116E" w:rsidRDefault="00180194">
      <w:pPr>
        <w:spacing w:line="240" w:lineRule="auto"/>
        <w:jc w:val="both"/>
        <w:rPr>
          <w:rFonts w:eastAsia="Times New Roman"/>
          <w:sz w:val="20"/>
          <w:szCs w:val="20"/>
        </w:rPr>
      </w:pPr>
      <w:r w:rsidRPr="007E116E">
        <w:rPr>
          <w:sz w:val="20"/>
          <w:szCs w:val="20"/>
          <w:vertAlign w:val="superscript"/>
        </w:rPr>
        <w:footnoteRef/>
      </w:r>
      <w:r w:rsidRPr="007E116E">
        <w:rPr>
          <w:rFonts w:eastAsia="Aptos"/>
          <w:sz w:val="20"/>
          <w:szCs w:val="20"/>
        </w:rPr>
        <w:t xml:space="preserve"> </w:t>
      </w:r>
      <w:r w:rsidRPr="007E116E">
        <w:rPr>
          <w:rFonts w:eastAsia="Times New Roman"/>
          <w:sz w:val="20"/>
          <w:szCs w:val="20"/>
        </w:rPr>
        <w:t>Bacharel em Serviço Social pela Universidade Federal do Amazonas (UFAM) e Mestrando em Serviço Social e Sustentabilidade na Amazônia (PPGSS) pela mesma universidade. Bolsista pela Coordenação de Aperfeiçoamento de Pessoal de Nível Superior (CAPES). Email: sarmento.wendels@gmail.com</w:t>
      </w:r>
    </w:p>
  </w:footnote>
  <w:footnote w:id="2">
    <w:p w14:paraId="5C6C253D" w14:textId="77777777" w:rsidR="004877A8" w:rsidRPr="007E116E" w:rsidRDefault="00180194">
      <w:pPr>
        <w:spacing w:line="240" w:lineRule="auto"/>
        <w:jc w:val="both"/>
        <w:rPr>
          <w:sz w:val="20"/>
          <w:szCs w:val="20"/>
        </w:rPr>
      </w:pPr>
      <w:r w:rsidRPr="007E116E">
        <w:rPr>
          <w:sz w:val="20"/>
          <w:szCs w:val="20"/>
          <w:vertAlign w:val="superscript"/>
        </w:rPr>
        <w:footnoteRef/>
      </w:r>
      <w:r w:rsidRPr="007E116E">
        <w:rPr>
          <w:rFonts w:eastAsia="Times New Roman"/>
          <w:sz w:val="20"/>
          <w:szCs w:val="20"/>
        </w:rPr>
        <w:t xml:space="preserve"> Bacharel em Serviço Social, mestrando pelo Programa de Pós-Graduação em Serviço Social e Sustentabilidade na Amazônia (PPGSS) da Universidade Federal do Amazonas (UFAM) e bolsista CAPES. E-mail: caduobando@gmail.com</w:t>
      </w:r>
    </w:p>
  </w:footnote>
  <w:footnote w:id="3">
    <w:p w14:paraId="395FA004" w14:textId="5EC05ED6" w:rsidR="004877A8" w:rsidRPr="007E116E" w:rsidRDefault="00180194">
      <w:pPr>
        <w:spacing w:line="240" w:lineRule="auto"/>
        <w:jc w:val="both"/>
        <w:rPr>
          <w:rFonts w:eastAsia="Times New Roman"/>
          <w:sz w:val="20"/>
          <w:szCs w:val="20"/>
        </w:rPr>
      </w:pPr>
      <w:r w:rsidRPr="007E116E">
        <w:rPr>
          <w:sz w:val="20"/>
          <w:szCs w:val="20"/>
          <w:vertAlign w:val="superscript"/>
        </w:rPr>
        <w:footnoteRef/>
      </w:r>
      <w:r w:rsidRPr="007E116E">
        <w:rPr>
          <w:rFonts w:eastAsia="Times New Roman"/>
          <w:sz w:val="20"/>
          <w:szCs w:val="20"/>
        </w:rPr>
        <w:t xml:space="preserve"> Doutora em Sociedade e Cultura na Amazônia, professora do Departamento de Serviço Social e do Programa de Pós-Graduação em Serviço Social e Sustentabilidade na Amazônia (PPGSS) da Universidade Federal do Amazonas (UFAM), bolsista produtividade em pesquisa pela Fundação de Amparo à Pesquisa do Estado do Amazonas (FAPEAM). E-mail: robertaferreira@ufam.edu.br</w:t>
      </w:r>
    </w:p>
  </w:footnote>
  <w:footnote w:id="4">
    <w:p w14:paraId="248A97F1" w14:textId="77777777" w:rsidR="004877A8" w:rsidRDefault="00180194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Criado na cidade de Manaus em 1833, o Juízo dos Órfãos surge com o caráter de executor das políticas governamentais dispensadas à infância. Cabe apontar que grande parte das ações realizadas pelo Juízo consistia em “nomear tutores e curadores para os órfãos e menores que não os tivessem, substituindo os pouco zelosos e castigando os culpados” (Rezende, 2012, p. 42).</w:t>
      </w:r>
    </w:p>
  </w:footnote>
  <w:footnote w:id="5">
    <w:p w14:paraId="73F3ADE6" w14:textId="77777777" w:rsidR="004877A8" w:rsidRDefault="00180194">
      <w:pPr>
        <w:spacing w:line="240" w:lineRule="auto"/>
        <w:jc w:val="both"/>
        <w:rPr>
          <w:sz w:val="20"/>
          <w:szCs w:val="20"/>
          <w:highlight w:val="green"/>
        </w:rPr>
      </w:pPr>
      <w:r w:rsidRPr="00ED69B1">
        <w:rPr>
          <w:vertAlign w:val="superscript"/>
        </w:rPr>
        <w:footnoteRef/>
      </w:r>
      <w:r w:rsidRPr="00ED69B1">
        <w:rPr>
          <w:sz w:val="20"/>
          <w:szCs w:val="20"/>
        </w:rPr>
        <w:t xml:space="preserve"> Para Iamamoto (2010), a questão social surge a partir da apropriação da riqueza socialmente produzida por uma minoria. Isso ocorre com a apropriação do meio do trabalho, onde o capital se apropria tanto das condições de realização do trabalho (os meios de produção) quanto dos frutos dele (produtos).</w:t>
      </w:r>
      <w:r>
        <w:rPr>
          <w:sz w:val="20"/>
          <w:szCs w:val="20"/>
          <w:highlight w:val="green"/>
        </w:rPr>
        <w:t xml:space="preserve"> </w:t>
      </w:r>
    </w:p>
  </w:footnote>
  <w:footnote w:id="6">
    <w:p w14:paraId="666336FB" w14:textId="4F01C932" w:rsidR="004877A8" w:rsidRDefault="00180194">
      <w:pPr>
        <w:spacing w:line="240" w:lineRule="auto"/>
        <w:jc w:val="both"/>
        <w:rPr>
          <w:sz w:val="20"/>
          <w:szCs w:val="20"/>
        </w:rPr>
      </w:pPr>
      <w:r w:rsidRPr="00ED69B1">
        <w:rPr>
          <w:vertAlign w:val="superscript"/>
        </w:rPr>
        <w:footnoteRef/>
      </w:r>
      <w:r w:rsidRPr="00ED69B1">
        <w:rPr>
          <w:sz w:val="20"/>
          <w:szCs w:val="20"/>
        </w:rPr>
        <w:t xml:space="preserve"> </w:t>
      </w:r>
      <w:r w:rsidRPr="00ED69B1">
        <w:rPr>
          <w:sz w:val="20"/>
          <w:szCs w:val="20"/>
        </w:rPr>
        <w:t>Criado por meio do decreto de lei nº 17.943/27-A, o Código de Menores Mello Mattos surg</w:t>
      </w:r>
      <w:r w:rsidR="00ED69B1">
        <w:rPr>
          <w:sz w:val="20"/>
          <w:szCs w:val="20"/>
        </w:rPr>
        <w:t>iu</w:t>
      </w:r>
      <w:r w:rsidRPr="00ED69B1">
        <w:rPr>
          <w:sz w:val="20"/>
          <w:szCs w:val="20"/>
        </w:rPr>
        <w:t xml:space="preserve"> estabelecendo medidas de assistência e proteção ao menor. Medidas em sua maioria repressivas e </w:t>
      </w:r>
      <w:proofErr w:type="spellStart"/>
      <w:r w:rsidRPr="00ED69B1">
        <w:rPr>
          <w:sz w:val="20"/>
          <w:szCs w:val="20"/>
        </w:rPr>
        <w:t>institucionalizadoras</w:t>
      </w:r>
      <w:proofErr w:type="spellEnd"/>
      <w:r w:rsidRPr="00ED69B1">
        <w:rPr>
          <w:sz w:val="20"/>
          <w:szCs w:val="20"/>
        </w:rPr>
        <w:t xml:space="preserve">, que, segundo Pessoa (2011), </w:t>
      </w:r>
      <w:r w:rsidR="00ED69B1">
        <w:rPr>
          <w:sz w:val="20"/>
          <w:szCs w:val="20"/>
        </w:rPr>
        <w:t xml:space="preserve">eram </w:t>
      </w:r>
      <w:r w:rsidRPr="00ED69B1">
        <w:rPr>
          <w:sz w:val="20"/>
          <w:szCs w:val="20"/>
        </w:rPr>
        <w:t>uma tentativa de disciplinar a infância brasileira.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7EB0D" w14:textId="77777777" w:rsidR="004877A8" w:rsidRDefault="00180194">
    <w:r>
      <w:rPr>
        <w:noProof/>
      </w:rPr>
      <w:drawing>
        <wp:anchor distT="0" distB="0" distL="0" distR="0" simplePos="0" relativeHeight="251658240" behindDoc="1" locked="0" layoutInCell="1" hidden="0" allowOverlap="1" wp14:anchorId="441388BE" wp14:editId="3C71BDB6">
          <wp:simplePos x="0" y="0"/>
          <wp:positionH relativeFrom="page">
            <wp:posOffset>0</wp:posOffset>
          </wp:positionH>
          <wp:positionV relativeFrom="page">
            <wp:posOffset>-99059</wp:posOffset>
          </wp:positionV>
          <wp:extent cx="7563486" cy="10910570"/>
          <wp:effectExtent l="0" t="0" r="0" b="0"/>
          <wp:wrapNone/>
          <wp:docPr id="20424036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6" cy="10910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7A8"/>
    <w:rsid w:val="00180194"/>
    <w:rsid w:val="004877A8"/>
    <w:rsid w:val="007E116E"/>
    <w:rsid w:val="00BA1F1C"/>
    <w:rsid w:val="00BE11F1"/>
    <w:rsid w:val="00ED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60388"/>
  <w15:docId w15:val="{9249D607-527B-4990-A218-285880881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3D4C5B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D4C5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4C5B"/>
  </w:style>
  <w:style w:type="paragraph" w:styleId="Rodap">
    <w:name w:val="footer"/>
    <w:basedOn w:val="Normal"/>
    <w:link w:val="RodapChar"/>
    <w:uiPriority w:val="99"/>
    <w:unhideWhenUsed/>
    <w:rsid w:val="003D4C5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4C5B"/>
  </w:style>
  <w:style w:type="table" w:customStyle="1" w:styleId="TableNormal1">
    <w:name w:val="Table Normal1"/>
    <w:rsid w:val="00B00B8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B00B8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B00B8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00B8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0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D7F5E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236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2362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2362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362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3620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ZDgKbd0WFZu13gtSCVOM9JZvXg==">CgMxLjAyDmguYmU4eGZzcWR1MmRoOAByITFvUURuTWVmWEFlMHlZZkhha3N2WGNxSVBNZjFsU0hnSw==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3548</Words>
  <Characters>19164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Andrade</dc:creator>
  <cp:lastModifiedBy>Roberta Andrade</cp:lastModifiedBy>
  <cp:revision>2</cp:revision>
  <dcterms:created xsi:type="dcterms:W3CDTF">2025-07-06T22:28:00Z</dcterms:created>
  <dcterms:modified xsi:type="dcterms:W3CDTF">2025-07-06T22:28:00Z</dcterms:modified>
</cp:coreProperties>
</file>